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81915</wp:posOffset>
            </wp:positionV>
            <wp:extent cx="19208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8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6020" w:type="dxa"/>
            <w:vAlign w:val="bottom"/>
          </w:tcPr>
          <w:p>
            <w:pPr>
              <w:jc w:val="center"/>
              <w:ind w:right="347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168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2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1"/>
              </w:rPr>
              <w:t>One Allison Way</w:t>
            </w:r>
          </w:p>
        </w:tc>
        <w:tc>
          <w:tcPr>
            <w:tcW w:w="1680" w:type="dxa"/>
            <w:vAlign w:val="bottom"/>
          </w:tcPr>
          <w:p>
            <w:pPr>
              <w:spacing w:after="0"/>
              <w:rPr>
                <w:sz w:val="24"/>
                <w:szCs w:val="24"/>
                <w:color w:val="auto"/>
              </w:rPr>
            </w:pPr>
          </w:p>
        </w:tc>
      </w:tr>
      <w:tr>
        <w:trPr>
          <w:trHeight w:val="225"/>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4"/>
              </w:rPr>
              <w:t>Indianapolis, IN</w:t>
            </w:r>
          </w:p>
        </w:tc>
        <w:tc>
          <w:tcPr>
            <w:tcW w:w="1680" w:type="dxa"/>
            <w:vAlign w:val="bottom"/>
          </w:tcPr>
          <w:p>
            <w:pPr>
              <w:jc w:val="right"/>
              <w:ind w:right="401"/>
              <w:spacing w:after="0"/>
              <w:rPr>
                <w:sz w:val="20"/>
                <w:szCs w:val="20"/>
                <w:color w:val="auto"/>
              </w:rPr>
            </w:pPr>
            <w:r>
              <w:rPr>
                <w:rFonts w:ascii="Arial" w:cs="Arial" w:eastAsia="Arial" w:hAnsi="Arial"/>
                <w:sz w:val="18"/>
                <w:szCs w:val="18"/>
                <w:b w:val="1"/>
                <w:bCs w:val="1"/>
                <w:color w:val="auto"/>
              </w:rPr>
              <w:t>46222</w:t>
            </w:r>
          </w:p>
        </w:tc>
      </w:tr>
      <w:tr>
        <w:trPr>
          <w:trHeight w:val="186"/>
        </w:trPr>
        <w:tc>
          <w:tcPr>
            <w:tcW w:w="60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20" w:type="dxa"/>
            <w:vAlign w:val="bottom"/>
          </w:tcPr>
          <w:p>
            <w:pPr>
              <w:jc w:val="right"/>
              <w:ind w:right="1318"/>
              <w:spacing w:after="0"/>
              <w:rPr>
                <w:sz w:val="20"/>
                <w:szCs w:val="20"/>
                <w:color w:val="auto"/>
              </w:rPr>
            </w:pPr>
            <w:r>
              <w:rPr>
                <w:rFonts w:ascii="Arial" w:cs="Arial" w:eastAsia="Arial" w:hAnsi="Arial"/>
                <w:sz w:val="18"/>
                <w:szCs w:val="18"/>
                <w:b w:val="1"/>
                <w:bCs w:val="1"/>
                <w:color w:val="auto"/>
              </w:rPr>
              <w:t>(317) 242-5000</w:t>
            </w:r>
          </w:p>
        </w:tc>
        <w:tc>
          <w:tcPr>
            <w:tcW w:w="1680" w:type="dxa"/>
            <w:vAlign w:val="bottom"/>
          </w:tcPr>
          <w:p>
            <w:pPr>
              <w:spacing w:after="0"/>
              <w:rPr>
                <w:sz w:val="24"/>
                <w:szCs w:val="24"/>
                <w:color w:val="auto"/>
              </w:rPr>
            </w:pPr>
          </w:p>
        </w:tc>
      </w:tr>
      <w:tr>
        <w:trPr>
          <w:trHeight w:val="186"/>
        </w:trPr>
        <w:tc>
          <w:tcPr>
            <w:tcW w:w="6020" w:type="dxa"/>
            <w:vAlign w:val="bottom"/>
          </w:tcPr>
          <w:p>
            <w:pPr>
              <w:jc w:val="center"/>
              <w:ind w:left="20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r>
    </w:tbl>
    <w:p>
      <w:pPr>
        <w:spacing w:after="0" w:line="1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16" w:lineRule="exact"/>
        <w:rPr>
          <w:sz w:val="24"/>
          <w:szCs w:val="24"/>
          <w:color w:val="auto"/>
        </w:rPr>
      </w:pPr>
    </w:p>
    <w:p>
      <w:pPr>
        <w:ind w:left="460"/>
        <w:spacing w:after="0" w:line="196" w:lineRule="exact"/>
        <w:tabs>
          <w:tab w:leader="none" w:pos="88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9320" w:space="180"/>
            <w:col w:w="1920"/>
          </w:cols>
          <w:pgMar w:left="240" w:top="230" w:right="239" w:bottom="1440" w:gutter="0" w:footer="0" w:header="0"/>
          <w:type w:val="continuous"/>
        </w:sectPr>
      </w:pPr>
    </w:p>
    <w:p>
      <w:pPr>
        <w:spacing w:after="0" w:line="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April 14, 2015, there were 179,668,380 shares of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 w:type="dxa"/>
            <w:vAlign w:val="bottom"/>
            <w:vMerge w:val="restart"/>
          </w:tcPr>
          <w:p>
            <w:pPr>
              <w:spacing w:after="0"/>
              <w:rPr>
                <w:sz w:val="20"/>
                <w:szCs w:val="20"/>
                <w:color w:val="auto"/>
              </w:rPr>
            </w:pPr>
            <w:r>
              <w:rPr>
                <w:rFonts w:ascii="Arial" w:cs="Arial" w:eastAsia="Arial" w:hAnsi="Arial"/>
                <w:sz w:val="18"/>
                <w:szCs w:val="18"/>
                <w:color w:val="auto"/>
                <w:w w:val="90"/>
              </w:rPr>
              <w:t>Item 1.</w:t>
            </w:r>
          </w:p>
        </w:tc>
        <w:tc>
          <w:tcPr>
            <w:tcW w:w="280" w:type="dxa"/>
            <w:vAlign w:val="bottom"/>
            <w:gridSpan w:val="2"/>
            <w:vMerge w:val="restart"/>
          </w:tcPr>
          <w:p>
            <w:pPr>
              <w:spacing w:after="0"/>
              <w:rPr>
                <w:sz w:val="14"/>
                <w:szCs w:val="14"/>
                <w:color w:val="auto"/>
              </w:rPr>
            </w:pPr>
          </w:p>
        </w:tc>
        <w:tc>
          <w:tcPr>
            <w:tcW w:w="1500" w:type="dxa"/>
            <w:vAlign w:val="bottom"/>
            <w:gridSpan w:val="6"/>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640" w:type="dxa"/>
            <w:vAlign w:val="bottom"/>
            <w:gridSpan w:val="10"/>
            <w:vMerge w:val="restart"/>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500" w:type="dxa"/>
            <w:vAlign w:val="bottom"/>
            <w:tcBorders>
              <w:bottom w:val="single" w:sz="8" w:color="0000EE"/>
            </w:tcBorders>
            <w:gridSpan w:val="6"/>
            <w:vMerge w:val="continue"/>
          </w:tcPr>
          <w:p>
            <w:pPr>
              <w:spacing w:after="0"/>
              <w:rPr>
                <w:sz w:val="14"/>
                <w:szCs w:val="14"/>
                <w:color w:val="auto"/>
              </w:rPr>
            </w:pPr>
          </w:p>
        </w:tc>
        <w:tc>
          <w:tcPr>
            <w:tcW w:w="8640" w:type="dxa"/>
            <w:vAlign w:val="bottom"/>
            <w:gridSpan w:val="10"/>
            <w:vMerge w:val="continue"/>
          </w:tcPr>
          <w:p>
            <w:pPr>
              <w:spacing w:after="0"/>
              <w:rPr>
                <w:sz w:val="14"/>
                <w:szCs w:val="14"/>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6-17</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2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18-27</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28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28-29</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37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1.</w:t>
            </w:r>
          </w:p>
        </w:tc>
        <w:tc>
          <w:tcPr>
            <w:tcW w:w="280" w:type="dxa"/>
            <w:vAlign w:val="bottom"/>
            <w:gridSpan w:val="2"/>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14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2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Signatures</w:t>
              </w:r>
            </w:hyperlink>
          </w:p>
        </w:tc>
        <w:tc>
          <w:tcPr>
            <w:tcW w:w="93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0" w:type="dxa"/>
            <w:vAlign w:val="bottom"/>
            <w:gridSpan w:val="14"/>
          </w:tcPr>
          <w:p>
            <w:pPr>
              <w:ind w:left="48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Accounts receivable — net of allowance for doubtful accounts of $0.4 and $0.3, respectively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231.3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113.0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795.3</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495.6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1,487.7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1,941.0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4,789.5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Product warranty liability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334.2</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51.4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2,450.9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3,370.5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O)</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stock, $0.01 par value, 1,880,000,000 shares authorized, 179,990,818 shares issued and outstanding and</w:t>
            </w:r>
          </w:p>
        </w:tc>
        <w:tc>
          <w:tcPr>
            <w:tcW w:w="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179,488,247 shares issued and outstanding, respectively</w:t>
            </w:r>
          </w:p>
        </w:tc>
        <w:tc>
          <w:tcPr>
            <w:tcW w:w="8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Paid in capital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1,681.5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(51.4)</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1,419.0</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4,789.5</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264.4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associated with impairment of long-lived assets</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68.4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0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68.4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(gain) on derivatives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Additions of long-lived assets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technology-related initiatives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Collateral for interest rate derivatives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assets</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Payments on long-term debt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Dividend payments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Debt financing fees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financing activities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and cash equivalents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condensed consolidated financial statements as of and for the three months ended March 31, 2015 and 2014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statements of the results for the periods presented. The condensed consolidated financial statements herein consist of all wholly-owned domestic and foreign subsidiaries with all significant intercompany transactions eliminated.</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2014 as filed with the Securities and Exchange Commission (“SEC”) on February 20, 2015. Certain immaterial reclassifications have been made in the condensed consolidated financial statements of prior periods to conform to the current period presentation. These reclassifications have no impact on previously reported net income, total stockholders’ equity or cash flows. The interim period financial results for the three month period presented are not necessarily indicative of results to be expected for any other interim period or for the entire year.</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April 2015, the Financial Accounting Standards Board (“FASB”) issued authoritative accounting guidance to simplify the presentation of the debt issuance costs. The guidance requires that the debt issuance costs be presented in the balance sheet as a direct deduction from the carrying amount of debt liability, consistent with debt discounts or premiums. The recognition and measurement guidance for debt issuance costs are not affected. The guidance is effective for public entities for interim and annual reporting periods beginning after December 15, 2015, but can be early-adopted. Management is assessing the potential impact of the adoption of this guidance on the Company’s consolidated financial statements.</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interim and annual reporting periods beginning after December 15, 2016, but can be early-adopted. While the adoption of this guidance is not expected to have an effect on the Company’s consolidated financial statements, it could affect the disclosure applied under these circumstances in the future.</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The guidance applies to all companies that enter into contracts with customers to transfer goods, service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improved disclosures regarding the nature, timing, amount and uncertainty of revenue that is recognized. The FASB originally proposed the guidance was effective prospectively for interim and annual reporting periods beginning after December 15, 2016. On April 1, 2015, the FASB decided to propose a one-year deferral of the effective date. Under the proposal, the guidance would be effective for public entities for interim and annual reporting periods beginning after December 15, 2017. The proposal also would permit both public and nonpublic entities to adopt the guidance as early as the original public entity effective date. Early adoption prior to that date would not be permitted. Management is assessing the potential impact of the adoption of this guidance on the Company’s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Work in progress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Finished goods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160.9</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K, “Other Current Liabilities” for more information.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As of March 31, 2015 and December 31, 2014, the carrying amount of the Company’s Goodwill was $1,941.0 million. The following presents a summary of other intangible assets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December 31, 2014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80" w:type="dxa"/>
            <w:vAlign w:val="bottom"/>
          </w:tcPr>
          <w:p>
            <w:pPr>
              <w:spacing w:after="0"/>
              <w:rPr>
                <w:sz w:val="10"/>
                <w:szCs w:val="10"/>
                <w:color w:val="auto"/>
              </w:rPr>
            </w:pPr>
          </w:p>
        </w:tc>
        <w:tc>
          <w:tcPr>
            <w:tcW w:w="76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2"/>
              </w:rPr>
              <w:t>assets, gross</w:t>
            </w:r>
          </w:p>
        </w:tc>
        <w:tc>
          <w:tcPr>
            <w:tcW w:w="2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assets, net</w:t>
            </w:r>
          </w:p>
        </w:tc>
        <w:tc>
          <w:tcPr>
            <w:tcW w:w="1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2"/>
              </w:rPr>
              <w:t>assets, net</w:t>
            </w: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870.0</w:t>
            </w:r>
          </w:p>
        </w:tc>
        <w:tc>
          <w:tcPr>
            <w:tcW w:w="4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1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870.0</w:t>
            </w:r>
          </w:p>
        </w:tc>
        <w:tc>
          <w:tcPr>
            <w:tcW w:w="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392.3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2,551.0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(1,063.3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1,487.7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2,551.0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(1,039.0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1,512.0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March 31, 2015 and December 31, 2014, the net carrying value of our Goodwill and other intangibles was $3,428.7 million and $3,453.0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2015 and December 31, 2014, the Company did not have any Level 3 financial assets or liabilities.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18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2015 and December 31, 2014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5"/>
              </w:rPr>
              <w:t>Fair Value Measurements Using</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5"/>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00" w:type="dxa"/>
            <w:vAlign w:val="bottom"/>
          </w:tcPr>
          <w:p>
            <w:pPr>
              <w:spacing w:after="0"/>
              <w:rPr>
                <w:sz w:val="10"/>
                <w:szCs w:val="10"/>
                <w:color w:val="auto"/>
              </w:rPr>
            </w:pPr>
          </w:p>
        </w:tc>
        <w:tc>
          <w:tcPr>
            <w:tcW w:w="206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0"/>
              </w:rPr>
              <w:t>Assets (Level 1)</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Observable Inputs (Level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March 31,</w:t>
            </w:r>
          </w:p>
        </w:tc>
        <w:tc>
          <w:tcPr>
            <w:tcW w:w="6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December</w:t>
            </w:r>
          </w:p>
        </w:tc>
        <w:tc>
          <w:tcPr>
            <w:tcW w:w="38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31, 2014</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31, 2014</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4.5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(23.7)</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105.8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82.1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520" w:type="dxa"/>
            <w:vAlign w:val="bottom"/>
            <w:gridSpan w:val="3"/>
          </w:tcPr>
          <w:p>
            <w:pPr>
              <w:ind w:left="880"/>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6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980" w:type="dxa"/>
            <w:vAlign w:val="bottom"/>
            <w:gridSpan w:val="2"/>
          </w:tcPr>
          <w:p>
            <w:pPr>
              <w:ind w:left="88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236.2</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1,761.3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2,468.8</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2,450.9</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2,502.6</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of March 31, 2015, the Company had $236.2 million of indebtedness associated with Allison Transmission, Inc.’s (“ATI”), the Company’s wholly-owned subsidiary, Senior Secured Credit Facility Term B-2 Loan due 2017 (“Term B-2 Loan”) and $1,761.3 million of indebtedness associated with ATI’s Senior Secured Credit Facility Term B-3 Loan due 2019 (“Term B-3 Loan” and together with the Term B-2 Loan and revolving credit facility defined as the “Senior Secured Credit Facility”). The Company also had indebtedness of $471.3 million of ATI’s 7.125% senior cash pay notes due May 2019 (“7.125% Senior Notes”).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fair value of the Company’s long-term debt obligations as of March 31, 2015 was $2,488.0 million. The fair value is based on quoted Level 2 market prices of the Company’s debt as of March 31, 2015.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March 31, 2015, is at the Company’s option, either (a) 2.75% over the LIBOR or (b) 1.75% over the greater of the prime lending rate provided by the British Banking Association or the federal funds effective rate published by the Federal Reserve Bank of New York plus 0.50%. Interest on the Term B-3 Loan, as of March 31, 2015, is equal to the LIBOR (which may not be less than 1.00%) plus 2.50% based on the Company’s total leverage ratio. As of March 31, 2015, these rates were approximately 2.93% and 3.50% on the Term B-2 Loan and Term B-3 Loan, respectively, and the weighted average rate on the Senior Secured Credit Facility was approximately 3.43%.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During the first quarter of 2015, the Company made principal payments of $47.4 million on the Term B-2 loan, resulting in a loss of $0.2 million associated with the write off of related deferred debt issuance costs. The minimum required quarterly principal payment on the Term B-3 Loan is $4.4 million and remains through its maturity date of 2019. As of March 31, 2015, there had been no payments required for certain net cash proceeds of non-ordinary course asset sales and casualty and condemnation events. The remaining principal balance on each loan is due upon maturity.</w:t>
      </w:r>
    </w:p>
    <w:p>
      <w:pPr>
        <w:spacing w:after="0" w:line="18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Senior Secured Credit Facility also provides for $465.0 million, net of an allowance for up to $75.0 million in outstanding letters of credit commitments. As of March 31, 2015, the Company had $455.1 million available under the revolving credit facility, net of $9.9 million in letters of credit. Revolving credit borrowings bear interest at a variable base rate plus an applicable margin based on the Company’s total leverage ratio. As of March 31, 2015, this rate would have been approximately 1.63%. In addition, there is an annual commitment fee, based on the Company’s total leverage ratio, which as of March 31, 2015, was equal to 0.25%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revolving portion of the Senior Secured Credit Facility requires the Company to maintain a specified maximum total senior secured leverage ratio of 5.50x when revolving loan commitments remain outstanding at the end of a fiscal quarter. In March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March 31, 2015, the Company had no revolving loans outstanding; however, the Company would have been in compliance with the maximum total senior secured leverage ratio, achieving a 2.27x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March 31, 2015, the total leverage ratio was 2.89x.</w:t>
      </w:r>
    </w:p>
    <w:p>
      <w:pPr>
        <w:spacing w:after="0" w:line="180"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March 31, 2015, the Company is in compliance with all covenants under the Senior Secured Credit Facility.</w:t>
      </w:r>
    </w:p>
    <w:p>
      <w:pPr>
        <w:spacing w:after="0" w:line="14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March 18, 2015, ATI commenced a cash tender offer to purchase its outstanding 7.125% Senior Notes (the “Offer”). In connection with the Offer, ATI solicited consents to enter into a supplemental indenture to eliminate substantially all of the restrictive covenants, certain events of default and related provisions contained in the indenture dated as of May 6, 2011 (the “Indenture”) governing the notes. On March 31, 2015, ATI received valid consents from holders with an aggregate principal amount of $420.9 million of the 7.125% Senior Notes. Accordingly, ATI entered into a first supplemental indenture to the Indenture contingent on the execution of an amendment with the term loan lenders under its Senior Secured Credit Facility.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March 31, 2015 and December 31, 2014 follows (dollars in millions):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March 31, 2015</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3.44%</w:t>
            </w:r>
          </w:p>
        </w:tc>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2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100.0</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75.0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75.0</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75.0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50.0</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50.0</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75.0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50.0</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02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25.0</w:t>
            </w: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2.25% Interest Rate Swap X, Aug 2016 – Aug 2019*</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20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800.0</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500" w:type="dxa"/>
            <w:vAlign w:val="bottom"/>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750.0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60" w:type="dxa"/>
            <w:vAlign w:val="bottom"/>
            <w:vMerge w:val="restart"/>
          </w:tcPr>
          <w:p>
            <w:pPr>
              <w:jc w:val="right"/>
              <w:ind w:right="11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7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following table summarizes the outstanding foreign currency forward contracts as of March 31, 2015 and December 31, 2014 (amounts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4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8"/>
              </w:rPr>
              <w:t>March 31, 2015</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spacing w:after="0" w:line="119" w:lineRule="exact"/>
              <w:rPr>
                <w:sz w:val="20"/>
                <w:szCs w:val="20"/>
                <w:color w:val="auto"/>
              </w:rPr>
            </w:pPr>
            <w:r>
              <w:rPr>
                <w:rFonts w:ascii="Arial" w:cs="Arial" w:eastAsia="Arial" w:hAnsi="Arial"/>
                <w:sz w:val="13"/>
                <w:szCs w:val="13"/>
                <w:color w:val="auto"/>
              </w:rPr>
              <w:t>Notional</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4"/>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Japanese Yen (JPY)</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¥ 150.0</w:t>
            </w: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tcBorders>
              <w:top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¥ 300.0</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March 31, 2015 and December 31, 2014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March 31, 2015</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9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9"/>
              </w:rPr>
              <w:t>Notional</w:t>
            </w:r>
          </w:p>
        </w:tc>
        <w:tc>
          <w:tcPr>
            <w:tcW w:w="13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Quantity</w:t>
            </w:r>
          </w:p>
        </w:tc>
        <w:tc>
          <w:tcPr>
            <w:tcW w:w="440" w:type="dxa"/>
            <w:vAlign w:val="bottom"/>
            <w:vMerge w:val="restart"/>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460" w:type="dxa"/>
            <w:vAlign w:val="bottom"/>
            <w:vMerge w:val="restart"/>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3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Aluminum</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12.3</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6,400 metric tons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6,200 metric tons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Natural Gas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N/A</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60,000 MMBtu</w:t>
            </w: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March 31, 2015</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 2014</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320" w:type="dxa"/>
            <w:vAlign w:val="bottom"/>
          </w:tcPr>
          <w:p>
            <w:pPr>
              <w:spacing w:after="0"/>
              <w:rPr>
                <w:sz w:val="12"/>
                <w:szCs w:val="12"/>
                <w:color w:val="auto"/>
              </w:rPr>
            </w:pPr>
          </w:p>
        </w:tc>
        <w:tc>
          <w:tcPr>
            <w:tcW w:w="1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Balance Sheet Location</w:t>
            </w:r>
          </w:p>
        </w:tc>
        <w:tc>
          <w:tcPr>
            <w:tcW w:w="2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0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ind w:left="340"/>
              <w:spacing w:after="0" w:line="198" w:lineRule="exact"/>
              <w:rPr>
                <w:sz w:val="20"/>
                <w:szCs w:val="20"/>
                <w:color w:val="auto"/>
              </w:rPr>
            </w:pPr>
            <w:r>
              <w:rPr>
                <w:rFonts w:ascii="Arial" w:cs="Arial" w:eastAsia="Arial" w:hAnsi="Arial"/>
                <w:sz w:val="18"/>
                <w:szCs w:val="18"/>
                <w:color w:val="auto"/>
              </w:rPr>
              <w:t>Foreign currency contracts</w:t>
            </w:r>
          </w:p>
        </w:tc>
        <w:tc>
          <w:tcPr>
            <w:tcW w:w="2880" w:type="dxa"/>
            <w:vAlign w:val="bottom"/>
            <w:gridSpan w:val="3"/>
          </w:tcPr>
          <w:p>
            <w:pPr>
              <w:ind w:left="1000"/>
              <w:spacing w:after="0" w:line="198" w:lineRule="exact"/>
              <w:rPr>
                <w:sz w:val="20"/>
                <w:szCs w:val="20"/>
                <w:color w:val="auto"/>
              </w:rPr>
            </w:pPr>
            <w:r>
              <w:rPr>
                <w:rFonts w:ascii="Arial" w:cs="Arial" w:eastAsia="Arial" w:hAnsi="Arial"/>
                <w:sz w:val="18"/>
                <w:szCs w:val="18"/>
                <w:b w:val="1"/>
                <w:bCs w:val="1"/>
                <w:color w:val="auto"/>
              </w:rPr>
              <w:t>Other current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Arial" w:cs="Arial" w:eastAsia="Arial" w:hAnsi="Arial"/>
                <w:sz w:val="18"/>
                <w:szCs w:val="18"/>
                <w:color w:val="auto"/>
              </w:rPr>
              <w:t>Other current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880" w:type="dxa"/>
            <w:vAlign w:val="bottom"/>
            <w:gridSpan w:val="3"/>
          </w:tcPr>
          <w:p>
            <w:pPr>
              <w:ind w:left="100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(0.2)</w:t>
            </w:r>
          </w:p>
        </w:tc>
        <w:tc>
          <w:tcPr>
            <w:tcW w:w="1560" w:type="dxa"/>
            <w:vAlign w:val="bottom"/>
          </w:tcPr>
          <w:p>
            <w:pPr>
              <w:spacing w:after="0"/>
              <w:rPr>
                <w:sz w:val="20"/>
                <w:szCs w:val="20"/>
                <w:color w:val="auto"/>
              </w:rPr>
            </w:pPr>
            <w:r>
              <w:rPr>
                <w:rFonts w:ascii="Arial" w:cs="Arial" w:eastAsia="Arial" w:hAnsi="Arial"/>
                <w:sz w:val="18"/>
                <w:szCs w:val="18"/>
                <w:color w:val="auto"/>
              </w:rPr>
              <w:t>liabilities</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Commodity contracts</w:t>
            </w:r>
          </w:p>
        </w:tc>
        <w:tc>
          <w:tcPr>
            <w:tcW w:w="2880" w:type="dxa"/>
            <w:vAlign w:val="bottom"/>
            <w:gridSpan w:val="3"/>
            <w:shd w:val="clear" w:color="auto" w:fill="CCEEFF"/>
          </w:tcPr>
          <w:p>
            <w:pPr>
              <w:ind w:left="1000"/>
              <w:spacing w:after="0" w:line="198" w:lineRule="exact"/>
              <w:rPr>
                <w:sz w:val="20"/>
                <w:szCs w:val="20"/>
                <w:color w:val="auto"/>
              </w:rPr>
            </w:pPr>
            <w:r>
              <w:rPr>
                <w:rFonts w:ascii="Arial" w:cs="Arial" w:eastAsia="Arial" w:hAnsi="Arial"/>
                <w:sz w:val="18"/>
                <w:szCs w:val="18"/>
                <w:b w:val="1"/>
                <w:bCs w:val="1"/>
                <w:color w:val="auto"/>
              </w:rPr>
              <w:t>Other current and</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Other current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1000"/>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(0.8)</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3"/>
              </w:rPr>
              <w:t>non-current liabilities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ind w:left="340"/>
              <w:spacing w:after="0" w:line="198" w:lineRule="exact"/>
              <w:rPr>
                <w:sz w:val="20"/>
                <w:szCs w:val="20"/>
                <w:color w:val="auto"/>
              </w:rPr>
            </w:pPr>
            <w:r>
              <w:rPr>
                <w:rFonts w:ascii="Arial" w:cs="Arial" w:eastAsia="Arial" w:hAnsi="Arial"/>
                <w:sz w:val="18"/>
                <w:szCs w:val="18"/>
                <w:color w:val="auto"/>
              </w:rPr>
              <w:t>Interest rate contracts</w:t>
            </w:r>
          </w:p>
        </w:tc>
        <w:tc>
          <w:tcPr>
            <w:tcW w:w="2880" w:type="dxa"/>
            <w:vAlign w:val="bottom"/>
            <w:gridSpan w:val="3"/>
          </w:tcPr>
          <w:p>
            <w:pPr>
              <w:ind w:left="1000"/>
              <w:spacing w:after="0" w:line="198" w:lineRule="exact"/>
              <w:rPr>
                <w:sz w:val="20"/>
                <w:szCs w:val="20"/>
                <w:color w:val="auto"/>
              </w:rPr>
            </w:pPr>
            <w:r>
              <w:rPr>
                <w:rFonts w:ascii="Arial" w:cs="Arial" w:eastAsia="Arial" w:hAnsi="Arial"/>
                <w:sz w:val="18"/>
                <w:szCs w:val="18"/>
                <w:b w:val="1"/>
                <w:bCs w:val="1"/>
                <w:color w:val="auto"/>
              </w:rPr>
              <w:t>Other non-</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Arial" w:cs="Arial" w:eastAsia="Arial" w:hAnsi="Arial"/>
                <w:sz w:val="18"/>
                <w:szCs w:val="18"/>
                <w:color w:val="auto"/>
              </w:rPr>
              <w:t>Other non-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880" w:type="dxa"/>
            <w:vAlign w:val="bottom"/>
            <w:gridSpan w:val="3"/>
          </w:tcPr>
          <w:p>
            <w:pPr>
              <w:ind w:left="100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(22.7)</w:t>
            </w:r>
          </w:p>
        </w:tc>
        <w:tc>
          <w:tcPr>
            <w:tcW w:w="15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(23.7)</w:t>
            </w:r>
          </w:p>
        </w:tc>
        <w:tc>
          <w:tcPr>
            <w:tcW w:w="1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March 31, 2015, the amounts recorded to Other current and non-current liabilities for commodity contracts were ($0.7) million and ($0.1) million, respectively.</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December 31, 2014, the amounts recorded to Other current and non-current liabilities for commodity contracts were ($0.6) million and ($0.1) million,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impact on the Company’s Condensed Consolidated Statements of Comprehensive Income related to foreign currency and commodity contracts can be found in NOTE J, and the following tabular disclosure describes the location and impact on the Company’s results of operations related to unrealized (loss) gain on interest rate derivatives (dollars in millions):</w:t>
      </w:r>
    </w:p>
    <w:p>
      <w:pPr>
        <w:spacing w:after="0" w:line="200"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 March 31,</w:t>
      </w:r>
    </w:p>
    <w:p>
      <w:pPr>
        <w:ind w:left="7680"/>
        <w:spacing w:after="0" w:line="236" w:lineRule="auto"/>
        <w:tabs>
          <w:tab w:leader="none" w:pos="94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w:t>
            </w:r>
          </w:p>
        </w:tc>
        <w:tc>
          <w:tcPr>
            <w:tcW w:w="42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r>
      <w:tr>
        <w:trPr>
          <w:trHeight w:val="522"/>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NOTE H. PRODUCT WARRANTY LIABILITIES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840" w:type="dxa"/>
            <w:vAlign w:val="bottom"/>
            <w:gridSpan w:val="2"/>
          </w:tcPr>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9"/>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138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83.6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Payments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ind w:left="1380"/>
              <w:spacing w:after="0"/>
              <w:rPr>
                <w:sz w:val="20"/>
                <w:szCs w:val="20"/>
                <w:color w:val="auto"/>
              </w:rPr>
            </w:pPr>
            <w:r>
              <w:rPr>
                <w:rFonts w:ascii="Arial" w:cs="Arial" w:eastAsia="Arial" w:hAnsi="Arial"/>
                <w:sz w:val="18"/>
                <w:szCs w:val="18"/>
                <w:color w:val="auto"/>
              </w:rPr>
              <w:t>Ending balance</w:t>
            </w:r>
          </w:p>
        </w:tc>
        <w:tc>
          <w:tcPr>
            <w:tcW w:w="7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77.1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of March 31, 2015, the current and non-current product warranty liabilities were $23.7 million and $53.4 million, respectively. As of March 31, 2014, the current and non-current product warranty liabilities were $32.3 million and $58.1,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12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As of March 31, 2015, the current and non-current deferred revenue for Extended Transmission Coverage (“ETC”) were $20.8 million and $51.4 million, respectively. As of March 31, 2014, the current and non-current deferred revenue for ETC were $20.1 million and $43.7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71"/>
        </w:trPr>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Deferred revenue recorded in current liabilities related to unearned net sales for defense contracts as of March 31, 2015 and 2014 was approximately $0.0 million and $18.6 million,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INCOME (EXPENSE),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net consists of the following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Gain on intercompany foreign exchange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Gain (loss) on foreign exchange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G)</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Unrealized gain on derivative contracts (see NOTE G)</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on repayments and repurchases of long-term debt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Grant program income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March 31, 2015, the Company recorded a gain of $2.2 million resulting from intercompany financing transactions related to investments in plant assets for the Company’s India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March 31,</w:t>
            </w:r>
          </w:p>
        </w:tc>
        <w:tc>
          <w:tcPr>
            <w:tcW w:w="1660" w:type="dxa"/>
            <w:vAlign w:val="bottom"/>
            <w:gridSpan w:val="5"/>
          </w:tcPr>
          <w:p>
            <w:pPr>
              <w:jc w:val="center"/>
              <w:ind w:left="17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Payroll and related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Taxes payable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obligation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80" w:type="dxa"/>
            <w:vAlign w:val="bottom"/>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L. EMPLOYEE BENEFIT PLANS</w:t>
            </w: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6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gridSpan w:val="7"/>
          </w:tcPr>
          <w:p>
            <w:pPr>
              <w:ind w:left="460"/>
              <w:spacing w:after="0"/>
              <w:rPr>
                <w:sz w:val="20"/>
                <w:szCs w:val="20"/>
                <w:color w:val="auto"/>
              </w:rPr>
            </w:pPr>
            <w:r>
              <w:rPr>
                <w:rFonts w:ascii="Arial" w:cs="Arial" w:eastAsia="Arial" w:hAnsi="Arial"/>
                <w:sz w:val="18"/>
                <w:szCs w:val="18"/>
                <w:color w:val="auto"/>
                <w:w w:val="96"/>
              </w:rPr>
              <w:t>Components of net periodic benefit cost consist of the following (dollars in millions):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Pension Plans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40" w:type="dxa"/>
            <w:vAlign w:val="bottom"/>
            <w:tcBorders>
              <w:top w:val="single" w:sz="8" w:color="auto"/>
            </w:tcBorders>
            <w:gridSpan w:val="4"/>
          </w:tcPr>
          <w:p>
            <w:pPr>
              <w:jc w:val="right"/>
              <w:ind w:right="153"/>
              <w:spacing w:after="0" w:line="119" w:lineRule="exact"/>
              <w:rPr>
                <w:sz w:val="20"/>
                <w:szCs w:val="20"/>
                <w:color w:val="auto"/>
              </w:rPr>
            </w:pPr>
            <w:r>
              <w:rPr>
                <w:rFonts w:ascii="Arial" w:cs="Arial" w:eastAsia="Arial" w:hAnsi="Arial"/>
                <w:sz w:val="13"/>
                <w:szCs w:val="13"/>
                <w:b w:val="1"/>
                <w:bCs w:val="1"/>
                <w:color w:val="auto"/>
              </w:rPr>
              <w:t>Three months ended March 31,</w:t>
            </w:r>
          </w:p>
        </w:tc>
        <w:tc>
          <w:tcPr>
            <w:tcW w:w="32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gridSpan w:val="6"/>
          </w:tcPr>
          <w:p>
            <w:pPr>
              <w:jc w:val="right"/>
              <w:ind w:right="173"/>
              <w:spacing w:after="0" w:line="119" w:lineRule="exact"/>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808"/>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0.6</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48"/>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8"/>
                <w:szCs w:val="18"/>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b w:val="1"/>
                <w:bCs w:val="1"/>
                <w:color w:val="auto"/>
              </w:rPr>
              <w:t>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Loss (gain)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8"/>
              <w:spacing w:after="0"/>
              <w:rPr>
                <w:sz w:val="20"/>
                <w:szCs w:val="20"/>
                <w:color w:val="auto"/>
              </w:rPr>
            </w:pPr>
            <w:r>
              <w:rPr>
                <w:rFonts w:ascii="Arial" w:cs="Arial" w:eastAsia="Arial" w:hAnsi="Arial"/>
                <w:sz w:val="18"/>
                <w:szCs w:val="18"/>
                <w:b w:val="1"/>
                <w:bCs w:val="1"/>
                <w:color w:val="auto"/>
              </w:rPr>
              <w:t>0.0</w:t>
            </w:r>
          </w:p>
        </w:tc>
        <w:tc>
          <w:tcPr>
            <w:tcW w:w="180" w:type="dxa"/>
            <w:vAlign w:val="bottom"/>
          </w:tcPr>
          <w:p>
            <w:pPr>
              <w:spacing w:after="0"/>
              <w:rPr>
                <w:sz w:val="18"/>
                <w:szCs w:val="18"/>
                <w:color w:val="auto"/>
              </w:rPr>
            </w:pPr>
          </w:p>
        </w:tc>
        <w:tc>
          <w:tcPr>
            <w:tcW w:w="9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1.1</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115"/>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INCOME TAXES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For the three months ended March 31, 2015 and 2014, the Company recorded total tax expense of $39.8 million and $27.2 million, respectively. The effective tax rate for the three months ended March 31, 2015 and 2014 was 36.8 % and 34.3 %, respectively. The change in the effective rate is principally driven by discrete activity recorded in the first quarter of 2014 resulting in a favorable tax benefit.</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a 2010 Research &amp; Development Credit as of March 31, 2015 and December 31, 2014. The accounting guidance prescribes a recognition threshold and measurement attributes for the financial statement recognition and measurement of a tax position taken or expected to be taken in a tax return. For the year ended December 31, 2014, the return will remain subject to examination by the various taxing authorities for the duration of the applicable statute of limitations (generally three years from the later of the date of filing or the due date of the return).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reconcile changes in Accumulated other comprehensive loss (“AOCL”) by component (net of tax, dollars in millions):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December 31, 2013</w:t>
      </w:r>
    </w:p>
    <w:p>
      <w:pPr>
        <w:spacing w:after="0" w:line="50" w:lineRule="exact"/>
        <w:rPr>
          <w:sz w:val="20"/>
          <w:szCs w:val="20"/>
          <w:color w:val="auto"/>
        </w:rPr>
      </w:pPr>
    </w:p>
    <w:p>
      <w:pPr>
        <w:ind w:left="820" w:right="400"/>
        <w:spacing w:after="0" w:line="263" w:lineRule="auto"/>
        <w:rPr>
          <w:sz w:val="20"/>
          <w:szCs w:val="20"/>
          <w:color w:val="auto"/>
        </w:rPr>
      </w:pPr>
      <w:r>
        <w:rPr>
          <w:rFonts w:ascii="Arial" w:cs="Arial" w:eastAsia="Arial" w:hAnsi="Arial"/>
          <w:sz w:val="18"/>
          <w:szCs w:val="18"/>
          <w:color w:val="auto"/>
        </w:rPr>
        <w:t>Other comprehensive income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benefit</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sale securities</w:t>
            </w:r>
          </w:p>
        </w:tc>
        <w:tc>
          <w:tcPr>
            <w:tcW w:w="3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-574040</wp:posOffset>
            </wp:positionV>
            <wp:extent cx="666369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-273685</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060" w:space="720"/>
            <w:col w:w="5480"/>
          </w:cols>
          <w:pgMar w:left="240" w:top="459" w:right="3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income</w:t>
            </w:r>
          </w:p>
        </w:tc>
        <w:tc>
          <w:tcPr>
            <w:tcW w:w="340" w:type="dxa"/>
            <w:vAlign w:val="bottom"/>
            <w:gridSpan w:val="2"/>
            <w:shd w:val="clear" w:color="auto" w:fill="CCEEFF"/>
          </w:tcPr>
          <w:p>
            <w:pPr>
              <w:jc w:val="right"/>
              <w:ind w:right="165"/>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0.1</w:t>
            </w:r>
          </w:p>
        </w:tc>
        <w:tc>
          <w:tcPr>
            <w:tcW w:w="5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2.7</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March 31, 2014</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AOCL as of December 31, 2014</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(11.9)</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AOCL as of March 31, 2015</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(51.4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3"/>
              </w:rPr>
              <w:t>Amounts reclassified from AOCL</w:t>
            </w:r>
          </w:p>
        </w:tc>
        <w:tc>
          <w:tcPr>
            <w:tcW w:w="3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auto"/>
            </w:tcBorders>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Three months</w:t>
            </w:r>
          </w:p>
        </w:tc>
        <w:tc>
          <w:tcPr>
            <w:tcW w:w="200" w:type="dxa"/>
            <w:vAlign w:val="bottom"/>
          </w:tcPr>
          <w:p>
            <w:pPr>
              <w:spacing w:after="0"/>
              <w:rPr>
                <w:sz w:val="10"/>
                <w:szCs w:val="10"/>
                <w:color w:val="auto"/>
              </w:rPr>
            </w:pPr>
          </w:p>
        </w:tc>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w w:val="91"/>
              </w:rPr>
              <w:t>Affected line item in the Condensed Consolidated</w:t>
            </w:r>
          </w:p>
        </w:tc>
        <w:tc>
          <w:tcPr>
            <w:tcW w:w="0" w:type="dxa"/>
            <w:vAlign w:val="bottom"/>
          </w:tcPr>
          <w:p>
            <w:pPr>
              <w:spacing w:after="0"/>
              <w:rPr>
                <w:sz w:val="1"/>
                <w:szCs w:val="1"/>
                <w:color w:val="auto"/>
              </w:rPr>
            </w:pPr>
          </w:p>
        </w:tc>
      </w:tr>
      <w:tr>
        <w:trPr>
          <w:trHeight w:val="149"/>
        </w:trPr>
        <w:tc>
          <w:tcPr>
            <w:tcW w:w="422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2014</w:t>
            </w:r>
          </w:p>
        </w:tc>
        <w:tc>
          <w:tcPr>
            <w:tcW w:w="3040" w:type="dxa"/>
            <w:vAlign w:val="bottom"/>
          </w:tcPr>
          <w:p>
            <w:pPr>
              <w:ind w:left="360"/>
              <w:spacing w:after="0"/>
              <w:rPr>
                <w:sz w:val="20"/>
                <w:szCs w:val="20"/>
                <w:color w:val="auto"/>
              </w:rPr>
            </w:pPr>
            <w:r>
              <w:rPr>
                <w:rFonts w:ascii="Arial" w:cs="Arial" w:eastAsia="Arial" w:hAnsi="Arial"/>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304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3040" w:type="dxa"/>
            <w:vAlign w:val="bottom"/>
          </w:tcPr>
          <w:p>
            <w:pPr>
              <w:spacing w:after="0"/>
              <w:rPr>
                <w:sz w:val="20"/>
                <w:szCs w:val="20"/>
                <w:color w:val="auto"/>
              </w:rPr>
            </w:pPr>
            <w:r>
              <w:rPr>
                <w:rFonts w:ascii="Arial" w:cs="Arial" w:eastAsia="Arial" w:hAnsi="Arial"/>
                <w:sz w:val="18"/>
                <w:szCs w:val="18"/>
                <w:color w:val="auto"/>
                <w:w w:val="91"/>
              </w:rPr>
              <w:t>Engineering – research and development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3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1"/>
              </w:rPr>
              <w:t>Engineering – research and development</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L for additional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CERTAIN RELATIONSHIPS AND RELATED PARTY TRANSACTIONS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As of March 31, 2015,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ended March 31, 2015, 0.2 million of outstanding stock options were not included in the diluted EPS computation because they were anti-dilutive.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9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0.38</w:t>
            </w:r>
          </w:p>
        </w:tc>
        <w:tc>
          <w:tcPr>
            <w:tcW w:w="7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purchases are subject to market conditions and corporate needs. This stock repurchase program may be extended, modified, suspended or discontinued at any time at the Company’s discretion. During the three months ended March 31, 2015, the Company repurchased approximately $38.9 million of its common stock under the repurchase program. As a result of timing between the repurchase transactions and the settlement of the repurchases, $35.4 million was settled in cash during the first quarter of 2015. The remaining $3.5 million was recorded to Other current liabilities in the Condensed Consolidated Balance Sheets for March 31, 2015 and settled the following month.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SUBSEQUENT EVENTS</w:t>
      </w:r>
    </w:p>
    <w:p>
      <w:pPr>
        <w:spacing w:after="0" w:line="121" w:lineRule="exact"/>
        <w:rPr>
          <w:sz w:val="20"/>
          <w:szCs w:val="20"/>
          <w:color w:val="auto"/>
        </w:rPr>
      </w:pPr>
    </w:p>
    <w:p>
      <w:pPr>
        <w:jc w:val="both"/>
        <w:ind w:right="120" w:firstLine="456"/>
        <w:spacing w:after="0" w:line="291" w:lineRule="auto"/>
        <w:rPr>
          <w:sz w:val="20"/>
          <w:szCs w:val="20"/>
          <w:color w:val="auto"/>
        </w:rPr>
      </w:pPr>
      <w:r>
        <w:rPr>
          <w:rFonts w:ascii="Arial" w:cs="Arial" w:eastAsia="Arial" w:hAnsi="Arial"/>
          <w:sz w:val="16"/>
          <w:szCs w:val="16"/>
          <w:color w:val="auto"/>
        </w:rPr>
        <w:t>On April 7, 2015, ATI entered into an amendment with the term loan lenders under its Senior Secured Credit Facility to add up to an additional $470.0 million of Term B-3 Loan commitments and incur term loans in an aggregate principal amount of $470.0 million. The amendment also, among other things,</w:t>
      </w:r>
    </w:p>
    <w:p>
      <w:pPr>
        <w:ind w:right="160" w:firstLine="8"/>
        <w:spacing w:after="0" w:line="270"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permits prepayment, repurchase or redemption of Allison’s 7.125% Senior Notes with the proceeds of the financing and (ii) resets the period for which a prepayment premium of 1.00% will apply in the event of a repricing transaction to the six-month anniversary of the closing date of the financing. With the exception of the items noted above, the terms (including maturity and pricing) of the financing are materially the same as the terms of the existing Term B-3 Loan outstanding. Immediately following the financing, ATI purchased the tendered 7.125% Senior Notes using the proceeds from the financing in a cash payment equal to $1,042 per $1,000 aggregate principal amount of the 7.125% Senior Notes plus accrued and unpaid interests. Upon the payment, the supplemental indenture to the Indenture discussed above in NOTE F became operative.</w:t>
      </w:r>
    </w:p>
    <w:p>
      <w:pPr>
        <w:spacing w:after="0" w:line="179"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April 15, 2015, ATI announced that the remaining proceeds from the financing and cash on hand will be used to fund the redemption of the remaining 7.125% Senior Notes with an outstanding principal of $50.4 million, at a redemption price equal to 103.563% of the principal amount plus any accrued and unpaid interest on May 15, 2015. Please see NOTE F for more information.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net sales are driven by commercial vehicle production, which tends to be highly correlated to macroeconomic conditions. Given the increased level of uncertainty and the lack of near-term visibility and confidence in the global Off-Highway end markets and Service Parts, Support Equipment &amp; Other end markets, we expect our full year net sales to decrease year-over-year. We also expect second quarter net sales to be lower than the same period in 2014. The anticipated year-over-year decrease in second quarter net sales is expected to occur due to higher demand in the global On-Highway end markets more than offset by lower demand in all other end markets.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First Quarter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Q1 2015</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Q1 2014</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58"/>
        </w:trPr>
        <w:tc>
          <w:tcPr>
            <w:tcW w:w="6020" w:type="dxa"/>
            <w:vAlign w:val="bottom"/>
            <w:gridSpan w:val="2"/>
            <w:vMerge w:val="continue"/>
          </w:tcPr>
          <w:p>
            <w:pPr>
              <w:spacing w:after="0"/>
              <w:rPr>
                <w:sz w:val="13"/>
                <w:szCs w:val="13"/>
                <w:color w:val="auto"/>
              </w:rPr>
            </w:pPr>
          </w:p>
        </w:tc>
        <w:tc>
          <w:tcPr>
            <w:tcW w:w="13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Net Sales</w:t>
            </w: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268</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7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20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20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20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8"/>
                <w:szCs w:val="18"/>
                <w:color w:val="auto"/>
              </w:rPr>
              <w:t>21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98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602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7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North America On-Highway end market net sales were up 15% for the first quarter 2015 compared to the first quarter 2014, principally driven by higher demand for Rugged Duty Series models.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North America Hybrid-Propulsion Systems for Transit Bus end market net sales were down 25% for the first quarter 2015 compared to the first quarter 2014, principally driven by lower demand due to engine emissions improvements and non-hybrid alternatives that generally require a fully-automatic transmission (e.g. xNG).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North America Off-Highway end market net sales were up 83% for the first quarter 2015 compared to the first quarter of 2014, principally driven by higher demand from hydraulic fracturing applications.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Defense end market net sales were down 26% for the first quarter 2015 compared to the first quarter 2014, principally driven by reductions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defense spending to longer term averages experienced during periods without active conflicts.</w:t>
      </w:r>
    </w:p>
    <w:p>
      <w:pPr>
        <w:spacing w:after="0" w:line="21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down 11% for the first quarter 2015 compared to the first quarter 2014, principally driven by lower demand in China.</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24% for the first quarter 2015 compared to the first quarter 2014, principally driven by lower demand in the mining sector.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Service parts, support equipment and other end market net sales were down 8% for the first quarter 2015 compared to the first quarter 2014, principally driven by lower demand for North America service parts.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three months ended March 31, 2015, direct material costs were approximately 69%, overhead costs were approximately 24%,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left="212"/>
              <w:spacing w:after="0"/>
              <w:rPr>
                <w:sz w:val="20"/>
                <w:szCs w:val="20"/>
                <w:color w:val="auto"/>
              </w:rPr>
            </w:pPr>
            <w:r>
              <w:rPr>
                <w:rFonts w:ascii="Arial" w:cs="Arial" w:eastAsia="Arial" w:hAnsi="Arial"/>
                <w:sz w:val="14"/>
                <w:szCs w:val="14"/>
                <w:b w:val="1"/>
                <w:bCs w:val="1"/>
                <w:color w:val="auto"/>
                <w:w w:val="93"/>
              </w:rPr>
              <w:t>For the three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plus: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Cash 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w w:val="93"/>
              </w:rPr>
              <w:t>(18.5)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Cash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 (a)</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 expenses (b)</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149.7</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Cash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Unrealized gain on foreign exchange (c)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Dual power inverter module units extended coverage (d)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Unrealized (gain) loss on hedge contracts (e)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repayments and repurchases of long-term debt (f)</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Other (g)</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190.1</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Adjusted EBITDA excluding technology-related license expenses (h)</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190.1</w:t>
            </w:r>
          </w:p>
        </w:tc>
        <w:tc>
          <w:tcPr>
            <w:tcW w:w="6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503.6</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8"/>
                <w:szCs w:val="18"/>
                <w:b w:val="1"/>
                <w:bCs w:val="1"/>
                <w:color w:val="auto"/>
              </w:rPr>
              <w:t>37.7%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Adjusted EBITDA margin excluding technology-related licenses expenses (h)</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37.7%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6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 (i)</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Technology-related license expenses (h)</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jc w:val="right"/>
              <w:ind w:right="183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 charge associated with the impairment of long-lived assets related to the production of the H3000 and H4000 hybrid-propulsion systems.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fees and expenses (recorded in Other income (expense), net) related to our secondary offering in February 2014.</w:t>
      </w:r>
    </w:p>
    <w:p>
      <w:pPr>
        <w:spacing w:after="0" w:line="9" w:lineRule="exact"/>
        <w:rPr>
          <w:rFonts w:ascii="Arial" w:cs="Arial" w:eastAsia="Arial" w:hAnsi="Arial"/>
          <w:sz w:val="18"/>
          <w:szCs w:val="18"/>
          <w:color w:val="auto"/>
        </w:rPr>
      </w:pPr>
    </w:p>
    <w:p>
      <w:pPr>
        <w:ind w:left="460" w:right="7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unrealized gains (recorded in Other income (expense), net) on the mark-to-market of our foreign currency hedge contracts and on intercompany financing transactions related to investments in plant assets for our India facility.</w:t>
      </w: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unrealized (gains) losses (recorded in Other income (expense), net) on the mark-to-market of our commodity hedge contracts.</w:t>
      </w:r>
    </w:p>
    <w:p>
      <w:pPr>
        <w:spacing w:after="0" w:line="20" w:lineRule="exact"/>
        <w:rPr>
          <w:rFonts w:ascii="Arial" w:cs="Arial" w:eastAsia="Arial" w:hAnsi="Arial"/>
          <w:sz w:val="17"/>
          <w:szCs w:val="17"/>
          <w:color w:val="auto"/>
        </w:rPr>
      </w:pPr>
    </w:p>
    <w:p>
      <w:pPr>
        <w:ind w:left="460" w:right="1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realized on the repayments and repurchases of Allison Transmission, Inc.’s, (“ATI”), our wholly owned subsidiary, long-term debt.</w:t>
      </w:r>
    </w:p>
    <w:p>
      <w:pPr>
        <w:ind w:left="46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expenses, and Engineering – research and development).</w:t>
      </w: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payments (recorded in Engineering – research and development) for licenses to expand our position in transmission technologies.</w:t>
      </w:r>
    </w:p>
    <w:p>
      <w:pPr>
        <w:spacing w:after="0" w:line="20" w:lineRule="exact"/>
        <w:rPr>
          <w:rFonts w:ascii="Arial" w:cs="Arial" w:eastAsia="Arial" w:hAnsi="Arial"/>
          <w:sz w:val="17"/>
          <w:szCs w:val="17"/>
          <w:color w:val="auto"/>
        </w:rPr>
      </w:pPr>
    </w:p>
    <w:p>
      <w:pPr>
        <w:ind w:left="460" w:right="14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March 31, 2015 and 2014</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2015 and 2014.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6"/>
              </w:rPr>
              <w:t>Three months ended 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Pr>
          <w:p>
            <w:pPr>
              <w:spacing w:after="0"/>
              <w:rPr>
                <w:sz w:val="10"/>
                <w:szCs w:val="10"/>
                <w:color w:val="auto"/>
              </w:rPr>
            </w:pPr>
          </w:p>
        </w:tc>
        <w:tc>
          <w:tcPr>
            <w:tcW w:w="6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of net sales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503.6</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493.6</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8"/>
              </w:rPr>
              <w:t>239.2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222.5</w:t>
            </w:r>
          </w:p>
        </w:tc>
        <w:tc>
          <w:tcPr>
            <w:tcW w:w="6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73.4</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83.2</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22.2</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1.3</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107.7</w:t>
            </w:r>
          </w:p>
        </w:tc>
        <w:tc>
          <w:tcPr>
            <w:tcW w:w="6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142.3</w:t>
            </w:r>
          </w:p>
        </w:tc>
        <w:tc>
          <w:tcPr>
            <w:tcW w:w="58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114.8</w:t>
            </w: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(36.9)</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(35.1)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(34.1)</w:t>
            </w:r>
          </w:p>
        </w:tc>
        <w:tc>
          <w:tcPr>
            <w:tcW w:w="580" w:type="dxa"/>
            <w:vAlign w:val="bottom"/>
            <w:vMerge w:val="continue"/>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(35.5)</w:t>
            </w:r>
          </w:p>
        </w:tc>
        <w:tc>
          <w:tcPr>
            <w:tcW w:w="600" w:type="dxa"/>
            <w:vAlign w:val="bottom"/>
            <w:vMerge w:val="continue"/>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108.2</w:t>
            </w: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(39.8)</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(27.2)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sales for the quarter ended March 31, 2015 were $503.6 million compared to $493.6 million for the quarter ended March 31, 2014, an increase of 2%. The increase was principally driven by a $35.0 million, or 15%, increase in net sales of North America on-highway commercial products driven by higher North American demand from Rugged Duty Series models, and a $10.0 million, or 83%, increase in net sales of North America off-highway products driven by higher demand from hydraulic fracturing applications, partially offset by a $9.0 million, or 26%, decrease in net sales of defense products due to lower U.S. defense spending, a $8.0 million, or 8%, decrease in net sales of parts and other products driven by lower demand for North America service parts, a $7.0 million, or 11%, decrease in net sales of Outside North America on-highway commercial products driven by lower demand in China, a $6.0 million, or 25%, decrease in net sales of North America hybrid-propulsion systems for transit buses driven by lower demand due to engine emissions improvements and a $5.0 million, or 24%, decrease in net sales of Outside North America off-highway products driven by lower demand in China mining partially offset by higher demand in Europe mining. See “Trends Impacting Our Business” above for additional information on net sales by end markets.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Gross profit for the quarter ended March 31, 2015 was $239.2 million compared to $222.5 million for the quarter ended March 31, 2014, an increase of 8%. The increase was principally driven by $8.0 million of price increases on certain products, $7.0 million related to increased net sales, $1.0 million of favorable manufacturing performance and $1.0 million of favorable material costs.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March 31, 2015 were $73.4 million compared to $83.2 million for the quarter ended March 31, 2014, a decrease of 12%. The decrease was principally driven by $2.8 million of lower 2015 product warranty expense, $1.9 million of higher 2014 product warranty expense, a $1.8 million favorable DPIM adjustment, $0.4 million of lower intangible asset amortization and decreased global commercial spending activities.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Engineering expenses for the quarter ended March 31, 2015 were $22.2 million compared to $24.5 million for the quarter ended March 31, 2014, a decrease of 9%. The decrease was principally driven by $3.3 million of 2014 technology-related license expense to expand our position in transmission technologies, partially offset by product initiatives spending.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For the three months ended March 31, 2015, we recorded an approximately $1.3 million impairment loss associated with the production of the H3000 and H4000 hybrid-propulsion systems. The loss included $1.0 million of accrued expenses and a $0.3 million impairment of long-lived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expense, net for the quarter ended March 31, 2015 was $36.9 million compared to $35.1 million for the quarter ended March 31, 2014, an increase of 5%. The increase was principally driven by $12.2 million of unfavorable mark-to-market adjustments for our interest rate derivatives, partially offset by $8.1 million of lower interest expense as a result of the maturity of $950.0 million of interest rate derivatives, $1.7 million of lower interest expense as a result of debt repayments, $0.4 million of lower interest expense as a result of lower interest rates on ATI’s Senior Secured Credit Facility (defined as the Term B-2 Loan due 2017 (“Term B-2 Loan”) and Term B-3 Loan due 2019 (“Term B-3 Loan” ) and revolving credit facility) and $0.2 million of lower amortization of deferred financing charges.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Other income (expense), net for the quarter ended March 31, 2015 was $2.8 million compared to ($0.4) million for the quarter ended March 31, 2014. The increase in income was principally driven by $2.2 million of foreign exchange gains on intercompany financing, $1.6 million of favorable foreign exchange, $0.3 million of lower realized losses on derivative contracts, $0.3 million of 2014 public offering fees and expenses, and $0.1 million of higher unrealized gains on derivative contracts, partially offset by $0.6 million of lower grant program income, $0.2 million of higher expenses related to debt repayments and $0.5 million of higher miscellaneous expenses.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Income tax expense for the first quarter of 2015 was $39.8 million resulting in an effective tax rate of 36.8% versus an effective tax rate of 34.3% in the first quarter of 2014. The change in the effective rate is principally driven by discrete activity recorded in the first quarter of 2014 resulting in a favorable tax benefit.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$265.1 million and $263.0 million as of March 31, 2015 and December 31, 2014, respectively. Of the available cash and cash equivalents, approximately $164.1 million and $208.0 million were deposited in operating accounts while approximately $101.0 million and $55.0 million were invested in U.S. government backed securities as of March 31, 2015 and December 31, 2014, respectively.</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March 31, 2015, the total of cash and cash equivalents held by foreign subsidiaries was $36.7 million, the majority of which was located in China, Europe and India.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5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cash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liquidity requirements are significant, primarily due to our debt service requirements. As of March 31, 2015, the Company had $236.2 million of indebtedness associated with ATI’s Senior Secured Credit Facility Term B-2 Loan and $1,761.3 million of indebtedness associated with ATI’s Senior Secured Credit Facility Term B-3 Loan. The Company also had indebtedness of $471.3 million of ATI’s 7.125% senior cash pay notes due May 2019 (“7.125% Senior Notes”).</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$51.7 million and $2.8 million on the Senior Secured Credit Facility for the three months ended March 31, 2015 and 2014, respectively.</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Senior Secured Credit Facility also provides for $465.0 million, net of an allowance for up to $75.0 million in outstanding letters of credit commitments. As of March 31, 2015, we had $455.1 million available under the revolving credit facility, net of $9.9 million in letters of credit.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March 31, 2015, the total leverage ratio was 2.89x.</w:t>
      </w:r>
    </w:p>
    <w:p>
      <w:pPr>
        <w:spacing w:after="0" w:line="18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the maximum total senior secured leverage ratio for the revolving portion of the Senior Secured Credit Facility, the Senior Secured Credit Facility and the indenture governing the 7.125% Senior Notes include, among other things, customary restrictions (subject to certain exceptions) on our ability to incur certain indebtedness or liens, make certain investments, declare or pay certain dividends, or repurchase shares of our common stock. As of March 31, 2015, we are in compliance with all covenants under the Senior Secured Credit Facility.</w:t>
      </w:r>
    </w:p>
    <w:p>
      <w:pPr>
        <w:spacing w:after="0" w:line="17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38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2015</w:t>
            </w:r>
          </w:p>
        </w:tc>
        <w:tc>
          <w:tcPr>
            <w:tcW w:w="38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103.563%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2016</w:t>
            </w:r>
          </w:p>
        </w:tc>
        <w:tc>
          <w:tcPr>
            <w:tcW w:w="3620" w:type="dxa"/>
            <w:vAlign w:val="bottom"/>
            <w:gridSpan w:val="3"/>
          </w:tcPr>
          <w:p>
            <w:pPr>
              <w:jc w:val="right"/>
              <w:ind w:right="60"/>
              <w:spacing w:after="0"/>
              <w:rPr>
                <w:sz w:val="20"/>
                <w:szCs w:val="20"/>
                <w:color w:val="auto"/>
              </w:rPr>
            </w:pPr>
            <w:r>
              <w:rPr>
                <w:rFonts w:ascii="Arial" w:cs="Arial" w:eastAsia="Arial" w:hAnsi="Arial"/>
                <w:sz w:val="18"/>
                <w:szCs w:val="18"/>
                <w:color w:val="auto"/>
              </w:rPr>
              <w:t>101.781%</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3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March 18, 2015, ATI commenced a cash tender offer to purchase its outstanding 7.125% Senior Notes (the “Offer”). In connection with the Offer, ATI solicited consents to enter into a supplemental indenture to eliminate substantially all of the restrictive covenants, certain events of default and related provisions contained in the indenture dated as of May 6, 2011 (the “Indenture”) governing the notes. On March 31, 2015, ATI received valid consents from holders with an aggregate principal amount of $420.9 million of the 7.125% Senior Notes. Accordingly, ATI entered into a first supplemental indenture to the Indenture contingent on the execution of an amendment with the term loan lenders under its Senior Secured Credit Facility.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On April 7, 2015, ATI entered into an amendment with the term loan lenders under its Senior Secured Credit Facility to add up to an additional $470.0 million of Term B-3 Loan commitments and incur term loans in an aggregate principal amount of $470.0 million. The amendment also, among other things,</w:t>
      </w:r>
    </w:p>
    <w:p>
      <w:pPr>
        <w:ind w:right="40" w:firstLine="8"/>
        <w:spacing w:after="0" w:line="252"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permits prepayment, repurchase or redemption of Allison’s 7.125% Senior Notes with the proceeds of the financing and (ii) resets the period for which a prepayment premium of 1.00% will apply in the event of a repricing transaction to the six-month anniversary of the closing date of the financing. With the exception of the items noted above, the terms (including maturity and pricing) of the financing are materially the same as the terms of the existing Term B-3 Loan outstanding under the Senior Secured Credit Facility. Immediately following the financing, ATI purchased the tendered the 7.125% Senior Notes using the proceeds from the financing in a cash payment equal to $1,042 per $1,000 aggregate principal amount of the 7.125% Senior Notes plus accrued and unpaid interests.</w:t>
      </w:r>
    </w:p>
    <w:p>
      <w:pPr>
        <w:spacing w:after="0" w:line="19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April 15, 2015, ATI announced that the remaining proceeds from the financing and cash on hand will be used to fund the redemption of the remaining 7.125% Senior Notes, with an outstanding principal of $50.4 million, at a redemption price equal to 103.563% of the principal amount plus any accrued and unpaid interest on May 15, 2015.</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credit ratings are reviewed regularly by major debt ratings agencies such as Standard and Poor’s, Moody’s Investors Service and Fitch Ratings. In March 2015, Standard and Poor’s raised the corporate rating to ‘BB’ from ‘BB-’, and the rating of the 7.125% Senior Notes to ‘BB-’ from ‘B+’. Also in March 2015, Moody’s raised the corporate rating to ‘Ba2’ from ‘Ba3’ and affirmed the ‘B2’ rating of the 7.125% Senior Notes.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October 30, 2014, our Board of Directors authorized us to purchase up to $500.0 million of our common stock under a stock repurchase program. For the three months ended March 31, 2015, we repurchased approximately $38.9 million of our common stock under the repurchase program. As a result of timing between the repurchase transactions and the settlement of the repurchases, $35.4 million was settled in cash during the first quarter of 2015. The remaining $3.5 million was recorded to Other current liabilities in the Condensed Consolidated Balance Sheets for March 31, 2015 and settled the following month.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three months ended March 31, 2015 and 2014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Cash Flows Data</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(85.6)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Operating activities for the three months ended March 31, 2015 generated $80.1 million of cash compared to $98.6 million for the three months ended March 31, 2014. The decrease was principally driven by higher inventories, lower accounts payable and lower other liabilities, net, partially offset by price increases on certain products, increased net sales, decreased selling, general and administrative expenses, lower accounts receivable and lower cash interest expense.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Investing activities for the three months ended March 31, 2015 used $1.2 million of cash compared to $15.1 million for the three months ended March 31, 2014. The decrease was principally driven by a decrease of $9.8 million in capital expenditures and $3.8 million of lower 2015 investments in technology-related initiatives. The decrease in capital expenditures was principally driven by lower product initiatives spending and decreased productivity and replacement program spending due to timing.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Financing activities for the three months ended March 31, 2015 used $85.6 million of cash compared to providing $105.7 million of cash for the three months ended March 31, 2014. The decrease was principally driven by $64.6 million of lower stock repurchases and $6.5 million of increased proceeds from the exercise of stock options, partially offset by $48.9 million of increased repayments on long-term debt and $5.3 million of increased dividend payments.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O of our condensed consolidated financial statements included in Part I, Item 1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2014 as filed with the Securities and Exchange Commission on February 20, 2015.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As of March 31, 2015,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risks related to our substantial indebtedness;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repurchase shares of our common stock; and labor strikes, work stoppages or similar labor disputes, which could significantly disrupt our operations or those of our principal customers.</w:t>
      </w:r>
    </w:p>
    <w:p>
      <w:pPr>
        <w:spacing w:after="0" w:line="17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2014 as filed with the Securities and Exchange Commission on February 20, 2015.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subject to interest rate market risk in connection with a portion of our long-term debt. Our principal interest rate exposure relates to outstanding amounts under our Senior Secured Credit Facility. As of March 31, 2015, our Senior Secured Credit Facility provides for variable rate borrowings of up to $2,452.6 million including $455.1 million under our revolving credit facility, net of $9.9 million of letters of credit. A one-eighth percent change in assumed interest rates for the Senior Secured Credit Facility, if fully drawn, as of March 31, 2015 would have an impact of approximately $0.9 million on interest expense with the 1.00% LIBOR floor in effect on our Term B-3 Loan. Should LIBOR exceed 1.00%, a one-eighth percent change in assumed interest rates for the Senior Secured Credit Facility, if fully drawn, as of March 31, 2015 would have an impact of approximately $3.1 million on interest expense. As of March 31, 2015, we had no outstanding borrowings against the revolving credit facility.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Notional</w:t>
            </w: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500" w:type="dxa"/>
            <w:vAlign w:val="bottom"/>
            <w:vMerge w:val="restart"/>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Effective  Date</w:t>
            </w:r>
          </w:p>
        </w:tc>
        <w:tc>
          <w:tcPr>
            <w:tcW w:w="3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8"/>
              </w:rPr>
              <w:t>Amount</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Fixed Rate</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Barclays</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2016-Aug 2019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 M</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JP Morgan</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3"/>
              </w:rPr>
              <w:t>Bank of America</w:t>
            </w:r>
          </w:p>
        </w:tc>
        <w:tc>
          <w:tcPr>
            <w:tcW w:w="1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 O</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Deutsche Bank</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2"/>
              </w:rPr>
              <w:t>Barclays</w:t>
            </w:r>
          </w:p>
        </w:tc>
        <w:tc>
          <w:tcPr>
            <w:tcW w:w="1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 Q</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Barclays</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Deutsche Bank</w:t>
            </w:r>
          </w:p>
        </w:tc>
        <w:tc>
          <w:tcPr>
            <w:tcW w:w="1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 S</w:t>
            </w: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Deutsche Bank</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3"/>
              </w:rPr>
              <w:t>Bank of America</w:t>
            </w:r>
          </w:p>
        </w:tc>
        <w:tc>
          <w:tcPr>
            <w:tcW w:w="1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 U</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Fifth Third Bank</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5"/>
              </w:rPr>
              <w:t>Fifth Third Bank</w:t>
            </w:r>
          </w:p>
        </w:tc>
        <w:tc>
          <w:tcPr>
            <w:tcW w:w="1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Rate Swap W</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color w:val="auto"/>
                <w:w w:val="95"/>
              </w:rPr>
              <w:t>Fifth Third Bank</w:t>
            </w: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7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3"/>
              </w:rPr>
              <w:t>Huntington Bank</w:t>
            </w:r>
          </w:p>
        </w:tc>
        <w:tc>
          <w:tcPr>
            <w:tcW w:w="18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Aug 2016-Aug 2019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March 31, 2015, we hold hedging contracts in the Japanese Yen, which are intended to hedge either known or forecasted cash flow payments denominated in the currency. We do not hold financial instruments for trading or speculative purposes.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$5 million per year. This includes the partial offset of our hedging contracts described above. All other exposure to foreign currencies is considered immaterial.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2015 and 2016, as of March 31, 2015, the hedge contracts cover approximately 34% and 18% of our aluminum requirements, respectively. We do not hold financial instruments for trading or speculative purposes.</w:t>
      </w:r>
    </w:p>
    <w:p>
      <w:pPr>
        <w:spacing w:after="0" w:line="179"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has not been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O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2014 as filed with the Securities and Exchange Commission on February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as Part of</w:t>
            </w:r>
          </w:p>
        </w:tc>
        <w:tc>
          <w:tcPr>
            <w:tcW w:w="26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Publicly</w:t>
            </w:r>
          </w:p>
        </w:tc>
        <w:tc>
          <w:tcPr>
            <w:tcW w:w="26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2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2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(2)</w:t>
            </w:r>
          </w:p>
        </w:tc>
        <w:tc>
          <w:tcPr>
            <w:tcW w:w="26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$ 499,317,986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February 2015</w:t>
            </w:r>
          </w:p>
        </w:tc>
        <w:tc>
          <w:tcPr>
            <w:tcW w:w="860" w:type="dxa"/>
            <w:vAlign w:val="bottom"/>
          </w:tcPr>
          <w:p>
            <w:pPr>
              <w:jc w:val="right"/>
              <w:spacing w:after="0"/>
              <w:rPr>
                <w:sz w:val="20"/>
                <w:szCs w:val="20"/>
                <w:color w:val="auto"/>
              </w:rPr>
            </w:pPr>
            <w:r>
              <w:rPr>
                <w:rFonts w:ascii="Arial" w:cs="Arial" w:eastAsia="Arial" w:hAnsi="Arial"/>
                <w:sz w:val="18"/>
                <w:szCs w:val="18"/>
                <w:color w:val="auto"/>
              </w:rPr>
              <w:t>387,050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31.94</w:t>
            </w:r>
          </w:p>
        </w:tc>
        <w:tc>
          <w:tcPr>
            <w:tcW w:w="1100" w:type="dxa"/>
            <w:vAlign w:val="bottom"/>
          </w:tcPr>
          <w:p>
            <w:pPr>
              <w:jc w:val="right"/>
              <w:spacing w:after="0"/>
              <w:rPr>
                <w:sz w:val="20"/>
                <w:szCs w:val="20"/>
                <w:color w:val="auto"/>
              </w:rPr>
            </w:pPr>
            <w:r>
              <w:rPr>
                <w:rFonts w:ascii="Arial" w:cs="Arial" w:eastAsia="Arial" w:hAnsi="Arial"/>
                <w:sz w:val="18"/>
                <w:szCs w:val="18"/>
                <w:color w:val="auto"/>
              </w:rPr>
              <w:t>387,050</w:t>
            </w:r>
          </w:p>
        </w:tc>
        <w:tc>
          <w:tcPr>
            <w:tcW w:w="2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486,956,843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March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817,538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3 1.65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817,538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461,082,746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1,241,121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31.73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1,226,338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Shares purchased includes 14,783 shares withheld to cover taxes due upon the vesting of restricted stock in January 2015.</w:t>
      </w:r>
    </w:p>
    <w:p>
      <w:pPr>
        <w:spacing w:after="0" w:line="23" w:lineRule="exact"/>
        <w:rPr>
          <w:rFonts w:ascii="Arial" w:cs="Arial" w:eastAsia="Arial" w:hAnsi="Arial"/>
          <w:sz w:val="15"/>
          <w:szCs w:val="15"/>
          <w:color w:val="auto"/>
        </w:rPr>
      </w:pPr>
    </w:p>
    <w:p>
      <w:pPr>
        <w:ind w:left="460" w:right="100" w:hanging="452"/>
        <w:spacing w:after="0" w:line="261"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These values reflect repurchases made under the stock repurchase program approved by our Board of Directors on October 30, 2014 authorizing $500 million of repurchases through December 31, 2016.</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49"/>
        </w:trPr>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gridSpan w:val="2"/>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160" w:type="dxa"/>
            <w:vAlign w:val="bottom"/>
          </w:tcPr>
          <w:p>
            <w:pPr>
              <w:spacing w:after="0"/>
              <w:rPr>
                <w:sz w:val="24"/>
                <w:szCs w:val="24"/>
                <w:color w:val="auto"/>
              </w:rPr>
            </w:pPr>
          </w:p>
        </w:tc>
        <w:tc>
          <w:tcPr>
            <w:tcW w:w="11260" w:type="dxa"/>
            <w:vAlign w:val="bottom"/>
            <w:gridSpan w:val="5"/>
          </w:tcPr>
          <w:p>
            <w:pPr>
              <w:ind w:left="30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369"/>
        </w:trPr>
        <w:tc>
          <w:tcPr>
            <w:tcW w:w="16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56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6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First Supplemental Indenture, dated as of March 31, 2015, between Allison Transmission, Inc. and Wells Fargo Bank, National Association,</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as Trustee (incorporated by reference to Exhibit 4.1 to the Registrant’s Current Report on Form 8-K filed April 7, 2015)</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Second Amended and Restated Non-Employee Directors Compensation Policy (filed herewith)</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7"/>
              </w:rPr>
              <w:t>Amended and Restated Non-Employee Directors Deferred Compensation Plan of Allison Transmission Holdings, Inc. (filed herewith)</w:t>
            </w:r>
          </w:p>
        </w:tc>
        <w:tc>
          <w:tcPr>
            <w:tcW w:w="0" w:type="dxa"/>
            <w:vAlign w:val="bottom"/>
          </w:tcPr>
          <w:p>
            <w:pPr>
              <w:spacing w:after="0"/>
              <w:rPr>
                <w:sz w:val="1"/>
                <w:szCs w:val="1"/>
                <w:color w:val="auto"/>
              </w:rPr>
            </w:pPr>
          </w:p>
        </w:tc>
      </w:tr>
      <w:tr>
        <w:trPr>
          <w:trHeight w:val="31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10.39</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4"/>
              </w:rPr>
              <w:t>Amendment No. 11 to the Credit Agreement, dated as of April 7, 2015, among Allison Transmission Holdings, Inc., Allison Transmission,</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4"/>
              </w:rPr>
              <w:t>Inc., as Borrower, the several banks and other financial institutions or entities from time to time parties thereto as Lenders, Citicorp North</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3"/>
              </w:rPr>
              <w:t>America, Inc., as Administrative Agent and the other agents and arrangers parties thereto (incorporated by reference to Exhibit 10.1 to the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Registrant’s Current Report on Form 8-K filed April 7, 2015)</w:t>
            </w:r>
          </w:p>
        </w:tc>
        <w:tc>
          <w:tcPr>
            <w:tcW w:w="0" w:type="dxa"/>
            <w:vAlign w:val="bottom"/>
          </w:tcPr>
          <w:p>
            <w:pPr>
              <w:spacing w:after="0"/>
              <w:rPr>
                <w:sz w:val="1"/>
                <w:szCs w:val="1"/>
                <w:color w:val="auto"/>
              </w:rPr>
            </w:pPr>
          </w:p>
        </w:tc>
      </w:tr>
      <w:tr>
        <w:trPr>
          <w:trHeight w:val="31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Sarbanes-Oxley Act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c>
          <w:tcPr>
            <w:tcW w:w="0" w:type="dxa"/>
            <w:vAlign w:val="bottom"/>
          </w:tcPr>
          <w:p>
            <w:pPr>
              <w:spacing w:after="0"/>
              <w:rPr>
                <w:sz w:val="1"/>
                <w:szCs w:val="1"/>
                <w:color w:val="auto"/>
              </w:rPr>
            </w:pPr>
          </w:p>
        </w:tc>
      </w:tr>
      <w:tr>
        <w:trPr>
          <w:trHeight w:val="31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Sarbanes-Oxley Act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c>
          <w:tcPr>
            <w:tcW w:w="0" w:type="dxa"/>
            <w:vAlign w:val="bottom"/>
          </w:tcPr>
          <w:p>
            <w:pPr>
              <w:spacing w:after="0"/>
              <w:rPr>
                <w:sz w:val="1"/>
                <w:szCs w:val="1"/>
                <w:color w:val="auto"/>
              </w:rPr>
            </w:pPr>
          </w:p>
        </w:tc>
      </w:tr>
      <w:tr>
        <w:trPr>
          <w:trHeight w:val="310"/>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6"/>
              </w:rPr>
              <w:t>Certification of Periodic Report by Chief Executive Officer and Chief Financial Officer pursuant to 18 U.S.C. Section 1350, as adopted</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pursuant to Section 906 of the Sarbanes-Oxley Act of 2002 (filed herewith)</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Date: April 28 , 2015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2015</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ALLISON TRANSMISSION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r>
      <w:tr>
        <w:trPr>
          <w:trHeight w:val="209"/>
        </w:trPr>
        <w:tc>
          <w:tcPr>
            <w:tcW w:w="5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Name:  Lawrence E. Dewey</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r>
      <w:tr>
        <w:trPr>
          <w:trHeight w:val="209"/>
        </w:trPr>
        <w:tc>
          <w:tcPr>
            <w:tcW w:w="5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5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58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2">
            <w:col w:w="4740" w:space="720"/>
            <w:col w:w="5960"/>
          </w:cols>
          <w:pgMar w:left="240" w:top="459" w:right="2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10.37</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ALLISON TRANSMISSION HOLDINGS, INC.</w:t>
      </w:r>
    </w:p>
    <w:p>
      <w:pPr>
        <w:spacing w:after="0" w:line="9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65" w:lineRule="exact"/>
        <w:rPr>
          <w:sz w:val="20"/>
          <w:szCs w:val="20"/>
          <w:color w:val="auto"/>
        </w:rPr>
      </w:pPr>
    </w:p>
    <w:p>
      <w:pPr>
        <w:ind w:right="40" w:firstLine="464"/>
        <w:spacing w:after="0" w:line="298"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This Second Amended and Restated Non-Employee Director Compensation Policy (the “</w:t>
      </w:r>
      <w:r>
        <w:rPr>
          <w:rFonts w:ascii="Arial" w:cs="Arial" w:eastAsia="Arial" w:hAnsi="Arial"/>
          <w:sz w:val="16"/>
          <w:szCs w:val="16"/>
          <w:u w:val="single" w:color="auto"/>
          <w:color w:val="auto"/>
        </w:rPr>
        <w:t>Policy</w:t>
      </w:r>
      <w:r>
        <w:rPr>
          <w:rFonts w:ascii="Arial" w:cs="Arial" w:eastAsia="Arial" w:hAnsi="Arial"/>
          <w:sz w:val="16"/>
          <w:szCs w:val="16"/>
          <w:color w:val="auto"/>
        </w:rPr>
        <w:t>”) as set forth herein, amends and restates that certain Amended and Restated Non-Employee Director Compensation Policy, previously adopted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Allison Transmission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shall be effective as of the date the Allison Transmission Holdings, Inc. 2015 Equity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is approved by the Company’s shareholders in 2015. Capitalized but undefined terms used herein shall have the meanings provided for in the Plan.</w:t>
      </w:r>
    </w:p>
    <w:p>
      <w:pPr>
        <w:spacing w:after="0" w:line="112" w:lineRule="exact"/>
        <w:rPr>
          <w:rFonts w:ascii="Arial" w:cs="Arial" w:eastAsia="Arial" w:hAnsi="Arial"/>
          <w:sz w:val="16"/>
          <w:szCs w:val="16"/>
          <w:color w:val="auto"/>
        </w:rPr>
      </w:pPr>
    </w:p>
    <w:p>
      <w:pPr>
        <w:ind w:right="280" w:firstLine="464"/>
        <w:spacing w:after="0" w:line="268"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Annual Retainer and Other Fees</w:t>
      </w:r>
      <w:r>
        <w:rPr>
          <w:rFonts w:ascii="Arial" w:cs="Arial" w:eastAsia="Arial" w:hAnsi="Arial"/>
          <w:sz w:val="18"/>
          <w:szCs w:val="18"/>
          <w:color w:val="auto"/>
        </w:rPr>
        <w:t>. Each member of the Board who is not or has not been employed by the Company or one of its subsidiaries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be entitled to an annual retainer and other fee(s) as follows:</w:t>
      </w:r>
    </w:p>
    <w:p>
      <w:pPr>
        <w:spacing w:after="0" w:line="131" w:lineRule="exact"/>
        <w:rPr>
          <w:rFonts w:ascii="Arial" w:cs="Arial" w:eastAsia="Arial" w:hAnsi="Arial"/>
          <w:sz w:val="18"/>
          <w:szCs w:val="18"/>
          <w:color w:val="auto"/>
        </w:rPr>
      </w:pPr>
    </w:p>
    <w:p>
      <w:pPr>
        <w:ind w:right="220" w:firstLine="921"/>
        <w:spacing w:after="0" w:line="256" w:lineRule="auto"/>
        <w:tabs>
          <w:tab w:leader="none" w:pos="107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annual retainer fee for service on the Board shall be $75,000 (such amount shall also be referred to as, the “</w:t>
      </w:r>
      <w:r>
        <w:rPr>
          <w:rFonts w:ascii="Arial" w:cs="Arial" w:eastAsia="Arial" w:hAnsi="Arial"/>
          <w:sz w:val="18"/>
          <w:szCs w:val="18"/>
          <w:u w:val="single" w:color="auto"/>
          <w:color w:val="auto"/>
        </w:rPr>
        <w:t>Annual Retainer</w:t>
      </w:r>
      <w:r>
        <w:rPr>
          <w:rFonts w:ascii="Arial" w:cs="Arial" w:eastAsia="Arial" w:hAnsi="Arial"/>
          <w:sz w:val="18"/>
          <w:szCs w:val="18"/>
          <w:color w:val="auto"/>
        </w:rPr>
        <w:t xml:space="preserve">”), with the Annual Retainer payable at the Non-Employee Director’s election </w:t>
      </w:r>
      <w:r>
        <w:rPr>
          <w:rFonts w:ascii="Arial" w:cs="Arial" w:eastAsia="Arial" w:hAnsi="Arial"/>
          <w:sz w:val="18"/>
          <w:szCs w:val="18"/>
          <w:i w:val="1"/>
          <w:iCs w:val="1"/>
          <w:color w:val="auto"/>
        </w:rPr>
        <w:t>either</w:t>
      </w:r>
      <w:r>
        <w:rPr>
          <w:rFonts w:ascii="Arial" w:cs="Arial" w:eastAsia="Arial" w:hAnsi="Arial"/>
          <w:sz w:val="18"/>
          <w:szCs w:val="18"/>
          <w:color w:val="auto"/>
        </w:rPr>
        <w:t xml:space="preserve"> 100% in fully vested Common Stock granted under the Plan (valued based on the Fair Market Value of the Common Stock on the date of grant), 100% in cash, </w:t>
      </w:r>
      <w:r>
        <w:rPr>
          <w:rFonts w:ascii="Arial" w:cs="Arial" w:eastAsia="Arial" w:hAnsi="Arial"/>
          <w:sz w:val="18"/>
          <w:szCs w:val="18"/>
          <w:i w:val="1"/>
          <w:iCs w:val="1"/>
          <w:color w:val="auto"/>
        </w:rPr>
        <w:t>or</w:t>
      </w:r>
      <w:r>
        <w:rPr>
          <w:rFonts w:ascii="Arial" w:cs="Arial" w:eastAsia="Arial" w:hAnsi="Arial"/>
          <w:sz w:val="18"/>
          <w:szCs w:val="18"/>
          <w:color w:val="auto"/>
        </w:rPr>
        <w:t xml:space="preserve"> 50% in fully vested Common Stock granted under the Plan and 50% in cash (if no election is made, the Annual Retainer will be paid 100% in cash);</w:t>
      </w:r>
    </w:p>
    <w:p>
      <w:pPr>
        <w:spacing w:after="0" w:line="143" w:lineRule="exact"/>
        <w:rPr>
          <w:rFonts w:ascii="Arial" w:cs="Arial" w:eastAsia="Arial" w:hAnsi="Arial"/>
          <w:sz w:val="18"/>
          <w:szCs w:val="18"/>
          <w:color w:val="auto"/>
        </w:rPr>
      </w:pPr>
    </w:p>
    <w:p>
      <w:pPr>
        <w:ind w:left="1100" w:hanging="179"/>
        <w:spacing w:after="0"/>
        <w:tabs>
          <w:tab w:leader="none" w:pos="11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annual retainer fee for service as Chair of the Audit Committee shall be an additional $20,000, payable in cash (the “</w:t>
      </w:r>
      <w:r>
        <w:rPr>
          <w:rFonts w:ascii="Arial" w:cs="Arial" w:eastAsia="Arial" w:hAnsi="Arial"/>
          <w:sz w:val="16"/>
          <w:szCs w:val="16"/>
          <w:u w:val="single" w:color="auto"/>
          <w:color w:val="auto"/>
        </w:rPr>
        <w:t>Audit Chair Fee</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right="560" w:firstLine="921"/>
        <w:spacing w:after="0" w:line="268" w:lineRule="auto"/>
        <w:tabs>
          <w:tab w:leader="none" w:pos="107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annual retainer fee for service as a Chair of a committee of the Board (other than the Audit Committee) shall be an additional $10,000, payable in cash (the “</w:t>
      </w:r>
      <w:r>
        <w:rPr>
          <w:rFonts w:ascii="Arial" w:cs="Arial" w:eastAsia="Arial" w:hAnsi="Arial"/>
          <w:sz w:val="18"/>
          <w:szCs w:val="18"/>
          <w:u w:val="single" w:color="auto"/>
          <w:color w:val="auto"/>
        </w:rPr>
        <w:t>Other Chair Fee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80" w:firstLine="921"/>
        <w:spacing w:after="0" w:line="268" w:lineRule="auto"/>
        <w:tabs>
          <w:tab w:leader="none" w:pos="1088"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annual retainer fee for service as a Non-Employee Director on the Audit Committee or the Government Security Committee shall be an additional $10,000, payable in cash (the “Audit and </w:t>
      </w:r>
      <w:r>
        <w:rPr>
          <w:rFonts w:ascii="Arial" w:cs="Arial" w:eastAsia="Arial" w:hAnsi="Arial"/>
          <w:sz w:val="18"/>
          <w:szCs w:val="18"/>
          <w:u w:val="single" w:color="auto"/>
          <w:color w:val="auto"/>
        </w:rPr>
        <w:t>Government Security Committee Service Fee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080" w:hanging="159"/>
        <w:spacing w:after="0"/>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annual retainer fee for service on a committee of the Board other than the Audit or Government Security Committee shall be an additional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$5,000, payable in cash (the “</w:t>
      </w:r>
      <w:r>
        <w:rPr>
          <w:rFonts w:ascii="Arial" w:cs="Arial" w:eastAsia="Arial" w:hAnsi="Arial"/>
          <w:sz w:val="18"/>
          <w:szCs w:val="18"/>
          <w:u w:val="single" w:color="auto"/>
          <w:color w:val="auto"/>
        </w:rPr>
        <w:t>Other Committee Service Fee</w:t>
      </w:r>
      <w:r>
        <w:rPr>
          <w:rFonts w:ascii="Arial" w:cs="Arial" w:eastAsia="Arial" w:hAnsi="Arial"/>
          <w:sz w:val="18"/>
          <w:szCs w:val="18"/>
          <w:color w:val="auto"/>
        </w:rPr>
        <w:t>”); and</w:t>
      </w:r>
    </w:p>
    <w:p>
      <w:pPr>
        <w:spacing w:after="0" w:line="165"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f. The Board leadership fee for service as the Non-Executive Chairman of the Board shall be an additional $75,000, payable in cash (the “Non-Executive Chairman Fee”); and</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g. The Board leadership fee for service as the Lead Director of the Board shall be an additional $15,000 (the “Lead Director Fee,” and together with the fees in clauses (b) through (f), the “</w:t>
      </w: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34" w:name="page35"/>
    <w:bookmarkEnd w:id="34"/>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 event shall a Non-Employee Director receive a fee pursuant to clause (d) or (e) with respect to a committee that the Non-Employee Director serves as its Chair for the applicable year.</w:t>
      </w:r>
    </w:p>
    <w:p>
      <w:pPr>
        <w:spacing w:after="0" w:line="132" w:lineRule="exact"/>
        <w:rPr>
          <w:sz w:val="20"/>
          <w:szCs w:val="20"/>
          <w:color w:val="auto"/>
        </w:rPr>
      </w:pPr>
    </w:p>
    <w:p>
      <w:pPr>
        <w:ind w:right="20" w:firstLine="464"/>
        <w:spacing w:after="0" w:line="255"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Timing of Payment of Annual Retainer and Other Fees</w:t>
      </w:r>
      <w:r>
        <w:rPr>
          <w:rFonts w:ascii="Arial" w:cs="Arial" w:eastAsia="Arial" w:hAnsi="Arial"/>
          <w:sz w:val="18"/>
          <w:szCs w:val="18"/>
          <w:color w:val="auto"/>
        </w:rPr>
        <w:t>. The Annual Retainer and Other Fees payable hereunder are intended to cover service from one regular annual shareholders meeting to the next and, unless a deferral election is made as provided below, the Annual Retainer and Other Fees shall be paid quarterly in arrears in equal installments following the date of the Company’s annual shareholders meeting, without any requirement of additional Board action in connection therewith. The Annual Retainer and Other Fees shall be subject to the Non-Employee Director’s continued service on the Board on each applicable payment date.</w:t>
      </w:r>
    </w:p>
    <w:p>
      <w:pPr>
        <w:spacing w:after="0" w:line="142" w:lineRule="exact"/>
        <w:rPr>
          <w:rFonts w:ascii="Arial" w:cs="Arial" w:eastAsia="Arial" w:hAnsi="Arial"/>
          <w:sz w:val="18"/>
          <w:szCs w:val="18"/>
          <w:color w:val="auto"/>
        </w:rPr>
      </w:pPr>
    </w:p>
    <w:p>
      <w:pPr>
        <w:ind w:firstLine="464"/>
        <w:spacing w:after="0" w:line="288"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Annual Equity Award</w:t>
      </w:r>
      <w:r>
        <w:rPr>
          <w:rFonts w:ascii="Arial" w:cs="Arial" w:eastAsia="Arial" w:hAnsi="Arial"/>
          <w:sz w:val="16"/>
          <w:szCs w:val="16"/>
          <w:color w:val="auto"/>
        </w:rPr>
        <w:t>. Each Non-Employee Director shall be entitled to an annual grant of Restricted Stock Units under the Plan covering shares of Common Stock with a grant date Fair Market Value of $100,000 (the “</w:t>
      </w:r>
      <w:r>
        <w:rPr>
          <w:rFonts w:ascii="Arial" w:cs="Arial" w:eastAsia="Arial" w:hAnsi="Arial"/>
          <w:sz w:val="16"/>
          <w:szCs w:val="16"/>
          <w:u w:val="single" w:color="auto"/>
          <w:color w:val="auto"/>
        </w:rPr>
        <w:t>Annual Equity Award</w:t>
      </w:r>
      <w:r>
        <w:rPr>
          <w:rFonts w:ascii="Arial" w:cs="Arial" w:eastAsia="Arial" w:hAnsi="Arial"/>
          <w:sz w:val="16"/>
          <w:szCs w:val="16"/>
          <w:color w:val="auto"/>
        </w:rPr>
        <w:t>”). The Annual Equity Award shall be granted as of the next business day after the date of the Company’s annual shareholders meeting, without any requirement of additional Board action in connection therewith, and will vest on the first to occur of (A) date of the Company’s next regular annual shareholders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19"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Deferral Elections</w:t>
      </w:r>
      <w:r>
        <w:rPr>
          <w:rFonts w:ascii="Arial" w:cs="Arial" w:eastAsia="Arial" w:hAnsi="Arial"/>
          <w:sz w:val="16"/>
          <w:szCs w:val="16"/>
          <w:color w:val="auto"/>
        </w:rPr>
        <w:t>. A Non-Employee Director may elect to receive deferred stock units (“</w:t>
      </w:r>
      <w:r>
        <w:rPr>
          <w:rFonts w:ascii="Arial" w:cs="Arial" w:eastAsia="Arial" w:hAnsi="Arial"/>
          <w:sz w:val="16"/>
          <w:szCs w:val="16"/>
          <w:u w:val="single" w:color="auto"/>
          <w:color w:val="auto"/>
        </w:rPr>
        <w:t>Deferred Stock</w:t>
      </w:r>
      <w:r>
        <w:rPr>
          <w:rFonts w:ascii="Arial" w:cs="Arial" w:eastAsia="Arial" w:hAnsi="Arial"/>
          <w:sz w:val="16"/>
          <w:szCs w:val="16"/>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Arial" w:cs="Arial" w:eastAsia="Arial" w:hAnsi="Arial"/>
          <w:sz w:val="16"/>
          <w:szCs w:val="16"/>
          <w:u w:val="single" w:color="auto"/>
          <w:color w:val="auto"/>
        </w:rPr>
        <w:t>Director Deferred Compensation Plan</w:t>
      </w:r>
      <w:r>
        <w:rPr>
          <w:rFonts w:ascii="Arial" w:cs="Arial" w:eastAsia="Arial" w:hAnsi="Arial"/>
          <w:sz w:val="16"/>
          <w:szCs w:val="16"/>
          <w:color w:val="auto"/>
        </w:rPr>
        <w:t>”). All deferral elections must be made in accordance with and are subject to the terms and conditions of the Director Deferred Compensation Plan. As used in this paragraph and in paragraph 5(i), the terms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and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have meanings assigned to them in the Director Deferred Compensation Plan.</w:t>
      </w:r>
    </w:p>
    <w:p>
      <w:pPr>
        <w:sectPr>
          <w:pgSz w:w="11900" w:h="16838" w:orient="portrait"/>
          <w:cols w:equalWidth="0" w:num="1">
            <w:col w:w="11400"/>
          </w:cols>
          <w:pgMar w:left="240" w:top="280" w:right="259" w:bottom="1440" w:gutter="0" w:footer="0" w:header="0"/>
        </w:sectPr>
      </w:pPr>
    </w:p>
    <w:bookmarkStart w:id="35" w:name="page36"/>
    <w:bookmarkEnd w:id="35"/>
    <w:p>
      <w:pPr>
        <w:ind w:left="-464" w:right="20" w:firstLine="464"/>
        <w:spacing w:after="0" w:line="254"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Commencing Service After the Annual Shareholders Meeting; Partial Year Roles</w:t>
      </w:r>
      <w:r>
        <w:rPr>
          <w:rFonts w:ascii="Arial" w:cs="Arial" w:eastAsia="Arial" w:hAnsi="Arial"/>
          <w:sz w:val="18"/>
          <w:szCs w:val="18"/>
          <w:color w:val="auto"/>
        </w:rPr>
        <w:t>. If a Non-Employee Director commences service on the Board after the date of the Company’s regular annual shareholders meeting, the Non-Employee Director will receive a pro-rated portion the Annual Retainer, Other Fees, as applicable, and the Annual Equity Grant (based on the numbers of whole months elapsed since the most recent regular annual shareholders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44" w:lineRule="exact"/>
        <w:rPr>
          <w:rFonts w:ascii="Arial" w:cs="Arial" w:eastAsia="Arial" w:hAnsi="Arial"/>
          <w:sz w:val="18"/>
          <w:szCs w:val="18"/>
          <w:color w:val="auto"/>
        </w:rPr>
      </w:pPr>
    </w:p>
    <w:p>
      <w:pPr>
        <w:ind w:left="-464" w:right="240" w:firstLine="464"/>
        <w:spacing w:after="0" w:line="268"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Effect of Other Plan Provisions</w:t>
      </w:r>
      <w:r>
        <w:rPr>
          <w:rFonts w:ascii="Arial" w:cs="Arial" w:eastAsia="Arial" w:hAnsi="Arial"/>
          <w:sz w:val="18"/>
          <w:szCs w:val="18"/>
          <w:color w:val="auto"/>
        </w:rPr>
        <w:t>. All of the provisions of the Plan shall apply to the Awards granted automatically pursuant to this Policy, except to the extent such provisions are inconsistent with this Policy.</w:t>
      </w:r>
    </w:p>
    <w:p>
      <w:pPr>
        <w:spacing w:after="0" w:line="131" w:lineRule="exact"/>
        <w:rPr>
          <w:rFonts w:ascii="Arial" w:cs="Arial" w:eastAsia="Arial" w:hAnsi="Arial"/>
          <w:sz w:val="18"/>
          <w:szCs w:val="18"/>
          <w:color w:val="auto"/>
        </w:rPr>
      </w:pPr>
    </w:p>
    <w:p>
      <w:pPr>
        <w:ind w:left="-464" w:firstLine="464"/>
        <w:spacing w:after="0" w:line="259"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Policy Subject to Amendment, Modification and Termination</w:t>
      </w:r>
      <w:r>
        <w:rPr>
          <w:rFonts w:ascii="Arial" w:cs="Arial" w:eastAsia="Arial" w:hAnsi="Arial"/>
          <w:sz w:val="18"/>
          <w:szCs w:val="18"/>
          <w:color w:val="auto"/>
        </w:rPr>
        <w:t>. This Policy may be amended, modified or terminated by the Board in the future at its sole discretion. Without limiting the generality of the foregoing, the Board hereby expressly reserves the authority to terminate this Policy during any year up and until the election of directors at a given annual meeting of stockholders.</w:t>
      </w:r>
    </w:p>
    <w:p>
      <w:pPr>
        <w:spacing w:after="0" w:line="140" w:lineRule="exact"/>
        <w:rPr>
          <w:rFonts w:ascii="Arial" w:cs="Arial" w:eastAsia="Arial" w:hAnsi="Arial"/>
          <w:sz w:val="18"/>
          <w:szCs w:val="18"/>
          <w:color w:val="auto"/>
        </w:rPr>
      </w:pPr>
    </w:p>
    <w:p>
      <w:pPr>
        <w:ind w:left="4676"/>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0936"/>
          </w:cols>
          <w:pgMar w:left="704" w:top="280"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Non-Employee Director Deferred Compensation Plan</w:t>
      </w:r>
    </w:p>
    <w:p>
      <w:pPr>
        <w:spacing w:after="0" w:line="165" w:lineRule="exact"/>
        <w:rPr>
          <w:sz w:val="20"/>
          <w:szCs w:val="20"/>
          <w:color w:val="auto"/>
        </w:rPr>
      </w:pPr>
    </w:p>
    <w:p>
      <w:pPr>
        <w:ind w:right="100" w:firstLine="464"/>
        <w:spacing w:after="0" w:line="291"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Amended and Restated Non-Employee Director Deferred Compensation Plan (the “</w:t>
      </w:r>
      <w:r>
        <w:rPr>
          <w:rFonts w:ascii="Arial" w:cs="Arial" w:eastAsia="Arial" w:hAnsi="Arial"/>
          <w:sz w:val="16"/>
          <w:szCs w:val="16"/>
          <w:u w:val="single" w:color="auto"/>
          <w:color w:val="auto"/>
        </w:rPr>
        <w:t>Plan</w:t>
      </w:r>
      <w:r>
        <w:rPr>
          <w:rFonts w:ascii="Arial" w:cs="Arial" w:eastAsia="Arial" w:hAnsi="Arial"/>
          <w:sz w:val="16"/>
          <w:szCs w:val="16"/>
          <w:color w:val="auto"/>
        </w:rPr>
        <w:t>”), as set forth herein, has been adopted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Allison Transmission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effective as of the date the Allison Transmission Holdings, Inc. 2015 Equity Incentive Award Plan (the “</w:t>
      </w:r>
      <w:r>
        <w:rPr>
          <w:rFonts w:ascii="Arial" w:cs="Arial" w:eastAsia="Arial" w:hAnsi="Arial"/>
          <w:sz w:val="16"/>
          <w:szCs w:val="16"/>
          <w:u w:val="single" w:color="auto"/>
          <w:color w:val="auto"/>
        </w:rPr>
        <w:t>Equity Plan</w:t>
      </w:r>
      <w:r>
        <w:rPr>
          <w:rFonts w:ascii="Arial" w:cs="Arial" w:eastAsia="Arial" w:hAnsi="Arial"/>
          <w:sz w:val="16"/>
          <w:szCs w:val="16"/>
          <w:color w:val="auto"/>
        </w:rPr>
        <w:t>”) is approved by the stockholders of the Company in 2015. The purpose of the Plan is to promote the success and enhance the value of the Company by linking the personal interests of the members of the Board to those of Company stockholders and by providing such members with an incentive for outstanding performance to generate superior returns to Company stockholders. Capitalized but undefined terms used herein shall have the meanings provided for in the Equity Plan.</w:t>
      </w:r>
    </w:p>
    <w:p>
      <w:pPr>
        <w:spacing w:after="0" w:line="120" w:lineRule="exact"/>
        <w:rPr>
          <w:rFonts w:ascii="Arial" w:cs="Arial" w:eastAsia="Arial" w:hAnsi="Arial"/>
          <w:sz w:val="16"/>
          <w:szCs w:val="16"/>
          <w:color w:val="auto"/>
        </w:rPr>
      </w:pPr>
    </w:p>
    <w:p>
      <w:pPr>
        <w:ind w:right="40" w:firstLine="464"/>
        <w:spacing w:after="0" w:line="291"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Administrator subject to the provisions of the Equity Plan and the Company’s Non-Employee Director Compensation Policy as in effect from time to time (the “</w:t>
      </w:r>
      <w:r>
        <w:rPr>
          <w:rFonts w:ascii="Arial" w:cs="Arial" w:eastAsia="Arial" w:hAnsi="Arial"/>
          <w:sz w:val="16"/>
          <w:szCs w:val="16"/>
          <w:u w:val="single" w:color="auto"/>
          <w:color w:val="auto"/>
        </w:rPr>
        <w:t>Director Compensation Policy</w:t>
      </w:r>
      <w:r>
        <w:rPr>
          <w:rFonts w:ascii="Arial" w:cs="Arial" w:eastAsia="Arial" w:hAnsi="Arial"/>
          <w:sz w:val="16"/>
          <w:szCs w:val="16"/>
          <w:color w:val="auto"/>
        </w:rPr>
        <w:t>”) and subject to applicable law. The Administrator will have full power and authority to supervise the administration and interpret the provisions of the Plan and to authorize and supervise any crediting of Deferred Stock or issuance or payment of Common Stock hereunder. Any determination or action of the Administrator in connection with the interpretation or administration of the Plan will be final, conclusive and binding on all parties. The Administrator (and each member thereof) will not be liable for any determination made, or any decision or action taken, with respect to the Plan.</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Each member of the Board who is eligible to receive compensation under the Director Compensation Policy (each a “</w:t>
      </w:r>
      <w:r>
        <w:rPr>
          <w:rFonts w:ascii="Arial" w:cs="Arial" w:eastAsia="Arial" w:hAnsi="Arial"/>
          <w:sz w:val="16"/>
          <w:szCs w:val="16"/>
          <w:u w:val="single" w:color="auto"/>
          <w:color w:val="auto"/>
        </w:rPr>
        <w:t>Non-Employee</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shall be eligible to receive Deferred Stock in accordance with the Plan. Each such eligible Non-Employee Director who elects to participate in the Plan will be referred to herein as a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7" w:lineRule="exact"/>
        <w:rPr>
          <w:rFonts w:ascii="Arial" w:cs="Arial" w:eastAsia="Arial" w:hAnsi="Arial"/>
          <w:sz w:val="16"/>
          <w:szCs w:val="16"/>
          <w:color w:val="auto"/>
        </w:rPr>
      </w:pPr>
    </w:p>
    <w:p>
      <w:pPr>
        <w:ind w:right="220" w:firstLine="464"/>
        <w:spacing w:after="0" w:line="291" w:lineRule="auto"/>
        <w:tabs>
          <w:tab w:leader="none" w:pos="6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Non-Employee Director Compensation Generally</w:t>
      </w:r>
      <w:r>
        <w:rPr>
          <w:rFonts w:ascii="Arial" w:cs="Arial" w:eastAsia="Arial" w:hAnsi="Arial"/>
          <w:sz w:val="16"/>
          <w:szCs w:val="16"/>
          <w:color w:val="auto"/>
        </w:rPr>
        <w:t>. The amount and kind of compensation paid to each Participant for services as a Non-Employee Director (the “</w:t>
      </w:r>
      <w:r>
        <w:rPr>
          <w:rFonts w:ascii="Arial" w:cs="Arial" w:eastAsia="Arial" w:hAnsi="Arial"/>
          <w:sz w:val="16"/>
          <w:szCs w:val="16"/>
          <w:u w:val="single" w:color="auto"/>
          <w:color w:val="auto"/>
        </w:rPr>
        <w:t>Director Compensation</w:t>
      </w:r>
      <w:r>
        <w:rPr>
          <w:rFonts w:ascii="Arial" w:cs="Arial" w:eastAsia="Arial" w:hAnsi="Arial"/>
          <w:sz w:val="16"/>
          <w:szCs w:val="16"/>
          <w:color w:val="auto"/>
        </w:rPr>
        <w:t>”) and the amount and kind of compensation eligible for a deferral election will be determined from time to time in accordance with the Director Compensation Policy, as such policy may be amended by the Board from time to time. In the event of any conflict between the terms of this Plan and the Director Compensation Policy, the terms of the Director Compensation Policy shall control except to the extent otherwise required to comply with Section 409A of the Code. Notwithstanding any provision of the Plan to the contrary, a Non-Employee Director shall be permitted to make a Deferral Election with respect to Director Compensation only to the extent permitted by the Director Compensation Policy.</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80" w:firstLine="921"/>
        <w:spacing w:after="0" w:line="256" w:lineRule="auto"/>
        <w:tabs>
          <w:tab w:leader="none" w:pos="11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the extent permitted by the Director Compensation Policy or as otherwise permitted by the Board, a Non-Employee Director may make an irrevocable deferral election (a “</w:t>
      </w:r>
      <w:r>
        <w:rPr>
          <w:rFonts w:ascii="Arial" w:cs="Arial" w:eastAsia="Arial" w:hAnsi="Arial"/>
          <w:sz w:val="18"/>
          <w:szCs w:val="18"/>
          <w:u w:val="single" w:color="auto"/>
          <w:color w:val="auto"/>
        </w:rPr>
        <w:t>Deferral Election</w:t>
      </w:r>
      <w:r>
        <w:rPr>
          <w:rFonts w:ascii="Arial" w:cs="Arial" w:eastAsia="Arial" w:hAnsi="Arial"/>
          <w:sz w:val="18"/>
          <w:szCs w:val="18"/>
          <w:color w:val="auto"/>
        </w:rPr>
        <w:t>”) to defer payment of all or a portion of his or her Director Compensation in accordance with the terms of the Plan. Deferral Elections made by a member of the Board with respect to Director Compensation earned on or following the date of the Company’s 2015 annual meeting shall be deferred pursuant to this Plan, as amended and restated.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7" w:name="page38"/>
    <w:bookmarkEnd w:id="37"/>
    <w:p>
      <w:pPr>
        <w:ind w:left="-20" w:right="20" w:firstLine="921"/>
        <w:spacing w:after="0" w:line="256" w:lineRule="auto"/>
        <w:tabs>
          <w:tab w:leader="none" w:pos="1142"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make a Deferral Election pursuant to Section 5(a) of the Plan, a Non-Employee Director must deliver to the Company a written notice in a form prescribed by the Company (the “</w:t>
      </w:r>
      <w:r>
        <w:rPr>
          <w:rFonts w:ascii="Arial" w:cs="Arial" w:eastAsia="Arial" w:hAnsi="Arial"/>
          <w:sz w:val="18"/>
          <w:szCs w:val="18"/>
          <w:u w:val="single" w:color="auto"/>
          <w:color w:val="auto"/>
        </w:rPr>
        <w:t>Deferral Election Form</w:t>
      </w:r>
      <w:r>
        <w:rPr>
          <w:rFonts w:ascii="Arial" w:cs="Arial" w:eastAsia="Arial" w:hAnsi="Arial"/>
          <w:sz w:val="18"/>
          <w:szCs w:val="18"/>
          <w:color w:val="auto"/>
        </w:rPr>
        <w:t>”) setting forth and clearly identifying the Director Compensation subject to the Deferral Election and the percentage of such Director Compensation that the Non-Employee Director elects to be deferred and paid in Deferred Stock in accordance with the Plan.</w:t>
      </w:r>
    </w:p>
    <w:p>
      <w:pPr>
        <w:spacing w:after="0" w:line="143"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Deferral Election Form must be delivered no later than (and shall be irrevocable as of) the last business day of the calendar year prior to the year for which such Director Compensation is to be paid (the “</w:t>
      </w:r>
      <w:r>
        <w:rPr>
          <w:rFonts w:ascii="Arial" w:cs="Arial" w:eastAsia="Arial" w:hAnsi="Arial"/>
          <w:sz w:val="16"/>
          <w:szCs w:val="16"/>
          <w:u w:val="single" w:color="auto"/>
          <w:color w:val="auto"/>
        </w:rPr>
        <w:t>Service Year</w:t>
      </w:r>
      <w:r>
        <w:rPr>
          <w:rFonts w:ascii="Arial" w:cs="Arial" w:eastAsia="Arial" w:hAnsi="Arial"/>
          <w:sz w:val="16"/>
          <w:szCs w:val="16"/>
          <w:color w:val="auto"/>
        </w:rPr>
        <w:t>”) and will be effective with respect to Director Compensation earned for such Service Year, provided that an eligible Director who is initially elected to the Board may deliver the Deferral Election Form within 30 days of the date on which such Director becomes a Director, and such Deferral Election Form will be irrevocable as of the close of business on the date it is delivered and will be effective with respect to Director Compensation earned after the date it is delivered for the remainder of the Service Year in which such Director becomes a Director.</w:t>
      </w:r>
    </w:p>
    <w:p>
      <w:pPr>
        <w:spacing w:after="0" w:line="115" w:lineRule="exact"/>
        <w:rPr>
          <w:rFonts w:ascii="Arial" w:cs="Arial" w:eastAsia="Arial" w:hAnsi="Arial"/>
          <w:sz w:val="16"/>
          <w:szCs w:val="16"/>
          <w:color w:val="auto"/>
        </w:rPr>
      </w:pPr>
    </w:p>
    <w:p>
      <w:pPr>
        <w:ind w:left="-20" w:right="40" w:firstLine="921"/>
        <w:spacing w:after="0" w:line="256" w:lineRule="auto"/>
        <w:tabs>
          <w:tab w:leader="none" w:pos="11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purposes of the Plan, the “</w:t>
      </w:r>
      <w:r>
        <w:rPr>
          <w:rFonts w:ascii="Arial" w:cs="Arial" w:eastAsia="Arial" w:hAnsi="Arial"/>
          <w:sz w:val="18"/>
          <w:szCs w:val="18"/>
          <w:u w:val="single" w:color="auto"/>
          <w:color w:val="auto"/>
        </w:rPr>
        <w:t>Deferred Payment Date</w:t>
      </w:r>
      <w:r>
        <w:rPr>
          <w:rFonts w:ascii="Arial" w:cs="Arial" w:eastAsia="Arial" w:hAnsi="Arial"/>
          <w:sz w:val="18"/>
          <w:szCs w:val="18"/>
          <w:color w:val="auto"/>
        </w:rPr>
        <w:t>” means the earlier of (i) the Participant’s Separation from Service on the Board within the meaning of Treasury Regulation Section 1.409A-1(h) (a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or (ii) a Change in Control. For the avoidance of doubt, an event or transaction shall only constitute a Change in Control for purposes of this Plan if the event or transaction also constitutes a “change in control event,” as defined in Treasury Regulation §1.409A-3(i)(5).</w:t>
      </w:r>
    </w:p>
    <w:p>
      <w:pPr>
        <w:spacing w:after="0" w:line="143" w:lineRule="exact"/>
        <w:rPr>
          <w:rFonts w:ascii="Arial" w:cs="Arial" w:eastAsia="Arial" w:hAnsi="Arial"/>
          <w:sz w:val="18"/>
          <w:szCs w:val="18"/>
          <w:color w:val="auto"/>
        </w:rPr>
      </w:pPr>
    </w:p>
    <w:p>
      <w:pPr>
        <w:ind w:left="-20" w:firstLine="921"/>
        <w:spacing w:after="0" w:line="298" w:lineRule="auto"/>
        <w:tabs>
          <w:tab w:leader="none" w:pos="1132"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the foregoing, a Participant may revoke or modify a Deferral Election, subject to proof of an “unforeseeable emergency” (within the meaning of Treasury Regulation 1.409A-3(i)(3)), as determined by the Administrator, and any other limitations and restrictions as the Administrator may prescribe in its sole discretion, by delivering a revised Deferral Election Form, which must be approved by the Administrator. If a Participant is allowed to discontinue a deferral election during a calendar year, he or she will not be permitted to elect a new deferral until the next calendar year.</w:t>
      </w:r>
    </w:p>
    <w:p>
      <w:pPr>
        <w:spacing w:after="0" w:line="112" w:lineRule="exact"/>
        <w:rPr>
          <w:rFonts w:ascii="Arial" w:cs="Arial" w:eastAsia="Arial" w:hAnsi="Arial"/>
          <w:sz w:val="16"/>
          <w:szCs w:val="16"/>
          <w:color w:val="auto"/>
        </w:rPr>
      </w:pPr>
    </w:p>
    <w:p>
      <w:pPr>
        <w:ind w:left="620" w:hanging="176"/>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Deferred Stock Accounts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20" w:firstLine="921"/>
        <w:spacing w:after="0" w:line="254" w:lineRule="auto"/>
        <w:tabs>
          <w:tab w:leader="none" w:pos="11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a Participant elects to receive Deferred Stock under Section 5 of the Plan, notional shares of Deferred Stock will be credited to a bookkeeping account in the Participant’s name as of the day the Director Compensation to which the Deferred Stock relates would have been paid. The number of notional shares of Deferred Stock credited to a Participant’s account will be as determined by the Director Compensation Policy and such notional shares of Deferred Stock may be subject to vesting and forfeiture as provided in the Director Compensation Policy. Each notional share in a Participant’s bookkeeping account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represent the right to receive one share of Common Stock, or an equivalent amount of cash, at such time as is provided in Section 7 below.</w:t>
      </w:r>
    </w:p>
    <w:p>
      <w:pPr>
        <w:spacing w:after="0" w:line="144" w:lineRule="exact"/>
        <w:rPr>
          <w:rFonts w:ascii="Arial" w:cs="Arial" w:eastAsia="Arial" w:hAnsi="Arial"/>
          <w:sz w:val="18"/>
          <w:szCs w:val="18"/>
          <w:color w:val="auto"/>
        </w:rPr>
      </w:pPr>
    </w:p>
    <w:p>
      <w:pPr>
        <w:ind w:left="-20" w:right="120" w:firstLine="921"/>
        <w:spacing w:after="0" w:line="268" w:lineRule="auto"/>
        <w:tabs>
          <w:tab w:leader="none" w:pos="1142" w:val="left"/>
        </w:tabs>
        <w:numPr>
          <w:ilvl w:val="1"/>
          <w:numId w:val="12"/>
        </w:numPr>
        <w:rPr>
          <w:rFonts w:ascii="Arial" w:cs="Arial" w:eastAsia="Arial" w:hAnsi="Arial"/>
          <w:sz w:val="18"/>
          <w:szCs w:val="18"/>
          <w:color w:val="auto"/>
        </w:rPr>
      </w:pPr>
      <w:r>
        <w:rPr>
          <w:rFonts w:ascii="Arial" w:cs="Arial" w:eastAsia="Arial" w:hAnsi="Arial"/>
          <w:sz w:val="18"/>
          <w:szCs w:val="18"/>
          <w:color w:val="auto"/>
        </w:rPr>
        <w:t>Participants shall be entitled to Dividend Equivalents with respect to each notional share in the Participant’s Deferred Stock account, such that a Participant’s account will be credited as of the last day of each calendar month with that number of additional notional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38" w:name="page39"/>
    <w:bookmarkEnd w:id="3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Deferred Stock equal to the amount of cash dividends paid by the Company during that month on the number of shares of Common Stock equivalent to the number of shares of Deferred Stock in the Participant’s account from time to time during such month divided by the Fair Market Value of one share of Common Stock on the last business day of such calendar month. Such Dividend Equivalents, which will likewise be credited with Dividend Equivalents, will be deferred until the Deferred Payment Date and shall be subject to the same vesting and forfeiture conditions, if any, as applied to the Deferred Stock in respect of which such Dividend Equivalents were credited.</w:t>
      </w:r>
    </w:p>
    <w:p>
      <w:pPr>
        <w:spacing w:after="0" w:line="143" w:lineRule="exact"/>
        <w:rPr>
          <w:sz w:val="20"/>
          <w:szCs w:val="20"/>
          <w:color w:val="auto"/>
        </w:rPr>
      </w:pPr>
    </w:p>
    <w:p>
      <w:pPr>
        <w:ind w:right="240" w:firstLine="921"/>
        <w:spacing w:after="0" w:line="259" w:lineRule="auto"/>
        <w:tabs>
          <w:tab w:leader="none" w:pos="11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Subject to Section 7(c) of the Plan, Deferred Stock will be subject to a deferral period beginning on the date of crediting to the Participant’s account and ending upon the Deferred Payment Date. Unless otherwise provided by the Administrator, during such deferral period the Participant will have no rights as a Company stockholder with respect to his or her Deferred Stock.</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Delivery of Shares or Payment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56" w:lineRule="auto"/>
        <w:tabs>
          <w:tab w:leader="none" w:pos="1152" w:val="left"/>
        </w:tabs>
        <w:numPr>
          <w:ilvl w:val="1"/>
          <w:numId w:val="14"/>
        </w:numPr>
        <w:rPr>
          <w:rFonts w:ascii="Arial" w:cs="Arial" w:eastAsia="Arial" w:hAnsi="Arial"/>
          <w:sz w:val="18"/>
          <w:szCs w:val="18"/>
          <w:color w:val="auto"/>
        </w:rPr>
      </w:pPr>
      <w:r>
        <w:rPr>
          <w:rFonts w:ascii="Arial" w:cs="Arial" w:eastAsia="Arial" w:hAnsi="Arial"/>
          <w:sz w:val="18"/>
          <w:szCs w:val="18"/>
          <w:color w:val="auto"/>
        </w:rPr>
        <w:t>Subject to Section 7(c) of the Plan, the number of vested shares in a Participant’s Deferred Stock account as of the Deferred Payment Date will be delivered on or as soon as practicable, but in no event more than 60 days after, the Deferred Payment Date. The Company will make delivery of certificates representing the shares of Common Stock which a Participant is entitled to receive in accordance with the terms of the Plan and the Director Compensation Policy.</w:t>
      </w:r>
    </w:p>
    <w:p>
      <w:pPr>
        <w:spacing w:after="0" w:line="143" w:lineRule="exact"/>
        <w:rPr>
          <w:rFonts w:ascii="Arial" w:cs="Arial" w:eastAsia="Arial" w:hAnsi="Arial"/>
          <w:sz w:val="18"/>
          <w:szCs w:val="18"/>
          <w:color w:val="auto"/>
        </w:rPr>
      </w:pPr>
    </w:p>
    <w:p>
      <w:pPr>
        <w:ind w:right="280" w:firstLine="921"/>
        <w:spacing w:after="0" w:line="298" w:lineRule="auto"/>
        <w:tabs>
          <w:tab w:leader="none" w:pos="1162"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Notwithstanding Section 7(a) above, at the Company’s option and discretion, in lieu of delivering Common Stock, the Company may pay the Participant an amount of cash (at the time set forth in Section 7(a)) equal to the Fair Market Value of one share of Common Stock as of the day prior to the applicable date of payment, multiplied by the number of notional shares in the Participant’s Deferred Stock account, or a portion thereof, as determined by the Administrator. Any portion of a Participant’s Deferred Stock account not settled in cash shall be settled as provided in Section 7(a).</w:t>
      </w:r>
    </w:p>
    <w:p>
      <w:pPr>
        <w:spacing w:after="0" w:line="112" w:lineRule="exact"/>
        <w:rPr>
          <w:rFonts w:ascii="Arial" w:cs="Arial" w:eastAsia="Arial" w:hAnsi="Arial"/>
          <w:sz w:val="16"/>
          <w:szCs w:val="16"/>
          <w:color w:val="auto"/>
        </w:rPr>
      </w:pPr>
    </w:p>
    <w:p>
      <w:pPr>
        <w:ind w:firstLine="921"/>
        <w:spacing w:after="0" w:line="289" w:lineRule="auto"/>
        <w:tabs>
          <w:tab w:leader="none" w:pos="1152"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Plan, if at the time of a Director’s Separation from Service, such Director is a “specified employee” as defined in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as reasonably determined by the Company in accordance with Section 409A of the Code, and the deferral of the commencement of any distributions otherwise payable hereunder as a result of such Separation from Service is necessary in order to prevent any accelerated or additional tax under Section 409A of the Code, then the Company will defer any such distributions hereunder (without any reduction in the amounts ultimately distributed or provided to the Director) until the date that is at least six months following the Director’s Separation from Service with the Company (or the earliest date permitted under Section 409A of the Code), whereupon the Company will distribute to the Director a lump-sum amount equal to the cumulative amounts that would have otherwise been previously distributed to the Director under this Plan during the period in which such distributions were deferred.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 w:name="page40"/>
    <w:bookmarkEnd w:id="39"/>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or 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54" w:lineRule="auto"/>
        <w:tabs>
          <w:tab w:leader="none" w:pos="11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may at any time amend the Plan, provided that to the extent necessary and desirable to comply with any applicable law, regulation or stock exchange rule, the Company will obtain stockholder approval of any Plan amendment in such a manner and to such a degree as required. The Company may terminate the Plan at any time and, in connection with any such termination, may deliver to each Participant the shares of Common Stock credited to his account (or cash), subject to and in accordance with the requirements of Treasury Regulation Section 1.409A-3(j)(4)(ix) (or any successor provision thereto). An amendment or termination of the Plan will not adversely affect the right of a Participant to receive Common Stock issuable or cash payable at the effective date of the amendment or termination.</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Plan is intended to meet the requirements of Section 409A of the Code and will be interpreted and construed in accordance with</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Section 409A of the Code and Department of Treasury Regulations and other interpretive guidance issued thereunder, including without limitation any such regulations or other guidance that may be issued after the effective date of this Plan. Notwithstanding any provision of the Plan or the Director Compensation Policy to the contrary, in the event that following the effective date of this Plan the Administrator determines that any provision of the Plan could otherwise cause any person to be subject to the penalty taxes imposed under Section 409A of the Code, the Administrator may adopt such amendments to the Plan or adopt other policies and procedures (including amendments, policies and procedures with retroactive effect), or take any other actions, that the Administrator determines are necessary or appropriate to comply with the requirements of Section 409A of the Code and related Department of Treasury guidance and thereby avoid the application of any penalty taxes under such Section.</w:t>
      </w:r>
    </w:p>
    <w:p>
      <w:pPr>
        <w:spacing w:after="0" w:line="123"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921"/>
        <w:spacing w:after="0" w:line="268"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rights, benefits or interests a Participant may have under this Plan are not assignable or transferable and will not be subject in any manner to alienation, sale or any encumbrances, liens, levies, attachments, pledges or charges of the Participant or his or her creditors.</w:t>
      </w:r>
    </w:p>
    <w:p>
      <w:pPr>
        <w:spacing w:after="0" w:line="131" w:lineRule="exact"/>
        <w:rPr>
          <w:rFonts w:ascii="Arial" w:cs="Arial" w:eastAsia="Arial" w:hAnsi="Arial"/>
          <w:sz w:val="18"/>
          <w:szCs w:val="18"/>
          <w:color w:val="auto"/>
        </w:rPr>
      </w:pPr>
    </w:p>
    <w:p>
      <w:pPr>
        <w:ind w:right="220" w:firstLine="921"/>
        <w:spacing w:after="0" w:line="268" w:lineRule="auto"/>
        <w:tabs>
          <w:tab w:leader="none" w:pos="116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 extent that the application of any formula described in the Director Compensation Policy does not result in a whole number of shares of Common Stock, the result will be rounded down to the next whole number.</w:t>
      </w:r>
    </w:p>
    <w:p>
      <w:pPr>
        <w:spacing w:after="0" w:line="131" w:lineRule="exact"/>
        <w:rPr>
          <w:rFonts w:ascii="Arial" w:cs="Arial" w:eastAsia="Arial" w:hAnsi="Arial"/>
          <w:sz w:val="18"/>
          <w:szCs w:val="18"/>
          <w:color w:val="auto"/>
        </w:rPr>
      </w:pPr>
    </w:p>
    <w:p>
      <w:pPr>
        <w:ind w:right="60" w:firstLine="921"/>
        <w:spacing w:after="0" w:line="268"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Plan has been adopted under the Equity Plan and shall be subject to all of the terms and conditions of the Equity Plan (and/or such successor plan, as determined by the Administrator).</w:t>
      </w:r>
    </w:p>
    <w:p>
      <w:pPr>
        <w:spacing w:after="0" w:line="131" w:lineRule="exact"/>
        <w:rPr>
          <w:rFonts w:ascii="Arial" w:cs="Arial" w:eastAsia="Arial" w:hAnsi="Arial"/>
          <w:sz w:val="18"/>
          <w:szCs w:val="18"/>
          <w:color w:val="auto"/>
        </w:rPr>
      </w:pPr>
    </w:p>
    <w:p>
      <w:pPr>
        <w:ind w:right="560" w:firstLine="921"/>
        <w:spacing w:after="0" w:line="268" w:lineRule="auto"/>
        <w:tabs>
          <w:tab w:leader="none" w:pos="116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adoption and maintenance of this Plan will not be deemed to be a contract between the Company and a Participant to retain his or her position as a Director.</w:t>
      </w:r>
    </w:p>
    <w:p>
      <w:pPr>
        <w:spacing w:after="0" w:line="132" w:lineRule="exact"/>
        <w:rPr>
          <w:sz w:val="20"/>
          <w:szCs w:val="20"/>
          <w:color w:val="auto"/>
        </w:rPr>
      </w:pPr>
    </w:p>
    <w:p>
      <w:pPr>
        <w:jc w:val="center"/>
        <w:ind w:right="-19"/>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848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2015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30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30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6"/>
    </w:lvl>
    <w:lvl w:ilvl="1">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2)"/>
      <w:numFmt w:val="lowerLetter"/>
      <w:start w:val="1"/>
    </w:lvl>
  </w:abstractNum>
  <w:abstractNum w:abstractNumId="10">
    <w:nsid w:val="1BEFD79F"/>
    <w:multiLevelType w:val="hybridMultilevel"/>
    <w:lvl w:ilvl="0">
      <w:lvlJc w:val="left"/>
      <w:lvlText w:val="%1"/>
      <w:numFmt w:val="decimal"/>
      <w:start w:val="1"/>
    </w:lvl>
    <w:lvl w:ilvl="1">
      <w:lvlJc w:val="left"/>
      <w:lvlText w:val="(%2)"/>
      <w:numFmt w:val="lowerLetter"/>
      <w:start w:val="2"/>
    </w:lvl>
  </w:abstractNum>
  <w:abstractNum w:abstractNumId="11">
    <w:nsid w:val="41A7C4C9"/>
    <w:multiLevelType w:val="hybridMultilevel"/>
    <w:lvl w:ilvl="0">
      <w:lvlJc w:val="left"/>
      <w:lvlText w:val="%1."/>
      <w:numFmt w:val="decimal"/>
      <w:start w:val="6"/>
    </w:lvl>
    <w:lvl w:ilvl="1">
      <w:lvlJc w:val="left"/>
      <w:lvlText w:val="(%2)"/>
      <w:numFmt w:val="lowerLetter"/>
      <w:start w:val="1"/>
    </w:lvl>
  </w:abstractNum>
  <w:abstractNum w:abstractNumId="12">
    <w:nsid w:val="6B68079A"/>
    <w:multiLevelType w:val="hybridMultilevel"/>
    <w:lvl w:ilvl="0">
      <w:lvlJc w:val="left"/>
      <w:lvlText w:val="%1"/>
      <w:numFmt w:val="decimal"/>
      <w:start w:val="1"/>
    </w:lvl>
    <w:lvl w:ilvl="1">
      <w:lvlJc w:val="left"/>
      <w:lvlText w:val="(%2)"/>
      <w:numFmt w:val="lowerLetter"/>
      <w:start w:val="3"/>
    </w:lvl>
  </w:abstractNum>
  <w:abstractNum w:abstractNumId="13">
    <w:nsid w:val="4E6AFB66"/>
    <w:multiLevelType w:val="hybridMultilevel"/>
    <w:lvl w:ilvl="0">
      <w:lvlJc w:val="left"/>
      <w:lvlText w:val="%1."/>
      <w:numFmt w:val="decimal"/>
      <w:start w:val="7"/>
    </w:lvl>
    <w:lvl w:ilvl="1">
      <w:lvlJc w:val="left"/>
      <w:lvlText w:val="(%2)"/>
      <w:numFmt w:val="lowerLetter"/>
      <w:start w:val="1"/>
    </w:lvl>
  </w:abstractNum>
  <w:abstractNum w:abstractNumId="14">
    <w:nsid w:val="25E45D32"/>
    <w:multiLevelType w:val="hybridMultilevel"/>
    <w:lvl w:ilvl="0">
      <w:lvlJc w:val="left"/>
      <w:lvlText w:val="%1."/>
      <w:numFmt w:val="decimal"/>
      <w:start w:val="8"/>
    </w:lvl>
    <w:lvl w:ilvl="1">
      <w:lvlJc w:val="left"/>
      <w:lvlText w:val="(%2)"/>
      <w:numFmt w:val="lowerLetter"/>
      <w:start w:val="1"/>
    </w:lvl>
  </w:abstractNum>
  <w:abstractNum w:abstractNumId="15">
    <w:nsid w:val="519B500D"/>
    <w:multiLevelType w:val="hybridMultilevel"/>
    <w:lvl w:ilvl="0">
      <w:lvlJc w:val="left"/>
      <w:lvlText w:val="%1."/>
      <w:numFmt w:val="decimal"/>
      <w:start w:val="9"/>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2019-12-29T16:42:00Z</dcterms:created>
  <dcterms:modified xsi:type="dcterms:W3CDTF">2019-12-29T16:42:00Z</dcterms:modified>
</cp:coreProperties>
</file>