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Christman Philip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ALLISON TRANSMISSION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ALLISON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Allison Transmission Holdings Inc</w:t>
              </w:r>
            </w:hyperlink>
            <w:r>
              <w:rPr/>
              <w:t xml:space="preserve"> [ </w:t>
            </w:r>
            <w:r>
              <w:rPr>
                <w:rFonts w:ascii="Times;serif" w:hAnsi="Times;serif"/>
                <w:color w:val="0000FF"/>
                <w:sz w:val="24"/>
                <w:shd w:fill="FFFFFF" w:val="clear"/>
              </w:rPr>
              <w:t>ALSN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18"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400"/>
        <w:gridCol w:w="401"/>
        <w:gridCol w:w="906"/>
        <w:gridCol w:w="801"/>
        <w:gridCol w:w="891"/>
        <w:gridCol w:w="636"/>
        <w:gridCol w:w="801"/>
        <w:gridCol w:w="936"/>
        <w:gridCol w:w="831"/>
        <w:gridCol w:w="846"/>
      </w:tblGrid>
      <w:tr>
        <w:trPr>
          <w:tblHeader w:val="true"/>
        </w:trPr>
        <w:tc>
          <w:tcPr>
            <w:tcW w:w="1191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w:t>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previously awarded restricted stock units ("RSUs") and vest proportionately with the RSUs to which they relate. Each dividend equivalent right is the economic equivalent of one share of Allison Transmission Holdings, Inc.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Preston B. Ray,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6611" TargetMode="External"/><Relationship Id="rId5" Type="http://schemas.openxmlformats.org/officeDocument/2006/relationships/hyperlink" Target="http://www.sec.gov/cgi-bin/browse-edgar?action=getcompany&amp;CIK=00014112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613</Words>
  <Characters>3357</Characters>
  <CharactersWithSpaces>3899</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