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20" w:hanging="559"/>
        <w:spacing w:after="0" w:line="26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580" w:right="140" w:hanging="559"/>
        <w:spacing w:after="0" w:line="26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2693670</wp:posOffset>
            </wp:positionH>
            <wp:positionV relativeFrom="paragraph">
              <wp:posOffset>41275</wp:posOffset>
            </wp:positionV>
            <wp:extent cx="1729740"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974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48"/>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Identification Number)</w:t>
            </w:r>
          </w:p>
        </w:tc>
      </w:tr>
      <w:tr>
        <w:trPr>
          <w:trHeight w:val="398"/>
        </w:trPr>
        <w:tc>
          <w:tcPr>
            <w:tcW w:w="4520" w:type="dxa"/>
            <w:vAlign w:val="bottom"/>
          </w:tcPr>
          <w:p>
            <w:pPr>
              <w:jc w:val="center"/>
              <w:ind w:left="1040"/>
              <w:spacing w:after="0"/>
              <w:rPr>
                <w:sz w:val="20"/>
                <w:szCs w:val="20"/>
                <w:color w:val="auto"/>
              </w:rPr>
            </w:pPr>
            <w:r>
              <w:rPr>
                <w:rFonts w:ascii="Arial" w:cs="Arial" w:eastAsia="Arial" w:hAnsi="Arial"/>
                <w:sz w:val="18"/>
                <w:szCs w:val="18"/>
                <w:b w:val="1"/>
                <w:bCs w:val="1"/>
                <w:color w:val="auto"/>
                <w:w w:val="98"/>
              </w:rPr>
              <w:t>One Allison Way</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4520" w:type="dxa"/>
            <w:vAlign w:val="bottom"/>
          </w:tcPr>
          <w:p>
            <w:pPr>
              <w:jc w:val="center"/>
              <w:ind w:left="1000"/>
              <w:spacing w:after="0"/>
              <w:rPr>
                <w:sz w:val="20"/>
                <w:szCs w:val="20"/>
                <w:color w:val="auto"/>
              </w:rPr>
            </w:pPr>
            <w:r>
              <w:rPr>
                <w:rFonts w:ascii="Arial" w:cs="Arial" w:eastAsia="Arial" w:hAnsi="Arial"/>
                <w:sz w:val="18"/>
                <w:szCs w:val="18"/>
                <w:b w:val="1"/>
                <w:bCs w:val="1"/>
                <w:color w:val="auto"/>
                <w:w w:val="99"/>
              </w:rPr>
              <w:t>Indianapolis, IN</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50"/>
        </w:trPr>
        <w:tc>
          <w:tcPr>
            <w:tcW w:w="452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17"/>
        </w:trPr>
        <w:tc>
          <w:tcPr>
            <w:tcW w:w="4520" w:type="dxa"/>
            <w:vAlign w:val="bottom"/>
          </w:tcPr>
          <w:p>
            <w:pPr>
              <w:spacing w:after="0"/>
              <w:rPr>
                <w:sz w:val="24"/>
                <w:szCs w:val="24"/>
                <w:color w:val="auto"/>
              </w:rPr>
            </w:pPr>
          </w:p>
        </w:tc>
        <w:tc>
          <w:tcPr>
            <w:tcW w:w="2480" w:type="dxa"/>
            <w:vAlign w:val="bottom"/>
            <w:gridSpan w:val="2"/>
          </w:tcPr>
          <w:p>
            <w:pPr>
              <w:jc w:val="center"/>
              <w:ind w:right="204"/>
              <w:spacing w:after="0"/>
              <w:rPr>
                <w:sz w:val="20"/>
                <w:szCs w:val="20"/>
                <w:color w:val="auto"/>
              </w:rPr>
            </w:pPr>
            <w:r>
              <w:rPr>
                <w:rFonts w:ascii="Arial" w:cs="Arial" w:eastAsia="Arial" w:hAnsi="Arial"/>
                <w:sz w:val="18"/>
                <w:szCs w:val="18"/>
                <w:b w:val="1"/>
                <w:bCs w:val="1"/>
                <w:color w:val="auto"/>
              </w:rPr>
              <w:t>(317) 242-5000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2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85"/>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95"/>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jc w:val="center"/>
              <w:ind w:right="24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5"/>
        </w:trPr>
        <w:tc>
          <w:tcPr>
            <w:tcW w:w="452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9"/>
                <w:szCs w:val="19"/>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97"/>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100" w:lineRule="exact"/>
        <w:rPr>
          <w:sz w:val="24"/>
          <w:szCs w:val="24"/>
          <w:color w:val="auto"/>
        </w:rPr>
      </w:pPr>
    </w:p>
    <w:p>
      <w:pPr>
        <w:ind w:right="6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2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760"/>
        <w:spacing w:after="0" w:line="25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12, 2024, there were 87,478,168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60" w:type="dxa"/>
            <w:vAlign w:val="bottom"/>
            <w:tcBorders>
              <w:bottom w:val="single" w:sz="8" w:color="0000FF"/>
            </w:tcBorders>
            <w:gridSpan w:val="8"/>
          </w:tcPr>
          <w:p>
            <w:pPr>
              <w:jc w:val="center"/>
              <w:spacing w:after="0" w:line="182" w:lineRule="exact"/>
              <w:rPr>
                <w:sz w:val="20"/>
                <w:szCs w:val="20"/>
                <w:color w:val="auto"/>
              </w:rPr>
            </w:pPr>
            <w:r>
              <w:rPr>
                <w:rFonts w:ascii="Arial" w:cs="Arial" w:eastAsia="Arial" w:hAnsi="Arial"/>
                <w:sz w:val="18"/>
                <w:szCs w:val="18"/>
                <w:b w:val="1"/>
                <w:bCs w:val="1"/>
                <w:color w:val="0000FF"/>
                <w:w w:val="99"/>
              </w:rPr>
              <w:t>PART I. FINANCIAL INFORMATION</w:t>
            </w:r>
          </w:p>
        </w:tc>
        <w:tc>
          <w:tcPr>
            <w:tcW w:w="32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0000FF"/>
                <w:w w:val="98"/>
              </w:rPr>
              <w:t>Financial Statements</w:t>
            </w:r>
          </w:p>
        </w:tc>
        <w:tc>
          <w:tcPr>
            <w:tcW w:w="766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60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gridSpan w:val="14"/>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940" w:type="dxa"/>
            <w:vAlign w:val="bottom"/>
            <w:gridSpan w:val="4"/>
          </w:tcPr>
          <w:p>
            <w:pPr>
              <w:spacing w:after="0"/>
              <w:rPr>
                <w:sz w:val="24"/>
                <w:szCs w:val="24"/>
                <w:color w:val="auto"/>
              </w:rPr>
            </w:pPr>
          </w:p>
        </w:tc>
        <w:tc>
          <w:tcPr>
            <w:tcW w:w="42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Condensed Consolidated Statements of Stockholders’ Equity</w:t>
            </w: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60" w:type="dxa"/>
            <w:vAlign w:val="bottom"/>
            <w:gridSpan w:val="2"/>
          </w:tcPr>
          <w:p>
            <w:pPr>
              <w:spacing w:after="0"/>
              <w:rPr>
                <w:sz w:val="24"/>
                <w:szCs w:val="24"/>
                <w:color w:val="auto"/>
              </w:rPr>
            </w:pPr>
          </w:p>
        </w:tc>
        <w:tc>
          <w:tcPr>
            <w:tcW w:w="45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21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380" w:type="dxa"/>
            <w:vAlign w:val="bottom"/>
            <w:gridSpan w:val="2"/>
          </w:tcPr>
          <w:p>
            <w:pPr>
              <w:spacing w:after="0"/>
              <w:rPr>
                <w:sz w:val="24"/>
                <w:szCs w:val="24"/>
                <w:color w:val="auto"/>
              </w:rPr>
            </w:pP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5"/>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Controls and Procedures</w:t>
            </w:r>
          </w:p>
        </w:tc>
        <w:tc>
          <w:tcPr>
            <w:tcW w:w="1360" w:type="dxa"/>
            <w:vAlign w:val="bottom"/>
            <w:gridSpan w:val="2"/>
          </w:tcPr>
          <w:p>
            <w:pPr>
              <w:spacing w:after="0"/>
              <w:rPr>
                <w:sz w:val="24"/>
                <w:szCs w:val="24"/>
                <w:color w:val="auto"/>
              </w:rPr>
            </w:pPr>
          </w:p>
        </w:tc>
        <w:tc>
          <w:tcPr>
            <w:tcW w:w="13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0000FF"/>
                <w:w w:val="98"/>
              </w:rPr>
              <w:t>PART II. OTHER INFORMATION</w:t>
            </w:r>
          </w:p>
        </w:tc>
        <w:tc>
          <w:tcPr>
            <w:tcW w:w="3360" w:type="dxa"/>
            <w:vAlign w:val="bottom"/>
            <w:gridSpan w:val="3"/>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FF"/>
            </w:tcBorders>
            <w:gridSpan w:val="6"/>
            <w:vMerge w:val="continue"/>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380" w:type="dxa"/>
            <w:vAlign w:val="bottom"/>
            <w:gridSpan w:val="2"/>
          </w:tcPr>
          <w:p>
            <w:pPr>
              <w:spacing w:after="0"/>
              <w:rPr>
                <w:sz w:val="24"/>
                <w:szCs w:val="24"/>
                <w:color w:val="auto"/>
              </w:rPr>
            </w:pPr>
          </w:p>
        </w:tc>
        <w:tc>
          <w:tcPr>
            <w:tcW w:w="934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8340" w:type="dxa"/>
            <w:vAlign w:val="bottom"/>
            <w:gridSpan w:val="1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0000FF"/>
                <w:w w:val="98"/>
              </w:rPr>
              <w:t>Unregistered Sales of Equity Securities and Use of Proceeds</w:t>
            </w: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9"/>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gridSpan w:val="9"/>
          </w:tcPr>
          <w:p>
            <w:pPr>
              <w:spacing w:after="0"/>
              <w:rPr>
                <w:sz w:val="24"/>
                <w:szCs w:val="24"/>
                <w:color w:val="auto"/>
              </w:rPr>
            </w:pPr>
          </w:p>
        </w:tc>
        <w:tc>
          <w:tcPr>
            <w:tcW w:w="4500" w:type="dxa"/>
            <w:vAlign w:val="bottom"/>
            <w:gridSpan w:val="5"/>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380" w:type="dxa"/>
            <w:vAlign w:val="bottom"/>
            <w:gridSpan w:val="2"/>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940" w:type="dxa"/>
            <w:vAlign w:val="bottom"/>
            <w:gridSpan w:val="14"/>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8460" w:type="dxa"/>
            <w:vAlign w:val="bottom"/>
            <w:gridSpan w:val="16"/>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551</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 net of allowance for doubtful accounts of $4</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392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289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1,300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762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774</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828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833</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2,075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2,076</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5,056</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r>
        <w:trPr>
          <w:trHeight w:val="21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140" w:type="dxa"/>
            <w:vAlign w:val="bottom"/>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244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210</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warranty liability</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Product warranty liability</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2,398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2,497</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513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519</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3,714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3,792</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P)</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Common stock, $0.01 par value, 1,880,000,000 shares authorized, 87,532,553 shares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issued and outstanding and 87,648,046 shares issued and outstanding, respectively</w:t>
            </w:r>
          </w:p>
        </w:tc>
        <w:tc>
          <w:tcPr>
            <w:tcW w:w="114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197"/>
        </w:trPr>
        <w:tc>
          <w:tcPr>
            <w:tcW w:w="7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1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5"/>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outstanding</w:t>
            </w: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6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66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 in capital</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1,911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1,891</w:t>
            </w: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(533 )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(628 )</w:t>
            </w:r>
          </w:p>
        </w:tc>
      </w:tr>
      <w:tr>
        <w:trPr>
          <w:trHeight w:val="22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(37 )</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1,342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1,233</w:t>
            </w: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&amp; STOCKHOLDERS’ EQUITY</w:t>
            </w:r>
          </w:p>
        </w:tc>
        <w:tc>
          <w:tcPr>
            <w:tcW w:w="114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5,056</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-3963670</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-3946525</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40"/>
          </w:cols>
          <w:pgMar w:left="320" w:top="768"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09"/>
        </w:trPr>
        <w:tc>
          <w:tcPr>
            <w:tcW w:w="7740" w:type="dxa"/>
            <w:vAlign w:val="bottom"/>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789</w:t>
            </w:r>
          </w:p>
        </w:tc>
        <w:tc>
          <w:tcPr>
            <w:tcW w:w="1240" w:type="dxa"/>
            <w:vAlign w:val="bottom"/>
            <w:gridSpan w:val="2"/>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366</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Engineering — research and development</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230</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1.92</w:t>
            </w:r>
          </w:p>
        </w:tc>
        <w:tc>
          <w:tcPr>
            <w:tcW w:w="124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1.85</w:t>
            </w: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1.90</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163</w:t>
            </w:r>
          </w:p>
        </w:tc>
        <w:tc>
          <w:tcPr>
            <w:tcW w:w="124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-1437640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-538480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-521970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-196215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09"/>
        </w:trPr>
        <w:tc>
          <w:tcPr>
            <w:tcW w:w="774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8"/>
                <w:szCs w:val="18"/>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2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gain</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 and liabilities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Additions of long-lived assets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Investment in equity method investee</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Proceeds from technology-related investments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long-term debt</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(52 )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Debt financing fees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(decrease) increase in cash and cash equivalents</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(4 )</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555</w:t>
            </w:r>
          </w:p>
        </w:tc>
        <w:tc>
          <w:tcPr>
            <w:tcW w:w="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551</w:t>
            </w:r>
          </w:p>
        </w:tc>
        <w:tc>
          <w:tcPr>
            <w:tcW w:w="126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344</w:t>
            </w:r>
          </w:p>
        </w:tc>
      </w:tr>
      <w:tr>
        <w:trPr>
          <w:trHeight w:val="21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paid</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(29 )</w:t>
            </w:r>
          </w:p>
        </w:tc>
        <w:tc>
          <w:tcPr>
            <w:tcW w:w="126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7740" w:type="dxa"/>
            <w:vAlign w:val="bottom"/>
          </w:tcPr>
          <w:p>
            <w:pPr>
              <w:ind w:left="52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Interest received from interest rate swaps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26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Non-cash investing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Capital expenditures in liabilities</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10</w:t>
            </w:r>
          </w:p>
        </w:tc>
        <w:tc>
          <w:tcPr>
            <w:tcW w:w="126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-3561080</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-898525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-881380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5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2"/>
              <w:spacing w:after="0" w:line="159"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212"/>
              <w:spacing w:after="0"/>
              <w:rPr>
                <w:sz w:val="20"/>
                <w:szCs w:val="20"/>
                <w:color w:val="auto"/>
              </w:rPr>
            </w:pPr>
            <w:r>
              <w:rPr>
                <w:rFonts w:ascii="Arial" w:cs="Arial" w:eastAsia="Arial" w:hAnsi="Arial"/>
                <w:sz w:val="14"/>
                <w:szCs w:val="14"/>
                <w:b w:val="1"/>
                <w:bCs w:val="1"/>
                <w:color w:val="auto"/>
              </w:rPr>
              <w:t>d Other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sive (Loss)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40" w:type="dxa"/>
            <w:vAlign w:val="bottom"/>
          </w:tcPr>
          <w:p>
            <w:pPr>
              <w:spacing w:after="0"/>
              <w:rPr>
                <w:sz w:val="14"/>
                <w:szCs w:val="14"/>
                <w:color w:val="auto"/>
              </w:rPr>
            </w:pPr>
          </w:p>
        </w:tc>
        <w:tc>
          <w:tcPr>
            <w:tcW w:w="100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w:t>
            </w:r>
          </w:p>
        </w:tc>
      </w:tr>
      <w:tr>
        <w:trPr>
          <w:trHeight w:val="185"/>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rs' Equity</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(845 )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(25 )</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988</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1,233</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and OPEB liability adjustment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(5 )</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r>
      <w:tr>
        <w:trPr>
          <w:trHeight w:val="229"/>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(52 )</w:t>
            </w:r>
          </w:p>
        </w:tc>
      </w:tr>
      <w:tr>
        <w:trPr>
          <w:trHeight w:val="229"/>
        </w:trPr>
        <w:tc>
          <w:tcPr>
            <w:tcW w:w="360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(22 )</w:t>
            </w:r>
          </w:p>
        </w:tc>
      </w:tr>
      <w:tr>
        <w:trPr>
          <w:trHeight w:val="229"/>
        </w:trPr>
        <w:tc>
          <w:tcPr>
            <w:tcW w:w="3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169</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169</w:t>
            </w: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Balance at March 31, 2024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1,911</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(533 )</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3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1,342</w:t>
            </w: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-1668780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-1668780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-1668780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-1668780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-1668780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-1668780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-179070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-179070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-179070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-179070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-179070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01" w:lineRule="exact"/>
        <w:rPr>
          <w:sz w:val="20"/>
          <w:szCs w:val="20"/>
          <w:color w:val="auto"/>
        </w:rPr>
      </w:pPr>
    </w:p>
    <w:p>
      <w:pPr>
        <w:ind w:right="20" w:firstLine="499"/>
        <w:spacing w:after="0" w:line="246" w:lineRule="auto"/>
        <w:rPr>
          <w:sz w:val="20"/>
          <w:szCs w:val="20"/>
          <w:color w:val="auto"/>
        </w:rPr>
      </w:pPr>
      <w:r>
        <w:rPr>
          <w:rFonts w:ascii="Arial" w:cs="Arial" w:eastAsia="Arial" w:hAnsi="Arial"/>
          <w:sz w:val="18"/>
          <w:szCs w:val="18"/>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360" w:firstLine="499"/>
        <w:spacing w:after="0" w:line="252"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75% of its revenues being generated in North America in 2023. The Company serves customers through an independent network of approximately 1,600 independent distributor and dealer locations worldwide.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1" w:lineRule="exact"/>
        <w:rPr>
          <w:sz w:val="20"/>
          <w:szCs w:val="20"/>
          <w:color w:val="auto"/>
        </w:rPr>
      </w:pPr>
    </w:p>
    <w:p>
      <w:pPr>
        <w:ind w:firstLine="499"/>
        <w:spacing w:after="0" w:line="241"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4" w:lineRule="exact"/>
        <w:rPr>
          <w:sz w:val="20"/>
          <w:szCs w:val="20"/>
          <w:color w:val="auto"/>
        </w:rPr>
      </w:pPr>
    </w:p>
    <w:p>
      <w:pPr>
        <w:ind w:firstLine="499"/>
        <w:spacing w:after="0" w:line="243"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our Annual Report on Form 10-K for the year ended December 31, 2023 as filed with the Securities and Exchange Commission on February 14, 2024. The interim period financial results for the three-month periods presented are not necessarily indicative of results to be expected for any other interim period or for the entire year.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1"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1" w:lineRule="exact"/>
        <w:rPr>
          <w:sz w:val="20"/>
          <w:szCs w:val="20"/>
          <w:color w:val="auto"/>
        </w:rPr>
      </w:pPr>
    </w:p>
    <w:p>
      <w:pPr>
        <w:ind w:right="140" w:firstLine="494"/>
        <w:spacing w:after="0" w:line="241" w:lineRule="auto"/>
        <w:rPr>
          <w:sz w:val="20"/>
          <w:szCs w:val="20"/>
          <w:color w:val="auto"/>
        </w:rPr>
      </w:pPr>
      <w:r>
        <w:rPr>
          <w:rFonts w:ascii="Arial" w:cs="Arial" w:eastAsia="Arial" w:hAnsi="Arial"/>
          <w:sz w:val="18"/>
          <w:szCs w:val="18"/>
          <w:color w:val="auto"/>
        </w:rPr>
        <w:t>In November 2023, the Financial Accounting Standards Board ("FASB") issued authoritative accounting guidance expanding public entities’ reportable segment disclosures, primarily through enhanced disclosures about significant segment expenses that are regularly reviewed by the Chief Operating Decision Maker and included within each reported measure of segment profit or loss. The guidance will become effective for the Company starting with its fiscal year ending December 31, 2024 and the subsequent interim periods. The guidance will be applied retrospectively, and the Company does not plan to early adopt. Management is currently evaluating the impact of this guidance on the Company's consolidated financial statements.</w:t>
      </w:r>
    </w:p>
    <w:p>
      <w:pPr>
        <w:spacing w:after="0" w:line="74"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In December 2023, the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will be applied prospectively with the option to apply it retrospectively. Management is currently evaluating the impact of this guidance on the Company's consolidated financial statements.</w:t>
      </w:r>
    </w:p>
    <w:p>
      <w:pPr>
        <w:spacing w:after="0" w:line="71"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03"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4" w:lineRule="exact"/>
        <w:rPr>
          <w:sz w:val="20"/>
          <w:szCs w:val="20"/>
          <w:color w:val="auto"/>
        </w:rPr>
      </w:pPr>
    </w:p>
    <w:p>
      <w:pPr>
        <w:ind w:right="200" w:firstLine="494"/>
        <w:spacing w:after="0" w:line="252"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63" w:lineRule="exact"/>
        <w:rPr>
          <w:sz w:val="20"/>
          <w:szCs w:val="20"/>
          <w:color w:val="auto"/>
        </w:rPr>
      </w:pPr>
    </w:p>
    <w:p>
      <w:pPr>
        <w:ind w:right="360" w:firstLine="494"/>
        <w:spacing w:after="0" w:line="243"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either of the three months ended March 31, 2024 or 2023.</w:t>
      </w:r>
    </w:p>
    <w:p>
      <w:pPr>
        <w:spacing w:after="0" w:line="71" w:lineRule="exact"/>
        <w:rPr>
          <w:sz w:val="20"/>
          <w:szCs w:val="20"/>
          <w:color w:val="auto"/>
        </w:rPr>
      </w:pPr>
    </w:p>
    <w:p>
      <w:pPr>
        <w:ind w:right="60" w:firstLine="494"/>
        <w:spacing w:after="0" w:line="243"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2024 and December 31, 2023. See "Note J. Deferred Revenue” for more information, including the amount of revenue earned during each of the three months ended March 31, 2024 and 2023 that had been previously deferred. The Company had no material contract assets as of either March 31, 2024 or December 31, 2023.</w:t>
      </w:r>
    </w:p>
    <w:p>
      <w:pPr>
        <w:spacing w:after="0" w:line="71" w:lineRule="exact"/>
        <w:rPr>
          <w:sz w:val="20"/>
          <w:szCs w:val="20"/>
          <w:color w:val="auto"/>
        </w:rPr>
      </w:pPr>
    </w:p>
    <w:p>
      <w:pPr>
        <w:jc w:val="both"/>
        <w:ind w:right="100" w:firstLine="494"/>
        <w:spacing w:after="0" w:line="252"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80"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2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On-Highway</w:t>
            </w:r>
          </w:p>
        </w:tc>
        <w:tc>
          <w:tcPr>
            <w:tcW w:w="44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420</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3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w:t>
            </w:r>
          </w:p>
        </w:tc>
      </w:tr>
      <w:tr>
        <w:trPr>
          <w:trHeight w:val="22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Defense</w:t>
            </w:r>
          </w:p>
        </w:tc>
        <w:tc>
          <w:tcPr>
            <w:tcW w:w="3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3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115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2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North America Off-Highway</w:t>
            </w:r>
          </w:p>
        </w:tc>
        <w:tc>
          <w:tcPr>
            <w:tcW w:w="3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3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160</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w:t>
            </w: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44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789</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741</w:t>
            </w:r>
          </w:p>
        </w:tc>
      </w:tr>
      <w:tr>
        <w:trPr>
          <w:trHeight w:val="578"/>
        </w:trPr>
        <w:tc>
          <w:tcPr>
            <w:tcW w:w="458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2210"/>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745"/>
        </w:trPr>
        <w:tc>
          <w:tcPr>
            <w:tcW w:w="4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-889635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-872490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parts and raw materials</w:t>
            </w: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148</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1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parts</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53</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inventories</w:t>
            </w: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03"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As of March 31, 2024 and December 31, 2023, the carrying value of the Company’s Goodwill was $2,075 million and $2,076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0"/>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36"/>
              <w:spacing w:after="0" w:line="159" w:lineRule="exact"/>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3"/>
                <w:szCs w:val="13"/>
                <w:color w:val="auto"/>
              </w:rPr>
            </w:pPr>
          </w:p>
        </w:tc>
        <w:tc>
          <w:tcPr>
            <w:tcW w:w="1020" w:type="dxa"/>
            <w:vAlign w:val="bottom"/>
            <w:gridSpan w:val="2"/>
          </w:tcPr>
          <w:p>
            <w:pPr>
              <w:jc w:val="right"/>
              <w:ind w:right="72"/>
              <w:spacing w:after="0" w:line="159"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Accumulate</w:t>
            </w: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432"/>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9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Intangible</w:t>
            </w: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gross</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54"/>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assets, net</w:t>
            </w:r>
          </w:p>
        </w:tc>
      </w:tr>
      <w:tr>
        <w:trPr>
          <w:trHeight w:val="22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791</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791</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commercial</w:t>
            </w: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(837 )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484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(479 )</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 — defense</w:t>
            </w: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2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2,202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(1,374 )</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(1,369 )</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833</w:t>
            </w: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-179070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2029</w:t>
            </w:r>
          </w:p>
        </w:tc>
      </w:tr>
      <w:tr>
        <w:trPr>
          <w:trHeight w:val="26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r>
      <w:tr>
        <w:trPr>
          <w:trHeight w:val="578"/>
        </w:trPr>
        <w:tc>
          <w:tcPr>
            <w:tcW w:w="518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5"/>
        </w:trPr>
        <w:tc>
          <w:tcPr>
            <w:tcW w:w="5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-889635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-872490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-889635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-872490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-889635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-872490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-889635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-872490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7"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8" w:lineRule="exact"/>
        <w:rPr>
          <w:sz w:val="20"/>
          <w:szCs w:val="20"/>
          <w:color w:val="auto"/>
        </w:rPr>
      </w:pPr>
    </w:p>
    <w:p>
      <w:pPr>
        <w:ind w:right="320" w:firstLine="494"/>
        <w:spacing w:after="0" w:line="243"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2024 and December 31, 2023, the Company did not have any Level 3 financial assets or liabilities.</w:t>
      </w:r>
    </w:p>
    <w:p>
      <w:pPr>
        <w:spacing w:after="0" w:line="125" w:lineRule="exact"/>
        <w:rPr>
          <w:sz w:val="20"/>
          <w:szCs w:val="20"/>
          <w:color w:val="auto"/>
        </w:rPr>
      </w:pPr>
    </w:p>
    <w:p>
      <w:pPr>
        <w:ind w:right="60" w:firstLine="494"/>
        <w:spacing w:after="0" w:line="241"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and time deposits.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74"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w:t>
      </w:r>
    </w:p>
    <w:p>
      <w:pPr>
        <w:spacing w:after="0" w:line="63"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and non-current assets in the Condensed Consolidated Balance Sheets. See "Note H. Derivatives” for more information regarding the Company's interest rate swaps.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2024 and December 31, 2023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center"/>
              <w:ind w:left="98"/>
              <w:spacing w:after="0" w:line="159" w:lineRule="exact"/>
              <w:rPr>
                <w:sz w:val="20"/>
                <w:szCs w:val="20"/>
                <w:color w:val="auto"/>
              </w:rPr>
            </w:pPr>
            <w:r>
              <w:rPr>
                <w:rFonts w:ascii="Arial" w:cs="Arial" w:eastAsia="Arial" w:hAnsi="Arial"/>
                <w:sz w:val="14"/>
                <w:szCs w:val="14"/>
                <w:b w:val="1"/>
                <w:bCs w:val="1"/>
                <w:color w:val="auto"/>
              </w:rPr>
              <w:t>Quoted Prices in Active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3"/>
          </w:tcPr>
          <w:p>
            <w:pPr>
              <w:jc w:val="center"/>
              <w:ind w:left="39"/>
              <w:spacing w:after="0" w:line="159" w:lineRule="exact"/>
              <w:rPr>
                <w:sz w:val="20"/>
                <w:szCs w:val="20"/>
                <w:color w:val="auto"/>
              </w:rPr>
            </w:pPr>
            <w:r>
              <w:rPr>
                <w:rFonts w:ascii="Arial" w:cs="Arial" w:eastAsia="Arial" w:hAnsi="Arial"/>
                <w:sz w:val="14"/>
                <w:szCs w:val="14"/>
                <w:b w:val="1"/>
                <w:bCs w:val="1"/>
                <w:color w:val="auto"/>
              </w:rPr>
              <w:t>Significant 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rPr>
              <w:t>Markets for Identical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98"/>
              <w:spacing w:after="0"/>
              <w:rPr>
                <w:sz w:val="20"/>
                <w:szCs w:val="20"/>
                <w:color w:val="auto"/>
              </w:rPr>
            </w:pPr>
            <w:r>
              <w:rPr>
                <w:rFonts w:ascii="Arial" w:cs="Arial" w:eastAsia="Arial" w:hAnsi="Arial"/>
                <w:sz w:val="14"/>
                <w:szCs w:val="14"/>
                <w:b w:val="1"/>
                <w:bCs w:val="1"/>
                <w:color w:val="auto"/>
              </w:rPr>
              <w:t>Assets (Level 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r>
      <w:tr>
        <w:trPr>
          <w:trHeight w:val="160"/>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18"/>
              <w:spacing w:after="0" w:line="15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280" w:type="dxa"/>
            <w:vAlign w:val="bottom"/>
            <w:gridSpan w:val="2"/>
          </w:tcPr>
          <w:p>
            <w:pPr>
              <w:jc w:val="right"/>
              <w:ind w:right="15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99"/>
              <w:spacing w:after="0" w:line="15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220" w:type="dxa"/>
            <w:vAlign w:val="bottom"/>
            <w:gridSpan w:val="2"/>
          </w:tcPr>
          <w:p>
            <w:pPr>
              <w:jc w:val="right"/>
              <w:ind w:right="110"/>
              <w:spacing w:after="0" w:line="15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76"/>
              <w:spacing w:after="0" w:line="15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220" w:type="dxa"/>
            <w:vAlign w:val="bottom"/>
            <w:gridSpan w:val="2"/>
          </w:tcPr>
          <w:p>
            <w:pPr>
              <w:jc w:val="right"/>
              <w:ind w:right="113"/>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223"/>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370</w:t>
            </w:r>
          </w:p>
        </w:tc>
        <w:tc>
          <w:tcPr>
            <w:tcW w:w="9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370</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421</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29"/>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Rabbi trust assets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Deferred compensation obligation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23"/>
        </w:trPr>
        <w:tc>
          <w:tcPr>
            <w:tcW w:w="298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8"/>
              <w:spacing w:after="0"/>
              <w:rPr>
                <w:sz w:val="20"/>
                <w:szCs w:val="20"/>
                <w:color w:val="auto"/>
              </w:rPr>
            </w:pPr>
            <w:r>
              <w:rPr>
                <w:rFonts w:ascii="Arial" w:cs="Arial" w:eastAsia="Arial" w:hAnsi="Arial"/>
                <w:sz w:val="18"/>
                <w:szCs w:val="18"/>
                <w:b w:val="1"/>
                <w:bCs w:val="1"/>
                <w:color w:val="auto"/>
              </w:rPr>
              <w:t>384</w:t>
            </w:r>
          </w:p>
        </w:tc>
        <w:tc>
          <w:tcPr>
            <w:tcW w:w="9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b w:val="1"/>
                <w:bCs w:val="1"/>
                <w:color w:val="auto"/>
              </w:rPr>
              <w:t>14</w:t>
            </w:r>
          </w:p>
        </w:tc>
        <w:tc>
          <w:tcPr>
            <w:tcW w:w="10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b w:val="1"/>
                <w:bCs w:val="1"/>
                <w:color w:val="auto"/>
              </w:rPr>
              <w:t>398</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453</w:t>
            </w:r>
          </w:p>
        </w:tc>
      </w:tr>
      <w:tr>
        <w:trPr>
          <w:trHeight w:val="20"/>
        </w:trPr>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-179070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-179070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-179070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-179070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1"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The Company holds equity securities in an unconsolidated entity without a readily determinable fair value. This investment represents a less than a 20% ownership interest in the privately-held affiliate, and the Company does not maintain significant influence over or control of the entity. The Company has elected the measurement alternative and measures the investment at cost, less any impairment, plus or minus adjustments related to observable transactions for the same or similar securities. This equity investment is recorded in Other non-current assets in the Condensed Consolidated Balance Sheets, with changes in the value recorded in Other (expense) income, net in the Consolidated Statements of Comprehensive Income. As of both March 31, 2024 and December 31, 2023, the Company held equity securities without a readily determinable fair value of $5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7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Credit Facility Term Loan, variable, due 2026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618</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fixed 4.75%, due 2027</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Notes, fixed 5.875%, due 2029</w:t>
            </w:r>
          </w:p>
        </w:tc>
        <w:tc>
          <w:tcPr>
            <w:tcW w:w="280" w:type="dxa"/>
            <w:vAlign w:val="bottom"/>
          </w:tcPr>
          <w:p>
            <w:pPr>
              <w:spacing w:after="0"/>
              <w:rPr>
                <w:sz w:val="19"/>
                <w:szCs w:val="19"/>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500</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Credit Facility Term Loan, variable, due 2031</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Notes, fixed 3.75%, due 2031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r>
      <w:tr>
        <w:trPr>
          <w:trHeight w:val="22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2,418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2,518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Pr>
          <w:p>
            <w:pPr>
              <w:spacing w:after="0"/>
              <w:rPr>
                <w:sz w:val="19"/>
                <w:szCs w:val="19"/>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w:t>
            </w:r>
          </w:p>
        </w:tc>
      </w:tr>
      <w:tr>
        <w:trPr>
          <w:trHeight w:val="22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deferred financing costs, net</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long-term debt,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3"/>
              <w:spacing w:after="0"/>
              <w:rPr>
                <w:sz w:val="20"/>
                <w:szCs w:val="20"/>
                <w:color w:val="auto"/>
              </w:rPr>
            </w:pPr>
            <w:r>
              <w:rPr>
                <w:rFonts w:ascii="Arial" w:cs="Arial" w:eastAsia="Arial" w:hAnsi="Arial"/>
                <w:sz w:val="18"/>
                <w:szCs w:val="18"/>
                <w:b w:val="1"/>
                <w:bCs w:val="1"/>
                <w:color w:val="auto"/>
              </w:rPr>
              <w:t>2,398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2,497</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3"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As of March 31, 2024, the Company had $2,418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$518 million due March 2031 (“Term Loan”) and ATI’s revolving credit facility with commitments in the amount of $750 million due March 2029 (“Revolving Credit Facility” and, together with the Term Loan, the “Senior Secured Credit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jc w:val="both"/>
        <w:ind w:right="60" w:firstLine="494"/>
        <w:spacing w:after="0" w:line="252" w:lineRule="auto"/>
        <w:rPr>
          <w:sz w:val="20"/>
          <w:szCs w:val="20"/>
          <w:color w:val="auto"/>
        </w:rPr>
      </w:pPr>
      <w:r>
        <w:rPr>
          <w:rFonts w:ascii="Arial" w:cs="Arial" w:eastAsia="Arial" w:hAnsi="Arial"/>
          <w:sz w:val="18"/>
          <w:szCs w:val="18"/>
          <w:color w:val="auto"/>
        </w:rPr>
        <w:t>The fair value of the Company’s long-term debt obligations as of March 31, 2024 was $2,271 million. The fair value is based on quoted Level 2 market prices of the Company’s debt as of March 31, 2024. The difference between the fair value and carrying value of the long-term debt is driven primarily by trends in the financial markets.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1"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In March 2024, the Company and ATI entered into Amendment No. 4 ("Amendment") to the Credit Agreement, after giving effect to a $101 million principal prepayment, to remove the 0.10% credit spread adjustment to the SOFR benchmark for all available interest periods and increase the commitments under the existing Revolving Credit Facility by $100 million. The Amendment also extended the maturity of the existing Term Loan from 2026 to 2031 and extended the existing Revolving Credit Facility termination date from 2025 to 2029. With the exception of the items noted above, the terms of the extended Term Loan and Revolving Credit Facility are materially the same as they were prior to the Amendment. The Amendment was treated as a modification to the Senior Secured Credit Facility under GAAP. The Company recorded $4 million as new deferred financing fees in the Condensed Consolidated Balance Sheet as of March 31, 2024 and expensed $1 million of prior deferred financing fees in the Condensed Consolidated Statement of Comprehensive Income during the first quarter of 2024.</w:t>
      </w:r>
    </w:p>
    <w:p>
      <w:pPr>
        <w:spacing w:after="0" w:line="77"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March 31, 2024,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March 31, 2024, the Company elected to pay the lowest all-in rate of Term SOFR plus the applicable margin, or 7.07%,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March 31, 2024, there had been no payments required for certain net cash proceeds of non-ordinary course asset sales and casualty and condemnation events. The remaining principal balance is due upon maturity.</w:t>
      </w:r>
    </w:p>
    <w:p>
      <w:pPr>
        <w:spacing w:after="0" w:line="72" w:lineRule="exact"/>
        <w:rPr>
          <w:sz w:val="20"/>
          <w:szCs w:val="20"/>
          <w:color w:val="auto"/>
        </w:rPr>
      </w:pPr>
    </w:p>
    <w:p>
      <w:pPr>
        <w:ind w:firstLine="494"/>
        <w:spacing w:after="0" w:line="252"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During the three months ended March 31, 2024, the Company made no withdrawals on the Revolving Credit Facility. As of March 31, 2024, the Company had $745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w:t>
      </w:r>
    </w:p>
    <w:p>
      <w:pPr>
        <w:spacing w:after="0" w:line="238" w:lineRule="auto"/>
        <w:rPr>
          <w:sz w:val="20"/>
          <w:szCs w:val="20"/>
          <w:color w:val="auto"/>
        </w:rPr>
      </w:pPr>
      <w:r>
        <w:rPr>
          <w:rFonts w:ascii="Arial" w:cs="Arial" w:eastAsia="Arial" w:hAnsi="Arial"/>
          <w:sz w:val="18"/>
          <w:szCs w:val="18"/>
          <w:color w:val="auto"/>
        </w:rPr>
        <w:t>0.75% over the Base Rate or (b) 1.75% over the Term SOFR Rate; when the Company’s first lien net leverage ratio is equal to or less than</w:t>
      </w:r>
    </w:p>
    <w:p>
      <w:pPr>
        <w:ind w:right="100"/>
        <w:spacing w:after="0" w:line="237" w:lineRule="auto"/>
        <w:rPr>
          <w:sz w:val="20"/>
          <w:szCs w:val="20"/>
          <w:color w:val="auto"/>
        </w:rPr>
      </w:pPr>
      <w:r>
        <w:rPr>
          <w:rFonts w:ascii="Arial" w:cs="Arial" w:eastAsia="Arial" w:hAnsi="Arial"/>
          <w:sz w:val="18"/>
          <w:szCs w:val="18"/>
          <w:color w:val="auto"/>
        </w:rPr>
        <w:t>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March 31, 2024, the applicable margin for the Revolving Credit Facility was 1.25%. In addition, there is an annual commitment fee, based on the Company’s first lien net leverage ratio, on the average unused revolving credit borrowings available under the Revolving Credit Facility. As of March 31, 2024, the commitment fee was 0.25%. Borrowings under the Revolving Credit Facility are payable at the option of the Company throughout the term of the Revolving Credit Facility with the balance due in March 2029.</w:t>
      </w:r>
    </w:p>
    <w:p>
      <w:pPr>
        <w:spacing w:after="0" w:line="75"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end of a fiscal quarter. As of March 31, 2024, the Company had no amounts outstanding under the Revolving Credit Facility; however, the Company would have been in compliance with the maximum first lien net leverage ratio, achieving a (0.03x)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68"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2024, the Company was in compliance with all covenants under the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1"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2024, the Company was in compliance with all covenants under the indentures governing the Senior Notes.</w:t>
      </w:r>
    </w:p>
    <w:p>
      <w:pPr>
        <w:spacing w:after="0" w:line="73"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may be redeemed at any time at redemption prices specified in the indenture governing such notes. Some or all of the 5.875% Senior Notes may be redeemed prior to June 1, 2024 by paying a price equal to 100.00% of the principal amount being redeemed, plus an “applicable premium”. At any time on or after June 1, 2024, ATI may redeem some or all of the 5.875% Senior Notes at redemption prices specified in the indenture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3"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are designated as cash flow hedges that qualify for hedge accounting under the hypothetical derivative method. During the first quarter of 2024, the Company and ATI entered into the Amendment to the Credit Agreement that changed critical terms of the hedged item. Therefore, the Company performed a quantitative assessment that demonstrated a highly effective hedging relationship that qualifies for hedge accounting under the hypothetical derivative method.</w:t>
      </w:r>
    </w:p>
    <w:p>
      <w:pPr>
        <w:spacing w:after="0" w:line="71" w:lineRule="exact"/>
        <w:rPr>
          <w:sz w:val="20"/>
          <w:szCs w:val="20"/>
          <w:color w:val="auto"/>
        </w:rPr>
      </w:pPr>
    </w:p>
    <w:p>
      <w:pPr>
        <w:ind w:right="480" w:firstLine="544"/>
        <w:spacing w:after="0" w:line="301" w:lineRule="auto"/>
        <w:rPr>
          <w:sz w:val="20"/>
          <w:szCs w:val="20"/>
          <w:color w:val="auto"/>
        </w:rPr>
      </w:pPr>
      <w:r>
        <w:rPr>
          <w:rFonts w:ascii="Arial" w:cs="Arial" w:eastAsia="Arial" w:hAnsi="Arial"/>
          <w:sz w:val="17"/>
          <w:szCs w:val="17"/>
          <w:color w:val="auto"/>
        </w:rPr>
        <w:t>As of March 31, 2024, the Company held interest rate swap contracts that, in the aggregate, effectively hedge $500 million of the variable rate debt associated with the Term Loan at the Term SOFR weighted average fixed rate of 2.81% through September 2025.</w:t>
      </w:r>
    </w:p>
    <w:p>
      <w:pPr>
        <w:spacing w:after="0" w:line="22" w:lineRule="exact"/>
        <w:rPr>
          <w:sz w:val="20"/>
          <w:szCs w:val="20"/>
          <w:color w:val="auto"/>
        </w:rPr>
      </w:pPr>
    </w:p>
    <w:p>
      <w:pPr>
        <w:ind w:right="20" w:firstLine="544"/>
        <w:spacing w:after="0" w:line="252" w:lineRule="auto"/>
        <w:rPr>
          <w:sz w:val="20"/>
          <w:szCs w:val="20"/>
          <w:color w:val="auto"/>
        </w:rPr>
      </w:pPr>
      <w:r>
        <w:rPr>
          <w:rFonts w:ascii="Arial" w:cs="Arial" w:eastAsia="Arial" w:hAnsi="Arial"/>
          <w:sz w:val="18"/>
          <w:szCs w:val="18"/>
          <w:color w:val="auto"/>
        </w:rPr>
        <w:t>Fair value adjustments are recorded as a component of Accumulated other comprehensive loss, net of tax (“AOCL”) in the Condensed Consolidated Balance Sheets. Balances in AOCL are reclassified to earnings when transactions related to the underlying risk are settled. See "Note F. Fair Value of Financial Instruments” for information regarding the fair value of the Company’s interest rate swaps.</w:t>
      </w:r>
    </w:p>
    <w:p>
      <w:pPr>
        <w:spacing w:after="0" w:line="63" w:lineRule="exact"/>
        <w:rPr>
          <w:sz w:val="20"/>
          <w:szCs w:val="20"/>
          <w:color w:val="auto"/>
        </w:rPr>
      </w:pPr>
    </w:p>
    <w:p>
      <w:pPr>
        <w:ind w:right="780" w:firstLine="494"/>
        <w:spacing w:after="0" w:line="271"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Borders>
              <w:bottom w:val="single" w:sz="8" w:color="auto"/>
            </w:tcBorders>
          </w:tcPr>
          <w:p>
            <w:pPr>
              <w:spacing w:after="0"/>
              <w:rPr>
                <w:sz w:val="16"/>
                <w:szCs w:val="16"/>
                <w:color w:val="auto"/>
              </w:rPr>
            </w:pPr>
          </w:p>
        </w:tc>
      </w:tr>
      <w:tr>
        <w:trPr>
          <w:trHeight w:val="160"/>
        </w:trPr>
        <w:tc>
          <w:tcPr>
            <w:tcW w:w="39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9"/>
              <w:spacing w:after="0" w:line="15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3960" w:type="dxa"/>
            <w:vAlign w:val="bottom"/>
          </w:tcPr>
          <w:p>
            <w:pPr>
              <w:spacing w:after="0"/>
              <w:rPr>
                <w:sz w:val="16"/>
                <w:szCs w:val="16"/>
                <w:color w:val="auto"/>
              </w:rPr>
            </w:pPr>
          </w:p>
        </w:tc>
        <w:tc>
          <w:tcPr>
            <w:tcW w:w="362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2023</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Assets:</w:t>
            </w:r>
          </w:p>
        </w:tc>
        <w:tc>
          <w:tcPr>
            <w:tcW w:w="34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9"/>
        </w:trPr>
        <w:tc>
          <w:tcPr>
            <w:tcW w:w="396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5"/>
              <w:spacing w:after="0"/>
              <w:rPr>
                <w:sz w:val="20"/>
                <w:szCs w:val="20"/>
                <w:color w:val="auto"/>
              </w:rPr>
            </w:pPr>
            <w:r>
              <w:rPr>
                <w:rFonts w:ascii="Arial" w:cs="Arial" w:eastAsia="Arial" w:hAnsi="Arial"/>
                <w:sz w:val="18"/>
                <w:szCs w:val="18"/>
                <w:b w:val="1"/>
                <w:bCs w:val="1"/>
                <w:color w:val="auto"/>
              </w:rPr>
              <w:t>10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7</w:t>
            </w:r>
          </w:p>
        </w:tc>
      </w:tr>
      <w:tr>
        <w:trPr>
          <w:trHeight w:val="229"/>
        </w:trPr>
        <w:tc>
          <w:tcPr>
            <w:tcW w:w="396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2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w:t>
            </w:r>
          </w:p>
        </w:tc>
      </w:tr>
      <w:tr>
        <w:trPr>
          <w:trHeight w:val="223"/>
        </w:trPr>
        <w:tc>
          <w:tcPr>
            <w:tcW w:w="3960" w:type="dxa"/>
            <w:vAlign w:val="bottom"/>
          </w:tcPr>
          <w:p>
            <w:pPr>
              <w:ind w:left="280"/>
              <w:spacing w:after="0"/>
              <w:rPr>
                <w:sz w:val="20"/>
                <w:szCs w:val="20"/>
                <w:color w:val="auto"/>
              </w:rPr>
            </w:pPr>
            <w:r>
              <w:rPr>
                <w:rFonts w:ascii="Arial" w:cs="Arial" w:eastAsia="Arial" w:hAnsi="Arial"/>
                <w:sz w:val="18"/>
                <w:szCs w:val="18"/>
                <w:color w:val="auto"/>
              </w:rPr>
              <w:t>Total derivative assets</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5"/>
              <w:spacing w:after="0"/>
              <w:rPr>
                <w:sz w:val="20"/>
                <w:szCs w:val="20"/>
                <w:color w:val="auto"/>
              </w:rPr>
            </w:pPr>
            <w:r>
              <w:rPr>
                <w:rFonts w:ascii="Arial" w:cs="Arial" w:eastAsia="Arial" w:hAnsi="Arial"/>
                <w:sz w:val="18"/>
                <w:szCs w:val="18"/>
                <w:b w:val="1"/>
                <w:bCs w:val="1"/>
                <w:color w:val="auto"/>
              </w:rPr>
              <w:t>14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12</w:t>
            </w:r>
          </w:p>
        </w:tc>
      </w:tr>
      <w:tr>
        <w:trPr>
          <w:trHeight w:val="20"/>
        </w:trPr>
        <w:tc>
          <w:tcPr>
            <w:tcW w:w="3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-179070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3"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The balance of net derivative gains recorded in AOCL as of March 31, 2024 and December 31, 2023 was $14 million and $12 million, respectively. See "Note O. Accumulated Other Comprehensive Loss” for information regarding activity recorded as a component of AOCL during the three months ended March 31, 2024 and 2023. As of March 31, 2024, the Company had $9 million of derivative gains recorded in AOCL expected to be reclassified to earnings within the next twelve months.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03"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As of March 31, 2024, current and non-current product warranty liabilities were $ 30 million and $28 million, respectively. As of March 31, 2023, current and non-current product warranty liabilities were $27 million and $32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2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tcPr>
          <w:p>
            <w:pPr>
              <w:spacing w:after="0"/>
              <w:rPr>
                <w:sz w:val="15"/>
                <w:szCs w:val="15"/>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22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59</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liability (warranty issued during period)</w:t>
            </w: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adjustments to liability</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r>
      <w:tr>
        <w:trPr>
          <w:trHeight w:val="263"/>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58</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6033135</wp:posOffset>
            </wp:positionH>
            <wp:positionV relativeFrom="paragraph">
              <wp:posOffset>-24765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03"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As of March 31, 2024, current and non-current deferred revenue were $42 million and $92 million, respectively. As of March 31, 2023, current and non-current deferred revenue were $45 million and $94 million, respectively.</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21"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60" w:type="dxa"/>
            <w:vAlign w:val="bottom"/>
          </w:tcPr>
          <w:p>
            <w:pPr>
              <w:spacing w:after="0"/>
              <w:rPr>
                <w:sz w:val="15"/>
                <w:szCs w:val="15"/>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2023</w:t>
            </w:r>
          </w:p>
        </w:tc>
      </w:tr>
      <w:tr>
        <w:trPr>
          <w:trHeight w:val="22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540" w:type="dxa"/>
            <w:vAlign w:val="bottom"/>
            <w:shd w:val="clear" w:color="auto" w:fill="CFF0FC"/>
          </w:tcPr>
          <w:p>
            <w:pPr>
              <w:jc w:val="right"/>
              <w:ind w:right="1356"/>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130</w:t>
            </w:r>
          </w:p>
        </w:tc>
        <w:tc>
          <w:tcPr>
            <w:tcW w:w="7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Increases</w:t>
            </w:r>
          </w:p>
        </w:tc>
        <w:tc>
          <w:tcPr>
            <w:tcW w:w="15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17</w:t>
            </w:r>
          </w:p>
        </w:tc>
      </w:tr>
      <w:tr>
        <w:trPr>
          <w:trHeight w:val="229"/>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earned</w:t>
            </w:r>
          </w:p>
        </w:tc>
        <w:tc>
          <w:tcPr>
            <w:tcW w:w="15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(9 )</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540" w:type="dxa"/>
            <w:vAlign w:val="bottom"/>
          </w:tcPr>
          <w:p>
            <w:pPr>
              <w:jc w:val="right"/>
              <w:ind w:right="1356"/>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134</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139</w:t>
            </w:r>
          </w:p>
        </w:tc>
      </w:tr>
      <w:tr>
        <w:trPr>
          <w:trHeight w:val="20"/>
        </w:trPr>
        <w:tc>
          <w:tcPr>
            <w:tcW w:w="64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-179070</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3" w:lineRule="exact"/>
        <w:rPr>
          <w:sz w:val="20"/>
          <w:szCs w:val="20"/>
          <w:color w:val="auto"/>
        </w:rPr>
      </w:pPr>
    </w:p>
    <w:p>
      <w:pPr>
        <w:jc w:val="both"/>
        <w:ind w:right="200" w:firstLine="494"/>
        <w:spacing w:after="0" w:line="252" w:lineRule="auto"/>
        <w:rPr>
          <w:sz w:val="20"/>
          <w:szCs w:val="20"/>
          <w:color w:val="auto"/>
        </w:rPr>
      </w:pPr>
      <w:r>
        <w:rPr>
          <w:rFonts w:ascii="Arial" w:cs="Arial" w:eastAsia="Arial" w:hAnsi="Arial"/>
          <w:sz w:val="18"/>
          <w:szCs w:val="18"/>
          <w:color w:val="auto"/>
        </w:rPr>
        <w:t>Deferred revenue recorded in current and non-current liabilities related to ETC as of March 31, 2024 was $29 million and $89 million, respectively. Deferred revenue recorded in current and non-current liabilities related to ETC as of March 31, 2023 was $30 million and $84 million, respectively.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03"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both March 31, 2024 and December 31, 2023,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5" w:lineRule="exact"/>
        <w:rPr>
          <w:sz w:val="20"/>
          <w:szCs w:val="20"/>
          <w:color w:val="auto"/>
        </w:rPr>
      </w:pPr>
    </w:p>
    <w:p>
      <w:pPr>
        <w:ind w:right="320" w:firstLine="494"/>
        <w:spacing w:after="0" w:line="252"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3"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March 31, 2024 and December 31, 2023 was 4.76% and 4.75%, respectively.</w:t>
      </w:r>
    </w:p>
    <w:p>
      <w:pPr>
        <w:spacing w:after="0" w:line="74" w:lineRule="exact"/>
        <w:rPr>
          <w:sz w:val="20"/>
          <w:szCs w:val="20"/>
          <w:color w:val="auto"/>
        </w:rPr>
      </w:pPr>
    </w:p>
    <w:p>
      <w:pPr>
        <w:ind w:right="40" w:firstLine="494"/>
        <w:spacing w:after="0" w:line="246" w:lineRule="auto"/>
        <w:rPr>
          <w:sz w:val="20"/>
          <w:szCs w:val="20"/>
          <w:color w:val="auto"/>
        </w:rPr>
      </w:pPr>
      <w:r>
        <w:rPr>
          <w:rFonts w:ascii="Arial" w:cs="Arial" w:eastAsia="Arial" w:hAnsi="Arial"/>
          <w:sz w:val="18"/>
          <w:szCs w:val="18"/>
          <w:color w:val="auto"/>
        </w:rPr>
        <w:t>As of March 31, 2024, the Company recorded current and non-current operating lease liabilities of $5 million and $15 million, respectively. As of December 31, 2023, the Company recorded current and non-current operating lease liabilities of $4 million and $14 million, respectively. The following table reconciles future undiscounted cash flows for operating leases to total operating lease liabilities as of March 31, 2024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jc w:val="right"/>
              <w:ind w:right="633"/>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9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2024</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the remainder of 2024</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r>
      <w:tr>
        <w:trPr>
          <w:trHeight w:val="223"/>
        </w:trPr>
        <w:tc>
          <w:tcPr>
            <w:tcW w:w="9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23</w:t>
            </w:r>
          </w:p>
        </w:tc>
      </w:tr>
      <w:tr>
        <w:trPr>
          <w:trHeight w:val="229"/>
        </w:trPr>
        <w:tc>
          <w:tcPr>
            <w:tcW w:w="9240" w:type="dxa"/>
            <w:vAlign w:val="bottom"/>
          </w:tcPr>
          <w:p>
            <w:pPr>
              <w:ind w:left="520"/>
              <w:spacing w:after="0"/>
              <w:rPr>
                <w:sz w:val="20"/>
                <w:szCs w:val="20"/>
                <w:color w:val="auto"/>
              </w:rPr>
            </w:pPr>
            <w:r>
              <w:rPr>
                <w:rFonts w:ascii="Arial" w:cs="Arial" w:eastAsia="Arial" w:hAnsi="Arial"/>
                <w:sz w:val="18"/>
                <w:szCs w:val="18"/>
                <w:color w:val="auto"/>
              </w:rPr>
              <w:t>Less: Interest</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r>
      <w:tr>
        <w:trPr>
          <w:trHeight w:val="263"/>
        </w:trPr>
        <w:tc>
          <w:tcPr>
            <w:tcW w:w="9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Present value of operating lease liabilities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w:t>
            </w:r>
          </w:p>
        </w:tc>
      </w:tr>
    </w:tbl>
    <w:p>
      <w:pPr>
        <w:spacing w:after="0" w:line="183"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536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w:t>
            </w:r>
          </w:p>
        </w:tc>
      </w:tr>
      <w:tr>
        <w:trPr>
          <w:trHeight w:val="22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4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Vehicles</w:t>
            </w:r>
          </w:p>
        </w:tc>
        <w:tc>
          <w:tcPr>
            <w:tcW w:w="41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r>
      <w:tr>
        <w:trPr>
          <w:trHeight w:val="263"/>
        </w:trPr>
        <w:tc>
          <w:tcPr>
            <w:tcW w:w="3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ROU assets</w:t>
            </w:r>
          </w:p>
        </w:tc>
        <w:tc>
          <w:tcPr>
            <w:tcW w:w="536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r>
      <w:tr>
        <w:trPr>
          <w:trHeight w:val="578"/>
        </w:trPr>
        <w:tc>
          <w:tcPr>
            <w:tcW w:w="3600" w:type="dxa"/>
            <w:vAlign w:val="bottom"/>
            <w:tcBorders>
              <w:top w:val="single" w:sz="8" w:color="CFF0FC"/>
            </w:tcBorders>
          </w:tcPr>
          <w:p>
            <w:pPr>
              <w:spacing w:after="0"/>
              <w:rPr>
                <w:sz w:val="24"/>
                <w:szCs w:val="24"/>
                <w:color w:val="auto"/>
              </w:rPr>
            </w:pPr>
          </w:p>
        </w:tc>
        <w:tc>
          <w:tcPr>
            <w:tcW w:w="414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17</w:t>
            </w:r>
          </w:p>
        </w:tc>
        <w:tc>
          <w:tcPr>
            <w:tcW w:w="1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45"/>
        </w:trPr>
        <w:tc>
          <w:tcPr>
            <w:tcW w:w="3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-889635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-872490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remaining lease term as of March 31, 2024 and March 31, 2023 was 5.8 years and 6.1 years, respectively.</w:t>
      </w:r>
    </w:p>
    <w:p>
      <w:pPr>
        <w:spacing w:after="0" w:line="103" w:lineRule="exact"/>
        <w:rPr>
          <w:sz w:val="20"/>
          <w:szCs w:val="20"/>
          <w:color w:val="auto"/>
        </w:rPr>
      </w:pPr>
    </w:p>
    <w:p>
      <w:pPr>
        <w:ind w:right="140" w:firstLine="494"/>
        <w:spacing w:after="0" w:line="246" w:lineRule="auto"/>
        <w:rPr>
          <w:sz w:val="20"/>
          <w:szCs w:val="20"/>
          <w:color w:val="auto"/>
        </w:rPr>
      </w:pPr>
      <w:r>
        <w:rPr>
          <w:rFonts w:ascii="Arial" w:cs="Arial" w:eastAsia="Arial" w:hAnsi="Arial"/>
          <w:sz w:val="18"/>
          <w:szCs w:val="18"/>
          <w:color w:val="auto"/>
        </w:rPr>
        <w:t>Operating lease expense was $2 million and $1 million for the three months ended March 31, 2024 and 2023, respectively. Operating lease expense was recorded within Selling, general and administrative expense and Engineering — research and development on the Company's Condensed Consolidated Statements of Comprehensive Income. There was no material short-term operating lease expense for either of the three months ended March 31, 2024 or 2023.</w:t>
      </w:r>
    </w:p>
    <w:p>
      <w:pPr>
        <w:spacing w:after="0" w:line="68"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During the three months ended March 31, 2024 and 2023, the Company recorded $3 million and $1 million, respectively, of new ROU assets obtained in exchange for lease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payable</w:t>
            </w:r>
          </w:p>
        </w:tc>
        <w:tc>
          <w:tcPr>
            <w:tcW w:w="1180" w:type="dxa"/>
            <w:vAlign w:val="bottom"/>
            <w:shd w:val="clear" w:color="auto" w:fill="CFF0FC"/>
          </w:tcPr>
          <w:p>
            <w:pPr>
              <w:jc w:val="right"/>
              <w:ind w:right="999"/>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Payroll and related costs</w:t>
            </w:r>
          </w:p>
        </w:tc>
        <w:tc>
          <w:tcPr>
            <w:tcW w:w="11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89</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incentives</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1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Vendor buyback obligation</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1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accruals</w:t>
            </w:r>
          </w:p>
        </w:tc>
        <w:tc>
          <w:tcPr>
            <w:tcW w:w="11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ind w:right="99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197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212</w:t>
            </w:r>
          </w:p>
        </w:tc>
      </w:tr>
      <w:tr>
        <w:trPr>
          <w:trHeight w:val="20"/>
        </w:trPr>
        <w:tc>
          <w:tcPr>
            <w:tcW w:w="7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 of the following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Borders>
              <w:bottom w:val="single" w:sz="8" w:color="auto"/>
            </w:tcBorders>
            <w:gridSpan w:val="4"/>
          </w:tcPr>
          <w:p>
            <w:pPr>
              <w:jc w:val="center"/>
              <w:ind w:left="224"/>
              <w:spacing w:after="0"/>
              <w:rPr>
                <w:sz w:val="20"/>
                <w:szCs w:val="20"/>
                <w:color w:val="auto"/>
              </w:rPr>
            </w:pPr>
            <w:r>
              <w:rPr>
                <w:rFonts w:ascii="Arial" w:cs="Arial" w:eastAsia="Arial" w:hAnsi="Arial"/>
                <w:sz w:val="14"/>
                <w:szCs w:val="14"/>
                <w:b w:val="1"/>
                <w:bCs w:val="1"/>
                <w:color w:val="auto"/>
              </w:rPr>
              <w:t>Post-retirement Benefits</w:t>
            </w:r>
          </w:p>
        </w:tc>
        <w:tc>
          <w:tcPr>
            <w:tcW w:w="40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2260" w:type="dxa"/>
            <w:vAlign w:val="bottom"/>
            <w:gridSpan w:val="4"/>
          </w:tcPr>
          <w:p>
            <w:pPr>
              <w:jc w:val="center"/>
              <w:ind w:left="221"/>
              <w:spacing w:after="0" w:line="159" w:lineRule="exact"/>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4"/>
          </w:tcPr>
          <w:p>
            <w:pPr>
              <w:jc w:val="center"/>
              <w:ind w:left="224"/>
              <w:spacing w:after="0" w:line="159" w:lineRule="exact"/>
              <w:rPr>
                <w:sz w:val="20"/>
                <w:szCs w:val="20"/>
                <w:color w:val="auto"/>
              </w:rPr>
            </w:pPr>
            <w:r>
              <w:rPr>
                <w:rFonts w:ascii="Arial" w:cs="Arial" w:eastAsia="Arial" w:hAnsi="Arial"/>
                <w:sz w:val="14"/>
                <w:szCs w:val="14"/>
                <w:b w:val="1"/>
                <w:bCs w:val="1"/>
                <w:color w:val="auto"/>
              </w:rPr>
              <w:t>For the Three Months</w:t>
            </w:r>
          </w:p>
        </w:tc>
        <w:tc>
          <w:tcPr>
            <w:tcW w:w="400" w:type="dxa"/>
            <w:vAlign w:val="bottom"/>
          </w:tcPr>
          <w:p>
            <w:pPr>
              <w:spacing w:after="0"/>
              <w:rPr>
                <w:sz w:val="13"/>
                <w:szCs w:val="13"/>
                <w:color w:val="auto"/>
              </w:rPr>
            </w:pPr>
          </w:p>
        </w:tc>
      </w:tr>
      <w:tr>
        <w:trPr>
          <w:trHeight w:val="189"/>
        </w:trPr>
        <w:tc>
          <w:tcPr>
            <w:tcW w:w="5820" w:type="dxa"/>
            <w:vAlign w:val="bottom"/>
          </w:tcPr>
          <w:p>
            <w:pPr>
              <w:spacing w:after="0"/>
              <w:rPr>
                <w:sz w:val="16"/>
                <w:szCs w:val="16"/>
                <w:color w:val="auto"/>
              </w:rPr>
            </w:pPr>
          </w:p>
        </w:tc>
        <w:tc>
          <w:tcPr>
            <w:tcW w:w="2260" w:type="dxa"/>
            <w:vAlign w:val="bottom"/>
            <w:gridSpan w:val="4"/>
          </w:tcPr>
          <w:p>
            <w:pPr>
              <w:jc w:val="center"/>
              <w:ind w:left="221"/>
              <w:spacing w:after="0"/>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6"/>
                <w:szCs w:val="16"/>
                <w:color w:val="auto"/>
              </w:rPr>
            </w:pPr>
          </w:p>
        </w:tc>
      </w:tr>
      <w:tr>
        <w:trPr>
          <w:trHeight w:val="185"/>
        </w:trPr>
        <w:tc>
          <w:tcPr>
            <w:tcW w:w="5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6"/>
                <w:szCs w:val="16"/>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64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periodic benefit cost (credit)</w:t>
            </w:r>
          </w:p>
        </w:tc>
        <w:tc>
          <w:tcPr>
            <w:tcW w:w="760" w:type="dxa"/>
            <w:vAlign w:val="bottom"/>
            <w:tcBorders>
              <w:bottom w:val="single" w:sz="8" w:color="auto"/>
            </w:tcBorders>
            <w:shd w:val="clear" w:color="auto" w:fill="CFF0FC"/>
          </w:tcPr>
          <w:p>
            <w:pPr>
              <w:jc w:val="right"/>
              <w:ind w:right="561"/>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(expense) income, net in the Condensed Consolidated Statements of Comprehensive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03" w:lineRule="exact"/>
        <w:rPr>
          <w:sz w:val="20"/>
          <w:szCs w:val="20"/>
          <w:color w:val="auto"/>
        </w:rPr>
      </w:pPr>
    </w:p>
    <w:p>
      <w:pPr>
        <w:ind w:right="40" w:firstLine="494"/>
        <w:spacing w:after="0" w:line="252" w:lineRule="auto"/>
        <w:rPr>
          <w:sz w:val="20"/>
          <w:szCs w:val="20"/>
          <w:color w:val="auto"/>
        </w:rPr>
      </w:pPr>
      <w:r>
        <w:rPr>
          <w:rFonts w:ascii="Arial" w:cs="Arial" w:eastAsia="Arial" w:hAnsi="Arial"/>
          <w:sz w:val="18"/>
          <w:szCs w:val="18"/>
          <w:color w:val="auto"/>
        </w:rPr>
        <w:t>For the three months ended March 31, 2024 and 2023, the Company recorded total income tax expense of $35 million and $42 million, respectively. The effective tax rate for the three months ended March 31, 2024 and 2023 was 17% and 20%, respectively. The decrease in the effective tax rate was principally driven by increased estimated U.S. federal income tax deductions.</w:t>
      </w:r>
    </w:p>
    <w:p>
      <w:pPr>
        <w:spacing w:after="0" w:line="63"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75"/>
              <w:spacing w:after="0" w:line="15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rPr>
              <w:t>and OPEB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liability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34"/>
              <w:spacing w:after="0"/>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rate swaps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items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March 31,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 as of December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(2 )</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(6 )</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AOCL as of March 31, 2024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-1095375</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-1095375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-1095375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-179070</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372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Amounts reclassified from AOCL</w:t>
            </w:r>
          </w:p>
        </w:tc>
        <w:tc>
          <w:tcPr>
            <w:tcW w:w="300" w:type="dxa"/>
            <w:vAlign w:val="bottom"/>
            <w:tcBorders>
              <w:bottom w:val="single" w:sz="8" w:color="auto"/>
            </w:tcBorders>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3340" w:type="dxa"/>
            <w:vAlign w:val="bottom"/>
          </w:tcPr>
          <w:p>
            <w:pPr>
              <w:jc w:val="center"/>
              <w:ind w:left="97"/>
              <w:spacing w:after="0" w:line="159"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AOCL Components</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March 31, 2024</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Borders>
              <w:bottom w:val="single" w:sz="8" w:color="auto"/>
            </w:tcBorders>
          </w:tcPr>
          <w:p>
            <w:pPr>
              <w:spacing w:after="0"/>
              <w:rPr>
                <w:sz w:val="16"/>
                <w:szCs w:val="16"/>
                <w:color w:val="auto"/>
              </w:rPr>
            </w:pPr>
          </w:p>
        </w:tc>
        <w:tc>
          <w:tcPr>
            <w:tcW w:w="3340" w:type="dxa"/>
            <w:vAlign w:val="bottom"/>
          </w:tcPr>
          <w:p>
            <w:pPr>
              <w:jc w:val="center"/>
              <w:ind w:left="11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FF0FC"/>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w:t>
            </w:r>
          </w:p>
        </w:tc>
        <w:tc>
          <w:tcPr>
            <w:tcW w:w="1780" w:type="dxa"/>
            <w:vAlign w:val="bottom"/>
            <w:gridSpan w:val="2"/>
            <w:shd w:val="clear" w:color="auto" w:fill="CFF0FC"/>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Prior service credit</w:t>
            </w:r>
          </w:p>
        </w:tc>
        <w:tc>
          <w:tcPr>
            <w:tcW w:w="16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34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Recognized actuarial gain</w:t>
            </w:r>
          </w:p>
        </w:tc>
        <w:tc>
          <w:tcPr>
            <w:tcW w:w="1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Total reclassifications, before tax</w:t>
            </w:r>
          </w:p>
        </w:tc>
        <w:tc>
          <w:tcPr>
            <w:tcW w:w="1620" w:type="dxa"/>
            <w:vAlign w:val="bottom"/>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780" w:type="dxa"/>
            <w:vAlign w:val="bottom"/>
            <w:gridSpan w:val="2"/>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3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(1 )</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(1 )</w:t>
            </w:r>
          </w:p>
        </w:tc>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Total reclassifications, net of tax</w:t>
            </w:r>
          </w:p>
        </w:tc>
        <w:tc>
          <w:tcPr>
            <w:tcW w:w="1620" w:type="dxa"/>
            <w:vAlign w:val="bottom"/>
          </w:tcPr>
          <w:p>
            <w:pPr>
              <w:jc w:val="right"/>
              <w:ind w:right="14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780" w:type="dxa"/>
            <w:vAlign w:val="bottom"/>
            <w:gridSpan w:val="2"/>
          </w:tcPr>
          <w:p>
            <w:pPr>
              <w:jc w:val="right"/>
              <w:ind w:right="142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3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19</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3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-1335405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-1335405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-1035685</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-1035685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Prior service credits and actuarial gains are included in the computation of the Company’s net periodic benefit cost (credit). See "Note M. Employee Benefit Plans” for additional details.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03" w:lineRule="exact"/>
        <w:rPr>
          <w:sz w:val="20"/>
          <w:szCs w:val="20"/>
          <w:color w:val="auto"/>
        </w:rPr>
      </w:pPr>
    </w:p>
    <w:p>
      <w:pPr>
        <w:ind w:right="220" w:firstLine="494"/>
        <w:spacing w:after="0" w:line="243"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03"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62"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169</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w:t>
            </w:r>
          </w:p>
        </w:tc>
      </w:tr>
      <w:tr>
        <w:trPr>
          <w:trHeight w:val="21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w:t>
            </w: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stock-based awards</w:t>
            </w: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Diluted weighted average shares of common stock outstanding</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0"/>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1.92</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1.85</w:t>
            </w:r>
          </w:p>
        </w:tc>
      </w:tr>
      <w:tr>
        <w:trPr>
          <w:trHeight w:val="210"/>
        </w:trPr>
        <w:tc>
          <w:tcPr>
            <w:tcW w:w="7740" w:type="dxa"/>
            <w:vAlign w:val="bottom"/>
          </w:tcPr>
          <w:p>
            <w:pPr>
              <w:ind w:left="280"/>
              <w:spacing w:after="0"/>
              <w:rPr>
                <w:sz w:val="20"/>
                <w:szCs w:val="20"/>
                <w:color w:val="auto"/>
              </w:rPr>
            </w:pPr>
            <w:r>
              <w:rPr>
                <w:rFonts w:ascii="Arial" w:cs="Arial" w:eastAsia="Arial" w:hAnsi="Arial"/>
                <w:sz w:val="18"/>
                <w:szCs w:val="18"/>
                <w:color w:val="auto"/>
              </w:rPr>
              <w:t>Diluted earnings per share attributable to common stockholders</w:t>
            </w:r>
          </w:p>
        </w:tc>
        <w:tc>
          <w:tcPr>
            <w:tcW w:w="1060" w:type="dxa"/>
            <w:vAlign w:val="bottom"/>
          </w:tcPr>
          <w:p>
            <w:pPr>
              <w:jc w:val="right"/>
              <w:ind w:right="87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1.90</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1.85</w:t>
            </w: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-838200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-821055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-521970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-196215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-179070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the three months ended March 31, 2024, there were no outstanding stock options excluded from the diluted EPS calculation because they were anti-dilutive. For the three months ended March 31, 2023, there were 1 million outstanding stock options excluded from the diluted EPS calculation because they were anti-dilutive.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03" w:lineRule="exact"/>
        <w:rPr>
          <w:sz w:val="20"/>
          <w:szCs w:val="20"/>
          <w:color w:val="auto"/>
        </w:rPr>
      </w:pPr>
    </w:p>
    <w:p>
      <w:pPr>
        <w:ind w:firstLine="494"/>
        <w:spacing w:after="0" w:line="241" w:lineRule="auto"/>
        <w:rPr>
          <w:sz w:val="20"/>
          <w:szCs w:val="20"/>
          <w:color w:val="auto"/>
        </w:rPr>
      </w:pPr>
      <w:r>
        <w:rPr>
          <w:rFonts w:ascii="Arial" w:cs="Arial" w:eastAsia="Arial" w:hAnsi="Arial"/>
          <w:sz w:val="18"/>
          <w:szCs w:val="18"/>
          <w:color w:val="auto"/>
        </w:rPr>
        <w:t>The Company's Board of Directors has authorized the Company to repurchase up to $4,000 million of its common stock pursuant to a stock repurchase program (the "Repurchase Program"). During the three months ended March 31, 2024, the Company repurchased $52 million of its common stock under the Repurchase Program, leaving $721 million of authorized repurchases remaining under the Repurchase Program as of March 31, 2024.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0" w:lineRule="exact"/>
        <w:rPr>
          <w:sz w:val="20"/>
          <w:szCs w:val="20"/>
          <w:color w:val="auto"/>
        </w:rPr>
      </w:pPr>
    </w:p>
    <w:p>
      <w:pPr>
        <w:ind w:right="20" w:firstLine="494"/>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5" w:lineRule="exact"/>
        <w:rPr>
          <w:sz w:val="20"/>
          <w:szCs w:val="20"/>
          <w:color w:val="auto"/>
        </w:rPr>
      </w:pPr>
    </w:p>
    <w:p>
      <w:pPr>
        <w:ind w:right="20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2023 as filed with the Securities and Exchange Commission on February 14, 2024. Our actual results may differ materially from those contained in or implied by any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7" w:lineRule="exact"/>
        <w:rPr>
          <w:sz w:val="20"/>
          <w:szCs w:val="20"/>
          <w:color w:val="auto"/>
        </w:rPr>
      </w:pPr>
    </w:p>
    <w:p>
      <w:pPr>
        <w:ind w:right="180" w:firstLine="494"/>
        <w:spacing w:after="0" w:line="246"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68" w:lineRule="exact"/>
        <w:rPr>
          <w:sz w:val="20"/>
          <w:szCs w:val="20"/>
          <w:color w:val="auto"/>
        </w:rPr>
      </w:pPr>
    </w:p>
    <w:p>
      <w:pPr>
        <w:ind w:right="80" w:firstLine="499"/>
        <w:spacing w:after="0" w:line="252"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75% of our revenues being generated in North America in 2023. We serve customers through an independent network of approximately 1,600 independent distributor and dealer locations worldwide.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57"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color w:val="auto"/>
        </w:rPr>
        <w:t>In January 2024, the International Union, United Automobile, Aerospace and Agricultural Implement Workers of America ("UAW") Local 933 ratified a new four-year collective bargaining agreement with us that expires in November 2027. We will have a significant increase in labor costs under the terms of this new agreement.</w:t>
      </w:r>
    </w:p>
    <w:p>
      <w:pPr>
        <w:spacing w:after="0" w:line="63" w:lineRule="exact"/>
        <w:rPr>
          <w:sz w:val="20"/>
          <w:szCs w:val="20"/>
          <w:color w:val="auto"/>
        </w:rPr>
      </w:pPr>
    </w:p>
    <w:p>
      <w:pPr>
        <w:ind w:right="500" w:firstLine="499"/>
        <w:spacing w:after="0" w:line="271"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and continues to be impacted by global supply chain constraints.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Quarter Net Sales by End Market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Q1 2024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Q1 2023</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 Market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Variance</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On-Highway</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420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North America Off-Highway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Defense</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On-Highway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Outside North America Off-Highway</w:t>
            </w:r>
          </w:p>
        </w:tc>
        <w:tc>
          <w:tcPr>
            <w:tcW w:w="10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Service Parts, Support Equipment and Other</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160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183</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000" w:type="dxa"/>
            <w:vAlign w:val="bottom"/>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789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3"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North America On-Highway end market net sales were up 12% for the first quarter 2024 compared to the first quarter 2023, principally driven by strength in demand for Class 8 vocational and medium-duty trucks and price increases on certain products.</w:t>
      </w:r>
    </w:p>
    <w:p>
      <w:pPr>
        <w:spacing w:after="0" w:line="45" w:lineRule="exact"/>
        <w:rPr>
          <w:sz w:val="20"/>
          <w:szCs w:val="20"/>
          <w:color w:val="auto"/>
        </w:rPr>
      </w:pPr>
    </w:p>
    <w:p>
      <w:pPr>
        <w:jc w:val="both"/>
        <w:ind w:right="400" w:firstLine="494"/>
        <w:spacing w:after="0" w:line="252" w:lineRule="auto"/>
        <w:rPr>
          <w:sz w:val="20"/>
          <w:szCs w:val="20"/>
          <w:color w:val="auto"/>
        </w:rPr>
      </w:pPr>
      <w:r>
        <w:rPr>
          <w:rFonts w:ascii="Arial" w:cs="Arial" w:eastAsia="Arial" w:hAnsi="Arial"/>
          <w:sz w:val="18"/>
          <w:szCs w:val="18"/>
          <w:color w:val="auto"/>
        </w:rPr>
        <w:t>Global Off-Highway net sales were down 2% for the first quarter 2024 compared to the first quarter 2023, principally driven by lower demand from the energy sector in North America, partially offset by strength in demand from the energy, mining and construction sectors outside of North America.</w:t>
      </w:r>
    </w:p>
    <w:p>
      <w:pPr>
        <w:spacing w:after="0" w:line="63"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Defense end market net sales were up 78% for the first quarter 2024 compared to the first quarter 2023, principally driven by increased demand for Tracked vehicle applications.</w:t>
      </w:r>
    </w:p>
    <w:p>
      <w:pPr>
        <w:spacing w:after="0" w:line="45" w:lineRule="exact"/>
        <w:rPr>
          <w:sz w:val="20"/>
          <w:szCs w:val="20"/>
          <w:color w:val="auto"/>
        </w:rPr>
      </w:pPr>
    </w:p>
    <w:p>
      <w:pPr>
        <w:ind w:right="480" w:firstLine="494"/>
        <w:spacing w:after="0" w:line="271" w:lineRule="auto"/>
        <w:rPr>
          <w:sz w:val="20"/>
          <w:szCs w:val="20"/>
          <w:color w:val="auto"/>
        </w:rPr>
      </w:pPr>
      <w:r>
        <w:rPr>
          <w:rFonts w:ascii="Arial" w:cs="Arial" w:eastAsia="Arial" w:hAnsi="Arial"/>
          <w:sz w:val="18"/>
          <w:szCs w:val="18"/>
          <w:color w:val="auto"/>
        </w:rPr>
        <w:t>Outside North America On-Highway end market net sales were up 6% for the first quarter 2024 compared to the first quarter 2023, principally driven by higher demand in Asia and price increases on certain products, partially offset by lower demand in Europe.</w:t>
      </w:r>
    </w:p>
    <w:p>
      <w:pPr>
        <w:spacing w:after="0" w:line="45" w:lineRule="exact"/>
        <w:rPr>
          <w:sz w:val="20"/>
          <w:szCs w:val="20"/>
          <w:color w:val="auto"/>
        </w:rPr>
      </w:pPr>
    </w:p>
    <w:p>
      <w:pPr>
        <w:ind w:right="580" w:firstLine="494"/>
        <w:spacing w:after="0" w:line="271" w:lineRule="auto"/>
        <w:rPr>
          <w:sz w:val="20"/>
          <w:szCs w:val="20"/>
          <w:color w:val="auto"/>
        </w:rPr>
      </w:pPr>
      <w:r>
        <w:rPr>
          <w:rFonts w:ascii="Arial" w:cs="Arial" w:eastAsia="Arial" w:hAnsi="Arial"/>
          <w:sz w:val="18"/>
          <w:szCs w:val="18"/>
          <w:color w:val="auto"/>
        </w:rPr>
        <w:t>Service Parts, Support Equipment and Other end market net sales were down 13% for the first quarter 2024 compared to the first quarter 2023, principally driven by lower demand for North America service parts.</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right="220" w:firstLine="494"/>
        <w:spacing w:after="0" w:line="241"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three months ended March 31, 2024, direct material costs were approximately 64%, overhead costs were approximately 28%, and direct labor costs were approximately 8% of cost of sales. The increase in overhead costs as a percentage of cost of sales was a result of non-recurring UAW contract signing incentives. We are subject to changes in our cost of sales caused by movements in underlying commodity prices. We seek to hedge against this risk by using LTAs, as appropriate. See Part I, Item 3, “Quantitative and Qualitative Disclosures about Market Risk—Commodity Price Risk” included below.</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580" w:firstLine="494"/>
        <w:spacing w:after="0" w:line="252"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14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5" w:lineRule="exact"/>
        <w:rPr>
          <w:sz w:val="20"/>
          <w:szCs w:val="20"/>
          <w:color w:val="auto"/>
        </w:rPr>
      </w:pPr>
    </w:p>
    <w:p>
      <w:pPr>
        <w:ind w:right="80"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$518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6"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75" w:lineRule="exact"/>
        <w:rPr>
          <w:sz w:val="20"/>
          <w:szCs w:val="20"/>
          <w:color w:val="auto"/>
        </w:rPr>
      </w:pPr>
    </w:p>
    <w:p>
      <w:pPr>
        <w:ind w:right="140" w:firstLine="494"/>
        <w:spacing w:after="0" w:line="255"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50"/>
        </w:trPr>
        <w:tc>
          <w:tcPr>
            <w:tcW w:w="5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5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5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(GAAP)</w:t>
            </w:r>
          </w:p>
        </w:tc>
        <w:tc>
          <w:tcPr>
            <w:tcW w:w="2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169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plus:</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2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 net</w:t>
            </w:r>
          </w:p>
        </w:tc>
        <w:tc>
          <w:tcPr>
            <w:tcW w:w="2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UAW Local 933 contract signing incentives (a)</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(gain) on marketable securities (b)</w:t>
            </w:r>
          </w:p>
        </w:tc>
        <w:tc>
          <w:tcPr>
            <w:tcW w:w="2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Stock-based compensation expense (c)</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29"/>
        </w:trPr>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intangible assets</w:t>
            </w:r>
          </w:p>
        </w:tc>
        <w:tc>
          <w:tcPr>
            <w:tcW w:w="2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9"/>
        </w:trPr>
        <w:tc>
          <w:tcPr>
            <w:tcW w:w="5140" w:type="dxa"/>
            <w:vAlign w:val="bottom"/>
          </w:tcPr>
          <w:p>
            <w:pPr>
              <w:ind w:left="280"/>
              <w:spacing w:after="0"/>
              <w:rPr>
                <w:sz w:val="20"/>
                <w:szCs w:val="20"/>
                <w:color w:val="auto"/>
              </w:rPr>
            </w:pPr>
            <w:r>
              <w:rPr>
                <w:rFonts w:ascii="Arial" w:cs="Arial" w:eastAsia="Arial" w:hAnsi="Arial"/>
                <w:sz w:val="18"/>
                <w:szCs w:val="18"/>
                <w:color w:val="auto"/>
              </w:rPr>
              <w:t>Loss associated with impairment of long-lived assets</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Technology-related investments gain (d)</w:t>
            </w:r>
          </w:p>
        </w:tc>
        <w:tc>
          <w:tcPr>
            <w:tcW w:w="26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2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289</w:t>
            </w:r>
          </w:p>
        </w:tc>
        <w:tc>
          <w:tcPr>
            <w:tcW w:w="1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(GAAP)</w:t>
            </w:r>
          </w:p>
        </w:tc>
        <w:tc>
          <w:tcPr>
            <w:tcW w:w="2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789</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as a percent of net sales (GAAP)</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21.4 %</w:t>
            </w: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22.9 %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Adjusted EBITDA as a percent of net sales (Non-GAAP)</w:t>
            </w: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36.6 %</w:t>
            </w: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37.2 %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2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173</w:t>
            </w:r>
          </w:p>
        </w:tc>
        <w:tc>
          <w:tcPr>
            <w:tcW w:w="1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 to reconcile to Adjusted free cash flow:</w:t>
            </w:r>
          </w:p>
        </w:tc>
        <w:tc>
          <w:tcPr>
            <w:tcW w:w="2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Additions of long-lived assets</w:t>
            </w:r>
          </w:p>
        </w:tc>
        <w:tc>
          <w:tcPr>
            <w:tcW w:w="2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60" w:type="dxa"/>
            <w:vAlign w:val="bottom"/>
          </w:tcPr>
          <w:p>
            <w:pPr>
              <w:spacing w:after="0"/>
              <w:rPr>
                <w:sz w:val="19"/>
                <w:szCs w:val="19"/>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free cash flow (Non-GAAP)</w:t>
            </w:r>
          </w:p>
        </w:tc>
        <w:tc>
          <w:tcPr>
            <w:tcW w:w="2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162</w:t>
            </w: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2"/>
                <w:szCs w:val="22"/>
                <w:color w:val="auto"/>
              </w:rPr>
            </w:pPr>
          </w:p>
        </w:tc>
      </w:tr>
      <w:tr>
        <w:trPr>
          <w:trHeight w:val="578"/>
        </w:trPr>
        <w:tc>
          <w:tcPr>
            <w:tcW w:w="514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5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-1626235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-2097405</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-889635</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-872490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both"/>
        <w:ind w:left="640" w:right="80" w:hanging="377"/>
        <w:spacing w:after="0" w:line="24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UAW Local 933 represented employees ratifying a four-year collective bargaining agreement effective through November 2027.</w:t>
      </w:r>
    </w:p>
    <w:p>
      <w:pPr>
        <w:spacing w:after="0" w:line="1"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loss (gain) (recorded in Other (expense) income, net) related to an investment in the common stock of Jing-Jin Electric Technologies Co. Ltd.</w:t>
      </w:r>
    </w:p>
    <w:p>
      <w:pPr>
        <w:ind w:left="640" w:right="100" w:hanging="377"/>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ind w:left="640" w:right="200" w:hanging="377"/>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gain (recorded in Other (expense) income, net) related to investments in co-development agreements to expand our position in propulsion solution technologies.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2024 and 2023</w:t>
      </w:r>
    </w:p>
    <w:p>
      <w:pPr>
        <w:spacing w:after="0" w:line="101" w:lineRule="exact"/>
        <w:rPr>
          <w:sz w:val="20"/>
          <w:szCs w:val="20"/>
          <w:color w:val="auto"/>
        </w:rPr>
      </w:pPr>
    </w:p>
    <w:p>
      <w:pPr>
        <w:ind w:right="360" w:firstLine="494"/>
        <w:spacing w:after="0" w:line="252"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2024 and 2023. The following table and discussion should be read in conjunction with the information contained in our condensed consolidated financial statements and the notes thereto included in Part I, Item 1 of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454"/>
              <w:spacing w:after="0" w:line="15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453"/>
              <w:spacing w:after="0" w:line="15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of net sales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100 %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Engineering — research and development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w:t>
            </w: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(25 )</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(28 )</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(5 )</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(1 )</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24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(35 )</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(5 )</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40" w:type="dxa"/>
            <w:vAlign w:val="bottom"/>
          </w:tcPr>
          <w:p>
            <w:pPr>
              <w:spacing w:after="0"/>
              <w:rPr>
                <w:sz w:val="19"/>
                <w:szCs w:val="19"/>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xml:space="preserve">21 % </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-1960245</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-923925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-923925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-923925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sales for the quarter ended March 31, 2024 were $789 million compared to $741 million for the quarter ended March 31, 2023,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of 6%. The increase was principally driven by a $44 million, or 12%, increase in net sales in the North America On-Highway end</w:t>
      </w:r>
    </w:p>
    <w:p>
      <w:pPr>
        <w:spacing w:after="0" w:line="234" w:lineRule="auto"/>
        <w:rPr>
          <w:sz w:val="20"/>
          <w:szCs w:val="20"/>
          <w:color w:val="auto"/>
        </w:rPr>
      </w:pPr>
      <w:r>
        <w:rPr>
          <w:rFonts w:ascii="Arial" w:cs="Arial" w:eastAsia="Arial" w:hAnsi="Arial"/>
          <w:sz w:val="18"/>
          <w:szCs w:val="18"/>
          <w:color w:val="auto"/>
        </w:rPr>
        <w:t>market principally driven by strength in demand for Class 8 vocational and medium-duty trucks and price increases on certain products, a</w:t>
      </w:r>
    </w:p>
    <w:p>
      <w:pPr>
        <w:spacing w:after="0" w:line="235" w:lineRule="auto"/>
        <w:rPr>
          <w:sz w:val="20"/>
          <w:szCs w:val="20"/>
          <w:color w:val="auto"/>
        </w:rPr>
      </w:pPr>
      <w:r>
        <w:rPr>
          <w:rFonts w:ascii="Arial" w:cs="Arial" w:eastAsia="Arial" w:hAnsi="Arial"/>
          <w:sz w:val="18"/>
          <w:szCs w:val="18"/>
          <w:color w:val="auto"/>
        </w:rPr>
        <w:t>$21 million, or 78%, increase in net sales in the Defense end market principally driven by increased demand for Tracked vehicle applications</w:t>
      </w:r>
    </w:p>
    <w:p>
      <w:pPr>
        <w:spacing w:after="0" w:line="234" w:lineRule="auto"/>
        <w:rPr>
          <w:sz w:val="20"/>
          <w:szCs w:val="20"/>
          <w:color w:val="auto"/>
        </w:rPr>
      </w:pPr>
      <w:r>
        <w:rPr>
          <w:rFonts w:ascii="Arial" w:cs="Arial" w:eastAsia="Arial" w:hAnsi="Arial"/>
          <w:sz w:val="18"/>
          <w:szCs w:val="18"/>
          <w:color w:val="auto"/>
        </w:rPr>
        <w:t>and a $7 million, or 6%, increase in net sales in the Outside North America On-Highway end market principally driven by higher demand in</w:t>
      </w:r>
    </w:p>
    <w:p>
      <w:pPr>
        <w:spacing w:after="0" w:line="235" w:lineRule="auto"/>
        <w:rPr>
          <w:sz w:val="20"/>
          <w:szCs w:val="20"/>
          <w:color w:val="auto"/>
        </w:rPr>
      </w:pPr>
      <w:r>
        <w:rPr>
          <w:rFonts w:ascii="Arial" w:cs="Arial" w:eastAsia="Arial" w:hAnsi="Arial"/>
          <w:sz w:val="18"/>
          <w:szCs w:val="18"/>
          <w:color w:val="auto"/>
        </w:rPr>
        <w:t>Asia and price increases on certain products, partially offset by lower demand in Europe, partially offset by a $23 million, or 13%, decrease in</w:t>
      </w:r>
    </w:p>
    <w:p>
      <w:pPr>
        <w:spacing w:after="0" w:line="234" w:lineRule="auto"/>
        <w:rPr>
          <w:sz w:val="20"/>
          <w:szCs w:val="20"/>
          <w:color w:val="auto"/>
        </w:rPr>
      </w:pPr>
      <w:r>
        <w:rPr>
          <w:rFonts w:ascii="Arial" w:cs="Arial" w:eastAsia="Arial" w:hAnsi="Arial"/>
          <w:sz w:val="18"/>
          <w:szCs w:val="18"/>
          <w:color w:val="auto"/>
        </w:rPr>
        <w:t>net sales in the Service Parts, Support Equipment and Other end market principally driven by lower demand for North America service parts</w:t>
      </w:r>
    </w:p>
    <w:p>
      <w:pPr>
        <w:spacing w:after="0" w:line="235" w:lineRule="auto"/>
        <w:rPr>
          <w:sz w:val="20"/>
          <w:szCs w:val="20"/>
          <w:color w:val="auto"/>
        </w:rPr>
      </w:pPr>
      <w:r>
        <w:rPr>
          <w:rFonts w:ascii="Arial" w:cs="Arial" w:eastAsia="Arial" w:hAnsi="Arial"/>
          <w:sz w:val="18"/>
          <w:szCs w:val="18"/>
          <w:color w:val="auto"/>
        </w:rPr>
        <w:t>and a $1 million, or 2%, decrease in Global Off-Highway net sales principally driven by lower demand from the energy sector in North</w:t>
      </w:r>
    </w:p>
    <w:p>
      <w:pPr>
        <w:spacing w:after="0"/>
        <w:rPr>
          <w:sz w:val="20"/>
          <w:szCs w:val="20"/>
          <w:color w:val="auto"/>
        </w:rPr>
      </w:pPr>
      <w:r>
        <w:rPr>
          <w:rFonts w:ascii="Arial" w:cs="Arial" w:eastAsia="Arial" w:hAnsi="Arial"/>
          <w:sz w:val="18"/>
          <w:szCs w:val="18"/>
          <w:color w:val="auto"/>
        </w:rPr>
        <w:t>America, partially offset by strength in demand from the energy, mining and construction sectors outside of North America.</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1" w:lineRule="exact"/>
        <w:rPr>
          <w:sz w:val="20"/>
          <w:szCs w:val="20"/>
          <w:color w:val="auto"/>
        </w:rPr>
      </w:pPr>
    </w:p>
    <w:p>
      <w:pPr>
        <w:ind w:right="220" w:firstLine="494"/>
        <w:spacing w:after="0" w:line="252" w:lineRule="auto"/>
        <w:rPr>
          <w:sz w:val="20"/>
          <w:szCs w:val="20"/>
          <w:color w:val="auto"/>
        </w:rPr>
      </w:pPr>
      <w:r>
        <w:rPr>
          <w:rFonts w:ascii="Arial" w:cs="Arial" w:eastAsia="Arial" w:hAnsi="Arial"/>
          <w:sz w:val="18"/>
          <w:szCs w:val="18"/>
          <w:color w:val="auto"/>
        </w:rPr>
        <w:t>Cost of sales for the quarter ended March 31, 2024 was $423 million compared to $380 million for the quarter ended March 31, 2023, an increase of 11%. The increase was principally driven by higher manufacturing expense, including $13 million of non-recurring UAW contract signing incentives, and higher direct material costs.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1" w:lineRule="exact"/>
        <w:rPr>
          <w:sz w:val="20"/>
          <w:szCs w:val="20"/>
          <w:color w:val="auto"/>
        </w:rPr>
      </w:pPr>
    </w:p>
    <w:p>
      <w:pPr>
        <w:jc w:val="both"/>
        <w:ind w:right="80" w:firstLine="494"/>
        <w:spacing w:after="0" w:line="243" w:lineRule="auto"/>
        <w:rPr>
          <w:sz w:val="20"/>
          <w:szCs w:val="20"/>
          <w:color w:val="auto"/>
        </w:rPr>
      </w:pPr>
      <w:r>
        <w:rPr>
          <w:rFonts w:ascii="Arial" w:cs="Arial" w:eastAsia="Arial" w:hAnsi="Arial"/>
          <w:sz w:val="18"/>
          <w:szCs w:val="18"/>
          <w:color w:val="auto"/>
        </w:rPr>
        <w:t>Gross profit for the quarter ended March 31, 2024 was $366 million compared to $361 million for the quarter ended March 31, 2023, an increase of 1%. The increase was principally driven by $20 million related to increased net sales and $14 million of price increases on certain products, partially offset by $13 million of higher manufacturing expense, $13 million of non-recurring UAW contract signing incentives and $4 million of higher direct material costs. Gross profit as a percent of net sales for the three months ended March 31, 2024 decreased 230 basis points compared to the same period in 2023 principally driven by increased cost of sales, including $13 million</w:t>
      </w:r>
    </w:p>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of non-recurring UAW contract signing incentives, partially offset by increased net sales and price increases on certain products.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1" w:lineRule="exact"/>
        <w:rPr>
          <w:sz w:val="20"/>
          <w:szCs w:val="20"/>
          <w:color w:val="auto"/>
        </w:rPr>
      </w:pPr>
    </w:p>
    <w:p>
      <w:pPr>
        <w:ind w:right="260" w:firstLine="494"/>
        <w:spacing w:after="0" w:line="252" w:lineRule="auto"/>
        <w:rPr>
          <w:sz w:val="20"/>
          <w:szCs w:val="20"/>
          <w:color w:val="auto"/>
        </w:rPr>
      </w:pPr>
      <w:r>
        <w:rPr>
          <w:rFonts w:ascii="Arial" w:cs="Arial" w:eastAsia="Arial" w:hAnsi="Arial"/>
          <w:sz w:val="18"/>
          <w:szCs w:val="18"/>
          <w:color w:val="auto"/>
        </w:rPr>
        <w:t>Selling, general and administrative expenses for the quarter ended March 31, 2024 were $86 million compared to $87 million for the quarter ended March 31, 2023, a decrease of 1%. The decrease was principally driven by lower intangible amortization expense and favorable product warranty expense, partially offset by higher commercial activities spending.</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1"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Engineering expenses for the quarter ended March 31, 2024 were $46 million compared to $44 million for the quarter ended March 31, 2023, an increase of 5%. The increase was principally driven by increased product initiatives spending.</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1"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Interest expense, net for the quarter ended March 31, 2024 was $25 million compared to $28 million for the quarter ended March 31, 2023, a decrease of 11%. The decrease was principally driven by higher interest income on cash and cash equivalents.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1" w:lineRule="exact"/>
        <w:rPr>
          <w:sz w:val="20"/>
          <w:szCs w:val="20"/>
          <w:color w:val="auto"/>
        </w:rPr>
      </w:pPr>
    </w:p>
    <w:p>
      <w:pPr>
        <w:jc w:val="both"/>
        <w:ind w:right="340" w:firstLine="494"/>
        <w:spacing w:after="0" w:line="274" w:lineRule="auto"/>
        <w:rPr>
          <w:sz w:val="20"/>
          <w:szCs w:val="20"/>
          <w:color w:val="auto"/>
        </w:rPr>
      </w:pPr>
      <w:r>
        <w:rPr>
          <w:rFonts w:ascii="Arial" w:cs="Arial" w:eastAsia="Arial" w:hAnsi="Arial"/>
          <w:sz w:val="17"/>
          <w:szCs w:val="17"/>
          <w:color w:val="auto"/>
        </w:rPr>
        <w:t>Other (expense) income, net for the quarter ended March 31, 2024 was $ (5) million compared to $10 million for the quarter ended March 31, 2023. The change was principally driven by $10 million of unrealized mark-to-market adjustments for marketable securities, $3 million of unfavorable foreign exchange and $3 million of technology-related investment gains during 2023 that did not reoccur in 2024.</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1" w:lineRule="exact"/>
        <w:rPr>
          <w:sz w:val="20"/>
          <w:szCs w:val="20"/>
          <w:color w:val="auto"/>
        </w:rPr>
      </w:pPr>
    </w:p>
    <w:p>
      <w:pPr>
        <w:jc w:val="both"/>
        <w:ind w:right="20" w:firstLine="494"/>
        <w:spacing w:after="0" w:line="252" w:lineRule="auto"/>
        <w:rPr>
          <w:sz w:val="20"/>
          <w:szCs w:val="20"/>
          <w:color w:val="auto"/>
        </w:rPr>
      </w:pPr>
      <w:r>
        <w:rPr>
          <w:rFonts w:ascii="Arial" w:cs="Arial" w:eastAsia="Arial" w:hAnsi="Arial"/>
          <w:sz w:val="18"/>
          <w:szCs w:val="18"/>
          <w:color w:val="auto"/>
        </w:rPr>
        <w:t>Income tax expense for the three months ended March 31, 2024 was $35 million, resulting in an effective tax rate of 17%, compared to $42 million of income tax expense and an effective tax rate of 20% for the three months ended March 31, 2023. The decrease in the effective tax rate was principally driven by increased estimated U.S. federal income tax deductions.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$551 million and $555 million as of March 31, 2024 and December 31, 2023, respectively. Of the available cash and cash equivalents, $181 million was deposited in operating accounts and $370 million was invested in U.S. government backed securities and time deposits as of March 31, 2024, compared to $134 million deposited in operating accounts and $421 million invested in U.S. government backed securities as of December 31, 2023.</w:t>
      </w:r>
    </w:p>
    <w:p>
      <w:pPr>
        <w:spacing w:after="0" w:line="77" w:lineRule="exact"/>
        <w:rPr>
          <w:sz w:val="20"/>
          <w:szCs w:val="20"/>
          <w:color w:val="auto"/>
        </w:rPr>
      </w:pPr>
    </w:p>
    <w:p>
      <w:pPr>
        <w:ind w:right="160" w:firstLine="494"/>
        <w:spacing w:after="0" w:line="243" w:lineRule="auto"/>
        <w:rPr>
          <w:sz w:val="20"/>
          <w:szCs w:val="20"/>
          <w:color w:val="auto"/>
        </w:rPr>
      </w:pPr>
      <w:r>
        <w:rPr>
          <w:rFonts w:ascii="Arial" w:cs="Arial" w:eastAsia="Arial" w:hAnsi="Arial"/>
          <w:sz w:val="18"/>
          <w:szCs w:val="18"/>
          <w:color w:val="auto"/>
        </w:rPr>
        <w:t>As of March 31, 2024, the total of cash held by foreign subsidiaries was $96 million, the majority of which was at our subsidiaries located in China, the Netherlands, India and Japan.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firstLine="494"/>
        <w:spacing w:after="0" w:line="243"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5" w:lineRule="exact"/>
        <w:rPr>
          <w:sz w:val="20"/>
          <w:szCs w:val="20"/>
          <w:color w:val="auto"/>
        </w:rPr>
      </w:pPr>
    </w:p>
    <w:p>
      <w:pPr>
        <w:ind w:right="4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March 31, 2024, we had $518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7" w:lineRule="exact"/>
        <w:rPr>
          <w:sz w:val="20"/>
          <w:szCs w:val="20"/>
          <w:color w:val="auto"/>
        </w:rPr>
      </w:pPr>
    </w:p>
    <w:p>
      <w:pPr>
        <w:ind w:right="280" w:firstLine="494"/>
        <w:spacing w:after="0" w:line="252" w:lineRule="auto"/>
        <w:rPr>
          <w:sz w:val="20"/>
          <w:szCs w:val="20"/>
          <w:color w:val="auto"/>
        </w:rPr>
      </w:pPr>
      <w:r>
        <w:rPr>
          <w:rFonts w:ascii="Arial" w:cs="Arial" w:eastAsia="Arial" w:hAnsi="Arial"/>
          <w:sz w:val="18"/>
          <w:szCs w:val="18"/>
          <w:color w:val="auto"/>
        </w:rPr>
        <w:t>We made $101 million and $1 million of principal payments on the Term Loan during the three months ended March 31, 2024 and 2023, respectively. Our ability to make payments on and refinance our indebtedness and to fund planned capital expenditures and growth initiatives will depend on our ability to generate cash in the future.</w:t>
      </w:r>
    </w:p>
    <w:p>
      <w:pPr>
        <w:spacing w:after="0" w:line="117"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March 31, 2024, we had $745 million available under the Revolving Credit Facility, net of $5 million in letters of credit. As of March 31, 2024,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March 31, 2024, our first lien net leverage ratio was (0.03x).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29"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2024, we are in compliance with all covenants under the Senior Secured Credit Facility and indentures governing the Senior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Investors Service, Inc. (“Moody’s”) and Fitch Ratings, Inc. (“Fitch”).</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our credit ratings from both Moody's and Fitch are shown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March 31, 2024</w:t>
            </w: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Credit Ratings</w:t>
            </w:r>
          </w:p>
        </w:tc>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Moody's</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Fitch</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Credit</w:t>
            </w:r>
          </w:p>
        </w:tc>
        <w:tc>
          <w:tcPr>
            <w:tcW w:w="1800" w:type="dxa"/>
            <w:vAlign w:val="bottom"/>
            <w:shd w:val="clear" w:color="auto" w:fill="CFF0FC"/>
          </w:tcPr>
          <w:p>
            <w:pPr>
              <w:jc w:val="center"/>
              <w:ind w:left="633"/>
              <w:spacing w:after="0"/>
              <w:rPr>
                <w:sz w:val="20"/>
                <w:szCs w:val="20"/>
                <w:color w:val="auto"/>
              </w:rPr>
            </w:pPr>
            <w:r>
              <w:rPr>
                <w:rFonts w:ascii="Arial" w:cs="Arial" w:eastAsia="Arial" w:hAnsi="Arial"/>
                <w:sz w:val="18"/>
                <w:szCs w:val="18"/>
                <w:color w:val="auto"/>
                <w:w w:val="99"/>
              </w:rPr>
              <w:t>Ba1</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800" w:type="dxa"/>
            <w:vAlign w:val="bottom"/>
          </w:tcPr>
          <w:p>
            <w:pPr>
              <w:jc w:val="center"/>
              <w:ind w:left="613"/>
              <w:spacing w:after="0"/>
              <w:rPr>
                <w:sz w:val="20"/>
                <w:szCs w:val="20"/>
                <w:color w:val="auto"/>
              </w:rPr>
            </w:pPr>
            <w:r>
              <w:rPr>
                <w:rFonts w:ascii="Arial" w:cs="Arial" w:eastAsia="Arial" w:hAnsi="Arial"/>
                <w:sz w:val="18"/>
                <w:szCs w:val="18"/>
                <w:color w:val="auto"/>
                <w:w w:val="99"/>
              </w:rPr>
              <w:t>Baa2</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BBB-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 Senior Notes</w:t>
            </w:r>
          </w:p>
        </w:tc>
        <w:tc>
          <w:tcPr>
            <w:tcW w:w="1800" w:type="dxa"/>
            <w:vAlign w:val="bottom"/>
            <w:shd w:val="clear" w:color="auto" w:fill="CFF0FC"/>
          </w:tcPr>
          <w:p>
            <w:pPr>
              <w:jc w:val="center"/>
              <w:ind w:left="633"/>
              <w:spacing w:after="0"/>
              <w:rPr>
                <w:sz w:val="20"/>
                <w:szCs w:val="20"/>
                <w:color w:val="auto"/>
              </w:rPr>
            </w:pPr>
            <w:r>
              <w:rPr>
                <w:rFonts w:ascii="Arial" w:cs="Arial" w:eastAsia="Arial" w:hAnsi="Arial"/>
                <w:sz w:val="18"/>
                <w:szCs w:val="18"/>
                <w:color w:val="auto"/>
                <w:w w:val="99"/>
              </w:rPr>
              <w:t>Ba2</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5.875% Senior Notes</w:t>
            </w:r>
          </w:p>
        </w:tc>
        <w:tc>
          <w:tcPr>
            <w:tcW w:w="1800" w:type="dxa"/>
            <w:vAlign w:val="bottom"/>
          </w:tcPr>
          <w:p>
            <w:pPr>
              <w:jc w:val="center"/>
              <w:ind w:left="633"/>
              <w:spacing w:after="0"/>
              <w:rPr>
                <w:sz w:val="20"/>
                <w:szCs w:val="20"/>
                <w:color w:val="auto"/>
              </w:rPr>
            </w:pPr>
            <w:r>
              <w:rPr>
                <w:rFonts w:ascii="Arial" w:cs="Arial" w:eastAsia="Arial" w:hAnsi="Arial"/>
                <w:sz w:val="18"/>
                <w:szCs w:val="18"/>
                <w:color w:val="auto"/>
                <w:w w:val="99"/>
              </w:rPr>
              <w:t>Ba2</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29"/>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3.75% Senior Notes</w:t>
            </w:r>
          </w:p>
        </w:tc>
        <w:tc>
          <w:tcPr>
            <w:tcW w:w="1800" w:type="dxa"/>
            <w:vAlign w:val="bottom"/>
            <w:shd w:val="clear" w:color="auto" w:fill="CFF0FC"/>
          </w:tcPr>
          <w:p>
            <w:pPr>
              <w:jc w:val="center"/>
              <w:ind w:left="633"/>
              <w:spacing w:after="0"/>
              <w:rPr>
                <w:sz w:val="20"/>
                <w:szCs w:val="20"/>
                <w:color w:val="auto"/>
              </w:rPr>
            </w:pPr>
            <w:r>
              <w:rPr>
                <w:rFonts w:ascii="Arial" w:cs="Arial" w:eastAsia="Arial" w:hAnsi="Arial"/>
                <w:sz w:val="18"/>
                <w:szCs w:val="18"/>
                <w:color w:val="auto"/>
                <w:w w:val="99"/>
              </w:rPr>
              <w:t>Ba2</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BB+</w:t>
            </w:r>
          </w:p>
        </w:tc>
      </w:tr>
    </w:tbl>
    <w:p>
      <w:pPr>
        <w:spacing w:after="0" w:line="143" w:lineRule="exact"/>
        <w:rPr>
          <w:sz w:val="20"/>
          <w:szCs w:val="20"/>
          <w:color w:val="auto"/>
        </w:rPr>
      </w:pPr>
    </w:p>
    <w:p>
      <w:pPr>
        <w:ind w:right="380" w:firstLine="494"/>
        <w:spacing w:after="0" w:line="246" w:lineRule="auto"/>
        <w:rPr>
          <w:sz w:val="20"/>
          <w:szCs w:val="20"/>
          <w:color w:val="auto"/>
        </w:rPr>
      </w:pPr>
      <w:r>
        <w:rPr>
          <w:rFonts w:ascii="Arial" w:cs="Arial" w:eastAsia="Arial" w:hAnsi="Arial"/>
          <w:sz w:val="18"/>
          <w:szCs w:val="18"/>
          <w:color w:val="auto"/>
        </w:rPr>
        <w:t>Our Board of Directors has authorized us to repurchase up to $4,000 million of our common stock pursuant to a stock repurchase program (the "Repurchase Program"). During the three months ended March 31, 2024, we repurchased $ 52 million of our common stock under the Repurchase Program. All of the repurchase transactions during the three months ended March 31, 2024 were settled in cash during the same period. As of March 31, 2024, we had approximately $721 million available under the Repurchase Program.</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three months ended March 31, 2024 and 2023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173</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960" w:type="dxa"/>
            <w:vAlign w:val="bottom"/>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(164 )</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r>
    </w:tbl>
    <w:p>
      <w:pPr>
        <w:spacing w:after="0" w:line="183" w:lineRule="exact"/>
        <w:rPr>
          <w:sz w:val="20"/>
          <w:szCs w:val="20"/>
          <w:color w:val="auto"/>
        </w:rPr>
      </w:pPr>
    </w:p>
    <w:p>
      <w:pPr>
        <w:ind w:right="40" w:firstLine="494"/>
        <w:spacing w:after="0" w:line="266" w:lineRule="auto"/>
        <w:rPr>
          <w:sz w:val="20"/>
          <w:szCs w:val="20"/>
          <w:color w:val="auto"/>
        </w:rPr>
      </w:pPr>
      <w:r>
        <w:rPr>
          <w:rFonts w:ascii="Arial" w:cs="Arial" w:eastAsia="Arial" w:hAnsi="Arial"/>
          <w:sz w:val="17"/>
          <w:szCs w:val="17"/>
          <w:color w:val="auto"/>
        </w:rPr>
        <w:t>Generally, cash provided by operating activities has been adequate to fund our operations. We have significant liquidity, including $ 551 million of cash and cash equivalents and $745 million available under the Revolving Credit Facility, net of $5 million of letters of credit, as of March 31, 2024. At this time, we believe cash provided by operating activities, cash and cash equivalents and borrowing capacity under the Revolving Credit Facility will be sufficient to meet our known and anticipated cash requirements for the next twelve months and thereafter.</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1" w:lineRule="exact"/>
        <w:rPr>
          <w:sz w:val="20"/>
          <w:szCs w:val="20"/>
          <w:color w:val="auto"/>
        </w:rPr>
      </w:pPr>
    </w:p>
    <w:p>
      <w:pPr>
        <w:ind w:right="120" w:firstLine="494"/>
        <w:spacing w:after="0" w:line="252" w:lineRule="auto"/>
        <w:rPr>
          <w:sz w:val="20"/>
          <w:szCs w:val="20"/>
          <w:color w:val="auto"/>
        </w:rPr>
      </w:pPr>
      <w:r>
        <w:rPr>
          <w:rFonts w:ascii="Arial" w:cs="Arial" w:eastAsia="Arial" w:hAnsi="Arial"/>
          <w:sz w:val="18"/>
          <w:szCs w:val="18"/>
          <w:color w:val="auto"/>
        </w:rPr>
        <w:t>Operating activities for the three months ended March 31, 2024 generated $173 million of cash compared to $193 million for the three months ended March 31, 2023. The decrease was principally driven by higher cash incentive compensation payments and non-recurring UAW contract signing incentive payments, partially offset by higher gross profit and lower operating working capital funding requirements.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1" w:lineRule="exact"/>
        <w:rPr>
          <w:sz w:val="20"/>
          <w:szCs w:val="20"/>
          <w:color w:val="auto"/>
        </w:rPr>
      </w:pPr>
    </w:p>
    <w:p>
      <w:pPr>
        <w:ind w:right="180" w:firstLine="499"/>
        <w:spacing w:after="0" w:line="271" w:lineRule="auto"/>
        <w:rPr>
          <w:sz w:val="20"/>
          <w:szCs w:val="20"/>
          <w:color w:val="auto"/>
        </w:rPr>
      </w:pPr>
      <w:r>
        <w:rPr>
          <w:rFonts w:ascii="Arial" w:cs="Arial" w:eastAsia="Arial" w:hAnsi="Arial"/>
          <w:sz w:val="18"/>
          <w:szCs w:val="18"/>
          <w:color w:val="auto"/>
        </w:rPr>
        <w:t>Investing activities for the three months ended March 31, 2024 used $12 million of cash compared to $22 million for the three months ended March 31, 2023. The decrease was principally driven by a $13 million decrease in capital expenditures.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01" w:lineRule="exact"/>
        <w:rPr>
          <w:sz w:val="20"/>
          <w:szCs w:val="20"/>
          <w:color w:val="auto"/>
        </w:rPr>
      </w:pPr>
    </w:p>
    <w:p>
      <w:pPr>
        <w:ind w:right="20" w:firstLine="494"/>
        <w:spacing w:after="0" w:line="266" w:lineRule="auto"/>
        <w:rPr>
          <w:sz w:val="20"/>
          <w:szCs w:val="20"/>
          <w:color w:val="auto"/>
        </w:rPr>
      </w:pPr>
      <w:r>
        <w:rPr>
          <w:rFonts w:ascii="Arial" w:cs="Arial" w:eastAsia="Arial" w:hAnsi="Arial"/>
          <w:sz w:val="17"/>
          <w:szCs w:val="17"/>
          <w:color w:val="auto"/>
        </w:rPr>
        <w:t>Financing activities for the three months ended March 31, 2024 used $164 million of cash compared to $59 million for the three months ended March 31, 2023. The increase was principally driven by $100 million of increased payments on our long-term debt, $12 million of higher stock repurchases under the Repurchase Program and $3 million of debt financing fees associated with the amendment of the Credit Agreement governing our Senior Secured Credit Facility, partially offset by $13 million of higher proceeds from the exercise of stock options.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3" w:lineRule="exact"/>
        <w:rPr>
          <w:sz w:val="20"/>
          <w:szCs w:val="20"/>
          <w:color w:val="auto"/>
        </w:rPr>
      </w:pPr>
    </w:p>
    <w:p>
      <w:pPr>
        <w:ind w:firstLine="494"/>
        <w:spacing w:after="0" w:line="246"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03" w:lineRule="exact"/>
        <w:rPr>
          <w:sz w:val="20"/>
          <w:szCs w:val="20"/>
          <w:color w:val="auto"/>
        </w:rPr>
      </w:pPr>
    </w:p>
    <w:p>
      <w:pPr>
        <w:ind w:right="20" w:firstLine="494"/>
        <w:spacing w:after="0" w:line="239" w:lineRule="auto"/>
        <w:rPr>
          <w:sz w:val="20"/>
          <w:szCs w:val="20"/>
          <w:color w:val="auto"/>
        </w:rPr>
      </w:pPr>
      <w:r>
        <w:rPr>
          <w:rFonts w:ascii="Arial" w:cs="Arial" w:eastAsia="Arial" w:hAnsi="Arial"/>
          <w:sz w:val="18"/>
          <w:szCs w:val="18"/>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2023 as filed with the Securities and Exchange Commission on February 14, 2024.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months ended March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3"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wars and pandemics; global economic volatility; general economic and industry conditions, including the risk of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80" w:lineRule="exact"/>
        <w:rPr>
          <w:sz w:val="20"/>
          <w:szCs w:val="20"/>
          <w:color w:val="auto"/>
        </w:rPr>
      </w:pPr>
    </w:p>
    <w:p>
      <w:pPr>
        <w:ind w:right="20" w:firstLine="494"/>
        <w:spacing w:after="0" w:line="241"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2023 as filed with the Securities and Exchange Commission on February 14, 2024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Securities and Exchange Commission filings or public communications. You should evaluate all forward-looking statements made in this Quarterly Report on Form 10-Q in the context of these risks and uncertainties.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8"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1" w:lineRule="exact"/>
        <w:rPr>
          <w:sz w:val="20"/>
          <w:szCs w:val="20"/>
          <w:color w:val="auto"/>
        </w:rPr>
      </w:pPr>
    </w:p>
    <w:p>
      <w:pPr>
        <w:ind w:firstLine="499"/>
        <w:spacing w:after="0" w:line="239"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$1,263 million, including our $518 million Term Loan and $745 million under our Revolving Credit Facility, net of $5 million of letters of credit. As of March 31, 2024, we held interest rate swap contracts that, in the aggregate, effectively hedge $500 million of the variable rate debt associated with the Term Loan at the forward-looking term rate based on the Secured Overnight Financing Rate weighted average fixed rate of 2.81% through September 2025. A one-eighth percent increase or decrease in assumed interest rates for the Senior Secured Credit Facility, if fully drawn as of March 31, 2024, would have an impact of approximately $1 million on interest expense per year. As of March 31, 2024, we had no outstanding borrowings against the Revolving Credit Facility.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1" w:lineRule="exact"/>
        <w:rPr>
          <w:sz w:val="20"/>
          <w:szCs w:val="20"/>
          <w:color w:val="auto"/>
        </w:rPr>
      </w:pPr>
    </w:p>
    <w:p>
      <w:pPr>
        <w:ind w:right="160" w:firstLine="499"/>
        <w:spacing w:after="0" w:line="246"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8"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$8 million per year. We believe our other direct exposure to foreign currencies is immaterial.</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1" w:lineRule="exact"/>
        <w:rPr>
          <w:sz w:val="20"/>
          <w:szCs w:val="20"/>
          <w:color w:val="auto"/>
        </w:rPr>
      </w:pPr>
    </w:p>
    <w:p>
      <w:pPr>
        <w:ind w:right="40" w:firstLine="499"/>
        <w:spacing w:after="0" w:line="241"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March 31, 2024, approximately 64%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4" w:lineRule="exact"/>
        <w:rPr>
          <w:sz w:val="20"/>
          <w:szCs w:val="20"/>
          <w:color w:val="auto"/>
        </w:rPr>
      </w:pPr>
    </w:p>
    <w:p>
      <w:pPr>
        <w:ind w:right="240" w:firstLine="499"/>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$8 million and $13 million per year, respectively.</w:t>
      </w:r>
    </w:p>
    <w:p>
      <w:pPr>
        <w:spacing w:after="0" w:line="45" w:lineRule="exact"/>
        <w:rPr>
          <w:sz w:val="20"/>
          <w:szCs w:val="20"/>
          <w:color w:val="auto"/>
        </w:rPr>
      </w:pPr>
    </w:p>
    <w:p>
      <w:pPr>
        <w:ind w:right="60" w:firstLine="499"/>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ind w:right="100" w:firstLine="49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5" w:lineRule="exact"/>
        <w:rPr>
          <w:sz w:val="20"/>
          <w:szCs w:val="20"/>
          <w:color w:val="auto"/>
        </w:rPr>
      </w:pPr>
    </w:p>
    <w:p>
      <w:pPr>
        <w:ind w:firstLine="499"/>
        <w:spacing w:after="0" w:line="241"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ind w:firstLine="499"/>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3" w:lineRule="exact"/>
        <w:rPr>
          <w:sz w:val="20"/>
          <w:szCs w:val="20"/>
          <w:color w:val="auto"/>
        </w:rPr>
      </w:pPr>
    </w:p>
    <w:p>
      <w:pPr>
        <w:ind w:right="12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ind w:firstLine="499"/>
        <w:spacing w:after="0" w:line="271"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2023 as filed with the Securities and Exchange Commission on February 14,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w w:val="99"/>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6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6"/>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Under the Plans</w:t>
            </w:r>
          </w:p>
        </w:tc>
      </w:tr>
      <w:tr>
        <w:trPr>
          <w:trHeight w:val="185"/>
        </w:trPr>
        <w:tc>
          <w:tcPr>
            <w:tcW w:w="5760" w:type="dxa"/>
            <w:vAlign w:val="bottom"/>
          </w:tcPr>
          <w:p>
            <w:pPr>
              <w:spacing w:after="0"/>
              <w:rPr>
                <w:sz w:val="16"/>
                <w:szCs w:val="16"/>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rPr>
              <w:t>or Programs(1)</w:t>
            </w:r>
          </w:p>
        </w:tc>
      </w:tr>
      <w:tr>
        <w:trPr>
          <w:trHeight w:val="190"/>
        </w:trPr>
        <w:tc>
          <w:tcPr>
            <w:tcW w:w="70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8"/>
                <w:szCs w:val="18"/>
                <w:color w:val="auto"/>
              </w:rPr>
              <w:t>January 1 – January 31, 2024</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6"/>
              <w:spacing w:after="0" w:line="190" w:lineRule="exact"/>
              <w:rPr>
                <w:sz w:val="20"/>
                <w:szCs w:val="20"/>
                <w:color w:val="auto"/>
              </w:rPr>
            </w:pPr>
            <w:r>
              <w:rPr>
                <w:rFonts w:ascii="Arial" w:cs="Arial" w:eastAsia="Arial" w:hAnsi="Arial"/>
                <w:sz w:val="18"/>
                <w:szCs w:val="18"/>
                <w:color w:val="auto"/>
              </w:rPr>
              <w:t>748,218,32</w:t>
            </w:r>
          </w:p>
        </w:tc>
      </w:tr>
      <w:tr>
        <w:trPr>
          <w:trHeight w:val="235"/>
        </w:trPr>
        <w:tc>
          <w:tcPr>
            <w:tcW w:w="708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rPr>
              <w:t>425,645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57.50</w:t>
            </w:r>
          </w:p>
        </w:tc>
        <w:tc>
          <w:tcPr>
            <w:tcW w:w="1380" w:type="dxa"/>
            <w:vAlign w:val="bottom"/>
            <w:gridSpan w:val="2"/>
            <w:shd w:val="clear" w:color="auto" w:fill="CFF0FC"/>
          </w:tcPr>
          <w:p>
            <w:pPr>
              <w:jc w:val="right"/>
              <w:ind w:right="46"/>
              <w:spacing w:after="0"/>
              <w:rPr>
                <w:sz w:val="20"/>
                <w:szCs w:val="20"/>
                <w:color w:val="auto"/>
              </w:rPr>
            </w:pPr>
            <w:r>
              <w:rPr>
                <w:rFonts w:ascii="Arial" w:cs="Arial" w:eastAsia="Arial" w:hAnsi="Arial"/>
                <w:sz w:val="18"/>
                <w:szCs w:val="18"/>
                <w:color w:val="auto"/>
              </w:rPr>
              <w:t>425,645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w:t>
            </w:r>
          </w:p>
        </w:tc>
      </w:tr>
      <w:tr>
        <w:trPr>
          <w:trHeight w:val="197"/>
        </w:trPr>
        <w:tc>
          <w:tcPr>
            <w:tcW w:w="70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February 1 – February 29, 2024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6"/>
              <w:spacing w:after="0" w:line="197" w:lineRule="exact"/>
              <w:rPr>
                <w:sz w:val="20"/>
                <w:szCs w:val="20"/>
                <w:color w:val="auto"/>
              </w:rPr>
            </w:pPr>
            <w:r>
              <w:rPr>
                <w:rFonts w:ascii="Arial" w:cs="Arial" w:eastAsia="Arial" w:hAnsi="Arial"/>
                <w:sz w:val="18"/>
                <w:szCs w:val="18"/>
                <w:color w:val="auto"/>
              </w:rPr>
              <w:t>730,719,75</w:t>
            </w:r>
          </w:p>
        </w:tc>
      </w:tr>
      <w:tr>
        <w:trPr>
          <w:trHeight w:val="235"/>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264,189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66.24</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264,189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w:t>
            </w:r>
          </w:p>
        </w:tc>
      </w:tr>
      <w:tr>
        <w:trPr>
          <w:trHeight w:val="183"/>
        </w:trPr>
        <w:tc>
          <w:tcPr>
            <w:tcW w:w="70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March 1 – March 31, 2024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6"/>
              <w:spacing w:after="0" w:line="183" w:lineRule="exact"/>
              <w:rPr>
                <w:sz w:val="20"/>
                <w:szCs w:val="20"/>
                <w:color w:val="auto"/>
              </w:rPr>
            </w:pPr>
            <w:r>
              <w:rPr>
                <w:rFonts w:ascii="Arial" w:cs="Arial" w:eastAsia="Arial" w:hAnsi="Arial"/>
                <w:sz w:val="18"/>
                <w:szCs w:val="18"/>
                <w:color w:val="auto"/>
              </w:rPr>
              <w:t>720,721,25</w:t>
            </w:r>
          </w:p>
        </w:tc>
      </w:tr>
      <w:tr>
        <w:trPr>
          <w:trHeight w:val="235"/>
        </w:trPr>
        <w:tc>
          <w:tcPr>
            <w:tcW w:w="57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129,978</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8"/>
                <w:szCs w:val="18"/>
                <w:color w:val="auto"/>
              </w:rPr>
              <w:t>129,978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r>
      <w:tr>
        <w:trPr>
          <w:trHeight w:val="223"/>
        </w:trPr>
        <w:tc>
          <w:tcPr>
            <w:tcW w:w="7080" w:type="dxa"/>
            <w:vAlign w:val="bottom"/>
            <w:gridSpan w:val="2"/>
          </w:tcPr>
          <w:p>
            <w:pPr>
              <w:jc w:val="right"/>
              <w:ind w:right="64"/>
              <w:spacing w:after="0"/>
              <w:rPr>
                <w:sz w:val="20"/>
                <w:szCs w:val="20"/>
                <w:color w:val="auto"/>
              </w:rPr>
            </w:pPr>
            <w:r>
              <w:rPr>
                <w:rFonts w:ascii="Arial" w:cs="Arial" w:eastAsia="Arial" w:hAnsi="Arial"/>
                <w:sz w:val="18"/>
                <w:szCs w:val="18"/>
                <w:color w:val="auto"/>
              </w:rPr>
              <w:t>819,812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63.40</w:t>
            </w:r>
          </w:p>
        </w:tc>
        <w:tc>
          <w:tcPr>
            <w:tcW w:w="1380" w:type="dxa"/>
            <w:vAlign w:val="bottom"/>
            <w:gridSpan w:val="2"/>
          </w:tcPr>
          <w:p>
            <w:pPr>
              <w:jc w:val="right"/>
              <w:ind w:right="46"/>
              <w:spacing w:after="0"/>
              <w:rPr>
                <w:sz w:val="20"/>
                <w:szCs w:val="20"/>
                <w:color w:val="auto"/>
              </w:rPr>
            </w:pPr>
            <w:r>
              <w:rPr>
                <w:rFonts w:ascii="Arial" w:cs="Arial" w:eastAsia="Arial" w:hAnsi="Arial"/>
                <w:sz w:val="18"/>
                <w:szCs w:val="18"/>
                <w:color w:val="auto"/>
              </w:rPr>
              <w:t>819,812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-179070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ind w:left="640" w:right="260" w:hanging="372"/>
        <w:spacing w:after="0" w:line="24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and February 24, 2022, which in the aggregate total authorized repurchases of $4,000 million. The Repurchase Program has no termination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3" w:lineRule="exact"/>
        <w:rPr>
          <w:sz w:val="20"/>
          <w:szCs w:val="20"/>
          <w:color w:val="auto"/>
        </w:rPr>
      </w:pPr>
    </w:p>
    <w:p>
      <w:pPr>
        <w:ind w:right="180" w:firstLine="499"/>
        <w:spacing w:after="0" w:line="246"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March 31,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Trading Arrangement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0"/>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3"/>
                <w:szCs w:val="13"/>
                <w:color w:val="auto"/>
              </w:rPr>
            </w:pPr>
          </w:p>
        </w:tc>
        <w:tc>
          <w:tcPr>
            <w:tcW w:w="120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auto"/>
              </w:rPr>
              <w:t>Total Shares to</w:t>
            </w:r>
          </w:p>
        </w:tc>
        <w:tc>
          <w:tcPr>
            <w:tcW w:w="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Expiration</w:t>
            </w:r>
          </w:p>
        </w:tc>
      </w:tr>
      <w:tr>
        <w:trPr>
          <w:trHeight w:val="185"/>
        </w:trPr>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700" w:type="dxa"/>
            <w:vAlign w:val="bottom"/>
          </w:tcPr>
          <w:p>
            <w:pPr>
              <w:ind w:left="12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1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6"/>
                <w:szCs w:val="16"/>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be Sold</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190"/>
        </w:trPr>
        <w:tc>
          <w:tcPr>
            <w:tcW w:w="17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700" w:type="dxa"/>
            <w:vAlign w:val="bottom"/>
            <w:tcBorders>
              <w:top w:val="single" w:sz="8" w:color="auto"/>
            </w:tcBorders>
            <w:shd w:val="clear" w:color="auto" w:fill="CFF0FC"/>
          </w:tcPr>
          <w:p>
            <w:pPr>
              <w:spacing w:after="0" w:line="190" w:lineRule="exact"/>
              <w:rPr>
                <w:sz w:val="20"/>
                <w:szCs w:val="20"/>
                <w:color w:val="auto"/>
              </w:rPr>
            </w:pPr>
            <w:r>
              <w:rPr>
                <w:rFonts w:ascii="Arial" w:cs="Arial" w:eastAsia="Arial" w:hAnsi="Arial"/>
                <w:sz w:val="18"/>
                <w:szCs w:val="18"/>
                <w:color w:val="auto"/>
              </w:rPr>
              <w:t>Vice President, Engineering &amp;</w:t>
            </w:r>
          </w:p>
        </w:tc>
        <w:tc>
          <w:tcPr>
            <w:tcW w:w="16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r>
      <w:tr>
        <w:trPr>
          <w:trHeight w:val="235"/>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Ryan A. Milburn</w:t>
            </w:r>
          </w:p>
        </w:tc>
        <w:tc>
          <w:tcPr>
            <w:tcW w:w="16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Technology Development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9"/>
              </w:rPr>
              <w:t>2/29/2024</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5,231</w:t>
            </w:r>
          </w:p>
        </w:tc>
        <w:tc>
          <w:tcPr>
            <w:tcW w:w="11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3/31/2025</w:t>
            </w:r>
          </w:p>
        </w:tc>
      </w:tr>
      <w:tr>
        <w:trPr>
          <w:trHeight w:val="239"/>
        </w:trPr>
        <w:tc>
          <w:tcPr>
            <w:tcW w:w="1740" w:type="dxa"/>
            <w:vAlign w:val="bottom"/>
          </w:tcPr>
          <w:p>
            <w:pPr>
              <w:ind w:left="20"/>
              <w:spacing w:after="0"/>
              <w:rPr>
                <w:sz w:val="20"/>
                <w:szCs w:val="20"/>
                <w:color w:val="auto"/>
              </w:rPr>
            </w:pPr>
            <w:r>
              <w:rPr>
                <w:rFonts w:ascii="Arial" w:cs="Arial" w:eastAsia="Arial" w:hAnsi="Arial"/>
                <w:sz w:val="18"/>
                <w:szCs w:val="18"/>
                <w:color w:val="auto"/>
              </w:rPr>
              <w:t>Rafael Basso</w:t>
            </w:r>
          </w:p>
        </w:tc>
        <w:tc>
          <w:tcPr>
            <w:tcW w:w="16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Vice President, Operations</w:t>
            </w: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Adopted</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2/29/2024</w:t>
            </w: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12,624</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5/29/2025</w:t>
            </w:r>
          </w:p>
        </w:tc>
      </w:tr>
    </w:tbl>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13" w:lineRule="exact"/>
        <w:rPr>
          <w:sz w:val="20"/>
          <w:szCs w:val="20"/>
          <w:color w:val="auto"/>
        </w:rPr>
      </w:pPr>
    </w:p>
    <w:p>
      <w:pPr>
        <w:ind w:left="5520" w:right="5520" w:hanging="5252"/>
        <w:spacing w:after="0" w:line="358" w:lineRule="auto"/>
        <w:tabs>
          <w:tab w:leader="none" w:pos="454"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intended to satisfy the affirmative defense of Rule 10b5-1(c)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Item 6.</w:t>
            </w:r>
          </w:p>
        </w:tc>
        <w:tc>
          <w:tcPr>
            <w:tcW w:w="862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Exhibits</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360" w:type="dxa"/>
            <w:vAlign w:val="bottom"/>
            <w:gridSpan w:val="4"/>
            <w:vMerge w:val="restart"/>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36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Amendment No. 4 to Credit Agreement, dated March 13, 2024, by and among Allison Transmission Inc., Allison</w:t>
              </w:r>
            </w:hyperlink>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80" w:type="dxa"/>
            <w:vAlign w:val="bottom"/>
            <w:tcBorders>
              <w:top w:val="single" w:sz="8" w:color="0000FF"/>
            </w:tcBorders>
            <w:gridSpan w:val="10"/>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Transmission Holdings, Inc., and Citibank, N.A., as administrative agent, to the Second Amended and Restated</w:t>
              </w:r>
            </w:hyperlink>
          </w:p>
        </w:tc>
        <w:tc>
          <w:tcPr>
            <w:tcW w:w="920" w:type="dxa"/>
            <w:vAlign w:val="bottom"/>
            <w:gridSpan w:val="7"/>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Credit</w:t>
              </w:r>
            </w:hyperlink>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Agreement, dated as of March 29, 2019, among Allison Transmission, Inc., as borrower, Allison Transmission Holdings,</w:t>
              </w:r>
            </w:hyperlink>
          </w:p>
        </w:tc>
        <w:tc>
          <w:tcPr>
            <w:tcW w:w="4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Inc., Citibank, N.A., as administrative agent and the several banks and other financial institutions or entities from time to</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2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time parties thereto as lenders (incorporated by reference to Exhibit 10.1 to the Company’s Current Report on Form 8-K</w:t>
              </w:r>
            </w:hyperlink>
          </w:p>
        </w:tc>
        <w:tc>
          <w:tcPr>
            <w:tcW w:w="2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182">
              <w:r>
                <w:rPr>
                  <w:rFonts w:ascii="Arial" w:cs="Arial" w:eastAsia="Arial" w:hAnsi="Arial"/>
                  <w:sz w:val="18"/>
                  <w:szCs w:val="18"/>
                  <w:color w:val="0000FF"/>
                  <w:w w:val="96"/>
                </w:rPr>
                <w:t>filed March 18, 2024)</w:t>
              </w:r>
            </w:hyperlink>
          </w:p>
        </w:tc>
        <w:tc>
          <w:tcPr>
            <w:tcW w:w="20" w:type="dxa"/>
            <w:vAlign w:val="bottom"/>
            <w:tcBorders>
              <w:bottom w:val="single" w:sz="8" w:color="0000EE"/>
            </w:tcBorders>
          </w:tcPr>
          <w:p>
            <w:pPr>
              <w:spacing w:after="0"/>
              <w:rPr>
                <w:sz w:val="15"/>
                <w:szCs w:val="15"/>
                <w:color w:val="auto"/>
              </w:rPr>
            </w:pPr>
          </w:p>
        </w:tc>
        <w:tc>
          <w:tcPr>
            <w:tcW w:w="6940" w:type="dxa"/>
            <w:vAlign w:val="bottom"/>
            <w:gridSpan w:val="7"/>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40" w:type="dxa"/>
            <w:vAlign w:val="bottom"/>
            <w:gridSpan w:val="2"/>
          </w:tcPr>
          <w:p>
            <w:pPr>
              <w:ind w:left="6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9"/>
          </w:tcPr>
          <w:p>
            <w:pPr>
              <w:spacing w:after="0"/>
              <w:rPr>
                <w:sz w:val="20"/>
                <w:szCs w:val="20"/>
                <w:color w:val="auto"/>
              </w:rPr>
            </w:pPr>
            <w:r>
              <w:rPr>
                <w:rFonts w:ascii="Arial" w:cs="Arial" w:eastAsia="Arial" w:hAnsi="Arial"/>
                <w:sz w:val="18"/>
                <w:szCs w:val="18"/>
                <w:color w:val="0000FF"/>
              </w:rPr>
              <w:t>Form of 2015 Equity Incentive Award Plan Restricted Stock Unit Agreement (revised 2024)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gridSpan w:val="2"/>
          </w:tcPr>
          <w:p>
            <w:pPr>
              <w:ind w:left="6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9"/>
          </w:tcPr>
          <w:p>
            <w:pPr>
              <w:spacing w:after="0"/>
              <w:rPr>
                <w:sz w:val="20"/>
                <w:szCs w:val="20"/>
                <w:color w:val="auto"/>
              </w:rPr>
            </w:pPr>
            <w:r>
              <w:rPr>
                <w:rFonts w:ascii="Arial" w:cs="Arial" w:eastAsia="Arial" w:hAnsi="Arial"/>
                <w:sz w:val="18"/>
                <w:szCs w:val="18"/>
                <w:color w:val="0000FF"/>
              </w:rPr>
              <w:t>Form of 2015 Equity Incentive Award Plan Stock Option Agreement (revised 2024)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gridSpan w:val="2"/>
          </w:tcPr>
          <w:p>
            <w:pPr>
              <w:ind w:left="6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7"/>
          </w:tcPr>
          <w:p>
            <w:pPr>
              <w:spacing w:after="0"/>
              <w:rPr>
                <w:sz w:val="20"/>
                <w:szCs w:val="20"/>
                <w:color w:val="auto"/>
              </w:rPr>
            </w:pPr>
            <w:r>
              <w:rPr>
                <w:rFonts w:ascii="Arial" w:cs="Arial" w:eastAsia="Arial" w:hAnsi="Arial"/>
                <w:sz w:val="18"/>
                <w:szCs w:val="18"/>
                <w:color w:val="0000FF"/>
              </w:rPr>
              <w:t>Form of 2015 Equity Incentive Award Plan Performance Stock Unit Agreement (revised 2024) (filed herewith)</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3"/>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9"/>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 as adopted pursuant to Section</w:t>
            </w:r>
          </w:p>
        </w:tc>
        <w:tc>
          <w:tcPr>
            <w:tcW w:w="1180" w:type="dxa"/>
            <w:vAlign w:val="bottom"/>
            <w:gridSpan w:val="8"/>
          </w:tcPr>
          <w:p>
            <w:pPr>
              <w:ind w:left="40"/>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2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9"/>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w:t>
            </w:r>
          </w:p>
        </w:tc>
        <w:tc>
          <w:tcPr>
            <w:tcW w:w="1180" w:type="dxa"/>
            <w:vAlign w:val="bottom"/>
            <w:gridSpan w:val="8"/>
          </w:tcPr>
          <w:p>
            <w:pPr>
              <w:spacing w:after="0"/>
              <w:rPr>
                <w:sz w:val="20"/>
                <w:szCs w:val="20"/>
                <w:color w:val="auto"/>
              </w:rPr>
            </w:pPr>
            <w:r>
              <w:rPr>
                <w:rFonts w:ascii="Arial" w:cs="Arial" w:eastAsia="Arial" w:hAnsi="Arial"/>
                <w:sz w:val="18"/>
                <w:szCs w:val="18"/>
                <w:color w:val="0000FF"/>
              </w:rPr>
              <w:t>302 of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2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7"/>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2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6880" w:type="dxa"/>
            <w:vAlign w:val="bottom"/>
            <w:gridSpan w:val="6"/>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Instance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101.SCH</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101.CAL</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101.DEF</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101.LAB</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40" w:type="dxa"/>
            <w:vAlign w:val="bottom"/>
            <w:gridSpan w:val="5"/>
          </w:tcPr>
          <w:p>
            <w:pPr>
              <w:ind w:left="80"/>
              <w:spacing w:after="0"/>
              <w:rPr>
                <w:sz w:val="20"/>
                <w:szCs w:val="20"/>
                <w:color w:val="auto"/>
              </w:rPr>
            </w:pPr>
            <w:r>
              <w:rPr>
                <w:rFonts w:ascii="Arial" w:cs="Arial" w:eastAsia="Arial" w:hAnsi="Arial"/>
                <w:sz w:val="18"/>
                <w:szCs w:val="18"/>
                <w:color w:val="auto"/>
              </w:rPr>
              <w:t>101.PRE</w:t>
            </w:r>
          </w:p>
        </w:tc>
        <w:tc>
          <w:tcPr>
            <w:tcW w:w="86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20" w:right="360" w:hanging="1358"/>
        <w:spacing w:after="0" w:line="271"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March 31, 2024, formatted in Inline XBRL and contained in Exhibit 101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ALLISON TRANSMISSION HOLDINGS, INC.</w:t>
            </w:r>
          </w:p>
        </w:tc>
        <w:tc>
          <w:tcPr>
            <w:tcW w:w="2020" w:type="dxa"/>
            <w:vAlign w:val="bottom"/>
          </w:tcPr>
          <w:p>
            <w:pPr>
              <w:spacing w:after="0"/>
              <w:rPr>
                <w:sz w:val="21"/>
                <w:szCs w:val="21"/>
                <w:color w:val="auto"/>
              </w:rPr>
            </w:pPr>
          </w:p>
        </w:tc>
      </w:tr>
      <w:tr>
        <w:trPr>
          <w:trHeight w:val="473"/>
        </w:trPr>
        <w:tc>
          <w:tcPr>
            <w:tcW w:w="2100" w:type="dxa"/>
            <w:vAlign w:val="bottom"/>
          </w:tcPr>
          <w:p>
            <w:pPr>
              <w:ind w:left="20"/>
              <w:spacing w:after="0"/>
              <w:rPr>
                <w:sz w:val="20"/>
                <w:szCs w:val="20"/>
                <w:color w:val="auto"/>
              </w:rPr>
            </w:pPr>
            <w:r>
              <w:rPr>
                <w:rFonts w:ascii="Arial" w:cs="Arial" w:eastAsia="Arial" w:hAnsi="Arial"/>
                <w:sz w:val="18"/>
                <w:szCs w:val="18"/>
                <w:color w:val="auto"/>
              </w:rPr>
              <w:t>Date: April 26, 2024</w:t>
            </w:r>
          </w:p>
        </w:tc>
        <w:tc>
          <w:tcPr>
            <w:tcW w:w="960" w:type="dxa"/>
            <w:vAlign w:val="bottom"/>
          </w:tcPr>
          <w:p>
            <w:pPr>
              <w:ind w:left="50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Graziosi</w:t>
            </w:r>
          </w:p>
        </w:tc>
        <w:tc>
          <w:tcPr>
            <w:tcW w:w="2020" w:type="dxa"/>
            <w:vAlign w:val="bottom"/>
          </w:tcPr>
          <w:p>
            <w:pPr>
              <w:spacing w:after="0"/>
              <w:rPr>
                <w:sz w:val="24"/>
                <w:szCs w:val="24"/>
                <w:color w:val="auto"/>
              </w:rPr>
            </w:pPr>
          </w:p>
        </w:tc>
      </w:tr>
      <w:tr>
        <w:trPr>
          <w:trHeight w:val="469"/>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60"/>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rPr>
              <w:t>Chair, President and Chief Executive Officer</w:t>
            </w:r>
          </w:p>
        </w:tc>
        <w:tc>
          <w:tcPr>
            <w:tcW w:w="2020" w:type="dxa"/>
            <w:vAlign w:val="bottom"/>
          </w:tcPr>
          <w:p>
            <w:pPr>
              <w:spacing w:after="0"/>
              <w:rPr>
                <w:sz w:val="22"/>
                <w:szCs w:val="22"/>
                <w:color w:val="auto"/>
              </w:rPr>
            </w:pPr>
          </w:p>
        </w:tc>
      </w:tr>
      <w:tr>
        <w:trPr>
          <w:trHeight w:val="239"/>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0"/>
                <w:szCs w:val="20"/>
                <w:color w:val="auto"/>
              </w:rPr>
            </w:pPr>
          </w:p>
        </w:tc>
      </w:tr>
      <w:tr>
        <w:trPr>
          <w:trHeight w:val="684"/>
        </w:trPr>
        <w:tc>
          <w:tcPr>
            <w:tcW w:w="2100" w:type="dxa"/>
            <w:vAlign w:val="bottom"/>
          </w:tcPr>
          <w:p>
            <w:pPr>
              <w:ind w:left="20"/>
              <w:spacing w:after="0"/>
              <w:rPr>
                <w:sz w:val="20"/>
                <w:szCs w:val="20"/>
                <w:color w:val="auto"/>
              </w:rPr>
            </w:pPr>
            <w:r>
              <w:rPr>
                <w:rFonts w:ascii="Arial" w:cs="Arial" w:eastAsia="Arial" w:hAnsi="Arial"/>
                <w:sz w:val="18"/>
                <w:szCs w:val="18"/>
                <w:color w:val="auto"/>
              </w:rPr>
              <w:t>Date: April 26, 2024</w:t>
            </w:r>
          </w:p>
        </w:tc>
        <w:tc>
          <w:tcPr>
            <w:tcW w:w="960" w:type="dxa"/>
            <w:vAlign w:val="bottom"/>
          </w:tcPr>
          <w:p>
            <w:pPr>
              <w:ind w:left="50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 Frederick Bohley</w:t>
            </w:r>
          </w:p>
        </w:tc>
        <w:tc>
          <w:tcPr>
            <w:tcW w:w="2020" w:type="dxa"/>
            <w:vAlign w:val="bottom"/>
          </w:tcPr>
          <w:p>
            <w:pPr>
              <w:spacing w:after="0"/>
              <w:rPr>
                <w:sz w:val="24"/>
                <w:szCs w:val="24"/>
                <w:color w:val="auto"/>
              </w:rPr>
            </w:pPr>
          </w:p>
        </w:tc>
      </w:tr>
      <w:tr>
        <w:trPr>
          <w:trHeight w:val="469"/>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color w:val="auto"/>
                <w:w w:val="98"/>
              </w:rPr>
              <w:t>Name:</w:t>
            </w:r>
          </w:p>
        </w:tc>
        <w:tc>
          <w:tcPr>
            <w:tcW w:w="5020" w:type="dxa"/>
            <w:vAlign w:val="bottom"/>
          </w:tcPr>
          <w:p>
            <w:pPr>
              <w:ind w:left="220"/>
              <w:spacing w:after="0"/>
              <w:rPr>
                <w:sz w:val="20"/>
                <w:szCs w:val="20"/>
                <w:color w:val="auto"/>
              </w:rPr>
            </w:pPr>
            <w:r>
              <w:rPr>
                <w:rFonts w:ascii="Arial" w:cs="Arial" w:eastAsia="Arial" w:hAnsi="Arial"/>
                <w:sz w:val="18"/>
                <w:szCs w:val="18"/>
                <w:color w:val="auto"/>
              </w:rPr>
              <w:t>G. Frederick Bohley</w:t>
            </w:r>
          </w:p>
        </w:tc>
        <w:tc>
          <w:tcPr>
            <w:tcW w:w="2020" w:type="dxa"/>
            <w:vAlign w:val="bottom"/>
          </w:tcPr>
          <w:p>
            <w:pPr>
              <w:spacing w:after="0"/>
              <w:rPr>
                <w:sz w:val="24"/>
                <w:szCs w:val="24"/>
                <w:color w:val="auto"/>
              </w:rPr>
            </w:pPr>
          </w:p>
        </w:tc>
      </w:tr>
      <w:tr>
        <w:trPr>
          <w:trHeight w:val="233"/>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color w:val="auto"/>
                <w:w w:val="97"/>
              </w:rPr>
              <w:t>Title:</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Senior Vice President, Chief Financial Officer and Treasurer</w:t>
            </w:r>
          </w:p>
        </w:tc>
        <w:tc>
          <w:tcPr>
            <w:tcW w:w="2020" w:type="dxa"/>
            <w:vAlign w:val="bottom"/>
          </w:tcPr>
          <w:p>
            <w:pPr>
              <w:spacing w:after="0"/>
              <w:rPr>
                <w:sz w:val="20"/>
                <w:szCs w:val="20"/>
                <w:color w:val="auto"/>
              </w:rPr>
            </w:pPr>
          </w:p>
        </w:tc>
      </w:tr>
      <w:tr>
        <w:trPr>
          <w:trHeight w:val="239"/>
        </w:trPr>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(Principal Financial Officer and Principal Accounting Officer)</w:t>
            </w:r>
          </w:p>
        </w:tc>
        <w:tc>
          <w:tcPr>
            <w:tcW w:w="2020" w:type="dxa"/>
            <w:vAlign w:val="bottom"/>
          </w:tcPr>
          <w:p>
            <w:pPr>
              <w:spacing w:after="0"/>
              <w:rPr>
                <w:sz w:val="20"/>
                <w:szCs w:val="20"/>
                <w:color w:val="auto"/>
              </w:rPr>
            </w:pPr>
          </w:p>
        </w:tc>
      </w:tr>
      <w:tr>
        <w:trPr>
          <w:trHeight w:val="796"/>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20" w:type="dxa"/>
            <w:vAlign w:val="bottom"/>
          </w:tcPr>
          <w:p>
            <w:pPr>
              <w:ind w:left="1320"/>
              <w:spacing w:after="0"/>
              <w:rPr>
                <w:sz w:val="20"/>
                <w:szCs w:val="20"/>
                <w:color w:val="auto"/>
              </w:rPr>
            </w:pPr>
            <w:r>
              <w:rPr>
                <w:rFonts w:ascii="Arial" w:cs="Arial" w:eastAsia="Arial" w:hAnsi="Arial"/>
                <w:sz w:val="18"/>
                <w:szCs w:val="18"/>
                <w:color w:val="auto"/>
              </w:rPr>
              <w:t>37</w:t>
            </w:r>
          </w:p>
        </w:tc>
        <w:tc>
          <w:tcPr>
            <w:tcW w:w="2020" w:type="dxa"/>
            <w:vAlign w:val="bottom"/>
          </w:tcPr>
          <w:p>
            <w:pPr>
              <w:spacing w:after="0"/>
              <w:rPr>
                <w:sz w:val="24"/>
                <w:szCs w:val="24"/>
                <w:color w:val="auto"/>
              </w:rPr>
            </w:pPr>
          </w:p>
        </w:tc>
      </w:tr>
      <w:tr>
        <w:trPr>
          <w:trHeight w:val="745"/>
        </w:trPr>
        <w:tc>
          <w:tcPr>
            <w:tcW w:w="2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2015 EQUITY</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32" w:lineRule="exact"/>
        <w:rPr>
          <w:sz w:val="20"/>
          <w:szCs w:val="20"/>
          <w:color w:val="auto"/>
        </w:rPr>
      </w:pPr>
    </w:p>
    <w:p>
      <w:pPr>
        <w:jc w:val="both"/>
        <w:ind w:left="180" w:right="12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Restricted Stock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RSUs are subject to the terms and conditions set forth in this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Restricted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Number of RSUs:</w:t>
      </w:r>
    </w:p>
    <w:p>
      <w:pPr>
        <w:spacing w:after="0" w:line="107" w:lineRule="exact"/>
        <w:rPr>
          <w:sz w:val="20"/>
          <w:szCs w:val="20"/>
          <w:color w:val="auto"/>
        </w:rPr>
      </w:pPr>
    </w:p>
    <w:p>
      <w:pPr>
        <w:ind w:left="200"/>
        <w:spacing w:after="0"/>
        <w:tabs>
          <w:tab w:leader="none" w:pos="254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[To be specified in individual agreements]</w:t>
      </w:r>
    </w:p>
    <w:p>
      <w:pPr>
        <w:spacing w:after="0" w:line="273" w:lineRule="exact"/>
        <w:rPr>
          <w:sz w:val="20"/>
          <w:szCs w:val="20"/>
          <w:color w:val="auto"/>
        </w:rPr>
      </w:pPr>
    </w:p>
    <w:p>
      <w:pPr>
        <w:jc w:val="both"/>
        <w:ind w:left="180" w:right="12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p>
      <w:pPr>
        <w:ind w:left="180"/>
        <w:spacing w:after="0"/>
        <w:tabs>
          <w:tab w:leader="none" w:pos="4500" w:val="left"/>
        </w:tabs>
        <w:rPr>
          <w:sz w:val="20"/>
          <w:szCs w:val="20"/>
          <w:color w:val="auto"/>
        </w:rPr>
      </w:pPr>
      <w:r>
        <w:rPr>
          <w:rFonts w:ascii="Times New Roman" w:cs="Times New Roman" w:eastAsia="Times New Roman" w:hAnsi="Times New Roman"/>
          <w:sz w:val="20"/>
          <w:szCs w:val="20"/>
          <w:b w:val="1"/>
          <w:bCs w:val="1"/>
          <w:color w:val="auto"/>
        </w:rPr>
        <w:t>ALLISON TRANSMISSION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7800" w:type="dxa"/>
            <w:vAlign w:val="bottom"/>
          </w:tcPr>
          <w:p>
            <w:pPr>
              <w:ind w:left="228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7800" w:type="dxa"/>
            <w:vAlign w:val="bottom"/>
          </w:tcPr>
          <w:p>
            <w:pPr>
              <w:ind w:left="228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34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7800" w:type="dxa"/>
            <w:vAlign w:val="bottom"/>
            <w:vMerge w:val="restart"/>
          </w:tcPr>
          <w:p>
            <w:pPr>
              <w:ind w:left="228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7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88"/>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RESTRICTED STOCK UNIT GRANT NOTICE RESTRICTED</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 UNIT AGREEMENT</w:t>
      </w:r>
    </w:p>
    <w:p>
      <w:pPr>
        <w:ind w:left="18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RSUs set forth in the Grant Notice.</w:t>
      </w:r>
    </w:p>
    <w:p>
      <w:pPr>
        <w:spacing w:after="0" w:line="1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ind w:left="180"/>
        <w:spacing w:after="0"/>
        <w:rPr>
          <w:sz w:val="20"/>
          <w:szCs w:val="20"/>
          <w:color w:val="auto"/>
        </w:rPr>
      </w:pPr>
      <w:r>
        <w:rPr>
          <w:rFonts w:ascii="Times New Roman" w:cs="Times New Roman" w:eastAsia="Times New Roman" w:hAnsi="Times New Roman"/>
          <w:sz w:val="20"/>
          <w:szCs w:val="20"/>
          <w:color w:val="auto"/>
        </w:rPr>
        <w:t>Notice.</w:t>
      </w:r>
    </w:p>
    <w:p>
      <w:pPr>
        <w:spacing w:after="0" w:line="220" w:lineRule="exact"/>
        <w:rPr>
          <w:sz w:val="20"/>
          <w:szCs w:val="20"/>
          <w:color w:val="auto"/>
        </w:rPr>
      </w:pPr>
    </w:p>
    <w:p>
      <w:pPr>
        <w:jc w:val="both"/>
        <w:ind w:left="180" w:right="120" w:firstLine="749"/>
        <w:spacing w:after="0" w:line="253"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color w:val="auto"/>
        </w:rPr>
        <w:t>AWARD OF RESTRICTED STOCK UNITS AND DIVIDEND EQUIVALENTS</w:t>
      </w:r>
    </w:p>
    <w:p>
      <w:pPr>
        <w:spacing w:after="0" w:line="232"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RSUs and Dividend Equivalents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180" w:right="120" w:firstLine="1490"/>
        <w:spacing w:after="0" w:line="243" w:lineRule="auto"/>
        <w:tabs>
          <w:tab w:leader="none" w:pos="20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Grant Notice, upon the terms and conditions set forth in the Grant Notice, the Plan and this Agreement, subject to adjustments as provided in Section 12.2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00" w:lineRule="exact"/>
        <w:rPr>
          <w:rFonts w:ascii="Times New Roman" w:cs="Times New Roman" w:eastAsia="Times New Roman" w:hAnsi="Times New Roman"/>
          <w:sz w:val="20"/>
          <w:szCs w:val="20"/>
          <w:color w:val="auto"/>
        </w:rPr>
      </w:pPr>
    </w:p>
    <w:p>
      <w:pPr>
        <w:jc w:val="both"/>
        <w:ind w:left="180" w:right="120" w:firstLine="1490"/>
        <w:spacing w:after="0" w:line="244" w:lineRule="auto"/>
        <w:tabs>
          <w:tab w:leader="none" w:pos="20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RSU granted pursuant to the Grant Notice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9" w:name="page40"/>
    <w:bookmarkEnd w:id="39"/>
    <w:p>
      <w:pPr>
        <w:ind w:left="180"/>
        <w:spacing w:after="0" w:line="268" w:lineRule="auto"/>
        <w:rPr>
          <w:sz w:val="20"/>
          <w:szCs w:val="20"/>
          <w:color w:val="auto"/>
        </w:rPr>
      </w:pPr>
      <w:r>
        <w:rPr>
          <w:rFonts w:ascii="Times New Roman" w:cs="Times New Roman" w:eastAsia="Times New Roman" w:hAnsi="Times New Roman"/>
          <w:sz w:val="20"/>
          <w:szCs w:val="20"/>
          <w:color w:val="auto"/>
        </w:rPr>
        <w:t>granted hereunder shall be subject to the same vesting, distribution or payment, adjustment and other provisions which apply to the underlying RSU to which such additional RSU relates.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40" w:name="page41"/>
    <w:bookmarkEnd w:id="40"/>
    <w:p>
      <w:pPr>
        <w:ind w:left="920"/>
        <w:spacing w:after="0"/>
        <w:tabs>
          <w:tab w:leader="none" w:pos="1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RSUs and Dividend Equivalents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80" w:right="120" w:firstLine="1490"/>
        <w:spacing w:after="0" w:line="249" w:lineRule="auto"/>
        <w:tabs>
          <w:tab w:leader="none" w:pos="204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and this Agreement. Each additional RSU which results from deemed reinvestments of Dividend Equivalents pursuant to Section 2.1(b) hereof shall vest whenever the underlying RSU to which such additional RSU relates vests.</w:t>
      </w:r>
    </w:p>
    <w:p>
      <w:pPr>
        <w:spacing w:after="0" w:line="191" w:lineRule="exact"/>
        <w:rPr>
          <w:rFonts w:ascii="Times New Roman" w:cs="Times New Roman" w:eastAsia="Times New Roman" w:hAnsi="Times New Roman"/>
          <w:sz w:val="20"/>
          <w:szCs w:val="20"/>
          <w:color w:val="auto"/>
        </w:rPr>
      </w:pPr>
    </w:p>
    <w:p>
      <w:pPr>
        <w:jc w:val="both"/>
        <w:ind w:left="180" w:right="120" w:firstLine="1490"/>
        <w:spacing w:after="0" w:line="246" w:lineRule="auto"/>
        <w:tabs>
          <w:tab w:leader="none" w:pos="204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96" w:lineRule="exact"/>
        <w:rPr>
          <w:rFonts w:ascii="Times New Roman" w:cs="Times New Roman" w:eastAsia="Times New Roman" w:hAnsi="Times New Roman"/>
          <w:sz w:val="20"/>
          <w:szCs w:val="20"/>
          <w:color w:val="auto"/>
        </w:rPr>
      </w:pPr>
    </w:p>
    <w:p>
      <w:pPr>
        <w:jc w:val="both"/>
        <w:ind w:left="200" w:firstLine="1500"/>
        <w:spacing w:after="0" w:line="245" w:lineRule="auto"/>
        <w:tabs>
          <w:tab w:leader="none" w:pos="2042"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in the event of Participant’s Termination of Service by the Company without Cause or due to Participant’s death or disability, in each case, within twenty-four (24) months following a Change in Control, all unvested RSUs will vest in full; provided, however, that if Participant is a party to a written employment or consulting agreement or change in control severance agreement or plan with the Company (or its Subsidiary) (each, a “</w:t>
      </w:r>
      <w:r>
        <w:rPr>
          <w:rFonts w:ascii="Times New Roman" w:cs="Times New Roman" w:eastAsia="Times New Roman" w:hAnsi="Times New Roman"/>
          <w:sz w:val="20"/>
          <w:szCs w:val="20"/>
          <w:u w:val="single" w:color="auto"/>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that provides more favorable treatment for unvested RSUs in connection with a Change in Control, then the RSUs shall be treated as provided in the applicable Relevant Agreement.</w:t>
      </w:r>
    </w:p>
    <w:p>
      <w:pPr>
        <w:spacing w:after="0" w:line="195" w:lineRule="exact"/>
        <w:rPr>
          <w:rFonts w:ascii="Times New Roman" w:cs="Times New Roman" w:eastAsia="Times New Roman" w:hAnsi="Times New Roman"/>
          <w:sz w:val="20"/>
          <w:szCs w:val="20"/>
          <w:color w:val="auto"/>
        </w:rPr>
      </w:pPr>
    </w:p>
    <w:p>
      <w:pPr>
        <w:jc w:val="both"/>
        <w:ind w:left="200" w:firstLine="1500"/>
        <w:spacing w:after="0" w:line="256" w:lineRule="auto"/>
        <w:tabs>
          <w:tab w:leader="none" w:pos="2042" w:val="left"/>
        </w:tabs>
        <w:numPr>
          <w:ilvl w:val="2"/>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the Grant Notice or this Agreement to the contrary, in the event of Participant’s Retirement, a pro-rated portion of the RSUs shall vest on the date of Participant’s Retirement in an amount determined by multiplying (i) the number of Shares subject to the RSUs that were scheduled to vest on the next regularly scheduled vesting date following Participant’s Retirement by (ii) a fraction, the numerator of which is the number of days from and including the first day of the applicable twelve (12) month vesting period through the date of Participant’s Retirement, and the denominator of which is the total number of days in such twelve</w:t>
      </w:r>
    </w:p>
    <w:p>
      <w:pPr>
        <w:spacing w:after="0" w:line="2" w:lineRule="exact"/>
        <w:rPr>
          <w:rFonts w:ascii="Times New Roman" w:cs="Times New Roman" w:eastAsia="Times New Roman" w:hAnsi="Times New Roman"/>
          <w:sz w:val="19"/>
          <w:szCs w:val="19"/>
          <w:color w:val="auto"/>
        </w:rPr>
      </w:pPr>
    </w:p>
    <w:p>
      <w:pPr>
        <w:jc w:val="both"/>
        <w:ind w:left="200" w:firstLine="2"/>
        <w:spacing w:after="0" w:line="241" w:lineRule="auto"/>
        <w:tabs>
          <w:tab w:leader="none" w:pos="58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vesting period (excluding the actual vesting date for such vesting period), with any partial Shares that result rounded up to the nearest whole Share. For example, if the Grant Date is February 21, 20[XX] and Participant’s Retirement occurs on July 21, 20[XX], the number of Shares subject to the RSUs that are next regularly scheduled to vest and will vest upon Participant’s Retirement shall be based on a fraction equal to 183/366.</w:t>
      </w:r>
    </w:p>
    <w:p>
      <w:pPr>
        <w:spacing w:after="0" w:line="281" w:lineRule="exact"/>
        <w:rPr>
          <w:sz w:val="20"/>
          <w:szCs w:val="20"/>
          <w:color w:val="auto"/>
        </w:rPr>
      </w:pPr>
    </w:p>
    <w:p>
      <w:pPr>
        <w:jc w:val="both"/>
        <w:ind w:left="100" w:right="120"/>
        <w:spacing w:after="0" w:line="242" w:lineRule="auto"/>
        <w:rPr>
          <w:sz w:val="20"/>
          <w:szCs w:val="20"/>
          <w:color w:val="auto"/>
        </w:rPr>
      </w:pPr>
      <w:r>
        <w:rPr>
          <w:rFonts w:ascii="Times New Roman" w:cs="Times New Roman" w:eastAsia="Times New Roman" w:hAnsi="Times New Roman"/>
          <w:sz w:val="20"/>
          <w:szCs w:val="20"/>
          <w:color w:val="auto"/>
        </w:rPr>
        <w:t>As used in this Agreement, “Cause” shall mean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Relevant Agreement, then “Cause” shall be as such term is defined in the applicable Relevant Agreement.</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1" w:name="page42"/>
    <w:bookmarkEnd w:id="41"/>
    <w:p>
      <w:pPr>
        <w:ind w:left="100"/>
        <w:spacing w:after="0" w:line="26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mean Participant’s voluntary Termination of Service on or after the date on which Participant satisfies the definition of “Retirement” in the Company’s Retirement Policy applicable to Participant.</w:t>
      </w:r>
    </w:p>
    <w:p>
      <w:pPr>
        <w:spacing w:after="0" w:line="174"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RSUs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180" w:firstLine="1490"/>
        <w:spacing w:after="0" w:line="243"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213" w:lineRule="exact"/>
        <w:rPr>
          <w:rFonts w:ascii="Times New Roman" w:cs="Times New Roman" w:eastAsia="Times New Roman" w:hAnsi="Times New Roman"/>
          <w:sz w:val="20"/>
          <w:szCs w:val="20"/>
          <w:color w:val="auto"/>
        </w:rPr>
      </w:pPr>
    </w:p>
    <w:p>
      <w:pPr>
        <w:jc w:val="both"/>
        <w:ind w:left="180" w:firstLine="1490"/>
        <w:spacing w:after="0" w:line="246"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97" w:lineRule="exact"/>
        <w:rPr>
          <w:sz w:val="20"/>
          <w:szCs w:val="20"/>
          <w:color w:val="auto"/>
        </w:rPr>
      </w:pPr>
    </w:p>
    <w:p>
      <w:pPr>
        <w:jc w:val="both"/>
        <w:ind w:left="180" w:firstLine="749"/>
        <w:spacing w:after="0" w:line="260" w:lineRule="auto"/>
        <w:rPr>
          <w:sz w:val="20"/>
          <w:szCs w:val="20"/>
          <w:color w:val="auto"/>
        </w:rPr>
      </w:pPr>
      <w:r>
        <w:rPr>
          <w:rFonts w:ascii="Times New Roman" w:cs="Times New Roman" w:eastAsia="Times New Roman" w:hAnsi="Times New Roman"/>
          <w:sz w:val="19"/>
          <w:szCs w:val="19"/>
          <w:color w:val="auto"/>
        </w:rPr>
        <w:t>2.4</w:t>
      </w:r>
      <w:r>
        <w:rPr>
          <w:rFonts w:ascii="Times New Roman" w:cs="Times New Roman" w:eastAsia="Times New Roman" w:hAnsi="Times New Roman"/>
          <w:sz w:val="19"/>
          <w:szCs w:val="19"/>
          <w:u w:val="single" w:color="auto"/>
          <w:color w:val="auto"/>
        </w:rPr>
        <w:t>Conditions to Issuance of Certificates</w:t>
      </w:r>
      <w:r>
        <w:rPr>
          <w:rFonts w:ascii="Times New Roman" w:cs="Times New Roman" w:eastAsia="Times New Roman" w:hAnsi="Times New Roman"/>
          <w:sz w:val="19"/>
          <w:szCs w:val="19"/>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8" w:lineRule="exact"/>
        <w:rPr>
          <w:sz w:val="20"/>
          <w:szCs w:val="20"/>
          <w:color w:val="auto"/>
        </w:rPr>
      </w:pPr>
    </w:p>
    <w:p>
      <w:pPr>
        <w:ind w:left="920"/>
        <w:spacing w:after="0"/>
        <w:tabs>
          <w:tab w:leader="none" w:pos="16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left="180" w:firstLine="1490"/>
        <w:spacing w:after="0" w:line="246" w:lineRule="auto"/>
        <w:tabs>
          <w:tab w:leader="none" w:pos="20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180" w:lineRule="exact"/>
        <w:rPr>
          <w:sz w:val="20"/>
          <w:szCs w:val="20"/>
          <w:color w:val="auto"/>
        </w:rPr>
      </w:pPr>
    </w:p>
    <w:p>
      <w:pPr>
        <w:ind w:left="3160" w:hanging="741"/>
        <w:spacing w:after="0"/>
        <w:tabs>
          <w:tab w:leader="none" w:pos="31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(iii)with respect to any withholding taxes arising in connection with the</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1" w:right="459" w:bottom="1440" w:gutter="0" w:footer="0" w:header="0"/>
        </w:sectPr>
      </w:pPr>
    </w:p>
    <w:bookmarkStart w:id="42" w:name="page43"/>
    <w:bookmarkEnd w:id="42"/>
    <w:p>
      <w:pPr>
        <w:jc w:val="both"/>
        <w:ind w:left="180"/>
        <w:spacing w:after="0" w:line="249" w:lineRule="auto"/>
        <w:rPr>
          <w:sz w:val="20"/>
          <w:szCs w:val="20"/>
          <w:color w:val="auto"/>
        </w:rPr>
      </w:pPr>
      <w:r>
        <w:rPr>
          <w:rFonts w:ascii="Times New Roman" w:cs="Times New Roman" w:eastAsia="Times New Roman" w:hAnsi="Times New Roman"/>
          <w:sz w:val="20"/>
          <w:szCs w:val="20"/>
          <w:color w:val="auto"/>
        </w:rPr>
        <w:t>distribution of the RSUs, with the consent of the Administrator, by requesting that the Company and its Subsidiaries withhold a net number of vested shares of Stock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205" w:lineRule="exact"/>
        <w:rPr>
          <w:sz w:val="20"/>
          <w:szCs w:val="20"/>
          <w:color w:val="auto"/>
        </w:rPr>
      </w:pPr>
    </w:p>
    <w:p>
      <w:pPr>
        <w:jc w:val="both"/>
        <w:ind w:left="180" w:firstLine="2246"/>
        <w:spacing w:after="0" w:line="249"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205" w:lineRule="exact"/>
        <w:rPr>
          <w:sz w:val="20"/>
          <w:szCs w:val="20"/>
          <w:color w:val="auto"/>
        </w:rPr>
      </w:pPr>
    </w:p>
    <w:p>
      <w:pPr>
        <w:jc w:val="both"/>
        <w:ind w:left="18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6" w:lineRule="exact"/>
        <w:rPr>
          <w:sz w:val="20"/>
          <w:szCs w:val="20"/>
          <w:color w:val="auto"/>
        </w:rPr>
      </w:pPr>
    </w:p>
    <w:p>
      <w:pPr>
        <w:ind w:left="3160" w:hanging="741"/>
        <w:spacing w:after="0"/>
        <w:tabs>
          <w:tab w:leader="none" w:pos="31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41" w:lineRule="exact"/>
        <w:rPr>
          <w:rFonts w:ascii="Times New Roman" w:cs="Times New Roman" w:eastAsia="Times New Roman" w:hAnsi="Times New Roman"/>
          <w:sz w:val="20"/>
          <w:szCs w:val="20"/>
          <w:color w:val="auto"/>
        </w:rPr>
      </w:pPr>
    </w:p>
    <w:p>
      <w:pPr>
        <w:jc w:val="both"/>
        <w:ind w:left="180" w:firstLine="1490"/>
        <w:spacing w:after="0" w:line="243" w:lineRule="auto"/>
        <w:tabs>
          <w:tab w:leader="none" w:pos="20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213" w:lineRule="exact"/>
        <w:rPr>
          <w:rFonts w:ascii="Times New Roman" w:cs="Times New Roman" w:eastAsia="Times New Roman" w:hAnsi="Times New Roman"/>
          <w:sz w:val="20"/>
          <w:szCs w:val="20"/>
          <w:color w:val="auto"/>
        </w:rPr>
      </w:pPr>
    </w:p>
    <w:p>
      <w:pPr>
        <w:jc w:val="both"/>
        <w:ind w:left="180" w:firstLine="1490"/>
        <w:spacing w:after="0" w:line="257" w:lineRule="auto"/>
        <w:tabs>
          <w:tab w:leader="none" w:pos="204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until the foregoing tax withholding obligations are satisfied,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payment shall be delayed under this Section 2.5(c) if such delay will result in a violation of Section 409A of the Code.</w:t>
      </w:r>
    </w:p>
    <w:p>
      <w:pPr>
        <w:spacing w:after="0" w:line="186" w:lineRule="exact"/>
        <w:rPr>
          <w:rFonts w:ascii="Times New Roman" w:cs="Times New Roman" w:eastAsia="Times New Roman" w:hAnsi="Times New Roman"/>
          <w:sz w:val="19"/>
          <w:szCs w:val="19"/>
          <w:color w:val="auto"/>
        </w:rPr>
      </w:pPr>
    </w:p>
    <w:p>
      <w:pPr>
        <w:ind w:left="180" w:firstLine="1490"/>
        <w:spacing w:after="0" w:line="268" w:lineRule="auto"/>
        <w:tabs>
          <w:tab w:leader="none" w:pos="20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Subsidiary takes with respect to any tax withholding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1" w:right="459" w:bottom="1440" w:gutter="0" w:footer="0" w:header="0"/>
        </w:sectPr>
      </w:pPr>
    </w:p>
    <w:bookmarkStart w:id="43" w:name="page44"/>
    <w:bookmarkEnd w:id="43"/>
    <w:p>
      <w:pPr>
        <w:jc w:val="both"/>
        <w:ind w:left="180"/>
        <w:spacing w:after="0" w:line="249" w:lineRule="auto"/>
        <w:rPr>
          <w:sz w:val="20"/>
          <w:szCs w:val="20"/>
          <w:color w:val="auto"/>
        </w:rPr>
      </w:pPr>
      <w:r>
        <w:rPr>
          <w:rFonts w:ascii="Times New Roman" w:cs="Times New Roman" w:eastAsia="Times New Roman" w:hAnsi="Times New Roman"/>
          <w:sz w:val="20"/>
          <w:szCs w:val="20"/>
          <w:color w:val="auto"/>
        </w:rPr>
        <w:t>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205"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color w:val="auto"/>
        </w:rPr>
        <w:t>2.6</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ARTICLE III. OTHER</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PROVISIONS</w:t>
      </w:r>
    </w:p>
    <w:p>
      <w:pPr>
        <w:jc w:val="both"/>
        <w:ind w:left="180" w:firstLine="749"/>
        <w:spacing w:after="0"/>
        <w:rPr>
          <w:sz w:val="20"/>
          <w:szCs w:val="20"/>
          <w:color w:val="auto"/>
        </w:rPr>
      </w:pPr>
      <w:r>
        <w:rPr>
          <w:rFonts w:ascii="Times New Roman" w:cs="Times New Roman" w:eastAsia="Times New Roman" w:hAnsi="Times New Roman"/>
          <w:sz w:val="20"/>
          <w:szCs w:val="20"/>
          <w:color w:val="auto"/>
        </w:rPr>
        <w:t>3.1</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203" w:lineRule="exact"/>
        <w:rPr>
          <w:sz w:val="20"/>
          <w:szCs w:val="20"/>
          <w:color w:val="auto"/>
        </w:rPr>
      </w:pPr>
    </w:p>
    <w:p>
      <w:pPr>
        <w:jc w:val="both"/>
        <w:ind w:left="180" w:firstLine="749"/>
        <w:spacing w:after="0" w:line="244" w:lineRule="auto"/>
        <w:rPr>
          <w:sz w:val="20"/>
          <w:szCs w:val="20"/>
          <w:color w:val="auto"/>
        </w:rPr>
      </w:pPr>
      <w:r>
        <w:rPr>
          <w:rFonts w:ascii="Times New Roman" w:cs="Times New Roman" w:eastAsia="Times New Roman" w:hAnsi="Times New Roman"/>
          <w:sz w:val="20"/>
          <w:szCs w:val="20"/>
          <w:color w:val="auto"/>
        </w:rPr>
        <w:t>3.2</w:t>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11"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color w:val="auto"/>
        </w:rPr>
        <w:t>3.3</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12.2 of the Plan.</w:t>
      </w:r>
    </w:p>
    <w:p>
      <w:pPr>
        <w:spacing w:after="0" w:line="203"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color w:val="auto"/>
        </w:rPr>
        <w:t>3.4</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44" w:name="page45"/>
    <w:bookmarkEnd w:id="44"/>
    <w:p>
      <w:pPr>
        <w:jc w:val="both"/>
        <w:ind w:left="180"/>
        <w:spacing w:after="0" w:line="268" w:lineRule="auto"/>
        <w:rPr>
          <w:sz w:val="20"/>
          <w:szCs w:val="20"/>
          <w:color w:val="auto"/>
        </w:rPr>
      </w:pPr>
      <w:r>
        <w:rPr>
          <w:rFonts w:ascii="Times New Roman" w:cs="Times New Roman" w:eastAsia="Times New Roman" w:hAnsi="Times New Roman"/>
          <w:sz w:val="20"/>
          <w:szCs w:val="20"/>
          <w:color w:val="auto"/>
        </w:rPr>
        <w:t>when sent via email or when sent by certified mail (return receipt requested) and deposited (with postage prepaid) in a post office or branch post office regularly maintained by the United States Postal Service.</w:t>
      </w:r>
    </w:p>
    <w:p>
      <w:pPr>
        <w:spacing w:after="0" w:line="188"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color w:val="auto"/>
        </w:rPr>
        <w:t>3.5</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88"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color w:val="auto"/>
        </w:rPr>
        <w:t>3.6</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4"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color w:val="auto"/>
        </w:rPr>
        <w:t>3.7</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209"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color w:val="auto"/>
        </w:rPr>
        <w:t>3.8</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205" w:lineRule="exact"/>
        <w:rPr>
          <w:sz w:val="20"/>
          <w:szCs w:val="20"/>
          <w:color w:val="auto"/>
        </w:rPr>
      </w:pPr>
    </w:p>
    <w:p>
      <w:pPr>
        <w:jc w:val="both"/>
        <w:ind w:left="180" w:firstLine="749"/>
        <w:spacing w:after="0" w:line="249" w:lineRule="auto"/>
        <w:rPr>
          <w:sz w:val="20"/>
          <w:szCs w:val="20"/>
          <w:color w:val="auto"/>
        </w:rPr>
      </w:pPr>
      <w:r>
        <w:rPr>
          <w:rFonts w:ascii="Times New Roman" w:cs="Times New Roman" w:eastAsia="Times New Roman" w:hAnsi="Times New Roman"/>
          <w:sz w:val="20"/>
          <w:szCs w:val="20"/>
          <w:color w:val="auto"/>
        </w:rPr>
        <w:t>3.9</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92" w:lineRule="exact"/>
        <w:rPr>
          <w:sz w:val="20"/>
          <w:szCs w:val="20"/>
          <w:color w:val="auto"/>
        </w:rPr>
      </w:pPr>
    </w:p>
    <w:p>
      <w:pPr>
        <w:jc w:val="both"/>
        <w:ind w:left="180" w:firstLine="749"/>
        <w:spacing w:after="0" w:line="245" w:lineRule="auto"/>
        <w:rPr>
          <w:sz w:val="20"/>
          <w:szCs w:val="20"/>
          <w:color w:val="auto"/>
        </w:rPr>
      </w:pPr>
      <w:r>
        <w:rPr>
          <w:rFonts w:ascii="Times New Roman" w:cs="Times New Roman" w:eastAsia="Times New Roman" w:hAnsi="Times New Roman"/>
          <w:sz w:val="20"/>
          <w:szCs w:val="20"/>
          <w:color w:val="auto"/>
        </w:rPr>
        <w:t>3.10</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9"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7" w:lineRule="exact"/>
        <w:rPr>
          <w:sz w:val="20"/>
          <w:szCs w:val="20"/>
          <w:color w:val="auto"/>
        </w:rPr>
      </w:pPr>
    </w:p>
    <w:p>
      <w:pPr>
        <w:jc w:val="both"/>
        <w:ind w:left="180" w:firstLine="749"/>
        <w:spacing w:after="0" w:line="268" w:lineRule="auto"/>
        <w:rPr>
          <w:sz w:val="20"/>
          <w:szCs w:val="20"/>
          <w:color w:val="auto"/>
        </w:rPr>
      </w:pPr>
      <w:r>
        <w:rPr>
          <w:rFonts w:ascii="Times New Roman" w:cs="Times New Roman" w:eastAsia="Times New Roman" w:hAnsi="Times New Roman"/>
          <w:sz w:val="20"/>
          <w:szCs w:val="20"/>
          <w:color w:val="auto"/>
        </w:rPr>
        <w:t>3.12</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45" w:name="page46"/>
    <w:bookmarkEnd w:id="45"/>
    <w:p>
      <w:pPr>
        <w:ind w:left="180"/>
        <w:spacing w:after="0"/>
        <w:rPr>
          <w:sz w:val="20"/>
          <w:szCs w:val="20"/>
          <w:color w:val="auto"/>
        </w:rPr>
      </w:pPr>
      <w:r>
        <w:rPr>
          <w:rFonts w:ascii="Times New Roman" w:cs="Times New Roman" w:eastAsia="Times New Roman" w:hAnsi="Times New Roman"/>
          <w:sz w:val="20"/>
          <w:szCs w:val="20"/>
          <w:color w:val="auto"/>
        </w:rPr>
        <w:t>and agreements of the Company and Participant with respect to the subject matter hereof.</w:t>
      </w:r>
    </w:p>
    <w:p>
      <w:pPr>
        <w:spacing w:after="0" w:line="242" w:lineRule="exact"/>
        <w:rPr>
          <w:sz w:val="20"/>
          <w:szCs w:val="20"/>
          <w:color w:val="auto"/>
        </w:rPr>
      </w:pPr>
    </w:p>
    <w:p>
      <w:pPr>
        <w:jc w:val="both"/>
        <w:ind w:left="180" w:firstLine="749"/>
        <w:spacing w:after="0" w:line="242" w:lineRule="auto"/>
        <w:rPr>
          <w:sz w:val="20"/>
          <w:szCs w:val="20"/>
          <w:color w:val="auto"/>
        </w:rPr>
      </w:pPr>
      <w:r>
        <w:rPr>
          <w:rFonts w:ascii="Times New Roman" w:cs="Times New Roman" w:eastAsia="Times New Roman" w:hAnsi="Times New Roman"/>
          <w:sz w:val="20"/>
          <w:szCs w:val="20"/>
          <w:color w:val="auto"/>
        </w:rPr>
        <w:t>3.13</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19" w:lineRule="exact"/>
        <w:rPr>
          <w:sz w:val="20"/>
          <w:szCs w:val="20"/>
          <w:color w:val="auto"/>
        </w:rPr>
      </w:pPr>
    </w:p>
    <w:p>
      <w:pPr>
        <w:jc w:val="both"/>
        <w:ind w:left="180" w:firstLine="749"/>
        <w:spacing w:after="0" w:line="253" w:lineRule="auto"/>
        <w:rPr>
          <w:sz w:val="20"/>
          <w:szCs w:val="20"/>
          <w:color w:val="auto"/>
        </w:rPr>
      </w:pPr>
      <w:r>
        <w:rPr>
          <w:rFonts w:ascii="Times New Roman" w:cs="Times New Roman" w:eastAsia="Times New Roman" w:hAnsi="Times New Roman"/>
          <w:sz w:val="20"/>
          <w:szCs w:val="20"/>
          <w:color w:val="auto"/>
        </w:rPr>
        <w:t>3.14</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90" w:lineRule="exact"/>
        <w:rPr>
          <w:sz w:val="20"/>
          <w:szCs w:val="20"/>
          <w:color w:val="auto"/>
        </w:rPr>
      </w:pPr>
    </w:p>
    <w:p>
      <w:pPr>
        <w:jc w:val="both"/>
        <w:ind w:left="180" w:firstLine="749"/>
        <w:spacing w:after="0" w:line="246" w:lineRule="auto"/>
        <w:rPr>
          <w:sz w:val="20"/>
          <w:szCs w:val="20"/>
          <w:color w:val="auto"/>
        </w:rPr>
      </w:pPr>
      <w:r>
        <w:rPr>
          <w:rFonts w:ascii="Times New Roman" w:cs="Times New Roman" w:eastAsia="Times New Roman" w:hAnsi="Times New Roman"/>
          <w:sz w:val="20"/>
          <w:szCs w:val="20"/>
          <w:color w:val="auto"/>
        </w:rPr>
        <w:t>3.15</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210" w:lineRule="exact"/>
        <w:rPr>
          <w:sz w:val="20"/>
          <w:szCs w:val="20"/>
          <w:color w:val="auto"/>
        </w:rPr>
      </w:pPr>
    </w:p>
    <w:p>
      <w:pPr>
        <w:jc w:val="both"/>
        <w:ind w:left="180" w:firstLine="749"/>
        <w:spacing w:after="0" w:line="295" w:lineRule="auto"/>
        <w:rPr>
          <w:sz w:val="20"/>
          <w:szCs w:val="20"/>
          <w:color w:val="auto"/>
        </w:rPr>
      </w:pPr>
      <w:r>
        <w:rPr>
          <w:rFonts w:ascii="Times New Roman" w:cs="Times New Roman" w:eastAsia="Times New Roman" w:hAnsi="Times New Roman"/>
          <w:sz w:val="19"/>
          <w:szCs w:val="19"/>
          <w:color w:val="auto"/>
        </w:rPr>
        <w:t>3.16</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4" w:lineRule="exact"/>
        <w:rPr>
          <w:sz w:val="20"/>
          <w:szCs w:val="20"/>
          <w:color w:val="auto"/>
        </w:rPr>
      </w:pPr>
    </w:p>
    <w:p>
      <w:pPr>
        <w:jc w:val="both"/>
        <w:ind w:left="180" w:firstLine="749"/>
        <w:spacing w:after="0" w:line="250" w:lineRule="auto"/>
        <w:rPr>
          <w:sz w:val="20"/>
          <w:szCs w:val="20"/>
          <w:color w:val="auto"/>
        </w:rPr>
      </w:pPr>
      <w:r>
        <w:rPr>
          <w:rFonts w:ascii="Times New Roman" w:cs="Times New Roman" w:eastAsia="Times New Roman" w:hAnsi="Times New Roman"/>
          <w:sz w:val="20"/>
          <w:szCs w:val="20"/>
          <w:color w:val="auto"/>
        </w:rPr>
        <w:t>3.17</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2.5(a)(iii) or Section 2.5(a)(v):</w:t>
      </w:r>
    </w:p>
    <w:p>
      <w:pPr>
        <w:spacing w:after="0" w:line="1" w:lineRule="exact"/>
        <w:rPr>
          <w:sz w:val="20"/>
          <w:szCs w:val="20"/>
          <w:color w:val="auto"/>
        </w:rPr>
      </w:pPr>
    </w:p>
    <w:p>
      <w:pPr>
        <w:jc w:val="both"/>
        <w:ind w:left="180" w:hanging="6"/>
        <w:spacing w:after="0" w:line="239" w:lineRule="auto"/>
        <w:tabs>
          <w:tab w:leader="none" w:pos="51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09" w:lineRule="exact"/>
        <w:rPr>
          <w:rFonts w:ascii="Times New Roman" w:cs="Times New Roman" w:eastAsia="Times New Roman" w:hAnsi="Times New Roman"/>
          <w:sz w:val="20"/>
          <w:szCs w:val="20"/>
          <w:color w:val="auto"/>
        </w:rPr>
      </w:pPr>
    </w:p>
    <w:p>
      <w:pPr>
        <w:ind w:left="5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0"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2015 EQUITY</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46" w:lineRule="exact"/>
        <w:rPr>
          <w:sz w:val="20"/>
          <w:szCs w:val="20"/>
          <w:color w:val="auto"/>
        </w:rPr>
      </w:pPr>
    </w:p>
    <w:p>
      <w:pPr>
        <w:jc w:val="both"/>
        <w:ind w:left="180" w:right="14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option to purchase the number of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The Option is subject to the terms and conditions set forth in this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tabs>
          <w:tab w:leader="none" w:pos="2540" w:val="left"/>
        </w:tabs>
        <w:rPr>
          <w:sz w:val="20"/>
          <w:szCs w:val="20"/>
          <w:color w:val="auto"/>
        </w:rPr>
      </w:pPr>
      <w:r>
        <w:rPr>
          <w:rFonts w:ascii="Times New Roman" w:cs="Times New Roman" w:eastAsia="Times New Roman" w:hAnsi="Times New Roman"/>
          <w:sz w:val="20"/>
          <w:szCs w:val="20"/>
          <w:b w:val="1"/>
          <w:bCs w:val="1"/>
          <w:color w:val="auto"/>
        </w:rPr>
        <w:t>Exercise Price per Share:</w:t>
      </w:r>
      <w:r>
        <w:rPr>
          <w:sz w:val="20"/>
          <w:szCs w:val="20"/>
          <w:color w:val="auto"/>
        </w:rPr>
        <w:tab/>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200"/>
        <w:spacing w:after="0"/>
        <w:tabs>
          <w:tab w:leader="none" w:pos="2140" w:val="left"/>
        </w:tabs>
        <w:rPr>
          <w:sz w:val="20"/>
          <w:szCs w:val="20"/>
          <w:color w:val="auto"/>
        </w:rPr>
      </w:pPr>
      <w:r>
        <w:rPr>
          <w:rFonts w:ascii="Times New Roman" w:cs="Times New Roman" w:eastAsia="Times New Roman" w:hAnsi="Times New Roman"/>
          <w:sz w:val="20"/>
          <w:szCs w:val="20"/>
          <w:b w:val="1"/>
          <w:bCs w:val="1"/>
          <w:color w:val="auto"/>
        </w:rPr>
        <w:t>Total Exercise Price:</w:t>
      </w:r>
      <w:r>
        <w:rPr>
          <w:sz w:val="20"/>
          <w:szCs w:val="20"/>
          <w:color w:val="auto"/>
        </w:rPr>
        <w:tab/>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Total Number of Shares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Subject to the Option: </w:t>
      </w:r>
      <w:r>
        <w:rPr>
          <w:rFonts w:ascii="Times New Roman" w:cs="Times New Roman" w:eastAsia="Times New Roman" w:hAnsi="Times New Roman"/>
          <w:sz w:val="20"/>
          <w:szCs w:val="20"/>
          <w:color w:val="auto"/>
        </w:rPr>
        <w:t>shares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[To be specified in individual agreements]</w:t>
      </w:r>
    </w:p>
    <w:p>
      <w:pPr>
        <w:spacing w:after="0" w:line="53"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219" w:lineRule="exact"/>
        <w:rPr>
          <w:sz w:val="20"/>
          <w:szCs w:val="20"/>
          <w:color w:val="auto"/>
        </w:rPr>
      </w:pPr>
    </w:p>
    <w:p>
      <w:pPr>
        <w:jc w:val="both"/>
        <w:ind w:left="180" w:right="12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p>
      <w:pPr>
        <w:ind w:left="180"/>
        <w:spacing w:after="0"/>
        <w:tabs>
          <w:tab w:leader="none" w:pos="4500" w:val="left"/>
        </w:tabs>
        <w:rPr>
          <w:sz w:val="20"/>
          <w:szCs w:val="20"/>
          <w:color w:val="auto"/>
        </w:rPr>
      </w:pPr>
      <w:r>
        <w:rPr>
          <w:rFonts w:ascii="Times New Roman" w:cs="Times New Roman" w:eastAsia="Times New Roman" w:hAnsi="Times New Roman"/>
          <w:sz w:val="20"/>
          <w:szCs w:val="20"/>
          <w:b w:val="1"/>
          <w:bCs w:val="1"/>
          <w:color w:val="auto"/>
        </w:rPr>
        <w:t>ALLISON TRANSMISSION HOLDINGS, INC.</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7620" w:type="dxa"/>
            <w:vAlign w:val="bottom"/>
          </w:tcPr>
          <w:p>
            <w:pPr>
              <w:ind w:left="210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3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7620" w:type="dxa"/>
            <w:vAlign w:val="bottom"/>
            <w:vMerge w:val="restart"/>
          </w:tcPr>
          <w:p>
            <w:pPr>
              <w:ind w:left="210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7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6"/>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|US-DOCS\149529098.2||</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0"/>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TO STOCK OPTION GRANT NOTICE STOCK OPTION</w:t>
      </w: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jc w:val="both"/>
        <w:ind w:right="2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an Option under the Plan to purchase the number of shares of Stock set forth in the Grant Notice.</w:t>
      </w:r>
    </w:p>
    <w:p>
      <w:pPr>
        <w:spacing w:after="0" w:line="1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ARTICLE 1. GENERAL</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2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and the Plan, which is incorporated herein by reference. In the event of any inconsistency between the Plan and this Agreement, the terms of the Plan shall control.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23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Option to purchase any part or all of an aggregate of the number of shares of Stock set forth in the Grant Notice, upon the terms and conditions set forth in the Grant Notice, the Plan and this Agreement, subject to adjustments as provided in Section 12.2 of the Plan.</w:t>
      </w:r>
    </w:p>
    <w:p>
      <w:pPr>
        <w:spacing w:after="0" w:line="21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2.2</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per share of the shares of Stock subject to the Option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shall be as set forth in the Grant Notice.</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Consideration to the Company</w:t>
      </w:r>
      <w:r>
        <w:rPr>
          <w:rFonts w:ascii="Times New Roman" w:cs="Times New Roman" w:eastAsia="Times New Roman" w:hAnsi="Times New Roman"/>
          <w:sz w:val="20"/>
          <w:szCs w:val="20"/>
          <w:color w:val="auto"/>
        </w:rPr>
        <w:t>. In consideration of the grant of the Option by the Company, Participant agrees to render faithful and efficient services to the Company or any Subsidiary. Nothing in the Plan, the Grant Notice or this Agreement shall confer upon Participant any right to continue in the employ or service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32"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826770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07" w:right="459" w:bottom="1440" w:gutter="0" w:footer="0" w:header="0"/>
        </w:sectPr>
      </w:pPr>
    </w:p>
    <w:bookmarkStart w:id="48" w:name="page49"/>
    <w:bookmarkEnd w:id="48"/>
    <w:p>
      <w:pPr>
        <w:spacing w:after="0" w:line="107" w:lineRule="exact"/>
        <w:rPr>
          <w:sz w:val="20"/>
          <w:szCs w:val="20"/>
          <w:color w:val="auto"/>
        </w:rPr>
      </w:pPr>
    </w:p>
    <w:p>
      <w:pPr>
        <w:ind w:left="80" w:firstLine="1490"/>
        <w:spacing w:after="0" w:line="268" w:lineRule="auto"/>
        <w:tabs>
          <w:tab w:leader="none" w:pos="19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3.1 (c) and (d), 3.2, 3.3, 5.9 and 5.14 hereof, the Option shall become vested and exercisable in such amounts and at such times as are set forth in the Grant Notice.</w:t>
      </w:r>
    </w:p>
    <w:p>
      <w:pPr>
        <w:spacing w:after="0" w:line="25" w:lineRule="exact"/>
        <w:rPr>
          <w:rFonts w:ascii="Times New Roman" w:cs="Times New Roman" w:eastAsia="Times New Roman" w:hAnsi="Times New Roman"/>
          <w:sz w:val="20"/>
          <w:szCs w:val="20"/>
          <w:color w:val="auto"/>
        </w:rPr>
      </w:pPr>
    </w:p>
    <w:p>
      <w:pPr>
        <w:jc w:val="both"/>
        <w:ind w:left="80" w:firstLine="1490"/>
        <w:spacing w:after="0" w:line="253" w:lineRule="auto"/>
        <w:tabs>
          <w:tab w:leader="none" w:pos="19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spacing w:after="0" w:line="257" w:lineRule="exact"/>
        <w:rPr>
          <w:rFonts w:ascii="Times New Roman" w:cs="Times New Roman" w:eastAsia="Times New Roman" w:hAnsi="Times New Roman"/>
          <w:sz w:val="20"/>
          <w:szCs w:val="20"/>
          <w:color w:val="auto"/>
        </w:rPr>
      </w:pPr>
    </w:p>
    <w:p>
      <w:pPr>
        <w:jc w:val="both"/>
        <w:ind w:left="80" w:firstLine="1490"/>
        <w:spacing w:after="0" w:line="245" w:lineRule="auto"/>
        <w:tabs>
          <w:tab w:leader="none" w:pos="19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to the contrary, in the event of Participant’s Termination of Service by the Company without Cause (as defined below) or due to Participant’s death or disability, in each case, within twenty-four (24) months following a Change in Control, all unvested Options will vest in full; provided, however, that if Participant is a party to a written employment or consulting agreement or change in control severance agreement or plan with the Company (or its Subsidiary) (each, a “</w:t>
      </w:r>
      <w:r>
        <w:rPr>
          <w:rFonts w:ascii="Times New Roman" w:cs="Times New Roman" w:eastAsia="Times New Roman" w:hAnsi="Times New Roman"/>
          <w:sz w:val="20"/>
          <w:szCs w:val="20"/>
          <w:u w:val="single" w:color="auto"/>
          <w:color w:val="auto"/>
        </w:rPr>
        <w:t>Relevant Agreement</w:t>
      </w:r>
      <w:r>
        <w:rPr>
          <w:rFonts w:ascii="Times New Roman" w:cs="Times New Roman" w:eastAsia="Times New Roman" w:hAnsi="Times New Roman"/>
          <w:sz w:val="20"/>
          <w:szCs w:val="20"/>
          <w:color w:val="auto"/>
        </w:rPr>
        <w:t>”) that provides more favorable treatment for unvested Options in connection with a Change in Control, then the Options shall be treated as provided in the applicable Relevant Agreement.</w:t>
      </w:r>
    </w:p>
    <w:p>
      <w:pPr>
        <w:spacing w:after="0" w:line="263" w:lineRule="exact"/>
        <w:rPr>
          <w:rFonts w:ascii="Times New Roman" w:cs="Times New Roman" w:eastAsia="Times New Roman" w:hAnsi="Times New Roman"/>
          <w:sz w:val="20"/>
          <w:szCs w:val="20"/>
          <w:color w:val="auto"/>
        </w:rPr>
      </w:pPr>
    </w:p>
    <w:p>
      <w:pPr>
        <w:jc w:val="both"/>
        <w:ind w:left="80" w:firstLine="1490"/>
        <w:spacing w:after="0" w:line="242" w:lineRule="auto"/>
        <w:tabs>
          <w:tab w:leader="none" w:pos="19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Grant Notice or this Agreement to the contrary, in the event of Participant’s Retirement, a pro-rated portion of the Option shall vest on the date of Participant’s Retirement in an amount determined by multiplying (i) the number of shares subject to the Option that were scheduled to vest on the next regularly scheduled vesting date following Participant’s Retirement by (ii) a fraction, the numerator of which is the number of days from and including the first day of the applicable twelve (12) month vesting period through the date of Participant’s Retirement, and the denominator of which is the total number of days in such twelve (12) month vesting period (excluding the actual vesting date for such vesting period), with any partial shares that result rounded up to the nearest whole share. For example, if the Grant Date is February 21, 20[XX] and Participant’s Retirement occurs on July 21, 20[XX], the number of shares subject to the Option that are next regularly scheduled to vest and will vest upon Participant’s Retirement shall be based on a fraction equal to 183/366.</w:t>
      </w:r>
    </w:p>
    <w:p>
      <w:pPr>
        <w:spacing w:after="0" w:line="286" w:lineRule="exact"/>
        <w:rPr>
          <w:sz w:val="20"/>
          <w:szCs w:val="20"/>
          <w:color w:val="auto"/>
        </w:rPr>
      </w:pPr>
    </w:p>
    <w:p>
      <w:pPr>
        <w:ind w:right="840"/>
        <w:spacing w:after="0" w:line="268"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mean Participant’s voluntary Termination of Service on or after the date on which Participant satisfies the definition of “Retirement” in the Company’s Retirement Policy applicable to Participant.</w:t>
      </w:r>
    </w:p>
    <w:p>
      <w:pPr>
        <w:spacing w:after="0" w:line="174" w:lineRule="exact"/>
        <w:rPr>
          <w:sz w:val="20"/>
          <w:szCs w:val="20"/>
          <w:color w:val="auto"/>
        </w:rPr>
      </w:pPr>
    </w:p>
    <w:p>
      <w:pPr>
        <w:jc w:val="both"/>
        <w:ind w:left="80" w:firstLine="749"/>
        <w:spacing w:after="0" w:line="253" w:lineRule="auto"/>
        <w:rPr>
          <w:sz w:val="20"/>
          <w:szCs w:val="20"/>
          <w:color w:val="auto"/>
        </w:rPr>
      </w:pPr>
      <w:r>
        <w:rPr>
          <w:rFonts w:ascii="Times New Roman" w:cs="Times New Roman" w:eastAsia="Times New Roman" w:hAnsi="Times New Roman"/>
          <w:sz w:val="20"/>
          <w:szCs w:val="20"/>
          <w:color w:val="auto"/>
        </w:rPr>
        <w:t>3.2</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installments provided for in the vesting schedule set forth in the Grant Notice and this Agreement are cumulative. Each such installment which becomes vested and exercisable pursuant to the vesting schedule set forth in the Grant Notice and this Agreement shall remain vested and exercisable until it becomes unexercisable under Section 3.3 hereof.</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3.3</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The Option may not be exercised to any extent by anyone after the first to occur of the following</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events:</w:t>
      </w:r>
    </w:p>
    <w:p>
      <w:pPr>
        <w:spacing w:after="0" w:line="220" w:lineRule="exact"/>
        <w:rPr>
          <w:sz w:val="20"/>
          <w:szCs w:val="20"/>
          <w:color w:val="auto"/>
        </w:rPr>
      </w:pPr>
    </w:p>
    <w:p>
      <w:pPr>
        <w:ind w:left="2320" w:hanging="750"/>
        <w:spacing w:after="0"/>
        <w:tabs>
          <w:tab w:leader="none" w:pos="23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28" w:lineRule="exact"/>
        <w:rPr>
          <w:rFonts w:ascii="Times New Roman" w:cs="Times New Roman" w:eastAsia="Times New Roman" w:hAnsi="Times New Roman"/>
          <w:sz w:val="20"/>
          <w:szCs w:val="20"/>
          <w:color w:val="auto"/>
        </w:rPr>
      </w:pPr>
    </w:p>
    <w:p>
      <w:pPr>
        <w:jc w:val="both"/>
        <w:ind w:left="80" w:firstLine="1490"/>
        <w:spacing w:after="0" w:line="253" w:lineRule="auto"/>
        <w:tabs>
          <w:tab w:leader="none" w:pos="19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in the event of Participant’s Termination of Service other than for Cause or by reason of Participant’s death, disability or Retirement, the expiration of three (3) months from the date of Participant’s Termination of Service;</w:t>
      </w:r>
    </w:p>
    <w:p>
      <w:pPr>
        <w:spacing w:after="0" w:line="203" w:lineRule="exact"/>
        <w:rPr>
          <w:rFonts w:ascii="Times New Roman" w:cs="Times New Roman" w:eastAsia="Times New Roman" w:hAnsi="Times New Roman"/>
          <w:sz w:val="20"/>
          <w:szCs w:val="20"/>
          <w:color w:val="auto"/>
        </w:rPr>
      </w:pPr>
    </w:p>
    <w:p>
      <w:pPr>
        <w:ind w:left="1940" w:hanging="370"/>
        <w:spacing w:after="0"/>
        <w:tabs>
          <w:tab w:leader="none" w:pos="1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expiration of one (1) year from the date of Participant’s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Termination of Service by reason of Participant’s death or disability;</w:t>
      </w:r>
    </w:p>
    <w:p>
      <w:pPr>
        <w:ind w:left="5380"/>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835025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49" w:name="page50"/>
    <w:bookmarkEnd w:id="49"/>
    <w:p>
      <w:pPr>
        <w:spacing w:after="0" w:line="134" w:lineRule="exact"/>
        <w:rPr>
          <w:sz w:val="20"/>
          <w:szCs w:val="20"/>
          <w:color w:val="auto"/>
        </w:rPr>
      </w:pPr>
    </w:p>
    <w:p>
      <w:pPr>
        <w:ind w:left="1487"/>
        <w:spacing w:after="0"/>
        <w:rPr>
          <w:sz w:val="20"/>
          <w:szCs w:val="20"/>
          <w:color w:val="auto"/>
        </w:rPr>
      </w:pPr>
      <w:r>
        <w:rPr>
          <w:rFonts w:ascii="Times New Roman" w:cs="Times New Roman" w:eastAsia="Times New Roman" w:hAnsi="Times New Roman"/>
          <w:sz w:val="20"/>
          <w:szCs w:val="20"/>
          <w:color w:val="auto"/>
        </w:rPr>
        <w:t>(d)  Except as the Administrator may otherwise approve, the expiration of two (2) years from the date of Participant’s</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Retirement; or</w:t>
      </w:r>
    </w:p>
    <w:p>
      <w:pPr>
        <w:spacing w:after="0" w:line="206" w:lineRule="exact"/>
        <w:rPr>
          <w:sz w:val="20"/>
          <w:szCs w:val="20"/>
          <w:color w:val="auto"/>
        </w:rPr>
      </w:pPr>
    </w:p>
    <w:p>
      <w:pPr>
        <w:ind w:left="1487"/>
        <w:spacing w:after="0"/>
        <w:tabs>
          <w:tab w:leader="none" w:pos="1847"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Except as the Administrator may otherwise approve, upon Participant’s Termination of Service for Cause.</w:t>
      </w:r>
    </w:p>
    <w:p>
      <w:pPr>
        <w:spacing w:after="0" w:line="242" w:lineRule="exact"/>
        <w:rPr>
          <w:sz w:val="20"/>
          <w:szCs w:val="20"/>
          <w:color w:val="auto"/>
        </w:rPr>
      </w:pPr>
    </w:p>
    <w:p>
      <w:pPr>
        <w:ind w:left="7" w:right="40"/>
        <w:spacing w:after="0" w:line="250" w:lineRule="auto"/>
        <w:rPr>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(a) the Board’s determination that Participant failed to substantially perform his or her duties (other than any such failure resulting from Participant’s disability);</w:t>
      </w:r>
    </w:p>
    <w:p>
      <w:pPr>
        <w:spacing w:after="0" w:line="1" w:lineRule="exact"/>
        <w:rPr>
          <w:sz w:val="20"/>
          <w:szCs w:val="20"/>
          <w:color w:val="auto"/>
        </w:rPr>
      </w:pPr>
    </w:p>
    <w:p>
      <w:pPr>
        <w:jc w:val="both"/>
        <w:ind w:left="7" w:right="20" w:hanging="7"/>
        <w:spacing w:after="0"/>
        <w:tabs>
          <w:tab w:leader="none" w:pos="31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Board’s determination that Participant failed to carry out, or comply with any lawful and reasonable directive of the Board or Participant’s immediate supervisor; (c) Participant’s conviction, plea of no contest,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Relevant Agreement, then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be as such term is defined in the applicable Relevant Agreement.</w:t>
      </w:r>
    </w:p>
    <w:p>
      <w:pPr>
        <w:spacing w:after="0" w:line="202" w:lineRule="exact"/>
        <w:rPr>
          <w:sz w:val="20"/>
          <w:szCs w:val="20"/>
          <w:color w:val="auto"/>
        </w:rPr>
      </w:pPr>
    </w:p>
    <w:p>
      <w:pPr>
        <w:ind w:left="747"/>
        <w:spacing w:after="0"/>
        <w:tabs>
          <w:tab w:leader="none" w:pos="1467"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left="7" w:right="20" w:firstLine="1490"/>
        <w:spacing w:after="0" w:line="246" w:lineRule="auto"/>
        <w:tabs>
          <w:tab w:leader="none" w:pos="187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210" w:lineRule="exact"/>
        <w:rPr>
          <w:sz w:val="20"/>
          <w:szCs w:val="20"/>
          <w:color w:val="auto"/>
        </w:rPr>
      </w:pPr>
    </w:p>
    <w:p>
      <w:pPr>
        <w:ind w:left="2247"/>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74" w:lineRule="exact"/>
        <w:rPr>
          <w:sz w:val="20"/>
          <w:szCs w:val="20"/>
          <w:color w:val="auto"/>
        </w:rPr>
      </w:pPr>
    </w:p>
    <w:p>
      <w:pPr>
        <w:ind w:left="2987" w:hanging="741"/>
        <w:spacing w:after="0"/>
        <w:tabs>
          <w:tab w:leader="none" w:pos="298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jc w:val="both"/>
        <w:ind w:left="7" w:right="140" w:firstLine="2246"/>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exercise of the Option, with the consent of the Administrator, by requesting that the Company withhold a net number of shares of Stock issuable upon the exercise of the Option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210" w:lineRule="exact"/>
        <w:rPr>
          <w:sz w:val="20"/>
          <w:szCs w:val="20"/>
          <w:color w:val="auto"/>
        </w:rPr>
      </w:pPr>
    </w:p>
    <w:p>
      <w:pPr>
        <w:jc w:val="both"/>
        <w:ind w:left="7" w:firstLine="2246"/>
        <w:spacing w:after="0" w:line="249"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exercise of the Option, with the consent of the Administrator, by tendering to the Company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92" w:lineRule="exact"/>
        <w:rPr>
          <w:sz w:val="20"/>
          <w:szCs w:val="20"/>
          <w:color w:val="auto"/>
        </w:rPr>
      </w:pPr>
    </w:p>
    <w:p>
      <w:pPr>
        <w:jc w:val="both"/>
        <w:ind w:left="7" w:right="60" w:firstLine="2246"/>
        <w:spacing w:after="0" w:line="246" w:lineRule="auto"/>
        <w:rPr>
          <w:sz w:val="20"/>
          <w:szCs w:val="20"/>
          <w:color w:val="auto"/>
        </w:rPr>
      </w:pPr>
      <w:r>
        <w:rPr>
          <w:rFonts w:ascii="Times New Roman" w:cs="Times New Roman" w:eastAsia="Times New Roman" w:hAnsi="Times New Roman"/>
          <w:sz w:val="20"/>
          <w:szCs w:val="20"/>
          <w:color w:val="auto"/>
        </w:rPr>
        <w:t>(v)with respect to any withholding taxes arising in connection with the exercise of the Option, through the delivery of a notice that Participant has placed a market sell order with a broker acceptable to the Company with respect to shares of Stock then issuable upon exercise of the Option, and</w:t>
      </w:r>
    </w:p>
    <w:p>
      <w:pPr>
        <w:spacing w:after="0" w:line="3"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835025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7"/>
          </w:cols>
          <w:pgMar w:left="493" w:top="1440" w:right="439" w:bottom="1440" w:gutter="0" w:footer="0" w:header="0"/>
        </w:sectPr>
      </w:pPr>
    </w:p>
    <w:bookmarkStart w:id="50" w:name="page51"/>
    <w:bookmarkEnd w:id="50"/>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 xml:space="preserve">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205" w:lineRule="exact"/>
        <w:rPr>
          <w:sz w:val="20"/>
          <w:szCs w:val="20"/>
          <w:color w:val="auto"/>
        </w:rPr>
      </w:pPr>
    </w:p>
    <w:p>
      <w:pPr>
        <w:ind w:left="2980" w:hanging="741"/>
        <w:spacing w:after="0"/>
        <w:tabs>
          <w:tab w:leader="none" w:pos="29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41" w:lineRule="exact"/>
        <w:rPr>
          <w:rFonts w:ascii="Times New Roman" w:cs="Times New Roman" w:eastAsia="Times New Roman" w:hAnsi="Times New Roman"/>
          <w:sz w:val="20"/>
          <w:szCs w:val="20"/>
          <w:color w:val="auto"/>
        </w:rPr>
      </w:pPr>
    </w:p>
    <w:p>
      <w:pPr>
        <w:jc w:val="both"/>
        <w:ind w:firstLine="1490"/>
        <w:spacing w:after="0" w:line="243" w:lineRule="auto"/>
        <w:tabs>
          <w:tab w:leader="none" w:pos="18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Option, in the event Participant fails to provide timely payment of all sums required pursuant to Section 3.4(a), the Company shall have the right and option, but not the obligation, to treat such failure as an election by Participant to satisfy all or any portion of Participant’s required payment obligation pursuant to Section 3.4(a)(ii) or Section 3.4(a)(iii) above, or any combination of the foregoing as the Company may determine to be appropriate. The Company shall not be obligated to deliver any certificate representing shares of Stock issuable with respect to the exercise of the Option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200" w:lineRule="exact"/>
        <w:rPr>
          <w:rFonts w:ascii="Times New Roman" w:cs="Times New Roman" w:eastAsia="Times New Roman" w:hAnsi="Times New Roman"/>
          <w:sz w:val="20"/>
          <w:szCs w:val="20"/>
          <w:color w:val="auto"/>
        </w:rPr>
      </w:pPr>
    </w:p>
    <w:p>
      <w:pPr>
        <w:jc w:val="both"/>
        <w:ind w:firstLine="1490"/>
        <w:spacing w:after="0" w:line="243" w:lineRule="auto"/>
        <w:tabs>
          <w:tab w:leader="none" w:pos="18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withholding obligation arising in connection with the Option will be satisfied under Section 3.4(a)(iii) above, then the Company may elect to instruct any brokerage firm determined acceptable to the Company for such purpose to sell on Participant’s behalf a whole number of shares from those shares of Stock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3.4(c), including the transactions described in the previous sentence, as applicable. The Company may refuse to issue any shares of Stock to Participant until the foregoing tax withholding obligations are satisfied.</w:t>
      </w:r>
    </w:p>
    <w:p>
      <w:pPr>
        <w:spacing w:after="0" w:line="51" w:lineRule="exact"/>
        <w:rPr>
          <w:rFonts w:ascii="Times New Roman" w:cs="Times New Roman" w:eastAsia="Times New Roman" w:hAnsi="Times New Roman"/>
          <w:sz w:val="20"/>
          <w:szCs w:val="20"/>
          <w:color w:val="auto"/>
        </w:rPr>
      </w:pPr>
    </w:p>
    <w:p>
      <w:pPr>
        <w:jc w:val="both"/>
        <w:ind w:firstLine="1490"/>
        <w:spacing w:after="0" w:line="246" w:lineRule="auto"/>
        <w:tabs>
          <w:tab w:leader="none" w:pos="18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Stock. The Company and the Subsidiaries do not commit and are under no obligation to structure the Option to reduce or eliminate Participant’s tax liability.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3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4.1</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During the lifetime of Participant, only Participant may exercise the Option or any portion thereof. After the death of Participant, any exercisable portion of the Option may, prior to the time when the Option becomes unexercisable under Section 3.3 hereof, be exercised by Participant’s personal representative or by any person empowered to do so under the deceased Participant’s will or under the then applicable laws of descent and distribution.</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4.2</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Subject to Section 5.2, any exercisable portion of the Option or the entire Option, if then wholly exercisable, may be exercised in whole or in part at any time prior to the time when the Option or portion thereof becomes unexercisable under Section 3.3 hereof.</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835025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51" w:name="page52"/>
    <w:bookmarkEnd w:id="51"/>
    <w:p>
      <w:pPr>
        <w:spacing w:after="0" w:line="13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4.3</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Subject to Section 5.8 of the Plan, the Option, or any exercisable portion thereof,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Section 3.3 hereof:</w:t>
      </w:r>
    </w:p>
    <w:p>
      <w:pPr>
        <w:spacing w:after="0" w:line="205" w:lineRule="exact"/>
        <w:rPr>
          <w:sz w:val="20"/>
          <w:szCs w:val="20"/>
          <w:color w:val="auto"/>
        </w:rPr>
      </w:pPr>
    </w:p>
    <w:p>
      <w:pPr>
        <w:ind w:firstLine="1490"/>
        <w:spacing w:after="0" w:line="268" w:lineRule="auto"/>
        <w:tabs>
          <w:tab w:leader="none" w:pos="18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w:t>
      </w:r>
    </w:p>
    <w:p>
      <w:pPr>
        <w:spacing w:after="0" w:line="174" w:lineRule="exact"/>
        <w:rPr>
          <w:rFonts w:ascii="Times New Roman" w:cs="Times New Roman" w:eastAsia="Times New Roman" w:hAnsi="Times New Roman"/>
          <w:sz w:val="20"/>
          <w:szCs w:val="20"/>
          <w:color w:val="auto"/>
        </w:rPr>
      </w:pPr>
    </w:p>
    <w:p>
      <w:pPr>
        <w:ind w:firstLine="1490"/>
        <w:spacing w:after="0" w:line="268" w:lineRule="auto"/>
        <w:tabs>
          <w:tab w:leader="none" w:pos="18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the shares of Stock with respect to which the Option or portion thereof is exercised, in such form of consideration permitted under Section 4.4 hereof that is acceptable to the Administrator;</w:t>
      </w:r>
    </w:p>
    <w:p>
      <w:pPr>
        <w:spacing w:after="0" w:line="187" w:lineRule="exact"/>
        <w:rPr>
          <w:rFonts w:ascii="Times New Roman" w:cs="Times New Roman" w:eastAsia="Times New Roman" w:hAnsi="Times New Roman"/>
          <w:sz w:val="20"/>
          <w:szCs w:val="20"/>
          <w:color w:val="auto"/>
        </w:rPr>
      </w:pPr>
    </w:p>
    <w:p>
      <w:pPr>
        <w:ind w:left="2240" w:hanging="750"/>
        <w:spacing w:after="0"/>
        <w:tabs>
          <w:tab w:leader="none" w:pos="22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applicable withholding tax in accordance with Section 3.4;</w:t>
      </w:r>
    </w:p>
    <w:p>
      <w:pPr>
        <w:spacing w:after="0" w:line="241" w:lineRule="exact"/>
        <w:rPr>
          <w:rFonts w:ascii="Times New Roman" w:cs="Times New Roman" w:eastAsia="Times New Roman" w:hAnsi="Times New Roman"/>
          <w:sz w:val="20"/>
          <w:szCs w:val="20"/>
          <w:color w:val="auto"/>
        </w:rPr>
      </w:pPr>
    </w:p>
    <w:p>
      <w:pPr>
        <w:ind w:firstLine="1490"/>
        <w:spacing w:after="0" w:line="268" w:lineRule="auto"/>
        <w:tabs>
          <w:tab w:leader="none" w:pos="18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74" w:lineRule="exact"/>
        <w:rPr>
          <w:rFonts w:ascii="Times New Roman" w:cs="Times New Roman" w:eastAsia="Times New Roman" w:hAnsi="Times New Roman"/>
          <w:sz w:val="20"/>
          <w:szCs w:val="20"/>
          <w:color w:val="auto"/>
        </w:rPr>
      </w:pPr>
    </w:p>
    <w:p>
      <w:pPr>
        <w:ind w:firstLine="1490"/>
        <w:spacing w:after="0" w:line="268" w:lineRule="auto"/>
        <w:tabs>
          <w:tab w:leader="none" w:pos="18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74"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4.4</w:t>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 Participant:</w:t>
      </w:r>
    </w:p>
    <w:p>
      <w:pPr>
        <w:spacing w:after="0" w:line="26" w:lineRule="exact"/>
        <w:rPr>
          <w:sz w:val="20"/>
          <w:szCs w:val="20"/>
          <w:color w:val="auto"/>
        </w:rPr>
      </w:pPr>
    </w:p>
    <w:p>
      <w:pPr>
        <w:ind w:left="2240" w:hanging="750"/>
        <w:spacing w:after="0"/>
        <w:tabs>
          <w:tab w:leader="none" w:pos="2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228" w:lineRule="exact"/>
        <w:rPr>
          <w:rFonts w:ascii="Times New Roman" w:cs="Times New Roman" w:eastAsia="Times New Roman" w:hAnsi="Times New Roman"/>
          <w:sz w:val="20"/>
          <w:szCs w:val="20"/>
          <w:color w:val="auto"/>
        </w:rPr>
      </w:pPr>
    </w:p>
    <w:p>
      <w:pPr>
        <w:jc w:val="both"/>
        <w:ind w:firstLine="1490"/>
        <w:spacing w:after="0" w:line="249" w:lineRule="auto"/>
        <w:tabs>
          <w:tab w:leader="none" w:pos="18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205" w:lineRule="exact"/>
        <w:rPr>
          <w:rFonts w:ascii="Times New Roman" w:cs="Times New Roman" w:eastAsia="Times New Roman" w:hAnsi="Times New Roman"/>
          <w:sz w:val="20"/>
          <w:szCs w:val="20"/>
          <w:color w:val="auto"/>
        </w:rPr>
      </w:pPr>
    </w:p>
    <w:p>
      <w:pPr>
        <w:jc w:val="both"/>
        <w:ind w:firstLine="1490"/>
        <w:spacing w:after="0" w:line="246" w:lineRule="auto"/>
        <w:tabs>
          <w:tab w:leader="none" w:pos="18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Administrator, but in any event not later than the settlement of such sale; or</w:t>
      </w:r>
    </w:p>
    <w:p>
      <w:pPr>
        <w:spacing w:after="0" w:line="210" w:lineRule="exact"/>
        <w:rPr>
          <w:rFonts w:ascii="Times New Roman" w:cs="Times New Roman" w:eastAsia="Times New Roman" w:hAnsi="Times New Roman"/>
          <w:sz w:val="20"/>
          <w:szCs w:val="20"/>
          <w:color w:val="auto"/>
        </w:rPr>
      </w:pPr>
    </w:p>
    <w:p>
      <w:pPr>
        <w:ind w:left="2240" w:hanging="750"/>
        <w:spacing w:after="0"/>
        <w:tabs>
          <w:tab w:leader="none" w:pos="2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Administrator.</w:t>
      </w:r>
    </w:p>
    <w:p>
      <w:pPr>
        <w:spacing w:after="0" w:line="22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Conditions to Issuance of Stock</w:t>
      </w:r>
      <w:r>
        <w:rPr>
          <w:rFonts w:ascii="Times New Roman" w:cs="Times New Roman" w:eastAsia="Times New Roman" w:hAnsi="Times New Roman"/>
          <w:sz w:val="20"/>
          <w:szCs w:val="20"/>
          <w:color w:val="auto"/>
        </w:rPr>
        <w:t>. The Company shall not be required to issue or deliver any shares of Stock purchased upon the exercise of the Option or portion thereof prior to fulfillment of all of the following conditions: (A) the admission of such shares of Stock to listing on all stock exchanges on</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835025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440" w:right="459" w:bottom="1440" w:gutter="0" w:footer="0" w:header="0"/>
        </w:sectPr>
      </w:pPr>
    </w:p>
    <w:bookmarkStart w:id="52" w:name="page53"/>
    <w:bookmarkEnd w:id="52"/>
    <w:p>
      <w:pPr>
        <w:jc w:val="both"/>
        <w:spacing w:after="0" w:line="244" w:lineRule="auto"/>
        <w:rPr>
          <w:sz w:val="20"/>
          <w:szCs w:val="20"/>
          <w:color w:val="auto"/>
        </w:rPr>
      </w:pPr>
      <w:r>
        <w:rPr>
          <w:rFonts w:ascii="Times New Roman" w:cs="Times New Roman" w:eastAsia="Times New Roman" w:hAnsi="Times New Roman"/>
          <w:sz w:val="20"/>
          <w:szCs w:val="20"/>
          <w:color w:val="auto"/>
        </w:rPr>
        <w:t>which such Stock is then listed, (B) the completion of any registration or other qualification of such shares of Stock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which the Administrator shall, in its absolute discretion, determine to be necessary or advisable, (D) the receipt by the Company of full payment for such shares of Stock, which may be in one or more of the forms of consideration permitted under Section 4.4 hereof, and (E) the receipt of full payment of any applicable withholding tax in accordance with Section 3.4 by the Company or its Subsidiary with respect to which the applicable withholding obligation arises.</w:t>
      </w:r>
    </w:p>
    <w:p>
      <w:pPr>
        <w:spacing w:after="0" w:line="21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4.6</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of Stock purchasable upon the exercise of any part of the Option unless and until certificates representing such shares of Stock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of Stock, including, without limitation, the right to receipt of dividends and distributions on such shares.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3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5.1</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6"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 of Stock.</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5.3</w:t>
      </w:r>
      <w:r>
        <w:rPr>
          <w:rFonts w:ascii="Times New Roman" w:cs="Times New Roman" w:eastAsia="Times New Roman" w:hAnsi="Times New Roman"/>
          <w:sz w:val="20"/>
          <w:szCs w:val="20"/>
          <w:u w:val="single" w:color="auto"/>
          <w:color w:val="auto"/>
        </w:rPr>
        <w:t>Option Not Transferable</w:t>
      </w:r>
      <w:r>
        <w:rPr>
          <w:rFonts w:ascii="Times New Roman" w:cs="Times New Roman" w:eastAsia="Times New Roman" w:hAnsi="Times New Roman"/>
          <w:sz w:val="20"/>
          <w:szCs w:val="20"/>
          <w:color w:val="auto"/>
        </w:rPr>
        <w:t>. Subject to Section 4.1 hereof,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1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5.4</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Option in such circumstances as it, in its sole discretion, may determine. In addition, upon the occurrence of certain events relating to the Stock contemplated by Section 12.2 of the Plan (including, without limitation, an extraordinary cash dividend on such Stock), the Administrator shall make such adjustments as the</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826770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20"/>
          <w:szCs w:val="20"/>
          <w:color w:val="auto"/>
        </w:rPr>
        <w:t>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12.2 of the Plan.</w:t>
      </w:r>
    </w:p>
    <w:p>
      <w:pPr>
        <w:spacing w:after="0" w:line="20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5.5</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5.5, either party may hereafter designate a different address for notices to be given to that party. Any notice which is required to be given to Participant shall, if Participant is then deceased, be given to the person entitled to exercise the Option pursuant to Section 4.1 hereof by written notice under this Section 5.5.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1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5.6</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7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5.7</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8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5.8</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20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5.9</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9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5.10</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5.3 and the Plan, this Agreement shall be binding upon and inure to the benefit of the heirs, legatees, legal representatives, successors and assigns of the parties hereto.</w:t>
      </w:r>
    </w:p>
    <w:p>
      <w:pPr>
        <w:spacing w:after="0" w:line="20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835025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applicable exemptive rule.</w:t>
      </w:r>
    </w:p>
    <w:p>
      <w:pPr>
        <w:spacing w:after="0" w:line="24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1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5.13</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5.14</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5.15</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5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5.16</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spacing w:after="0" w:line="20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5.17</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5.18</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of Stock in connection with the payment of withholding taxes as provided in Section 3.4(a)(v) or Section 3.4(c) or the payment of the exercise price as provided in Section 4.4(c): (A) any shares of Stock to be sold through a broker-assisted sale will be sold on the day the tax withholding obligation or exercise of the Option, as applicable, occurs or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w:t>
      </w:r>
    </w:p>
    <w:p>
      <w:pPr>
        <w:jc w:val="center"/>
        <w:ind w:right="40"/>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826770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55" w:name="page56"/>
    <w:bookmarkEnd w:id="55"/>
    <w:p>
      <w:pPr>
        <w:jc w:val="both"/>
        <w:spacing w:after="0" w:line="243" w:lineRule="auto"/>
        <w:rPr>
          <w:sz w:val="20"/>
          <w:szCs w:val="20"/>
          <w:color w:val="auto"/>
        </w:rPr>
      </w:pPr>
      <w:r>
        <w:rPr>
          <w:rFonts w:ascii="Times New Roman" w:cs="Times New Roman" w:eastAsia="Times New Roman" w:hAnsi="Times New Roman"/>
          <w:sz w:val="20"/>
          <w:szCs w:val="20"/>
          <w:color w:val="auto"/>
        </w:rPr>
        <w:t>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214" w:lineRule="exact"/>
        <w:rPr>
          <w:sz w:val="20"/>
          <w:szCs w:val="20"/>
          <w:color w:val="auto"/>
        </w:rPr>
      </w:pPr>
    </w:p>
    <w:p>
      <w:pPr>
        <w:ind w:left="5020"/>
        <w:spacing w:after="0"/>
        <w:tabs>
          <w:tab w:leader="none" w:pos="5400" w:val="left"/>
          <w:tab w:leader="none" w:pos="58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835025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ALLISON TRANSMISSION HOLDINGS, INC. 2015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AWARD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19" w:lineRule="exact"/>
        <w:rPr>
          <w:sz w:val="20"/>
          <w:szCs w:val="20"/>
          <w:color w:val="auto"/>
        </w:rPr>
      </w:pPr>
    </w:p>
    <w:p>
      <w:pPr>
        <w:jc w:val="both"/>
        <w:ind w:left="180" w:right="180" w:firstLine="749"/>
        <w:spacing w:after="0" w:line="245" w:lineRule="auto"/>
        <w:rPr>
          <w:sz w:val="20"/>
          <w:szCs w:val="20"/>
          <w:color w:val="auto"/>
        </w:rPr>
      </w:pPr>
      <w:r>
        <w:rPr>
          <w:rFonts w:ascii="Times New Roman" w:cs="Times New Roman" w:eastAsia="Times New Roman" w:hAnsi="Times New Roman"/>
          <w:sz w:val="20"/>
          <w:szCs w:val="20"/>
          <w:color w:val="auto"/>
        </w:rPr>
        <w:t>Allison Transmission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2015 Equity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number of performance stock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PSUs are subject to the terms and conditions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Performance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herein, the terms defined in the Plan shall have the same defined meanings in the Grant Notice and the Agreement.</w:t>
      </w: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Target Number of PSUs (the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Target PSUs</w:t>
      </w:r>
      <w:r>
        <w:rPr>
          <w:rFonts w:ascii="Times New Roman" w:cs="Times New Roman" w:eastAsia="Times New Roman" w:hAnsi="Times New Roman"/>
          <w:sz w:val="20"/>
          <w:szCs w:val="20"/>
          <w:b w:val="1"/>
          <w:bCs w:val="1"/>
          <w:color w:val="auto"/>
        </w:rPr>
        <w:t>”):</w:t>
      </w:r>
    </w:p>
    <w:p>
      <w:pPr>
        <w:spacing w:after="0" w:line="81" w:lineRule="exact"/>
        <w:rPr>
          <w:sz w:val="20"/>
          <w:szCs w:val="20"/>
          <w:color w:val="auto"/>
        </w:rPr>
      </w:pPr>
    </w:p>
    <w:p>
      <w:pPr>
        <w:ind w:left="200"/>
        <w:spacing w:after="0"/>
        <w:tabs>
          <w:tab w:leader="none" w:pos="3300" w:val="left"/>
        </w:tabs>
        <w:rPr>
          <w:sz w:val="20"/>
          <w:szCs w:val="20"/>
          <w:color w:val="auto"/>
        </w:rPr>
      </w:pPr>
      <w:r>
        <w:rPr>
          <w:rFonts w:ascii="Times New Roman" w:cs="Times New Roman" w:eastAsia="Times New Roman" w:hAnsi="Times New Roman"/>
          <w:sz w:val="20"/>
          <w:szCs w:val="20"/>
          <w:b w:val="1"/>
          <w:bCs w:val="1"/>
          <w:color w:val="auto"/>
        </w:rPr>
        <w:t>Type of Shares Issuable:</w:t>
      </w:r>
      <w:r>
        <w:rPr>
          <w:sz w:val="20"/>
          <w:szCs w:val="20"/>
          <w:color w:val="auto"/>
        </w:rPr>
        <w:tab/>
      </w:r>
      <w:r>
        <w:rPr>
          <w:rFonts w:ascii="Times New Roman" w:cs="Times New Roman" w:eastAsia="Times New Roman" w:hAnsi="Times New Roman"/>
          <w:sz w:val="19"/>
          <w:szCs w:val="19"/>
          <w:color w:val="auto"/>
        </w:rPr>
        <w:t>Common Stock of Allison Transmission Holdings, Inc.</w:t>
      </w:r>
    </w:p>
    <w:p>
      <w:pPr>
        <w:spacing w:after="0" w:line="84" w:lineRule="exact"/>
        <w:rPr>
          <w:sz w:val="20"/>
          <w:szCs w:val="20"/>
          <w:color w:val="auto"/>
        </w:rPr>
      </w:pPr>
    </w:p>
    <w:p>
      <w:pPr>
        <w:ind w:left="200"/>
        <w:spacing w:after="0"/>
        <w:tabs>
          <w:tab w:leader="none" w:pos="330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 xml:space="preserve">The award will vest in accordance with the vesting schedule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98" w:lineRule="exact"/>
        <w:rPr>
          <w:sz w:val="20"/>
          <w:szCs w:val="20"/>
          <w:color w:val="auto"/>
        </w:rPr>
      </w:pPr>
    </w:p>
    <w:p>
      <w:pPr>
        <w:jc w:val="both"/>
        <w:ind w:left="180" w:right="180" w:firstLine="749"/>
        <w:spacing w:after="0" w:line="246"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ALLISON TRANSMISSION HOLDINGS, INC.</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807"/>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6"/>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Print Name:</w:t>
            </w:r>
          </w:p>
        </w:tc>
        <w:tc>
          <w:tcPr>
            <w:tcW w:w="6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Print Name:</w:t>
            </w:r>
          </w:p>
        </w:tc>
        <w:tc>
          <w:tcPr>
            <w:tcW w:w="0" w:type="dxa"/>
            <w:vAlign w:val="bottom"/>
          </w:tcPr>
          <w:p>
            <w:pPr>
              <w:spacing w:after="0"/>
              <w:rPr>
                <w:sz w:val="1"/>
                <w:szCs w:val="1"/>
                <w:color w:val="auto"/>
              </w:rPr>
            </w:pP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626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6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TO PERFORMANCE STOCK UNIT GRANT NOTICE PERFORMANCE</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STOCK UNIT AGREEMENT</w:t>
      </w:r>
    </w:p>
    <w:p>
      <w:pPr>
        <w:ind w:right="200" w:firstLine="749"/>
        <w:spacing w:after="0" w:line="245"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Target PSUs set forth in the Grant Notice.</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93"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AWARD OF PERFORMANCE STOCK UNITS AND DIVIDEND EQUIVALENTS</w:t>
      </w:r>
    </w:p>
    <w:p>
      <w:pPr>
        <w:spacing w:after="0" w:line="219"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Award of PSUs and Dividend Equivalents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firstLine="1467"/>
        <w:spacing w:after="0" w:line="243" w:lineRule="auto"/>
        <w:tabs>
          <w:tab w:leader="none" w:pos="18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Target PSUs upon the terms and conditions set forth in the Grant Notice, the Plan and this Agreement, subject to adjustments as provided in Section 12.2 of the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6" w:lineRule="exact"/>
        <w:rPr>
          <w:rFonts w:ascii="Times New Roman" w:cs="Times New Roman" w:eastAsia="Times New Roman" w:hAnsi="Times New Roman"/>
          <w:sz w:val="20"/>
          <w:szCs w:val="20"/>
          <w:color w:val="auto"/>
        </w:rPr>
      </w:pPr>
    </w:p>
    <w:p>
      <w:pPr>
        <w:jc w:val="both"/>
        <w:ind w:right="20" w:firstLine="1490"/>
        <w:spacing w:after="0" w:line="244" w:lineRule="auto"/>
        <w:tabs>
          <w:tab w:leader="none" w:pos="186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PSU granted pursuant to the Grant Notice for all ordinary cash dividends which are paid to all or substantially all holders of the outstanding shares of Stock between the Grant Date and the date when the applicable PSU is distributed or paid to Participant or is forfeited or expires. The Dividend Equivalents for each PSU shall be equal to the amount of cash which is paid as a dividend on one share of Stock. All such Dividend Equivalents shall be credited to Participant and paid in cash at the same time as the distribution or payment is made on the PSUs to which such Dividend Equivalent relates in accordance with Section 2.3 below. Any Dividend Equivalents that relate to PSUs that are forfeited shall likewise be forfeited without consideration.</w:t>
      </w:r>
    </w:p>
    <w:p>
      <w:pPr>
        <w:spacing w:after="0" w:line="265"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Vesting of PSUs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703580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94" w:right="499" w:bottom="1440" w:gutter="0" w:footer="0" w:header="0"/>
        </w:sectPr>
      </w:pPr>
    </w:p>
    <w:bookmarkStart w:id="58" w:name="page59"/>
    <w:bookmarkEnd w:id="58"/>
    <w:p>
      <w:pPr>
        <w:jc w:val="both"/>
        <w:ind w:firstLine="1490"/>
        <w:spacing w:after="0" w:line="255" w:lineRule="auto"/>
        <w:tabs>
          <w:tab w:leader="none" w:pos="186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TSR Vesting Schedule</w:t>
      </w:r>
      <w:r>
        <w:rPr>
          <w:rFonts w:ascii="Times New Roman" w:cs="Times New Roman" w:eastAsia="Times New Roman" w:hAnsi="Times New Roman"/>
          <w:sz w:val="20"/>
          <w:szCs w:val="20"/>
          <w:color w:val="auto"/>
        </w:rPr>
        <w:t>. Subject to Sections 2.2(b) and (c) below, the PSUs shall vest, if at all, in amounts up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200% of the Target PSUs (the “</w:t>
      </w:r>
      <w:r>
        <w:rPr>
          <w:rFonts w:ascii="Times New Roman" w:cs="Times New Roman" w:eastAsia="Times New Roman" w:hAnsi="Times New Roman"/>
          <w:sz w:val="20"/>
          <w:szCs w:val="20"/>
          <w:u w:val="single" w:color="auto"/>
          <w:color w:val="auto"/>
        </w:rPr>
        <w:t>Maximum PSUs</w:t>
      </w:r>
      <w:r>
        <w:rPr>
          <w:rFonts w:ascii="Times New Roman" w:cs="Times New Roman" w:eastAsia="Times New Roman" w:hAnsi="Times New Roman"/>
          <w:sz w:val="20"/>
          <w:szCs w:val="20"/>
          <w:color w:val="auto"/>
        </w:rPr>
        <w:t>”) on the Determination Date (or such earlier date specified in Section 2.2(b)(ii) or (c) below), as follows:</w:t>
      </w:r>
    </w:p>
    <w:p>
      <w:pPr>
        <w:spacing w:after="0" w:line="201" w:lineRule="exact"/>
        <w:rPr>
          <w:sz w:val="20"/>
          <w:szCs w:val="20"/>
          <w:color w:val="auto"/>
        </w:rPr>
      </w:pPr>
    </w:p>
    <w:p>
      <w:pPr>
        <w:jc w:val="both"/>
        <w:ind w:firstLine="2246"/>
        <w:spacing w:after="0" w:line="268" w:lineRule="auto"/>
        <w:rPr>
          <w:sz w:val="20"/>
          <w:szCs w:val="20"/>
          <w:color w:val="auto"/>
        </w:rPr>
      </w:pPr>
      <w:r>
        <w:rPr>
          <w:rFonts w:ascii="Times New Roman" w:cs="Times New Roman" w:eastAsia="Times New Roman" w:hAnsi="Times New Roman"/>
          <w:sz w:val="20"/>
          <w:szCs w:val="20"/>
          <w:color w:val="auto"/>
        </w:rPr>
        <w:t>(i)If the Company achieves a TSR over the Performance Period that is below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none of the PSUs shall vest;</w:t>
      </w:r>
    </w:p>
    <w:p>
      <w:pPr>
        <w:spacing w:after="0" w:line="161"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color w:val="auto"/>
        </w:rPr>
        <w:t>(ii)If the Company achieves a TSR over the Performance Period that is at the 25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50% (rounded up to the nearest whole Share) of the Target PSUs shall vest;</w:t>
      </w:r>
    </w:p>
    <w:p>
      <w:pPr>
        <w:spacing w:after="0" w:line="176"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color w:val="auto"/>
        </w:rPr>
        <w:t>(iii)If the Company achieves a TSR over the Performance Period that is at the 50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100% (rounded up to the nearest whole Share) of the Target PSUs shall vest; or</w:t>
      </w:r>
    </w:p>
    <w:p>
      <w:pPr>
        <w:spacing w:after="0" w:line="176"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color w:val="auto"/>
        </w:rPr>
        <w:t>(iv)If the Company achieves a TSR over the Performance Period that is at or above the 75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percentile of the TSRs of the component members of the Company’s Peer Group over the Performance Period, a number of PSUs equal to the Maximum PSUs shall vest.</w:t>
      </w:r>
    </w:p>
    <w:p>
      <w:pPr>
        <w:spacing w:after="0" w:line="190"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color w:val="auto"/>
        </w:rPr>
        <w:t>(v)To the extent that the Company achieves a TSR over the Performance Period that is between two thresholds specified in this Section 2.2(a), the percentage of the PSUs that vest shall be determined by the use of straight-line interpolation and the remaining PSUs shall thereupon be forfeited.</w:t>
      </w:r>
    </w:p>
    <w:p>
      <w:pPr>
        <w:spacing w:after="0" w:line="172" w:lineRule="exact"/>
        <w:rPr>
          <w:sz w:val="20"/>
          <w:szCs w:val="20"/>
          <w:color w:val="auto"/>
        </w:rPr>
      </w:pPr>
    </w:p>
    <w:p>
      <w:pPr>
        <w:ind w:left="1860" w:hanging="370"/>
        <w:spacing w:after="0"/>
        <w:tabs>
          <w:tab w:leader="none" w:pos="18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Termination of Service</w:t>
      </w:r>
      <w:r>
        <w:rPr>
          <w:rFonts w:ascii="Times New Roman" w:cs="Times New Roman" w:eastAsia="Times New Roman" w:hAnsi="Times New Roman"/>
          <w:sz w:val="20"/>
          <w:szCs w:val="20"/>
          <w:color w:val="auto"/>
        </w:rPr>
        <w:t>.</w:t>
      </w:r>
    </w:p>
    <w:p>
      <w:pPr>
        <w:spacing w:after="0" w:line="313"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color w:val="auto"/>
        </w:rPr>
        <w:t>(i)Notwithstanding any contrary provision of this Agreement, upon Participant’s Termination of Service for any reason (other than due to Participant’s death, Disability or Retirement) prior to the Determination Date or the Change in Control Determination Date, as applicable, any and all PSUs and Dividend Equivalents shall immediately be forfeited and Participant’s rights with respect thereto shall lapse and expire.</w:t>
      </w:r>
    </w:p>
    <w:p>
      <w:pPr>
        <w:spacing w:after="0" w:line="192"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9"/>
          <w:szCs w:val="19"/>
          <w:color w:val="auto"/>
        </w:rPr>
        <w:t>(ii)In the event of Participant’s Termination of Service due to Participant’s death or Disability at any time prior to December 31, 20[XX] or a Change in Control, Participant shall vest in a pro rata portion of the number of PSUs determined to vest in accordance with Section 2.2(a), which pro rata portion will be calculated by multiplying the total number of PSUs that vest based on actual performance for the period beginning on January 1, 20[XX] and ending on the date of Participant’s Termination of Service, as determined by the Administrator, by a fraction, the numerator of which equals the number of days Participant was employed with or provided service to the Company or any Subsidiary during the Performance Period and the denominator of which is 1,096, effective as of the date of such Participant’s Termination of Service. In the event of Participant’s Termination of Service due to Participant’s death or Disability on or after December 31, 20[XX] and prior to the Determination Date, Participant shall vest in the total number of PSUs that vest based on actual performance for the Performance Period, as determined by the Administrator in accordance with Section 2.2(a).</w:t>
      </w:r>
    </w:p>
    <w:p>
      <w:pPr>
        <w:spacing w:after="0" w:line="18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color w:val="auto"/>
        </w:rPr>
        <w:t>(iii)In the event of Participant’s Retirement at any time prior to December 31, 20[XX] or a Change in Control, Participant shall vest on the Determination Date in a pro rata portion of the number of PSUs determined to vest in accordance with Section 2.2(a), which pro rata portion will be calculated by multiplying the total number of PSUs that vest based on actual performance for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689610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326" w:right="519" w:bottom="1440" w:gutter="0" w:footer="0" w:header="0"/>
        </w:sectPr>
      </w:pPr>
    </w:p>
    <w:bookmarkStart w:id="59" w:name="page60"/>
    <w:bookmarkEnd w:id="59"/>
    <w:p>
      <w:pPr>
        <w:jc w:val="both"/>
        <w:ind w:right="80"/>
        <w:spacing w:after="0" w:line="253" w:lineRule="auto"/>
        <w:rPr>
          <w:sz w:val="20"/>
          <w:szCs w:val="20"/>
          <w:color w:val="auto"/>
        </w:rPr>
      </w:pPr>
      <w:r>
        <w:rPr>
          <w:rFonts w:ascii="Times New Roman" w:cs="Times New Roman" w:eastAsia="Times New Roman" w:hAnsi="Times New Roman"/>
          <w:sz w:val="20"/>
          <w:szCs w:val="20"/>
          <w:color w:val="auto"/>
        </w:rPr>
        <w:t>Performance Period, as determined by the Administrator, by a fraction, the numerator of which equals the number of days Participant was employed with or provided service to the Company or any Subsidiary during the Performance Period and the denominator of which is 1,096.</w:t>
      </w:r>
    </w:p>
    <w:p>
      <w:pPr>
        <w:spacing w:after="0" w:line="200" w:lineRule="exact"/>
        <w:rPr>
          <w:sz w:val="20"/>
          <w:szCs w:val="20"/>
          <w:color w:val="auto"/>
        </w:rPr>
      </w:pPr>
    </w:p>
    <w:p>
      <w:pPr>
        <w:spacing w:after="0" w:line="201" w:lineRule="exact"/>
        <w:rPr>
          <w:sz w:val="20"/>
          <w:szCs w:val="20"/>
          <w:color w:val="auto"/>
        </w:rPr>
      </w:pPr>
    </w:p>
    <w:p>
      <w:pPr>
        <w:jc w:val="both"/>
        <w:ind w:firstLine="1490"/>
        <w:spacing w:after="0" w:line="243" w:lineRule="auto"/>
        <w:tabs>
          <w:tab w:leader="none" w:pos="186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Notwithstanding any contrary provision of this Agreement, in the event of a Change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at any time prior to December 31, 20[XX], the number of PSUs determined to vest pursuant to Section 2.2(a) hereof for the period beginning on January 1, 20[XX] and ending on the Change in Control Determination Date shall vest on December 31, 20[XX], subject to the Participant not incurring a Termination of Service prior to December 31, 20[XX]; provided, that, such unvested PSUs shall immediately vest and no longer represent unvested PSUs (i) on the date of Participant’s Termination of Service, in the event of Participant’s Termination of Service by the Company without Cause, by Participant for Good Reason or due to Participant’s death or Disability, in each case, after the Change in Control and (ii) immediately prior to (and subject to the consummation of) the Change in Control in the event the successor corporation (or any of its parent entities) does not assume or substitute the PSUs for equivalent rights in connection with such Change in Control.</w:t>
      </w:r>
    </w:p>
    <w:p>
      <w:pPr>
        <w:spacing w:after="0" w:line="183" w:lineRule="exact"/>
        <w:rPr>
          <w:rFonts w:ascii="Times New Roman" w:cs="Times New Roman" w:eastAsia="Times New Roman" w:hAnsi="Times New Roman"/>
          <w:sz w:val="20"/>
          <w:szCs w:val="20"/>
          <w:color w:val="auto"/>
        </w:rPr>
      </w:pPr>
    </w:p>
    <w:p>
      <w:pPr>
        <w:ind w:left="2240" w:hanging="750"/>
        <w:spacing w:after="0"/>
        <w:tabs>
          <w:tab w:leader="none" w:pos="22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For purposes of this Agreement, the following definitions shall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apply:</w:t>
      </w:r>
    </w:p>
    <w:p>
      <w:pPr>
        <w:spacing w:after="0" w:line="206" w:lineRule="exact"/>
        <w:rPr>
          <w:sz w:val="20"/>
          <w:szCs w:val="20"/>
          <w:color w:val="auto"/>
        </w:rPr>
      </w:pPr>
    </w:p>
    <w:p>
      <w:pPr>
        <w:jc w:val="both"/>
        <w:ind w:right="60" w:firstLine="2213"/>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Average Market Value</w:t>
      </w:r>
      <w:r>
        <w:rPr>
          <w:rFonts w:ascii="Times New Roman" w:cs="Times New Roman" w:eastAsia="Times New Roman" w:hAnsi="Times New Roman"/>
          <w:sz w:val="20"/>
          <w:szCs w:val="20"/>
          <w:color w:val="auto"/>
        </w:rPr>
        <w:t>” of the Company or a member of the Peer Group, as applicable, means, as of any day, the average closing price per share of Common Stock (or per share of common stock of a member of the Peer Group, as applicable) over the 20-consecutive-trading days ending with and including that day (or, if there is no closing price on that day, the last trading day before that day).</w:t>
      </w:r>
    </w:p>
    <w:p>
      <w:pPr>
        <w:spacing w:after="0" w:line="2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Beginning Average Market Value</w:t>
      </w:r>
      <w:r>
        <w:rPr>
          <w:rFonts w:ascii="Times New Roman" w:cs="Times New Roman" w:eastAsia="Times New Roman" w:hAnsi="Times New Roman"/>
          <w:sz w:val="20"/>
          <w:szCs w:val="20"/>
          <w:color w:val="auto"/>
        </w:rPr>
        <w:t>” means the Average Market Value as of January 1, 20[XX].</w:t>
      </w:r>
    </w:p>
    <w:p>
      <w:pPr>
        <w:spacing w:after="0" w:line="242" w:lineRule="exact"/>
        <w:rPr>
          <w:sz w:val="20"/>
          <w:szCs w:val="20"/>
          <w:color w:val="auto"/>
        </w:rPr>
      </w:pPr>
    </w:p>
    <w:p>
      <w:pPr>
        <w:jc w:val="both"/>
        <w:ind w:right="60" w:firstLine="2246"/>
        <w:spacing w:after="0" w:line="242"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“Cause” shall be as such term is defined in the applicable written employment or change in control severance agreement.</w:t>
      </w:r>
    </w:p>
    <w:p>
      <w:pPr>
        <w:spacing w:after="0" w:line="189" w:lineRule="exact"/>
        <w:rPr>
          <w:sz w:val="20"/>
          <w:szCs w:val="20"/>
          <w:color w:val="auto"/>
        </w:rPr>
      </w:pPr>
    </w:p>
    <w:p>
      <w:pPr>
        <w:jc w:val="both"/>
        <w:ind w:right="60" w:firstLine="2246"/>
        <w:spacing w:after="0" w:line="268"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u w:val="single" w:color="auto"/>
          <w:color w:val="auto"/>
        </w:rPr>
        <w:t>Change in Control Determination Date</w:t>
      </w:r>
      <w:r>
        <w:rPr>
          <w:rFonts w:ascii="Times New Roman" w:cs="Times New Roman" w:eastAsia="Times New Roman" w:hAnsi="Times New Roman"/>
          <w:sz w:val="20"/>
          <w:szCs w:val="20"/>
          <w:color w:val="auto"/>
        </w:rPr>
        <w:t>” means any date within thirty days prior to the date of a Change in Control, as determined by the Administrator.</w:t>
      </w:r>
    </w:p>
    <w:p>
      <w:pPr>
        <w:spacing w:after="0" w:line="174" w:lineRule="exact"/>
        <w:rPr>
          <w:sz w:val="20"/>
          <w:szCs w:val="20"/>
          <w:color w:val="auto"/>
        </w:rPr>
      </w:pPr>
    </w:p>
    <w:p>
      <w:pPr>
        <w:ind w:firstLine="2246"/>
        <w:spacing w:after="0" w:line="295" w:lineRule="auto"/>
        <w:rPr>
          <w:sz w:val="20"/>
          <w:szCs w:val="20"/>
          <w:color w:val="auto"/>
        </w:rPr>
      </w:pPr>
      <w:r>
        <w:rPr>
          <w:rFonts w:ascii="Times New Roman" w:cs="Times New Roman" w:eastAsia="Times New Roman" w:hAnsi="Times New Roman"/>
          <w:sz w:val="19"/>
          <w:szCs w:val="19"/>
          <w:color w:val="auto"/>
        </w:rPr>
        <w:t>(v)“</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means the date the Administrator determines the number of PSUs that shall vest pursuant to Section 2.2(a) based on the TSR of the Company and the Peer Group, which date shall be no later than February 28, 20[XX].</w:t>
      </w:r>
    </w:p>
    <w:p>
      <w:pPr>
        <w:spacing w:after="0" w:line="164" w:lineRule="exact"/>
        <w:rPr>
          <w:sz w:val="20"/>
          <w:szCs w:val="20"/>
          <w:color w:val="auto"/>
        </w:rPr>
      </w:pPr>
    </w:p>
    <w:p>
      <w:pPr>
        <w:ind w:firstLine="2246"/>
        <w:spacing w:after="0" w:line="250"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u w:val="single" w:color="auto"/>
          <w:color w:val="auto"/>
        </w:rPr>
        <w:t>Ending Average Market Value</w:t>
      </w:r>
      <w:r>
        <w:rPr>
          <w:rFonts w:ascii="Times New Roman" w:cs="Times New Roman" w:eastAsia="Times New Roman" w:hAnsi="Times New Roman"/>
          <w:sz w:val="20"/>
          <w:szCs w:val="20"/>
          <w:color w:val="auto"/>
        </w:rPr>
        <w:t>” means the Average Market Value as of December 31, 20[XX]; provided, that, in the event a Change in Control occurs after calendar year 20[XX]</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689610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30" w:right="459" w:bottom="1440" w:gutter="0" w:footer="0" w:header="0"/>
        </w:sectPr>
      </w:pPr>
    </w:p>
    <w:bookmarkStart w:id="60" w:name="page61"/>
    <w:bookmarkEnd w:id="60"/>
    <w:p>
      <w:pPr>
        <w:ind w:left="180" w:right="120"/>
        <w:spacing w:after="0" w:line="268" w:lineRule="auto"/>
        <w:rPr>
          <w:sz w:val="20"/>
          <w:szCs w:val="20"/>
          <w:color w:val="auto"/>
        </w:rPr>
      </w:pPr>
      <w:r>
        <w:rPr>
          <w:rFonts w:ascii="Times New Roman" w:cs="Times New Roman" w:eastAsia="Times New Roman" w:hAnsi="Times New Roman"/>
          <w:sz w:val="20"/>
          <w:szCs w:val="20"/>
          <w:color w:val="auto"/>
        </w:rPr>
        <w:t>and prior to December 31, 20[XX], “Ending Average Market Value” means the Average Market Value as of the Change in Control Determination Date.</w:t>
      </w:r>
    </w:p>
    <w:p>
      <w:pPr>
        <w:spacing w:after="0" w:line="188" w:lineRule="exact"/>
        <w:rPr>
          <w:sz w:val="20"/>
          <w:szCs w:val="20"/>
          <w:color w:val="auto"/>
        </w:rPr>
      </w:pPr>
    </w:p>
    <w:p>
      <w:pPr>
        <w:jc w:val="both"/>
        <w:ind w:left="180" w:right="180" w:firstLine="2246"/>
        <w:spacing w:after="0" w:line="254" w:lineRule="auto"/>
        <w:rPr>
          <w:sz w:val="20"/>
          <w:szCs w:val="20"/>
          <w:color w:val="auto"/>
        </w:rPr>
      </w:pPr>
      <w:r>
        <w:rPr>
          <w:rFonts w:ascii="Times New Roman" w:cs="Times New Roman" w:eastAsia="Times New Roman" w:hAnsi="Times New Roman"/>
          <w:sz w:val="19"/>
          <w:szCs w:val="19"/>
          <w:color w:val="auto"/>
        </w:rPr>
        <w:t>(vii)“</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the occurrence of any of the following events or conditions without Participant’s written consent (a) a material diminution in Participant’s authority, duties or responsibilities, other than as a result of a Change in Control where Participant remains in a position with the Company or its successor (or any other entity that owns substantially all of the Company’s business after such sale) that is substantially equivalent in duties, rank, reporting structure and authority with Participant’s position prior to such sale, solely as such duties, rank, reporting structure and authority relate to the Company’s business; (b) a material diminution in Participant’s base salary or target annual bonus level; or (c) a material change in the geographic location at which Participant must perform his or her duties, which shall not include a relocation of Participant’s principal place of employment to any location within a fifty (50) mile radius of the location from which Participant served the Company immediately prior to the relocation. Participant must provide written notice to the Company of the occurrence of any of the foregoing events or conditions without Participant’s written consent within ninety (90) days of the occurrence of such event or the date upon which Participant reasonably became aware that such an event or condition had occurred. The Company or any successor or affiliate shall have a period of thirty (30) days to cure such event or condition after receipt of written notice of such event from Participant. Any voluntary termination for “Good Reason” following such thirty (30) day cure period must occur no later than the date that is six (6) months following the date notice was provided by Participant. Notwithstanding the foregoing, if Participant is a party to a written employment agreement or change in control severance agreement with the Company (or its Subsidiary) that contains a definition of Good Reason, then “Good Reason” shall be as such term is defined in the applicable written employment or change in control severance agreement.</w:t>
      </w:r>
    </w:p>
    <w:p>
      <w:pPr>
        <w:spacing w:after="0" w:line="180" w:lineRule="exact"/>
        <w:rPr>
          <w:sz w:val="20"/>
          <w:szCs w:val="20"/>
          <w:color w:val="auto"/>
        </w:rPr>
      </w:pPr>
    </w:p>
    <w:p>
      <w:pPr>
        <w:jc w:val="both"/>
        <w:ind w:left="180" w:right="160" w:firstLine="2213"/>
        <w:spacing w:after="0" w:line="247" w:lineRule="auto"/>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u w:val="single" w:color="auto"/>
          <w:color w:val="auto"/>
        </w:rPr>
        <w:t>Peer Group</w:t>
      </w:r>
      <w:r>
        <w:rPr>
          <w:rFonts w:ascii="Times New Roman" w:cs="Times New Roman" w:eastAsia="Times New Roman" w:hAnsi="Times New Roman"/>
          <w:sz w:val="20"/>
          <w:szCs w:val="20"/>
          <w:color w:val="auto"/>
        </w:rPr>
        <w:t xml:space="preserve">” shall consist of the companies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a member of the Peer Group ceases to be a Publicly Traded Company for any reason during the Performance Period or is acquired by another Publicly Traded Company (other than a transaction the principal purpose of which is to change the name, corporate form or jurisdiction of incorporation or formation of the Peer Group member), the member shall be automatically removed from and treated as never having been included in the Peer Group.</w:t>
      </w:r>
    </w:p>
    <w:p>
      <w:pPr>
        <w:spacing w:after="0" w:line="20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(ix)“</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means the period beginning on January 1, 20[XX] and ending on December</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31, 20[XX].</w:t>
      </w:r>
    </w:p>
    <w:p>
      <w:pPr>
        <w:spacing w:after="0" w:line="206" w:lineRule="exact"/>
        <w:rPr>
          <w:sz w:val="20"/>
          <w:szCs w:val="20"/>
          <w:color w:val="auto"/>
        </w:rPr>
      </w:pPr>
    </w:p>
    <w:p>
      <w:pPr>
        <w:jc w:val="both"/>
        <w:ind w:left="180" w:right="180" w:firstLine="2213"/>
        <w:spacing w:after="0" w:line="268" w:lineRule="auto"/>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u w:val="single" w:color="auto"/>
          <w:color w:val="auto"/>
        </w:rPr>
        <w:t>Publicly Traded Company</w:t>
      </w:r>
      <w:r>
        <w:rPr>
          <w:rFonts w:ascii="Times New Roman" w:cs="Times New Roman" w:eastAsia="Times New Roman" w:hAnsi="Times New Roman"/>
          <w:sz w:val="20"/>
          <w:szCs w:val="20"/>
          <w:color w:val="auto"/>
        </w:rPr>
        <w:t>” means a company whose shares are regularly quoted or traded on an active securities exchange, over-the-counter market or inter-dealer quotation system.</w:t>
      </w:r>
    </w:p>
    <w:p>
      <w:pPr>
        <w:spacing w:after="0" w:line="1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Participant’s voluntary Termination of Service on or after the date on which Participant satisfies the definition of “Retirement” in the Company’s Retirement Policy applicable to Participant.</w:t>
      </w:r>
    </w:p>
    <w:p>
      <w:pPr>
        <w:spacing w:after="0" w:line="26" w:lineRule="exact"/>
        <w:rPr>
          <w:sz w:val="20"/>
          <w:szCs w:val="20"/>
          <w:color w:val="auto"/>
        </w:rPr>
      </w:pPr>
    </w:p>
    <w:p>
      <w:pPr>
        <w:jc w:val="both"/>
        <w:ind w:left="180" w:right="180" w:firstLine="2246"/>
        <w:spacing w:after="0" w:line="245" w:lineRule="auto"/>
        <w:rPr>
          <w:sz w:val="20"/>
          <w:szCs w:val="20"/>
          <w:color w:val="auto"/>
        </w:rPr>
      </w:pPr>
      <w:r>
        <w:rPr>
          <w:rFonts w:ascii="Times New Roman" w:cs="Times New Roman" w:eastAsia="Times New Roman" w:hAnsi="Times New Roman"/>
          <w:sz w:val="20"/>
          <w:szCs w:val="20"/>
          <w:color w:val="auto"/>
        </w:rPr>
        <w:t>(xi)“</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means the percentage appreciation (positive or negative) in the Common Stock price (or common stock price of a member of the Peer Group, as applicable) over the Performance Period, determined by dividing (i) the difference obtained by subtracting (A) the Beginning Average Market Value, from (B) the Ending Average Market Value plus all cash dividends for the Performance Period, assuming same-day reinvestment into Common Stock (or common stock of the applicable member of the Peer Group) on the applicable ex-dividend date, by (ii) the Beginning Average Market Value. TSR shall be equitably adjusted to reflect stock dividends, stock-splits, spin-offs, and other corporate changes having similar effect.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61" w:name="page62"/>
    <w:bookmarkEnd w:id="61"/>
    <w:p>
      <w:pPr>
        <w:ind w:left="2240" w:hanging="750"/>
        <w:spacing w:after="0"/>
        <w:tabs>
          <w:tab w:leader="none" w:pos="22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Lapse of PSUs</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ind w:right="20" w:firstLine="2246"/>
        <w:spacing w:after="0" w:line="246" w:lineRule="auto"/>
        <w:rPr>
          <w:sz w:val="20"/>
          <w:szCs w:val="20"/>
          <w:color w:val="auto"/>
        </w:rPr>
      </w:pPr>
      <w:r>
        <w:rPr>
          <w:rFonts w:ascii="Times New Roman" w:cs="Times New Roman" w:eastAsia="Times New Roman" w:hAnsi="Times New Roman"/>
          <w:sz w:val="20"/>
          <w:szCs w:val="20"/>
          <w:color w:val="auto"/>
        </w:rPr>
        <w:t>(i)In the event of Participant’s Termination of Service, except as may be otherwise provided under Section 2.2(b)(ii), 2.2(b)(iii) or 2.2(c) above, by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97" w:lineRule="exact"/>
        <w:rPr>
          <w:sz w:val="20"/>
          <w:szCs w:val="20"/>
          <w:color w:val="auto"/>
        </w:rPr>
      </w:pPr>
    </w:p>
    <w:p>
      <w:pPr>
        <w:jc w:val="both"/>
        <w:ind w:firstLine="2213"/>
        <w:spacing w:after="0" w:line="253" w:lineRule="auto"/>
        <w:rPr>
          <w:sz w:val="20"/>
          <w:szCs w:val="20"/>
          <w:color w:val="auto"/>
        </w:rPr>
      </w:pPr>
      <w:r>
        <w:rPr>
          <w:rFonts w:ascii="Times New Roman" w:cs="Times New Roman" w:eastAsia="Times New Roman" w:hAnsi="Times New Roman"/>
          <w:sz w:val="20"/>
          <w:szCs w:val="20"/>
          <w:color w:val="auto"/>
        </w:rPr>
        <w:t>(ii)Subject to Sections 2.2(b)(ii), 2.2(b)(iii) and 2.2(c), in the event the PSUs do not vest at the maximum level in accordance with the provisions of Section 2.2(a), such PSUs that do not vest in accordance with the provisions of Section 2.2(a) shall be forfeited and Participant’s rights in any such PSUs and related Dividend Equivalents shall lapse and expire.</w:t>
      </w:r>
    </w:p>
    <w:p>
      <w:pPr>
        <w:spacing w:after="0" w:line="176"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Distribution or Payment of PSUs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right="20" w:firstLine="1490"/>
        <w:spacing w:after="0" w:line="242" w:lineRule="auto"/>
        <w:tabs>
          <w:tab w:leader="none" w:pos="186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2.2(a), and, in any event, within sixty (60) days following such vesting and no later than March 15 of the calendar year following the calendar year in which the Performance Period ends. Notwithstanding the foregoing, the Company may delay a distribution or payment in settlement of PSUs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Section 2.3(a) if such delay will result in a violation of Section 409A of the Code.</w:t>
      </w:r>
    </w:p>
    <w:p>
      <w:pPr>
        <w:spacing w:after="0" w:line="191" w:lineRule="exact"/>
        <w:rPr>
          <w:rFonts w:ascii="Times New Roman" w:cs="Times New Roman" w:eastAsia="Times New Roman" w:hAnsi="Times New Roman"/>
          <w:sz w:val="20"/>
          <w:szCs w:val="20"/>
          <w:color w:val="auto"/>
        </w:rPr>
      </w:pPr>
    </w:p>
    <w:p>
      <w:pPr>
        <w:jc w:val="both"/>
        <w:ind w:right="20" w:firstLine="1490"/>
        <w:spacing w:after="0" w:line="246" w:lineRule="auto"/>
        <w:tabs>
          <w:tab w:leader="none" w:pos="186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elects to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83"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9"/>
          <w:szCs w:val="19"/>
          <w:color w:val="auto"/>
        </w:rPr>
        <w:t>2.4</w:t>
      </w:r>
      <w:r>
        <w:rPr>
          <w:rFonts w:ascii="Times New Roman" w:cs="Times New Roman" w:eastAsia="Times New Roman" w:hAnsi="Times New Roman"/>
          <w:sz w:val="19"/>
          <w:szCs w:val="19"/>
          <w:u w:val="single" w:color="auto"/>
          <w:color w:val="auto"/>
        </w:rPr>
        <w:t>Conditions to Issuance of Certificates</w:t>
      </w:r>
      <w:r>
        <w:rPr>
          <w:rFonts w:ascii="Times New Roman" w:cs="Times New Roman" w:eastAsia="Times New Roman" w:hAnsi="Times New Roman"/>
          <w:sz w:val="19"/>
          <w:szCs w:val="19"/>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8"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15" w:lineRule="exact"/>
        <w:rPr>
          <w:sz w:val="20"/>
          <w:szCs w:val="20"/>
          <w:color w:val="auto"/>
        </w:rPr>
      </w:pPr>
    </w:p>
    <w:p>
      <w:pPr>
        <w:jc w:val="both"/>
        <w:ind w:firstLine="1467"/>
        <w:spacing w:after="0" w:line="244" w:lineRule="auto"/>
        <w:tabs>
          <w:tab w:leader="none" w:pos="18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689610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26"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Company and its Subsidiaries may withhold or the Participant may make such payment in one or more of the forms specified below:</w:t>
      </w:r>
    </w:p>
    <w:p>
      <w:pPr>
        <w:spacing w:after="0" w:line="22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(i)by cash or check made payable to the Company or the Subsidiary with respect to which the withholding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220" w:lineRule="exact"/>
        <w:rPr>
          <w:sz w:val="20"/>
          <w:szCs w:val="20"/>
          <w:color w:val="auto"/>
        </w:rPr>
      </w:pPr>
    </w:p>
    <w:p>
      <w:pPr>
        <w:ind w:left="2980" w:hanging="741"/>
        <w:spacing w:after="0"/>
        <w:tabs>
          <w:tab w:leader="none" w:pos="2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193" w:lineRule="exact"/>
        <w:rPr>
          <w:sz w:val="20"/>
          <w:szCs w:val="20"/>
          <w:color w:val="auto"/>
        </w:rPr>
      </w:pPr>
    </w:p>
    <w:p>
      <w:pPr>
        <w:jc w:val="both"/>
        <w:ind w:firstLine="2213"/>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distribution of the PSUs, with the consent of the Administrator, by requesting that the Company and its Subsidiaries withhold a net number of vested Shares otherwise issuable pursuant to the PSUs having a then current Fair Market Value not exceeding the amount necessary to satisfy the withholding obligation of the Company and its Subsidiaries based on the maximum applicable statutory withholding rates for federal, state, local and foreign income tax and payroll tax purposes (or such lesser amount as may be determined by the Participant or the Administrator);</w:t>
      </w:r>
    </w:p>
    <w:p>
      <w:pPr>
        <w:spacing w:after="0" w:line="183" w:lineRule="exact"/>
        <w:rPr>
          <w:sz w:val="20"/>
          <w:szCs w:val="20"/>
          <w:color w:val="auto"/>
        </w:rPr>
      </w:pPr>
    </w:p>
    <w:p>
      <w:pPr>
        <w:jc w:val="both"/>
        <w:ind w:right="20" w:firstLine="2246"/>
        <w:spacing w:after="0" w:line="246"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distribution of the PSUs, with the consent of the Administrator, by tendering to the Company vested Shares having a then current Fair Market Value not exceeding the amount necessary to satisfy the withholding obligation of the Company and its Subsidiaries based on the maximum applicable statutory withholding rates for federal, state, local and foreign income tax and payroll tax purposes (or such lesser amount as may be determined by the Participant or the Administrator);</w:t>
      </w:r>
    </w:p>
    <w:p>
      <w:pPr>
        <w:spacing w:after="0" w:line="197" w:lineRule="exact"/>
        <w:rPr>
          <w:sz w:val="20"/>
          <w:szCs w:val="20"/>
          <w:color w:val="auto"/>
        </w:rPr>
      </w:pPr>
    </w:p>
    <w:p>
      <w:pPr>
        <w:jc w:val="both"/>
        <w:ind w:right="20" w:firstLine="2246"/>
        <w:spacing w:after="0" w:line="245" w:lineRule="auto"/>
        <w:rPr>
          <w:sz w:val="20"/>
          <w:szCs w:val="20"/>
          <w:color w:val="auto"/>
        </w:rPr>
      </w:pPr>
      <w:r>
        <w:rPr>
          <w:rFonts w:ascii="Times New Roman" w:cs="Times New Roman" w:eastAsia="Times New Roman" w:hAnsi="Times New Roman"/>
          <w:sz w:val="20"/>
          <w:szCs w:val="20"/>
          <w:color w:val="auto"/>
        </w:rPr>
        <w:t xml:space="preserve">(v)with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or the applicable Subsidiary at such time as may be required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but in any event not later than the settlement of such sale; or</w:t>
      </w:r>
    </w:p>
    <w:p>
      <w:pPr>
        <w:spacing w:after="0" w:line="209" w:lineRule="exact"/>
        <w:rPr>
          <w:sz w:val="20"/>
          <w:szCs w:val="20"/>
          <w:color w:val="auto"/>
        </w:rPr>
      </w:pPr>
    </w:p>
    <w:p>
      <w:pPr>
        <w:ind w:left="2980" w:hanging="741"/>
        <w:spacing w:after="0"/>
        <w:tabs>
          <w:tab w:leader="none" w:pos="29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14" w:lineRule="exact"/>
        <w:rPr>
          <w:rFonts w:ascii="Times New Roman" w:cs="Times New Roman" w:eastAsia="Times New Roman" w:hAnsi="Times New Roman"/>
          <w:sz w:val="20"/>
          <w:szCs w:val="20"/>
          <w:color w:val="auto"/>
        </w:rPr>
      </w:pPr>
    </w:p>
    <w:p>
      <w:pPr>
        <w:jc w:val="both"/>
        <w:ind w:firstLine="1467"/>
        <w:spacing w:after="0" w:line="243" w:lineRule="auto"/>
        <w:tabs>
          <w:tab w:leader="none" w:pos="18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w:t>
      </w:r>
    </w:p>
    <w:p>
      <w:pPr>
        <w:spacing w:after="0" w:line="200" w:lineRule="exact"/>
        <w:rPr>
          <w:rFonts w:ascii="Times New Roman" w:cs="Times New Roman" w:eastAsia="Times New Roman" w:hAnsi="Times New Roman"/>
          <w:sz w:val="20"/>
          <w:szCs w:val="20"/>
          <w:color w:val="auto"/>
        </w:rPr>
      </w:pPr>
    </w:p>
    <w:p>
      <w:pPr>
        <w:jc w:val="both"/>
        <w:ind w:firstLine="1467"/>
        <w:spacing w:after="0" w:line="244" w:lineRule="auto"/>
        <w:tabs>
          <w:tab w:leader="none" w:pos="18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withholding obligation and to remit the proceeds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697865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425" w:right="499" w:bottom="1440" w:gutter="0" w:footer="0" w:header="0"/>
        </w:sectPr>
      </w:pPr>
    </w:p>
    <w:bookmarkStart w:id="63" w:name="page64"/>
    <w:bookmarkEnd w:id="63"/>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PSUs to Participant until the foregoing tax withholding obligations are satisfied,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payment shall be delayed under this Section 2.5(c) if such delay will result in a violation of Section 409A of the Code.</w:t>
      </w:r>
    </w:p>
    <w:p>
      <w:pPr>
        <w:spacing w:after="0" w:line="183" w:lineRule="exact"/>
        <w:rPr>
          <w:sz w:val="20"/>
          <w:szCs w:val="20"/>
          <w:color w:val="auto"/>
        </w:rPr>
      </w:pPr>
    </w:p>
    <w:p>
      <w:pPr>
        <w:jc w:val="both"/>
        <w:ind w:right="20" w:firstLine="1490"/>
        <w:spacing w:after="0" w:line="246" w:lineRule="auto"/>
        <w:tabs>
          <w:tab w:leader="none" w:pos="186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83" w:lineRule="exact"/>
        <w:rPr>
          <w:sz w:val="20"/>
          <w:szCs w:val="20"/>
          <w:color w:val="auto"/>
        </w:rPr>
      </w:pPr>
    </w:p>
    <w:p>
      <w:pPr>
        <w:jc w:val="both"/>
        <w:ind w:right="20" w:firstLine="749"/>
        <w:spacing w:after="0" w:line="245" w:lineRule="auto"/>
        <w:rPr>
          <w:sz w:val="20"/>
          <w:szCs w:val="20"/>
          <w:color w:val="auto"/>
        </w:rPr>
      </w:pPr>
      <w:r>
        <w:rPr>
          <w:rFonts w:ascii="Times New Roman" w:cs="Times New Roman" w:eastAsia="Times New Roman" w:hAnsi="Times New Roman"/>
          <w:sz w:val="20"/>
          <w:szCs w:val="20"/>
          <w:color w:val="auto"/>
        </w:rPr>
        <w:t>2.6</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III. OTHER PROVISIONS</w:t>
      </w:r>
    </w:p>
    <w:p>
      <w:pPr>
        <w:spacing w:after="0" w:line="25" w:lineRule="exact"/>
        <w:rPr>
          <w:sz w:val="20"/>
          <w:szCs w:val="20"/>
          <w:color w:val="auto"/>
        </w:rPr>
      </w:pPr>
    </w:p>
    <w:p>
      <w:pPr>
        <w:jc w:val="both"/>
        <w:ind w:right="20" w:firstLine="749"/>
        <w:spacing w:after="0"/>
        <w:rPr>
          <w:sz w:val="20"/>
          <w:szCs w:val="20"/>
          <w:color w:val="auto"/>
        </w:rPr>
      </w:pPr>
      <w:r>
        <w:rPr>
          <w:rFonts w:ascii="Times New Roman" w:cs="Times New Roman" w:eastAsia="Times New Roman" w:hAnsi="Times New Roman"/>
          <w:sz w:val="20"/>
          <w:szCs w:val="20"/>
          <w:color w:val="auto"/>
        </w:rPr>
        <w:t>3.1</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9"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0"/>
          <w:szCs w:val="20"/>
          <w:color w:val="auto"/>
        </w:rPr>
        <w:t>3.2</w:t>
      </w:r>
      <w:r>
        <w:rPr>
          <w:rFonts w:ascii="Times New Roman" w:cs="Times New Roman" w:eastAsia="Times New Roman" w:hAnsi="Times New Roman"/>
          <w:sz w:val="20"/>
          <w:szCs w:val="20"/>
          <w:u w:val="single" w:color="auto"/>
          <w:color w:val="auto"/>
        </w:rPr>
        <w:t>PSUs Not Transferable</w:t>
      </w:r>
      <w:r>
        <w:rPr>
          <w:rFonts w:ascii="Times New Roman" w:cs="Times New Roman" w:eastAsia="Times New Roman" w:hAnsi="Times New Roman"/>
          <w:sz w:val="20"/>
          <w:szCs w:val="20"/>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11"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20"/>
          <w:szCs w:val="20"/>
          <w:color w:val="auto"/>
        </w:rPr>
        <w:t>3.3</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and the Shares subject to the PSUs are subject to adjustment, modification and termination in certain events as provided in this Agreement and Section 12.2 of the Plan.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703580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30" w:right="499" w:bottom="1440" w:gutter="0" w:footer="0" w:header="0"/>
        </w:sectPr>
      </w:pPr>
    </w:p>
    <w:bookmarkStart w:id="64" w:name="page65"/>
    <w:bookmarkEnd w:id="64"/>
    <w:p>
      <w:pPr>
        <w:jc w:val="both"/>
        <w:ind w:right="20" w:firstLine="749"/>
        <w:spacing w:after="0" w:line="245" w:lineRule="auto"/>
        <w:rPr>
          <w:sz w:val="20"/>
          <w:szCs w:val="20"/>
          <w:color w:val="auto"/>
        </w:rPr>
      </w:pPr>
      <w:r>
        <w:rPr>
          <w:rFonts w:ascii="Times New Roman" w:cs="Times New Roman" w:eastAsia="Times New Roman" w:hAnsi="Times New Roman"/>
          <w:sz w:val="20"/>
          <w:szCs w:val="20"/>
          <w:color w:val="auto"/>
        </w:rPr>
        <w:t>3.4</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3.5</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25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3.6</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1" w:lineRule="exact"/>
        <w:rPr>
          <w:sz w:val="20"/>
          <w:szCs w:val="20"/>
          <w:color w:val="auto"/>
        </w:rPr>
      </w:pPr>
    </w:p>
    <w:p>
      <w:pPr>
        <w:jc w:val="both"/>
        <w:ind w:firstLine="738"/>
        <w:spacing w:after="0" w:line="245" w:lineRule="auto"/>
        <w:rPr>
          <w:sz w:val="20"/>
          <w:szCs w:val="20"/>
          <w:color w:val="auto"/>
        </w:rPr>
      </w:pPr>
      <w:r>
        <w:rPr>
          <w:rFonts w:ascii="Times New Roman" w:cs="Times New Roman" w:eastAsia="Times New Roman" w:hAnsi="Times New Roman"/>
          <w:sz w:val="20"/>
          <w:szCs w:val="20"/>
          <w:color w:val="auto"/>
        </w:rPr>
        <w:t>3.7</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19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3.8</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PSUs in any material way without the prior written consent of Participant.</w:t>
      </w:r>
    </w:p>
    <w:p>
      <w:pPr>
        <w:spacing w:after="0" w:line="205"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3.9</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205" w:lineRule="exact"/>
        <w:rPr>
          <w:sz w:val="20"/>
          <w:szCs w:val="20"/>
          <w:color w:val="auto"/>
        </w:rPr>
      </w:pPr>
    </w:p>
    <w:p>
      <w:pPr>
        <w:jc w:val="both"/>
        <w:ind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PSUs,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0"/>
          <w:szCs w:val="20"/>
          <w:color w:val="auto"/>
        </w:rPr>
        <w:t>3.11</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711835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30" w:right="499" w:bottom="1440" w:gutter="0" w:footer="0" w:header="0"/>
        </w:sectPr>
      </w:pPr>
    </w:p>
    <w:bookmarkStart w:id="65" w:name="page66"/>
    <w:bookmarkEnd w:id="65"/>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27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3.13</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0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3.14</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3.15</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w:t>
      </w:r>
    </w:p>
    <w:p>
      <w:pPr>
        <w:spacing w:after="0" w:line="210" w:lineRule="exact"/>
        <w:rPr>
          <w:sz w:val="20"/>
          <w:szCs w:val="20"/>
          <w:color w:val="auto"/>
        </w:rPr>
      </w:pPr>
    </w:p>
    <w:p>
      <w:pPr>
        <w:jc w:val="both"/>
        <w:ind w:firstLine="738"/>
        <w:spacing w:after="0" w:line="295" w:lineRule="auto"/>
        <w:rPr>
          <w:sz w:val="20"/>
          <w:szCs w:val="20"/>
          <w:color w:val="auto"/>
        </w:rPr>
      </w:pPr>
      <w:r>
        <w:rPr>
          <w:rFonts w:ascii="Times New Roman" w:cs="Times New Roman" w:eastAsia="Times New Roman" w:hAnsi="Times New Roman"/>
          <w:sz w:val="19"/>
          <w:szCs w:val="19"/>
          <w:color w:val="auto"/>
        </w:rPr>
        <w:t>3.16</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3.17</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 taxes as provided in Section 2.5(a)(iii) or Section 2.5(a)(v):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22" w:lineRule="exact"/>
        <w:rPr>
          <w:sz w:val="20"/>
          <w:szCs w:val="20"/>
          <w:color w:val="auto"/>
        </w:rPr>
      </w:pPr>
    </w:p>
    <w:p>
      <w:pPr>
        <w:jc w:val="center"/>
        <w:spacing w:after="0"/>
        <w:tabs>
          <w:tab w:leader="none" w:pos="26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689610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330" w:right="519" w:bottom="1440" w:gutter="0" w:footer="0" w:header="0"/>
        </w:sectPr>
      </w:pPr>
    </w:p>
    <w:bookmarkStart w:id="66" w:name="page67"/>
    <w:bookmarkEnd w:id="66"/>
    <w:p>
      <w:pPr>
        <w:jc w:val="center"/>
        <w:ind w:right="-92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9"/>
          <w:szCs w:val="19"/>
          <w:b w:val="1"/>
          <w:bCs w:val="1"/>
          <w:color w:val="auto"/>
        </w:rPr>
        <w:t>TO PERFORMANCE STOCK UNIT AGREEMENT PEER GROUP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BorgWarner Inc.</w:t>
      </w:r>
    </w:p>
    <w:p>
      <w:pPr>
        <w:spacing w:after="0"/>
        <w:rPr>
          <w:sz w:val="20"/>
          <w:szCs w:val="20"/>
          <w:color w:val="auto"/>
        </w:rPr>
      </w:pPr>
      <w:r>
        <w:rPr>
          <w:rFonts w:ascii="Times New Roman" w:cs="Times New Roman" w:eastAsia="Times New Roman" w:hAnsi="Times New Roman"/>
          <w:sz w:val="20"/>
          <w:szCs w:val="20"/>
          <w:color w:val="auto"/>
        </w:rPr>
        <w:t>Crane Co.</w:t>
      </w:r>
    </w:p>
    <w:p>
      <w:pPr>
        <w:spacing w:after="0"/>
        <w:rPr>
          <w:sz w:val="20"/>
          <w:szCs w:val="20"/>
          <w:color w:val="auto"/>
        </w:rPr>
      </w:pPr>
      <w:r>
        <w:rPr>
          <w:rFonts w:ascii="Times New Roman" w:cs="Times New Roman" w:eastAsia="Times New Roman" w:hAnsi="Times New Roman"/>
          <w:sz w:val="20"/>
          <w:szCs w:val="20"/>
          <w:color w:val="auto"/>
        </w:rPr>
        <w:t>Cummins Inc.</w:t>
      </w:r>
    </w:p>
    <w:p>
      <w:pPr>
        <w:spacing w:after="0"/>
        <w:rPr>
          <w:sz w:val="20"/>
          <w:szCs w:val="20"/>
          <w:color w:val="auto"/>
        </w:rPr>
      </w:pPr>
      <w:r>
        <w:rPr>
          <w:rFonts w:ascii="Times New Roman" w:cs="Times New Roman" w:eastAsia="Times New Roman" w:hAnsi="Times New Roman"/>
          <w:sz w:val="20"/>
          <w:szCs w:val="20"/>
          <w:color w:val="auto"/>
        </w:rPr>
        <w:t>Curtiss-Wright Corporation Donaldson Company,</w:t>
      </w:r>
    </w:p>
    <w:p>
      <w:pPr>
        <w:spacing w:after="0"/>
        <w:rPr>
          <w:sz w:val="20"/>
          <w:szCs w:val="20"/>
          <w:color w:val="auto"/>
        </w:rPr>
      </w:pPr>
      <w:r>
        <w:rPr>
          <w:rFonts w:ascii="Times New Roman" w:cs="Times New Roman" w:eastAsia="Times New Roman" w:hAnsi="Times New Roman"/>
          <w:sz w:val="20"/>
          <w:szCs w:val="20"/>
          <w:color w:val="auto"/>
        </w:rPr>
        <w:t>Inc. Eaton Corporation plc</w:t>
      </w:r>
    </w:p>
    <w:p>
      <w:pPr>
        <w:spacing w:after="0"/>
        <w:rPr>
          <w:sz w:val="20"/>
          <w:szCs w:val="20"/>
          <w:color w:val="auto"/>
        </w:rPr>
      </w:pPr>
      <w:r>
        <w:rPr>
          <w:rFonts w:ascii="Times New Roman" w:cs="Times New Roman" w:eastAsia="Times New Roman" w:hAnsi="Times New Roman"/>
          <w:sz w:val="20"/>
          <w:szCs w:val="20"/>
          <w:color w:val="auto"/>
        </w:rPr>
        <w:t>Flowserve Corporation</w:t>
      </w:r>
    </w:p>
    <w:p>
      <w:pPr>
        <w:spacing w:after="0"/>
        <w:rPr>
          <w:sz w:val="20"/>
          <w:szCs w:val="20"/>
          <w:color w:val="auto"/>
        </w:rPr>
      </w:pPr>
      <w:r>
        <w:rPr>
          <w:rFonts w:ascii="Times New Roman" w:cs="Times New Roman" w:eastAsia="Times New Roman" w:hAnsi="Times New Roman"/>
          <w:sz w:val="20"/>
          <w:szCs w:val="20"/>
          <w:color w:val="auto"/>
        </w:rPr>
        <w:t>Gates Industrial Corporation plc Gentex Corporation</w:t>
      </w:r>
    </w:p>
    <w:p>
      <w:pPr>
        <w:spacing w:after="0"/>
        <w:rPr>
          <w:sz w:val="20"/>
          <w:szCs w:val="20"/>
          <w:color w:val="auto"/>
        </w:rPr>
      </w:pPr>
      <w:r>
        <w:rPr>
          <w:rFonts w:ascii="Times New Roman" w:cs="Times New Roman" w:eastAsia="Times New Roman" w:hAnsi="Times New Roman"/>
          <w:sz w:val="20"/>
          <w:szCs w:val="20"/>
          <w:color w:val="auto"/>
        </w:rPr>
        <w:t>Graco Inc.</w:t>
      </w:r>
    </w:p>
    <w:p>
      <w:pPr>
        <w:spacing w:after="0"/>
        <w:rPr>
          <w:sz w:val="20"/>
          <w:szCs w:val="20"/>
          <w:color w:val="auto"/>
        </w:rPr>
      </w:pPr>
      <w:r>
        <w:rPr>
          <w:rFonts w:ascii="Times New Roman" w:cs="Times New Roman" w:eastAsia="Times New Roman" w:hAnsi="Times New Roman"/>
          <w:sz w:val="20"/>
          <w:szCs w:val="20"/>
          <w:color w:val="auto"/>
        </w:rPr>
        <w:t>HEICO Corporation</w:t>
      </w:r>
    </w:p>
    <w:p>
      <w:pPr>
        <w:spacing w:after="0"/>
        <w:rPr>
          <w:sz w:val="20"/>
          <w:szCs w:val="20"/>
          <w:color w:val="auto"/>
        </w:rPr>
      </w:pPr>
      <w:r>
        <w:rPr>
          <w:rFonts w:ascii="Times New Roman" w:cs="Times New Roman" w:eastAsia="Times New Roman" w:hAnsi="Times New Roman"/>
          <w:sz w:val="20"/>
          <w:szCs w:val="20"/>
          <w:color w:val="auto"/>
        </w:rPr>
        <w:t>IDEX Corporation ITT Inc.</w:t>
      </w:r>
    </w:p>
    <w:p>
      <w:pPr>
        <w:spacing w:after="0"/>
        <w:rPr>
          <w:sz w:val="20"/>
          <w:szCs w:val="20"/>
          <w:color w:val="auto"/>
        </w:rPr>
      </w:pPr>
      <w:r>
        <w:rPr>
          <w:rFonts w:ascii="Times New Roman" w:cs="Times New Roman" w:eastAsia="Times New Roman" w:hAnsi="Times New Roman"/>
          <w:sz w:val="20"/>
          <w:szCs w:val="20"/>
          <w:color w:val="auto"/>
        </w:rPr>
        <w:t>Lincoln Electric Holdings, Inc. Middleby</w:t>
      </w:r>
    </w:p>
    <w:p>
      <w:pPr>
        <w:spacing w:after="0"/>
        <w:rPr>
          <w:sz w:val="20"/>
          <w:szCs w:val="20"/>
          <w:color w:val="auto"/>
        </w:rPr>
      </w:pPr>
      <w:r>
        <w:rPr>
          <w:rFonts w:ascii="Times New Roman" w:cs="Times New Roman" w:eastAsia="Times New Roman" w:hAnsi="Times New Roman"/>
          <w:sz w:val="20"/>
          <w:szCs w:val="20"/>
          <w:color w:val="auto"/>
        </w:rPr>
        <w:t>Corporation Nordson Corporation</w:t>
      </w:r>
    </w:p>
    <w:p>
      <w:pPr>
        <w:spacing w:after="0"/>
        <w:rPr>
          <w:sz w:val="20"/>
          <w:szCs w:val="20"/>
          <w:color w:val="auto"/>
        </w:rPr>
      </w:pPr>
      <w:r>
        <w:rPr>
          <w:rFonts w:ascii="Times New Roman" w:cs="Times New Roman" w:eastAsia="Times New Roman" w:hAnsi="Times New Roman"/>
          <w:sz w:val="20"/>
          <w:szCs w:val="20"/>
          <w:color w:val="auto"/>
        </w:rPr>
        <w:t>Parker-Hannifin Corporation</w:t>
      </w:r>
    </w:p>
    <w:p>
      <w:pPr>
        <w:spacing w:after="0"/>
        <w:rPr>
          <w:sz w:val="20"/>
          <w:szCs w:val="20"/>
          <w:color w:val="auto"/>
        </w:rPr>
      </w:pPr>
      <w:r>
        <w:rPr>
          <w:rFonts w:ascii="Times New Roman" w:cs="Times New Roman" w:eastAsia="Times New Roman" w:hAnsi="Times New Roman"/>
          <w:sz w:val="20"/>
          <w:szCs w:val="20"/>
          <w:color w:val="auto"/>
        </w:rPr>
        <w:t>Roper Technologies, Inc.</w:t>
      </w:r>
    </w:p>
    <w:p>
      <w:pPr>
        <w:spacing w:after="0"/>
        <w:rPr>
          <w:sz w:val="20"/>
          <w:szCs w:val="20"/>
          <w:color w:val="auto"/>
        </w:rPr>
      </w:pPr>
      <w:r>
        <w:rPr>
          <w:rFonts w:ascii="Times New Roman" w:cs="Times New Roman" w:eastAsia="Times New Roman" w:hAnsi="Times New Roman"/>
          <w:sz w:val="20"/>
          <w:szCs w:val="20"/>
          <w:color w:val="auto"/>
        </w:rPr>
        <w:t>Sensata Technologies Holding N.V.</w:t>
      </w:r>
    </w:p>
    <w:p>
      <w:pPr>
        <w:spacing w:after="0"/>
        <w:rPr>
          <w:sz w:val="20"/>
          <w:szCs w:val="20"/>
          <w:color w:val="auto"/>
        </w:rPr>
      </w:pPr>
      <w:r>
        <w:rPr>
          <w:rFonts w:ascii="Times New Roman" w:cs="Times New Roman" w:eastAsia="Times New Roman" w:hAnsi="Times New Roman"/>
          <w:sz w:val="20"/>
          <w:szCs w:val="20"/>
          <w:color w:val="auto"/>
        </w:rPr>
        <w:t>The Timken Company</w:t>
      </w:r>
    </w:p>
    <w:p>
      <w:pPr>
        <w:spacing w:after="0"/>
        <w:rPr>
          <w:sz w:val="20"/>
          <w:szCs w:val="20"/>
          <w:color w:val="auto"/>
        </w:rPr>
      </w:pPr>
      <w:r>
        <w:rPr>
          <w:rFonts w:ascii="Times New Roman" w:cs="Times New Roman" w:eastAsia="Times New Roman" w:hAnsi="Times New Roman"/>
          <w:sz w:val="20"/>
          <w:szCs w:val="20"/>
          <w:color w:val="auto"/>
        </w:rPr>
        <w:t>TransDigm Group Incorporated Woodward, Inc.</w:t>
      </w:r>
    </w:p>
    <w:p>
      <w:pPr>
        <w:spacing w:after="0"/>
        <w:rPr>
          <w:sz w:val="20"/>
          <w:szCs w:val="20"/>
          <w:color w:val="auto"/>
        </w:rPr>
      </w:pPr>
      <w:r>
        <w:rPr>
          <w:rFonts w:ascii="Times New Roman" w:cs="Times New Roman" w:eastAsia="Times New Roman" w:hAnsi="Times New Roman"/>
          <w:sz w:val="20"/>
          <w:szCs w:val="20"/>
          <w:color w:val="auto"/>
        </w:rPr>
        <w:t>Zurn Elkay Water Solutions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3848735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394"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3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Frederick Bohley, certify that:</w:t>
      </w:r>
    </w:p>
    <w:p>
      <w:pPr>
        <w:spacing w:after="0" w:line="225"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4" w:lineRule="exact"/>
        <w:rPr>
          <w:rFonts w:ascii="Times New Roman" w:cs="Times New Roman" w:eastAsia="Times New Roman" w:hAnsi="Times New Roman"/>
          <w:sz w:val="18"/>
          <w:szCs w:val="18"/>
          <w:color w:val="auto"/>
        </w:rPr>
      </w:pPr>
    </w:p>
    <w:p>
      <w:pPr>
        <w:jc w:val="both"/>
        <w:ind w:left="760" w:right="20" w:hanging="752"/>
        <w:spacing w:after="0" w:line="26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26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743"/>
        <w:spacing w:after="0" w:line="312" w:lineRule="auto"/>
        <w:tabs>
          <w:tab w:leader="none" w:pos="15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743"/>
        <w:spacing w:after="0" w:line="265"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743"/>
        <w:spacing w:after="0" w:line="281"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4800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4800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March 31, 2024 as filed with the Securities and Exchange Commission on the date hereof (the “Report”), we, David S. Graziosi, Chair,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82"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 Graziosi</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619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Frederick Bohley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04"/>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
    <w:nsid w:val="6763845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1"/>
      <w:numFmt w:val="lowerLetter"/>
      <w:start w:val="1"/>
    </w:lvl>
    <w:lvl w:ilvl="1">
      <w:lvlJc w:val="left"/>
      <w:lvlText w:val="(%2)"/>
      <w:numFmt w:val="lowerRoman"/>
      <w:start w:val="6"/>
    </w:lvl>
  </w:abstractNum>
  <w:abstractNum w:abstractNumId="13">
    <w:nsid w:val="B03E0C6"/>
    <w:multiLevelType w:val="hybridMultilevel"/>
    <w:lvl w:ilvl="0">
      <w:lvlJc w:val="left"/>
      <w:lvlText w:val="(%1)"/>
      <w:numFmt w:val="lowerLetter"/>
      <w:start w:val="2"/>
    </w:lvl>
    <w:lvl w:ilvl="1">
      <w:lvlJc w:val="left"/>
      <w:lvlText w:val="%2"/>
      <w:numFmt w:val="lowerRoman"/>
      <w:start w:val="1"/>
    </w:lvl>
  </w:abstractNum>
  <w:abstractNum w:abstractNumId="14">
    <w:nsid w:val="189A769B"/>
    <w:multiLevelType w:val="hybridMultilevel"/>
    <w:lvl w:ilvl="0">
      <w:lvlJc w:val="left"/>
      <w:lvlText w:val="(%1)"/>
      <w:numFmt w:val="upperLetter"/>
      <w:start w:val="1"/>
    </w:lvl>
    <w:lvl w:ilvl="1">
      <w:lvlJc w:val="left"/>
      <w:lvlText w:val="*"/>
      <w:numFmt w:val="bullet"/>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2"/>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Roman"/>
      <w:start w:val="2"/>
    </w:lvl>
  </w:abstractNum>
  <w:abstractNum w:abstractNumId="20">
    <w:nsid w:val="3A95F874"/>
    <w:multiLevelType w:val="hybridMultilevel"/>
    <w:lvl w:ilvl="0">
      <w:lvlJc w:val="left"/>
      <w:lvlText w:val="%1"/>
      <w:numFmt w:val="lowerLetter"/>
      <w:start w:val="1"/>
    </w:lvl>
    <w:lvl w:ilvl="1">
      <w:lvlJc w:val="left"/>
      <w:lvlText w:val="(%2)"/>
      <w:numFmt w:val="lowerRoman"/>
      <w:start w:val="6"/>
    </w:lvl>
  </w:abstractNum>
  <w:abstractNum w:abstractNumId="21">
    <w:nsid w:val="8138641"/>
    <w:multiLevelType w:val="hybridMultilevel"/>
    <w:lvl w:ilvl="0">
      <w:lvlJc w:val="left"/>
      <w:lvlText w:val="(%1)"/>
      <w:numFmt w:val="lowerLetter"/>
      <w:start w:val="2"/>
    </w:lvl>
    <w:lvl w:ilvl="1">
      <w:lvlJc w:val="left"/>
      <w:lvlText w:val="%2"/>
      <w:numFmt w:val="lowerRoman"/>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lvl w:ilvl="1">
      <w:lvlJc w:val="left"/>
      <w:lvlText w:val="(%2)"/>
      <w:numFmt w:val="lowerLetter"/>
      <w:start w:val="2"/>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Letter"/>
      <w:start w:val="3"/>
    </w:lvl>
  </w:abstractNum>
  <w:abstractNum w:abstractNumId="28">
    <w:nsid w:val="3006C83E"/>
    <w:multiLevelType w:val="hybridMultilevel"/>
    <w:lvl w:ilvl="0">
      <w:lvlJc w:val="left"/>
      <w:lvlText w:val="(%1)"/>
      <w:numFmt w:val="lowerLetter"/>
      <w:start w:val="5"/>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Letter"/>
      <w:start w:val="1"/>
    </w:lvl>
    <w:lvl w:ilvl="1">
      <w:lvlJc w:val="left"/>
      <w:lvlText w:val="(%2)"/>
      <w:numFmt w:val="lowerRoman"/>
      <w:start w:val="6"/>
    </w:lvl>
  </w:abstractNum>
  <w:abstractNum w:abstractNumId="33">
    <w:nsid w:val="5072367"/>
    <w:multiLevelType w:val="hybridMultilevel"/>
    <w:lvl w:ilvl="0">
      <w:lvlJc w:val="left"/>
      <w:lvlText w:val="(%1)"/>
      <w:numFmt w:val="lowerLetter"/>
      <w:start w:val="2"/>
    </w:lvl>
    <w:lvl w:ilvl="1">
      <w:lvlJc w:val="left"/>
      <w:lvlText w:val="%2"/>
      <w:numFmt w:val="lowerRoman"/>
      <w:start w:val="1"/>
    </w:lvl>
  </w:abstractNum>
  <w:abstractNum w:abstractNumId="34">
    <w:nsid w:val="3804823E"/>
    <w:multiLevelType w:val="hybridMultilevel"/>
    <w:lvl w:ilvl="0">
      <w:lvlJc w:val="left"/>
      <w:lvlText w:val="(%1)"/>
      <w:numFmt w:val="lowerLetter"/>
      <w:start w:val="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182" Type="http://schemas.openxmlformats.org/officeDocument/2006/relationships/hyperlink" Target="https://www.sec.gov/ix?doc=/Archives/edgar/data/1411207/000119312524070130/d78432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2024-04-26T07:55:33Z</dcterms:created>
  <dcterms:modified xsi:type="dcterms:W3CDTF">2024-04-26T07:55:33Z</dcterms:modified>
</cp:coreProperties>
</file>