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7" w:lineRule="exact"/>
        <w:rPr>
          <w:sz w:val="24"/>
          <w:szCs w:val="24"/>
          <w:color w:val="auto"/>
        </w:rPr>
      </w:pPr>
    </w:p>
    <w:p>
      <w:pPr>
        <w:ind w:left="580" w:right="100" w:hanging="572"/>
        <w:spacing w:after="0" w:line="254"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2025</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580" w:right="120" w:hanging="572"/>
        <w:spacing w:after="0" w:line="260"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001-35456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41275</wp:posOffset>
            </wp:positionV>
            <wp:extent cx="173164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3164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500" w:type="dxa"/>
            <w:vAlign w:val="bottom"/>
          </w:tcPr>
          <w:p>
            <w:pPr>
              <w:jc w:val="center"/>
              <w:ind w:left="1060"/>
              <w:spacing w:after="0"/>
              <w:rPr>
                <w:sz w:val="20"/>
                <w:szCs w:val="20"/>
                <w:color w:val="auto"/>
              </w:rPr>
            </w:pPr>
            <w:r>
              <w:rPr>
                <w:rFonts w:ascii="Arial" w:cs="Arial" w:eastAsia="Arial" w:hAnsi="Arial"/>
                <w:sz w:val="18"/>
                <w:szCs w:val="18"/>
                <w:b w:val="1"/>
                <w:bCs w:val="1"/>
                <w:color w:val="auto"/>
              </w:rPr>
              <w:t>Delaware</w:t>
            </w:r>
          </w:p>
        </w:tc>
        <w:tc>
          <w:tcPr>
            <w:tcW w:w="1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0" w:type="dxa"/>
            <w:vAlign w:val="bottom"/>
          </w:tcPr>
          <w:p>
            <w:pPr>
              <w:jc w:val="right"/>
              <w:ind w:right="2242"/>
              <w:spacing w:after="0"/>
              <w:rPr>
                <w:sz w:val="20"/>
                <w:szCs w:val="20"/>
                <w:color w:val="auto"/>
              </w:rPr>
            </w:pPr>
            <w:r>
              <w:rPr>
                <w:rFonts w:ascii="Arial" w:cs="Arial" w:eastAsia="Arial" w:hAnsi="Arial"/>
                <w:sz w:val="18"/>
                <w:szCs w:val="18"/>
                <w:b w:val="1"/>
                <w:bCs w:val="1"/>
                <w:color w:val="auto"/>
              </w:rPr>
              <w:t>26-0414014</w:t>
            </w:r>
          </w:p>
        </w:tc>
      </w:tr>
      <w:tr>
        <w:trPr>
          <w:trHeight w:val="222"/>
        </w:trPr>
        <w:tc>
          <w:tcPr>
            <w:tcW w:w="4500" w:type="dxa"/>
            <w:vAlign w:val="bottom"/>
          </w:tcPr>
          <w:p>
            <w:pPr>
              <w:jc w:val="center"/>
              <w:ind w:left="1060"/>
              <w:spacing w:after="0"/>
              <w:rPr>
                <w:sz w:val="20"/>
                <w:szCs w:val="20"/>
                <w:color w:val="auto"/>
              </w:rPr>
            </w:pPr>
            <w:r>
              <w:rPr>
                <w:rFonts w:ascii="Arial" w:cs="Arial" w:eastAsia="Arial" w:hAnsi="Arial"/>
                <w:sz w:val="14"/>
                <w:szCs w:val="14"/>
                <w:color w:val="auto"/>
              </w:rPr>
              <w:t>(State or other jurisdiction of incorporation or</w:t>
            </w: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0" w:type="dxa"/>
            <w:vAlign w:val="bottom"/>
          </w:tcPr>
          <w:p>
            <w:pPr>
              <w:jc w:val="center"/>
              <w:ind w:right="1742"/>
              <w:spacing w:after="0"/>
              <w:rPr>
                <w:sz w:val="20"/>
                <w:szCs w:val="20"/>
                <w:color w:val="auto"/>
              </w:rPr>
            </w:pPr>
            <w:r>
              <w:rPr>
                <w:rFonts w:ascii="Arial" w:cs="Arial" w:eastAsia="Arial" w:hAnsi="Arial"/>
                <w:sz w:val="14"/>
                <w:szCs w:val="14"/>
                <w:color w:val="auto"/>
              </w:rPr>
              <w:t>(I.R.S. Employer</w:t>
            </w:r>
          </w:p>
        </w:tc>
      </w:tr>
      <w:tr>
        <w:trPr>
          <w:trHeight w:val="204"/>
        </w:trPr>
        <w:tc>
          <w:tcPr>
            <w:tcW w:w="4500" w:type="dxa"/>
            <w:vAlign w:val="bottom"/>
          </w:tcPr>
          <w:p>
            <w:pPr>
              <w:jc w:val="center"/>
              <w:ind w:left="1060"/>
              <w:spacing w:after="0"/>
              <w:rPr>
                <w:sz w:val="20"/>
                <w:szCs w:val="20"/>
                <w:color w:val="auto"/>
              </w:rPr>
            </w:pPr>
            <w:r>
              <w:rPr>
                <w:rFonts w:ascii="Arial" w:cs="Arial" w:eastAsia="Arial" w:hAnsi="Arial"/>
                <w:sz w:val="14"/>
                <w:szCs w:val="14"/>
                <w:color w:val="auto"/>
              </w:rPr>
              <w:t>organization)</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0" w:type="dxa"/>
            <w:vAlign w:val="bottom"/>
          </w:tcPr>
          <w:p>
            <w:pPr>
              <w:jc w:val="center"/>
              <w:ind w:right="1742"/>
              <w:spacing w:after="0"/>
              <w:rPr>
                <w:sz w:val="20"/>
                <w:szCs w:val="20"/>
                <w:color w:val="auto"/>
              </w:rPr>
            </w:pPr>
            <w:r>
              <w:rPr>
                <w:rFonts w:ascii="Arial" w:cs="Arial" w:eastAsia="Arial" w:hAnsi="Arial"/>
                <w:sz w:val="14"/>
                <w:szCs w:val="14"/>
                <w:color w:val="auto"/>
              </w:rPr>
              <w:t>Identification Number)</w:t>
            </w:r>
          </w:p>
        </w:tc>
      </w:tr>
      <w:tr>
        <w:trPr>
          <w:trHeight w:val="398"/>
        </w:trPr>
        <w:tc>
          <w:tcPr>
            <w:tcW w:w="4500" w:type="dxa"/>
            <w:vAlign w:val="bottom"/>
          </w:tcPr>
          <w:p>
            <w:pPr>
              <w:jc w:val="center"/>
              <w:ind w:left="1040"/>
              <w:spacing w:after="0"/>
              <w:rPr>
                <w:sz w:val="20"/>
                <w:szCs w:val="20"/>
                <w:color w:val="auto"/>
              </w:rPr>
            </w:pPr>
            <w:r>
              <w:rPr>
                <w:rFonts w:ascii="Arial" w:cs="Arial" w:eastAsia="Arial" w:hAnsi="Arial"/>
                <w:sz w:val="18"/>
                <w:szCs w:val="18"/>
                <w:b w:val="1"/>
                <w:bCs w:val="1"/>
                <w:color w:val="auto"/>
                <w:w w:val="99"/>
              </w:rPr>
              <w:t>One Allison Way</w:t>
            </w: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70"/>
        </w:trPr>
        <w:tc>
          <w:tcPr>
            <w:tcW w:w="4500" w:type="dxa"/>
            <w:vAlign w:val="bottom"/>
          </w:tcPr>
          <w:p>
            <w:pPr>
              <w:ind w:left="2120"/>
              <w:spacing w:after="0"/>
              <w:rPr>
                <w:sz w:val="20"/>
                <w:szCs w:val="20"/>
                <w:color w:val="auto"/>
              </w:rPr>
            </w:pPr>
            <w:r>
              <w:rPr>
                <w:rFonts w:ascii="Arial" w:cs="Arial" w:eastAsia="Arial" w:hAnsi="Arial"/>
                <w:sz w:val="18"/>
                <w:szCs w:val="18"/>
                <w:b w:val="1"/>
                <w:bCs w:val="1"/>
                <w:color w:val="auto"/>
              </w:rPr>
              <w:t>Indianapolis, IN</w:t>
            </w:r>
          </w:p>
        </w:tc>
        <w:tc>
          <w:tcPr>
            <w:tcW w:w="1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0" w:type="dxa"/>
            <w:vAlign w:val="bottom"/>
          </w:tcPr>
          <w:p>
            <w:pPr>
              <w:jc w:val="right"/>
              <w:ind w:right="2482"/>
              <w:spacing w:after="0"/>
              <w:rPr>
                <w:sz w:val="20"/>
                <w:szCs w:val="20"/>
                <w:color w:val="auto"/>
              </w:rPr>
            </w:pPr>
            <w:r>
              <w:rPr>
                <w:rFonts w:ascii="Arial" w:cs="Arial" w:eastAsia="Arial" w:hAnsi="Arial"/>
                <w:sz w:val="18"/>
                <w:szCs w:val="18"/>
                <w:b w:val="1"/>
                <w:bCs w:val="1"/>
                <w:color w:val="auto"/>
              </w:rPr>
              <w:t>46222</w:t>
            </w:r>
          </w:p>
        </w:tc>
      </w:tr>
      <w:tr>
        <w:trPr>
          <w:trHeight w:val="223"/>
        </w:trPr>
        <w:tc>
          <w:tcPr>
            <w:tcW w:w="4500" w:type="dxa"/>
            <w:vAlign w:val="bottom"/>
          </w:tcPr>
          <w:p>
            <w:pPr>
              <w:jc w:val="center"/>
              <w:ind w:left="1040"/>
              <w:spacing w:after="0"/>
              <w:rPr>
                <w:sz w:val="20"/>
                <w:szCs w:val="20"/>
                <w:color w:val="auto"/>
              </w:rPr>
            </w:pPr>
            <w:r>
              <w:rPr>
                <w:rFonts w:ascii="Arial" w:cs="Arial" w:eastAsia="Arial" w:hAnsi="Arial"/>
                <w:sz w:val="14"/>
                <w:szCs w:val="14"/>
                <w:color w:val="auto"/>
              </w:rPr>
              <w:t>(Address of principal executive offices)</w:t>
            </w: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0" w:type="dxa"/>
            <w:vAlign w:val="bottom"/>
          </w:tcPr>
          <w:p>
            <w:pPr>
              <w:jc w:val="center"/>
              <w:ind w:right="1722"/>
              <w:spacing w:after="0"/>
              <w:rPr>
                <w:sz w:val="20"/>
                <w:szCs w:val="20"/>
                <w:color w:val="auto"/>
              </w:rPr>
            </w:pPr>
            <w:r>
              <w:rPr>
                <w:rFonts w:ascii="Arial" w:cs="Arial" w:eastAsia="Arial" w:hAnsi="Arial"/>
                <w:sz w:val="14"/>
                <w:szCs w:val="14"/>
                <w:color w:val="auto"/>
              </w:rPr>
              <w:t>(Zip Code)</w:t>
            </w:r>
          </w:p>
        </w:tc>
      </w:tr>
      <w:tr>
        <w:trPr>
          <w:trHeight w:val="304"/>
        </w:trPr>
        <w:tc>
          <w:tcPr>
            <w:tcW w:w="4500" w:type="dxa"/>
            <w:vAlign w:val="bottom"/>
          </w:tcPr>
          <w:p>
            <w:pPr>
              <w:spacing w:after="0"/>
              <w:rPr>
                <w:sz w:val="24"/>
                <w:szCs w:val="24"/>
                <w:color w:val="auto"/>
              </w:rPr>
            </w:pPr>
          </w:p>
        </w:tc>
        <w:tc>
          <w:tcPr>
            <w:tcW w:w="2500" w:type="dxa"/>
            <w:vAlign w:val="bottom"/>
            <w:gridSpan w:val="2"/>
          </w:tcPr>
          <w:p>
            <w:pPr>
              <w:jc w:val="center"/>
              <w:ind w:right="184"/>
              <w:spacing w:after="0"/>
              <w:rPr>
                <w:sz w:val="20"/>
                <w:szCs w:val="20"/>
                <w:color w:val="auto"/>
              </w:rPr>
            </w:pPr>
            <w:r>
              <w:rPr>
                <w:rFonts w:ascii="Arial" w:cs="Arial" w:eastAsia="Arial" w:hAnsi="Arial"/>
                <w:sz w:val="18"/>
                <w:szCs w:val="18"/>
                <w:b w:val="1"/>
                <w:bCs w:val="1"/>
                <w:color w:val="auto"/>
              </w:rPr>
              <w:t>(317) 242-5000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96"/>
        </w:trPr>
        <w:tc>
          <w:tcPr>
            <w:tcW w:w="7440" w:type="dxa"/>
            <w:vAlign w:val="bottom"/>
            <w:gridSpan w:val="5"/>
          </w:tcPr>
          <w:p>
            <w:pPr>
              <w:jc w:val="center"/>
              <w:ind w:left="3740"/>
              <w:spacing w:after="0"/>
              <w:rPr>
                <w:sz w:val="20"/>
                <w:szCs w:val="20"/>
                <w:color w:val="auto"/>
              </w:rPr>
            </w:pPr>
            <w:r>
              <w:rPr>
                <w:rFonts w:ascii="Arial" w:cs="Arial" w:eastAsia="Arial" w:hAnsi="Arial"/>
                <w:sz w:val="14"/>
                <w:szCs w:val="14"/>
                <w:color w:val="auto"/>
              </w:rPr>
              <w:t>(Registrant’s telephone number, including area code)</w:t>
            </w:r>
          </w:p>
        </w:tc>
        <w:tc>
          <w:tcPr>
            <w:tcW w:w="3800" w:type="dxa"/>
            <w:vAlign w:val="bottom"/>
          </w:tcPr>
          <w:p>
            <w:pPr>
              <w:spacing w:after="0"/>
              <w:rPr>
                <w:sz w:val="17"/>
                <w:szCs w:val="17"/>
                <w:color w:val="auto"/>
              </w:rPr>
            </w:pPr>
          </w:p>
        </w:tc>
      </w:tr>
      <w:tr>
        <w:trPr>
          <w:trHeight w:val="272"/>
        </w:trPr>
        <w:tc>
          <w:tcPr>
            <w:tcW w:w="11240" w:type="dxa"/>
            <w:vAlign w:val="bottom"/>
            <w:gridSpan w:val="6"/>
          </w:tcPr>
          <w:p>
            <w:pPr>
              <w:jc w:val="center"/>
              <w:spacing w:after="0"/>
              <w:rPr>
                <w:sz w:val="20"/>
                <w:szCs w:val="20"/>
                <w:color w:val="auto"/>
              </w:rPr>
            </w:pPr>
            <w:r>
              <w:rPr>
                <w:rFonts w:ascii="Arial" w:cs="Arial" w:eastAsia="Arial" w:hAnsi="Arial"/>
                <w:sz w:val="18"/>
                <w:szCs w:val="18"/>
                <w:color w:val="auto"/>
                <w:w w:val="99"/>
              </w:rPr>
              <w:t>Securities registered pursuant to Section 12(b) of the Act:</w:t>
            </w:r>
          </w:p>
        </w:tc>
      </w:tr>
      <w:tr>
        <w:trPr>
          <w:trHeight w:val="18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Title of each class</w:t>
            </w:r>
          </w:p>
        </w:tc>
        <w:tc>
          <w:tcPr>
            <w:tcW w:w="12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tcPr>
          <w:p>
            <w:pPr>
              <w:jc w:val="center"/>
              <w:ind w:right="262"/>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11"/>
        </w:trPr>
        <w:tc>
          <w:tcPr>
            <w:tcW w:w="4500" w:type="dxa"/>
            <w:vAlign w:val="bottom"/>
          </w:tcPr>
          <w:p>
            <w:pPr>
              <w:jc w:val="center"/>
              <w:spacing w:after="0"/>
              <w:rPr>
                <w:sz w:val="20"/>
                <w:szCs w:val="20"/>
                <w:color w:val="auto"/>
              </w:rPr>
            </w:pPr>
            <w:r>
              <w:rPr>
                <w:rFonts w:ascii="Arial" w:cs="Arial" w:eastAsia="Arial" w:hAnsi="Arial"/>
                <w:sz w:val="15"/>
                <w:szCs w:val="15"/>
                <w:b w:val="1"/>
                <w:bCs w:val="1"/>
                <w:color w:val="auto"/>
              </w:rPr>
              <w:t>Common Stock, $0.01 par value</w:t>
            </w:r>
          </w:p>
        </w:tc>
        <w:tc>
          <w:tcPr>
            <w:tcW w:w="120" w:type="dxa"/>
            <w:vAlign w:val="bottom"/>
          </w:tcPr>
          <w:p>
            <w:pPr>
              <w:spacing w:after="0"/>
              <w:rPr>
                <w:sz w:val="18"/>
                <w:szCs w:val="18"/>
                <w:color w:val="auto"/>
              </w:rPr>
            </w:pPr>
          </w:p>
        </w:tc>
        <w:tc>
          <w:tcPr>
            <w:tcW w:w="2820" w:type="dxa"/>
            <w:vAlign w:val="bottom"/>
            <w:gridSpan w:val="3"/>
          </w:tcPr>
          <w:p>
            <w:pPr>
              <w:jc w:val="center"/>
              <w:ind w:right="440"/>
              <w:spacing w:after="0"/>
              <w:rPr>
                <w:sz w:val="20"/>
                <w:szCs w:val="20"/>
                <w:color w:val="auto"/>
              </w:rPr>
            </w:pPr>
            <w:r>
              <w:rPr>
                <w:rFonts w:ascii="Arial" w:cs="Arial" w:eastAsia="Arial" w:hAnsi="Arial"/>
                <w:sz w:val="15"/>
                <w:szCs w:val="15"/>
                <w:b w:val="1"/>
                <w:bCs w:val="1"/>
                <w:color w:val="auto"/>
              </w:rPr>
              <w:t>ALSN</w:t>
            </w:r>
          </w:p>
        </w:tc>
        <w:tc>
          <w:tcPr>
            <w:tcW w:w="3800" w:type="dxa"/>
            <w:vAlign w:val="bottom"/>
          </w:tcPr>
          <w:p>
            <w:pPr>
              <w:jc w:val="center"/>
              <w:ind w:right="242"/>
              <w:spacing w:after="0"/>
              <w:rPr>
                <w:sz w:val="20"/>
                <w:szCs w:val="20"/>
                <w:color w:val="auto"/>
              </w:rPr>
            </w:pPr>
            <w:r>
              <w:rPr>
                <w:rFonts w:ascii="Arial" w:cs="Arial" w:eastAsia="Arial" w:hAnsi="Arial"/>
                <w:sz w:val="15"/>
                <w:szCs w:val="15"/>
                <w:b w:val="1"/>
                <w:bCs w:val="1"/>
                <w:color w:val="auto"/>
              </w:rPr>
              <w:t>New York Stock Exchange</w:t>
            </w:r>
          </w:p>
        </w:tc>
      </w:tr>
    </w:tbl>
    <w:p>
      <w:pPr>
        <w:spacing w:after="0" w:line="87"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 w:lineRule="exact"/>
        <w:rPr>
          <w:sz w:val="24"/>
          <w:szCs w:val="24"/>
          <w:color w:val="auto"/>
        </w:rPr>
      </w:pPr>
    </w:p>
    <w:p>
      <w:pPr>
        <w:ind w:right="26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 w:lineRule="exact"/>
        <w:rPr>
          <w:sz w:val="24"/>
          <w:szCs w:val="24"/>
          <w:color w:val="auto"/>
        </w:rPr>
      </w:pPr>
    </w:p>
    <w:p>
      <w:pPr>
        <w:ind w:right="20"/>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16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2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20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720"/>
        <w:spacing w:after="0" w:line="25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April 18, 2025, there were 84,254,786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20" w:type="dxa"/>
            <w:vAlign w:val="bottom"/>
            <w:gridSpan w:val="10"/>
          </w:tcPr>
          <w:p>
            <w:pPr>
              <w:jc w:val="center"/>
              <w:ind w:right="3320"/>
              <w:spacing w:after="0"/>
              <w:rPr>
                <w:sz w:val="20"/>
                <w:szCs w:val="20"/>
                <w:color w:val="auto"/>
              </w:rPr>
            </w:pPr>
            <w:r>
              <w:rPr>
                <w:rFonts w:ascii="Arial" w:cs="Arial" w:eastAsia="Arial" w:hAnsi="Arial"/>
                <w:sz w:val="18"/>
                <w:szCs w:val="18"/>
                <w:b w:val="1"/>
                <w:bCs w:val="1"/>
                <w:color w:val="auto"/>
                <w:w w:val="99"/>
              </w:rPr>
              <w:t>TABLE OF CONTENTS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2"/>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80" w:type="dxa"/>
            <w:vAlign w:val="bottom"/>
            <w:gridSpan w:val="9"/>
            <w:vMerge w:val="restart"/>
          </w:tcPr>
          <w:p>
            <w:pPr>
              <w:jc w:val="center"/>
              <w:spacing w:after="0"/>
              <w:rPr>
                <w:sz w:val="20"/>
                <w:szCs w:val="20"/>
                <w:color w:val="auto"/>
              </w:rPr>
            </w:pPr>
            <w:r>
              <w:rPr>
                <w:rFonts w:ascii="Arial" w:cs="Arial" w:eastAsia="Arial" w:hAnsi="Arial"/>
                <w:sz w:val="18"/>
                <w:szCs w:val="18"/>
                <w:b w:val="1"/>
                <w:bCs w:val="1"/>
                <w:color w:val="0000FF"/>
                <w:w w:val="99"/>
              </w:rPr>
              <w:t>PART I. FINANCIAL INFORMATION</w:t>
            </w:r>
          </w:p>
        </w:tc>
        <w:tc>
          <w:tcPr>
            <w:tcW w:w="3200" w:type="dxa"/>
            <w:vAlign w:val="bottom"/>
            <w:gridSpan w:val="2"/>
            <w:vMerge w:val="restart"/>
          </w:tcPr>
          <w:p>
            <w:pPr>
              <w:spacing w:after="0"/>
              <w:rPr>
                <w:sz w:val="24"/>
                <w:szCs w:val="24"/>
                <w:color w:val="auto"/>
              </w:rPr>
            </w:pPr>
          </w:p>
        </w:tc>
        <w:tc>
          <w:tcPr>
            <w:tcW w:w="94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980" w:type="dxa"/>
            <w:vAlign w:val="bottom"/>
            <w:tcBorders>
              <w:bottom w:val="single" w:sz="8" w:color="0000FF"/>
            </w:tcBorders>
            <w:gridSpan w:val="9"/>
            <w:vMerge w:val="continue"/>
          </w:tcPr>
          <w:p>
            <w:pPr>
              <w:spacing w:after="0"/>
              <w:rPr>
                <w:sz w:val="14"/>
                <w:szCs w:val="14"/>
                <w:color w:val="auto"/>
              </w:rPr>
            </w:pPr>
          </w:p>
        </w:tc>
        <w:tc>
          <w:tcPr>
            <w:tcW w:w="32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FF"/>
                <w:w w:val="94"/>
              </w:rPr>
              <w:t>Item 1.</w:t>
            </w:r>
          </w:p>
        </w:tc>
        <w:tc>
          <w:tcPr>
            <w:tcW w:w="420" w:type="dxa"/>
            <w:vAlign w:val="bottom"/>
            <w:gridSpan w:val="2"/>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Financial Statements</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Comprehensive Income</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60" w:type="dxa"/>
            <w:vAlign w:val="bottom"/>
            <w:gridSpan w:val="12"/>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2260" w:type="dxa"/>
            <w:vAlign w:val="bottom"/>
          </w:tcPr>
          <w:p>
            <w:pPr>
              <w:spacing w:after="0"/>
              <w:rPr>
                <w:sz w:val="24"/>
                <w:szCs w:val="24"/>
                <w:color w:val="auto"/>
              </w:rPr>
            </w:pP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7</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gridSpan w:val="2"/>
          </w:tcPr>
          <w:p>
            <w:pPr>
              <w:spacing w:after="0" w:line="20" w:lineRule="exact"/>
              <w:rPr>
                <w:sz w:val="1"/>
                <w:szCs w:val="1"/>
                <w:color w:val="auto"/>
              </w:rPr>
            </w:pPr>
          </w:p>
        </w:tc>
        <w:tc>
          <w:tcPr>
            <w:tcW w:w="1340" w:type="dxa"/>
            <w:vAlign w:val="bottom"/>
            <w:tcBorders>
              <w:top w:val="single" w:sz="8" w:color="0000FF"/>
            </w:tcBorders>
            <w:gridSpan w:val="2"/>
          </w:tcPr>
          <w:p>
            <w:pPr>
              <w:spacing w:after="0" w:line="20" w:lineRule="exact"/>
              <w:rPr>
                <w:sz w:val="1"/>
                <w:szCs w:val="1"/>
                <w:color w:val="auto"/>
              </w:rPr>
            </w:pPr>
          </w:p>
        </w:tc>
        <w:tc>
          <w:tcPr>
            <w:tcW w:w="1140" w:type="dxa"/>
            <w:vAlign w:val="bottom"/>
            <w:tcBorders>
              <w:top w:val="single" w:sz="8" w:color="0000FF"/>
            </w:tcBorders>
            <w:gridSpan w:val="2"/>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60" w:type="dxa"/>
            <w:vAlign w:val="bottom"/>
          </w:tcPr>
          <w:p>
            <w:pPr>
              <w:spacing w:after="0"/>
              <w:rPr>
                <w:sz w:val="20"/>
                <w:szCs w:val="20"/>
                <w:color w:val="auto"/>
              </w:rPr>
            </w:pPr>
            <w:r>
              <w:rPr>
                <w:rFonts w:ascii="Arial" w:cs="Arial" w:eastAsia="Arial" w:hAnsi="Arial"/>
                <w:sz w:val="18"/>
                <w:szCs w:val="18"/>
                <w:color w:val="0000FF"/>
                <w:w w:val="94"/>
              </w:rPr>
              <w:t>Item 2.</w:t>
            </w:r>
          </w:p>
        </w:tc>
        <w:tc>
          <w:tcPr>
            <w:tcW w:w="420" w:type="dxa"/>
            <w:vAlign w:val="bottom"/>
            <w:gridSpan w:val="2"/>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22</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FF"/>
                <w:w w:val="94"/>
              </w:rPr>
              <w:t>Item 3.</w:t>
            </w:r>
          </w:p>
        </w:tc>
        <w:tc>
          <w:tcPr>
            <w:tcW w:w="420" w:type="dxa"/>
            <w:vAlign w:val="bottom"/>
            <w:gridSpan w:val="2"/>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33</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4"/>
              </w:rPr>
              <w:t>Item 4.</w:t>
            </w:r>
          </w:p>
        </w:tc>
        <w:tc>
          <w:tcPr>
            <w:tcW w:w="120" w:type="dxa"/>
            <w:vAlign w:val="bottom"/>
            <w:vMerge w:val="restart"/>
          </w:tcPr>
          <w:p>
            <w:pPr>
              <w:spacing w:after="0"/>
              <w:rPr>
                <w:sz w:val="24"/>
                <w:szCs w:val="24"/>
                <w:color w:val="auto"/>
              </w:rPr>
            </w:pPr>
          </w:p>
        </w:tc>
        <w:tc>
          <w:tcPr>
            <w:tcW w:w="300" w:type="dxa"/>
            <w:vAlign w:val="bottom"/>
            <w:vMerge w:val="restart"/>
          </w:tcPr>
          <w:p>
            <w:pPr>
              <w:spacing w:after="0"/>
              <w:rPr>
                <w:sz w:val="24"/>
                <w:szCs w:val="24"/>
                <w:color w:val="auto"/>
              </w:rPr>
            </w:pPr>
          </w:p>
        </w:tc>
        <w:tc>
          <w:tcPr>
            <w:tcW w:w="19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7"/>
              </w:rPr>
              <w:t>Controls and Procedures</w:t>
            </w:r>
          </w:p>
        </w:tc>
        <w:tc>
          <w:tcPr>
            <w:tcW w:w="1340" w:type="dxa"/>
            <w:vAlign w:val="bottom"/>
            <w:gridSpan w:val="2"/>
            <w:vMerge w:val="restart"/>
          </w:tcPr>
          <w:p>
            <w:pPr>
              <w:spacing w:after="0"/>
              <w:rPr>
                <w:sz w:val="24"/>
                <w:szCs w:val="24"/>
                <w:color w:val="auto"/>
              </w:rPr>
            </w:pPr>
          </w:p>
        </w:tc>
        <w:tc>
          <w:tcPr>
            <w:tcW w:w="1380" w:type="dxa"/>
            <w:vAlign w:val="bottom"/>
            <w:gridSpan w:val="4"/>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140" w:type="dxa"/>
            <w:vAlign w:val="bottom"/>
            <w:gridSpan w:val="2"/>
            <w:vMerge w:val="restart"/>
          </w:tcPr>
          <w:p>
            <w:pPr>
              <w:spacing w:after="0"/>
              <w:rPr>
                <w:sz w:val="24"/>
                <w:szCs w:val="24"/>
                <w:color w:val="auto"/>
              </w:rPr>
            </w:pPr>
          </w:p>
        </w:tc>
        <w:tc>
          <w:tcPr>
            <w:tcW w:w="3360" w:type="dxa"/>
            <w:vAlign w:val="bottom"/>
            <w:gridSpan w:val="3"/>
            <w:vMerge w:val="restart"/>
          </w:tcPr>
          <w:p>
            <w:pPr>
              <w:spacing w:after="0"/>
              <w:rPr>
                <w:sz w:val="24"/>
                <w:szCs w:val="24"/>
                <w:color w:val="auto"/>
              </w:rPr>
            </w:pPr>
          </w:p>
        </w:tc>
        <w:tc>
          <w:tcPr>
            <w:tcW w:w="9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9"/>
              </w:rPr>
              <w:t>34</w:t>
            </w:r>
          </w:p>
        </w:tc>
        <w:tc>
          <w:tcPr>
            <w:tcW w:w="0" w:type="dxa"/>
            <w:vAlign w:val="bottom"/>
          </w:tcPr>
          <w:p>
            <w:pPr>
              <w:spacing w:after="0"/>
              <w:rPr>
                <w:sz w:val="1"/>
                <w:szCs w:val="1"/>
                <w:color w:val="auto"/>
              </w:rPr>
            </w:pPr>
          </w:p>
        </w:tc>
      </w:tr>
      <w:tr>
        <w:trPr>
          <w:trHeight w:val="34"/>
        </w:trPr>
        <w:tc>
          <w:tcPr>
            <w:tcW w:w="56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336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180" w:type="dxa"/>
            <w:vAlign w:val="bottom"/>
            <w:gridSpan w:val="11"/>
          </w:tcPr>
          <w:p>
            <w:pPr>
              <w:jc w:val="center"/>
              <w:ind w:right="3220"/>
              <w:spacing w:after="0"/>
              <w:rPr>
                <w:sz w:val="20"/>
                <w:szCs w:val="20"/>
                <w:color w:val="auto"/>
              </w:rPr>
            </w:pPr>
            <w:r>
              <w:rPr>
                <w:rFonts w:ascii="Arial" w:cs="Arial" w:eastAsia="Arial" w:hAnsi="Arial"/>
                <w:sz w:val="18"/>
                <w:szCs w:val="18"/>
                <w:b w:val="1"/>
                <w:bCs w:val="1"/>
                <w:color w:val="0000FF"/>
                <w:w w:val="99"/>
              </w:rPr>
              <w:t>PART II. OTHER INFORMATION</w:t>
            </w:r>
          </w:p>
        </w:tc>
        <w:tc>
          <w:tcPr>
            <w:tcW w:w="4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FF"/>
                <w:w w:val="94"/>
              </w:rPr>
              <w:t>Item 1.</w:t>
            </w:r>
          </w:p>
        </w:tc>
        <w:tc>
          <w:tcPr>
            <w:tcW w:w="420" w:type="dxa"/>
            <w:vAlign w:val="bottom"/>
            <w:gridSpan w:val="2"/>
          </w:tcPr>
          <w:p>
            <w:pPr>
              <w:spacing w:after="0"/>
              <w:rPr>
                <w:sz w:val="24"/>
                <w:szCs w:val="24"/>
                <w:color w:val="auto"/>
              </w:rPr>
            </w:pPr>
          </w:p>
        </w:tc>
        <w:tc>
          <w:tcPr>
            <w:tcW w:w="3300" w:type="dxa"/>
            <w:vAlign w:val="bottom"/>
            <w:gridSpan w:val="9"/>
          </w:tcPr>
          <w:p>
            <w:pPr>
              <w:spacing w:after="0"/>
              <w:rPr>
                <w:sz w:val="20"/>
                <w:szCs w:val="20"/>
                <w:color w:val="auto"/>
              </w:rPr>
            </w:pPr>
            <w:r>
              <w:rPr>
                <w:rFonts w:ascii="Arial" w:cs="Arial" w:eastAsia="Arial" w:hAnsi="Arial"/>
                <w:sz w:val="18"/>
                <w:szCs w:val="18"/>
                <w:color w:val="0000FF"/>
              </w:rPr>
              <w:t>Legal Proceedings</w:t>
            </w:r>
          </w:p>
        </w:tc>
        <w:tc>
          <w:tcPr>
            <w:tcW w:w="2660" w:type="dxa"/>
            <w:vAlign w:val="bottom"/>
            <w:tcBorders>
              <w:top w:val="single" w:sz="8" w:color="0000FF"/>
            </w:tcBorders>
            <w:gridSpan w:val="7"/>
          </w:tcPr>
          <w:p>
            <w:pPr>
              <w:spacing w:after="0"/>
              <w:rPr>
                <w:sz w:val="24"/>
                <w:szCs w:val="24"/>
                <w:color w:val="auto"/>
              </w:rPr>
            </w:pPr>
          </w:p>
        </w:tc>
        <w:tc>
          <w:tcPr>
            <w:tcW w:w="3360" w:type="dxa"/>
            <w:vAlign w:val="bottom"/>
            <w:gridSpan w:val="3"/>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35</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60" w:type="dxa"/>
            <w:vAlign w:val="bottom"/>
            <w:gridSpan w:val="9"/>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80" w:type="dxa"/>
            <w:vAlign w:val="bottom"/>
            <w:gridSpan w:val="2"/>
          </w:tcPr>
          <w:p>
            <w:pPr>
              <w:spacing w:after="0"/>
              <w:rPr>
                <w:sz w:val="20"/>
                <w:szCs w:val="20"/>
                <w:color w:val="auto"/>
              </w:rPr>
            </w:pPr>
            <w:r>
              <w:rPr>
                <w:rFonts w:ascii="Arial" w:cs="Arial" w:eastAsia="Arial" w:hAnsi="Arial"/>
                <w:sz w:val="18"/>
                <w:szCs w:val="18"/>
                <w:color w:val="0000FF"/>
                <w:w w:val="98"/>
              </w:rPr>
              <w:t>Item 1A.</w:t>
            </w: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35</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FF"/>
                <w:w w:val="94"/>
              </w:rPr>
              <w:t>Item 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35</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440" w:type="dxa"/>
            <w:vAlign w:val="bottom"/>
            <w:gridSpan w:val="10"/>
            <w:shd w:val="clear" w:color="auto" w:fill="0000FF"/>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FF"/>
                <w:w w:val="94"/>
              </w:rPr>
              <w:t>Item 5.</w:t>
            </w:r>
          </w:p>
        </w:tc>
        <w:tc>
          <w:tcPr>
            <w:tcW w:w="420" w:type="dxa"/>
            <w:vAlign w:val="bottom"/>
            <w:gridSpan w:val="2"/>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36</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940" w:type="dxa"/>
            <w:vAlign w:val="bottom"/>
            <w:gridSpan w:val="1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FF"/>
                <w:w w:val="94"/>
              </w:rPr>
              <w:t>Item 6.</w:t>
            </w:r>
          </w:p>
        </w:tc>
        <w:tc>
          <w:tcPr>
            <w:tcW w:w="420" w:type="dxa"/>
            <w:vAlign w:val="bottom"/>
            <w:gridSpan w:val="2"/>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37</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60" w:type="dxa"/>
            <w:vAlign w:val="bottom"/>
            <w:gridSpan w:val="1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dollars in millions,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33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80" w:type="dxa"/>
            <w:vAlign w:val="bottom"/>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2024</w:t>
            </w:r>
          </w:p>
        </w:tc>
      </w:tr>
      <w:tr>
        <w:trPr>
          <w:trHeight w:val="196"/>
        </w:trPr>
        <w:tc>
          <w:tcPr>
            <w:tcW w:w="76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CFF0FC"/>
          </w:tcPr>
          <w:p>
            <w:pPr>
              <w:jc w:val="right"/>
              <w:ind w:right="956"/>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753</w:t>
            </w:r>
          </w:p>
        </w:tc>
        <w:tc>
          <w:tcPr>
            <w:tcW w:w="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781</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 net of allowance for doubtful accounts of $2 and $1, respectively</w:t>
            </w:r>
          </w:p>
        </w:tc>
        <w:tc>
          <w:tcPr>
            <w:tcW w:w="1140" w:type="dxa"/>
            <w:vAlign w:val="bottom"/>
          </w:tcPr>
          <w:p>
            <w:pPr>
              <w:spacing w:after="0"/>
              <w:rPr>
                <w:sz w:val="17"/>
                <w:szCs w:val="17"/>
                <w:color w:val="auto"/>
              </w:rPr>
            </w:pPr>
          </w:p>
        </w:tc>
        <w:tc>
          <w:tcPr>
            <w:tcW w:w="5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381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360</w:t>
            </w: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Inventories</w:t>
            </w: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349</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315</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1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82</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82</w:t>
            </w:r>
          </w:p>
        </w:tc>
      </w:tr>
      <w:tr>
        <w:trPr>
          <w:trHeight w:val="196"/>
        </w:trPr>
        <w:tc>
          <w:tcPr>
            <w:tcW w:w="7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Assets</w:t>
            </w: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97"/>
              </w:rPr>
              <w:t>1,565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1,538</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1140" w:type="dxa"/>
            <w:vAlign w:val="bottom"/>
          </w:tcPr>
          <w:p>
            <w:pPr>
              <w:spacing w:after="0"/>
              <w:rPr>
                <w:sz w:val="17"/>
                <w:szCs w:val="17"/>
                <w:color w:val="auto"/>
              </w:rPr>
            </w:pPr>
          </w:p>
        </w:tc>
        <w:tc>
          <w:tcPr>
            <w:tcW w:w="5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w:t>
            </w:r>
          </w:p>
        </w:tc>
      </w:tr>
      <w:tr>
        <w:trPr>
          <w:trHeight w:val="203"/>
        </w:trPr>
        <w:tc>
          <w:tcPr>
            <w:tcW w:w="7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802</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803</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1140" w:type="dxa"/>
            <w:vAlign w:val="bottom"/>
          </w:tcPr>
          <w:p>
            <w:pPr>
              <w:spacing w:after="0"/>
              <w:rPr>
                <w:sz w:val="17"/>
                <w:szCs w:val="17"/>
                <w:color w:val="auto"/>
              </w:rPr>
            </w:pPr>
          </w:p>
        </w:tc>
        <w:tc>
          <w:tcPr>
            <w:tcW w:w="5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820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822</w:t>
            </w:r>
          </w:p>
        </w:tc>
      </w:tr>
      <w:tr>
        <w:trPr>
          <w:trHeight w:val="203"/>
        </w:trPr>
        <w:tc>
          <w:tcPr>
            <w:tcW w:w="7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w w:val="97"/>
              </w:rPr>
              <w:t>2,075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2,075</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89</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87</w:t>
            </w:r>
          </w:p>
        </w:tc>
      </w:tr>
      <w:tr>
        <w:trPr>
          <w:trHeight w:val="236"/>
        </w:trPr>
        <w:tc>
          <w:tcPr>
            <w:tcW w:w="7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1140" w:type="dxa"/>
            <w:vAlign w:val="bottom"/>
            <w:shd w:val="clear" w:color="auto" w:fill="CFF0FC"/>
          </w:tcPr>
          <w:p>
            <w:pPr>
              <w:jc w:val="right"/>
              <w:ind w:right="956"/>
              <w:spacing w:after="0" w:line="196"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97"/>
              </w:rPr>
              <w:t>5,366</w:t>
            </w:r>
          </w:p>
        </w:tc>
        <w:tc>
          <w:tcPr>
            <w:tcW w:w="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5,336</w:t>
            </w:r>
          </w:p>
        </w:tc>
      </w:tr>
      <w:tr>
        <w:trPr>
          <w:trHeight w:val="183"/>
        </w:trPr>
        <w:tc>
          <w:tcPr>
            <w:tcW w:w="768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LIABILITIES</w:t>
            </w:r>
          </w:p>
        </w:tc>
        <w:tc>
          <w:tcPr>
            <w:tcW w:w="1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r>
      <w:tr>
        <w:trPr>
          <w:trHeight w:val="203"/>
        </w:trPr>
        <w:tc>
          <w:tcPr>
            <w:tcW w:w="7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140" w:type="dxa"/>
            <w:vAlign w:val="bottom"/>
          </w:tcPr>
          <w:p>
            <w:pPr>
              <w:jc w:val="right"/>
              <w:ind w:right="956"/>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241</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212</w:t>
            </w: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Product warranty liability</w:t>
            </w: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32</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31</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long-term debt</w:t>
            </w:r>
          </w:p>
        </w:tc>
        <w:tc>
          <w:tcPr>
            <w:tcW w:w="1140" w:type="dxa"/>
            <w:vAlign w:val="bottom"/>
          </w:tcPr>
          <w:p>
            <w:pPr>
              <w:spacing w:after="0"/>
              <w:rPr>
                <w:sz w:val="17"/>
                <w:szCs w:val="17"/>
                <w:color w:val="auto"/>
              </w:rPr>
            </w:pPr>
          </w:p>
        </w:tc>
        <w:tc>
          <w:tcPr>
            <w:tcW w:w="5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w:t>
            </w: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37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41</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1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198</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217</w:t>
            </w:r>
          </w:p>
        </w:tc>
      </w:tr>
      <w:tr>
        <w:trPr>
          <w:trHeight w:val="196"/>
        </w:trPr>
        <w:tc>
          <w:tcPr>
            <w:tcW w:w="7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Liabilities</w:t>
            </w: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513</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506</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Product warranty liability</w:t>
            </w:r>
          </w:p>
        </w:tc>
        <w:tc>
          <w:tcPr>
            <w:tcW w:w="1140" w:type="dxa"/>
            <w:vAlign w:val="bottom"/>
          </w:tcPr>
          <w:p>
            <w:pPr>
              <w:spacing w:after="0"/>
              <w:rPr>
                <w:sz w:val="17"/>
                <w:szCs w:val="17"/>
                <w:color w:val="auto"/>
              </w:rPr>
            </w:pPr>
          </w:p>
        </w:tc>
        <w:tc>
          <w:tcPr>
            <w:tcW w:w="5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36</w:t>
            </w:r>
          </w:p>
        </w:tc>
      </w:tr>
      <w:tr>
        <w:trPr>
          <w:trHeight w:val="203"/>
        </w:trPr>
        <w:tc>
          <w:tcPr>
            <w:tcW w:w="7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revenue</w:t>
            </w: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99</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95</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140" w:type="dxa"/>
            <w:vAlign w:val="bottom"/>
          </w:tcPr>
          <w:p>
            <w:pPr>
              <w:spacing w:after="0"/>
              <w:rPr>
                <w:sz w:val="17"/>
                <w:szCs w:val="17"/>
                <w:color w:val="auto"/>
              </w:rPr>
            </w:pPr>
          </w:p>
        </w:tc>
        <w:tc>
          <w:tcPr>
            <w:tcW w:w="5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97"/>
              </w:rPr>
              <w:t>2,395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2,395</w:t>
            </w:r>
          </w:p>
        </w:tc>
      </w:tr>
      <w:tr>
        <w:trPr>
          <w:trHeight w:val="203"/>
        </w:trPr>
        <w:tc>
          <w:tcPr>
            <w:tcW w:w="7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498</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501</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155</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152</w:t>
            </w:r>
          </w:p>
        </w:tc>
      </w:tr>
      <w:tr>
        <w:trPr>
          <w:trHeight w:val="196"/>
        </w:trPr>
        <w:tc>
          <w:tcPr>
            <w:tcW w:w="7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w:t>
            </w: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97"/>
              </w:rPr>
              <w:t>3,701</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3,685</w:t>
            </w:r>
          </w:p>
        </w:tc>
      </w:tr>
      <w:tr>
        <w:trPr>
          <w:trHeight w:val="202"/>
        </w:trPr>
        <w:tc>
          <w:tcPr>
            <w:tcW w:w="768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(see Note P)</w:t>
            </w: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6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184"/>
        </w:trPr>
        <w:tc>
          <w:tcPr>
            <w:tcW w:w="7680" w:type="dxa"/>
            <w:vAlign w:val="bottom"/>
          </w:tcPr>
          <w:p>
            <w:pPr>
              <w:ind w:left="200"/>
              <w:spacing w:after="0" w:line="183" w:lineRule="exact"/>
              <w:rPr>
                <w:sz w:val="20"/>
                <w:szCs w:val="20"/>
                <w:color w:val="auto"/>
              </w:rPr>
            </w:pPr>
            <w:r>
              <w:rPr>
                <w:rFonts w:ascii="Arial" w:cs="Arial" w:eastAsia="Arial" w:hAnsi="Arial"/>
                <w:sz w:val="18"/>
                <w:szCs w:val="18"/>
                <w:color w:val="auto"/>
              </w:rPr>
              <w:t>Common stock, $0.01 par value, 1,880,000,000 shares authorized, 84,632,007 shares</w:t>
            </w: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21"/>
        </w:trPr>
        <w:tc>
          <w:tcPr>
            <w:tcW w:w="7680" w:type="dxa"/>
            <w:vAlign w:val="bottom"/>
          </w:tcPr>
          <w:p>
            <w:pPr>
              <w:ind w:left="200"/>
              <w:spacing w:after="0"/>
              <w:rPr>
                <w:sz w:val="20"/>
                <w:szCs w:val="20"/>
                <w:color w:val="auto"/>
              </w:rPr>
            </w:pPr>
            <w:r>
              <w:rPr>
                <w:rFonts w:ascii="Arial" w:cs="Arial" w:eastAsia="Arial" w:hAnsi="Arial"/>
                <w:sz w:val="18"/>
                <w:szCs w:val="18"/>
                <w:color w:val="auto"/>
              </w:rPr>
              <w:t>issued and outstanding and 85,776,801 shares issued and outstanding, respectively</w:t>
            </w:r>
          </w:p>
        </w:tc>
        <w:tc>
          <w:tcPr>
            <w:tcW w:w="11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184"/>
        </w:trPr>
        <w:tc>
          <w:tcPr>
            <w:tcW w:w="7680" w:type="dxa"/>
            <w:vAlign w:val="bottom"/>
            <w:shd w:val="clear" w:color="auto" w:fill="CFF0FC"/>
          </w:tcPr>
          <w:p>
            <w:pPr>
              <w:ind w:left="200"/>
              <w:spacing w:after="0" w:line="183" w:lineRule="exact"/>
              <w:rPr>
                <w:sz w:val="20"/>
                <w:szCs w:val="20"/>
                <w:color w:val="auto"/>
              </w:rPr>
            </w:pPr>
            <w:r>
              <w:rPr>
                <w:rFonts w:ascii="Arial" w:cs="Arial" w:eastAsia="Arial" w:hAnsi="Arial"/>
                <w:sz w:val="18"/>
                <w:szCs w:val="18"/>
                <w:color w:val="auto"/>
              </w:rPr>
              <w:t>Non-voting common stock, $0.01 par value, 20,000,000 shares authorized, none issued</w:t>
            </w:r>
          </w:p>
        </w:tc>
        <w:tc>
          <w:tcPr>
            <w:tcW w:w="1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21"/>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outstanding</w:t>
            </w:r>
          </w:p>
        </w:tc>
        <w:tc>
          <w:tcPr>
            <w:tcW w:w="11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184"/>
        </w:trPr>
        <w:tc>
          <w:tcPr>
            <w:tcW w:w="7680" w:type="dxa"/>
            <w:vAlign w:val="bottom"/>
          </w:tcPr>
          <w:p>
            <w:pPr>
              <w:ind w:left="200"/>
              <w:spacing w:after="0" w:line="183" w:lineRule="exact"/>
              <w:rPr>
                <w:sz w:val="20"/>
                <w:szCs w:val="20"/>
                <w:color w:val="auto"/>
              </w:rPr>
            </w:pPr>
            <w:r>
              <w:rPr>
                <w:rFonts w:ascii="Arial" w:cs="Arial" w:eastAsia="Arial" w:hAnsi="Arial"/>
                <w:sz w:val="18"/>
                <w:szCs w:val="18"/>
                <w:color w:val="auto"/>
              </w:rPr>
              <w:t>Preferred stock, $0.01 par value, 100,000,000 shares authorized, none issued and</w:t>
            </w: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21"/>
        </w:trPr>
        <w:tc>
          <w:tcPr>
            <w:tcW w:w="768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11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Paid in capital</w:t>
            </w: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w w:val="97"/>
              </w:rPr>
              <w:t>1,937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1,940</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1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(239)</w:t>
            </w: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11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(47)</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w:t>
            </w:r>
          </w:p>
        </w:tc>
      </w:tr>
      <w:tr>
        <w:trPr>
          <w:trHeight w:val="196"/>
        </w:trPr>
        <w:tc>
          <w:tcPr>
            <w:tcW w:w="7680" w:type="dxa"/>
            <w:vAlign w:val="bottom"/>
          </w:tcPr>
          <w:p>
            <w:pPr>
              <w:spacing w:after="0" w:line="196" w:lineRule="exact"/>
              <w:rPr>
                <w:sz w:val="20"/>
                <w:szCs w:val="20"/>
                <w:color w:val="auto"/>
              </w:rPr>
            </w:pPr>
            <w:r>
              <w:rPr>
                <w:rFonts w:ascii="Arial" w:cs="Arial" w:eastAsia="Arial" w:hAnsi="Arial"/>
                <w:sz w:val="18"/>
                <w:szCs w:val="18"/>
                <w:color w:val="auto"/>
              </w:rPr>
              <w:t>TOTAL STOCKHOLDERS’ EQUITY</w:t>
            </w:r>
          </w:p>
        </w:tc>
        <w:tc>
          <w:tcPr>
            <w:tcW w:w="1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w w:val="97"/>
              </w:rPr>
              <w:t>1,665</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1,651</w:t>
            </w:r>
          </w:p>
        </w:tc>
      </w:tr>
      <w:tr>
        <w:trPr>
          <w:trHeight w:val="216"/>
        </w:trPr>
        <w:tc>
          <w:tcPr>
            <w:tcW w:w="7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 &amp; STOCKHOLDERS’ EQUITY</w:t>
            </w:r>
          </w:p>
        </w:tc>
        <w:tc>
          <w:tcPr>
            <w:tcW w:w="1140" w:type="dxa"/>
            <w:vAlign w:val="bottom"/>
            <w:shd w:val="clear" w:color="auto" w:fill="CFF0FC"/>
          </w:tcPr>
          <w:p>
            <w:pPr>
              <w:jc w:val="right"/>
              <w:ind w:right="956"/>
              <w:spacing w:after="0" w:line="196"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97"/>
              </w:rPr>
              <w:t>5,366</w:t>
            </w:r>
          </w:p>
        </w:tc>
        <w:tc>
          <w:tcPr>
            <w:tcW w:w="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5,336</w:t>
            </w: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-3556635</wp:posOffset>
            </wp:positionV>
            <wp:extent cx="102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-3539490</wp:posOffset>
            </wp:positionV>
            <wp:extent cx="102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-299720</wp:posOffset>
            </wp:positionV>
            <wp:extent cx="102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02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02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9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r>
      <w:tr>
        <w:trPr>
          <w:trHeight w:val="183"/>
        </w:trPr>
        <w:tc>
          <w:tcPr>
            <w:tcW w:w="7720" w:type="dxa"/>
            <w:vAlign w:val="bottom"/>
          </w:tcPr>
          <w:p>
            <w:pPr>
              <w:spacing w:after="0"/>
              <w:rPr>
                <w:sz w:val="15"/>
                <w:szCs w:val="15"/>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sales</w:t>
            </w:r>
          </w:p>
        </w:tc>
        <w:tc>
          <w:tcPr>
            <w:tcW w:w="1060" w:type="dxa"/>
            <w:vAlign w:val="bottom"/>
            <w:shd w:val="clear" w:color="auto" w:fill="CFF0FC"/>
          </w:tcPr>
          <w:p>
            <w:pPr>
              <w:jc w:val="right"/>
              <w:ind w:right="875"/>
              <w:spacing w:after="0" w:line="196" w:lineRule="exact"/>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766</w:t>
            </w:r>
          </w:p>
        </w:tc>
        <w:tc>
          <w:tcPr>
            <w:tcW w:w="1240" w:type="dxa"/>
            <w:vAlign w:val="bottom"/>
            <w:gridSpan w:val="2"/>
            <w:shd w:val="clear" w:color="auto" w:fill="CFF0FC"/>
          </w:tcPr>
          <w:p>
            <w:pPr>
              <w:jc w:val="right"/>
              <w:ind w:right="896"/>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789</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388</w:t>
            </w:r>
          </w:p>
        </w:tc>
        <w:tc>
          <w:tcPr>
            <w:tcW w:w="1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423</w:t>
            </w: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378</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366</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060" w:type="dxa"/>
            <w:vAlign w:val="bottom"/>
          </w:tcPr>
          <w:p>
            <w:pPr>
              <w:spacing w:after="0"/>
              <w:rPr>
                <w:sz w:val="17"/>
                <w:szCs w:val="17"/>
                <w:color w:val="auto"/>
              </w:rPr>
            </w:pPr>
          </w:p>
        </w:tc>
        <w:tc>
          <w:tcPr>
            <w:tcW w:w="6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86</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86</w:t>
            </w:r>
          </w:p>
        </w:tc>
      </w:tr>
      <w:tr>
        <w:trPr>
          <w:trHeight w:val="203"/>
        </w:trPr>
        <w:tc>
          <w:tcPr>
            <w:tcW w:w="77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Engineering — research and development</w:t>
            </w:r>
          </w:p>
        </w:tc>
        <w:tc>
          <w:tcPr>
            <w:tcW w:w="10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43</w:t>
            </w:r>
          </w:p>
        </w:tc>
        <w:tc>
          <w:tcPr>
            <w:tcW w:w="1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46</w:t>
            </w:r>
          </w:p>
        </w:tc>
      </w:tr>
      <w:tr>
        <w:trPr>
          <w:trHeight w:val="196"/>
        </w:trPr>
        <w:tc>
          <w:tcPr>
            <w:tcW w:w="7720" w:type="dxa"/>
            <w:vAlign w:val="bottom"/>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1060" w:type="dxa"/>
            <w:vAlign w:val="bottom"/>
          </w:tcPr>
          <w:p>
            <w:pPr>
              <w:spacing w:after="0"/>
              <w:rPr>
                <w:sz w:val="17"/>
                <w:szCs w:val="17"/>
                <w:color w:val="auto"/>
              </w:rPr>
            </w:pPr>
          </w:p>
        </w:tc>
        <w:tc>
          <w:tcPr>
            <w:tcW w:w="62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249</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234</w:t>
            </w: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 net</w:t>
            </w: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Income before income taxes</w:t>
            </w: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233</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204</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(41)</w:t>
            </w:r>
          </w:p>
        </w:tc>
        <w:tc>
          <w:tcPr>
            <w:tcW w:w="1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36"/>
        </w:trPr>
        <w:tc>
          <w:tcPr>
            <w:tcW w:w="77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1060" w:type="dxa"/>
            <w:vAlign w:val="bottom"/>
            <w:tcBorders>
              <w:bottom w:val="single" w:sz="8" w:color="auto"/>
            </w:tcBorders>
            <w:shd w:val="clear" w:color="auto" w:fill="CFF0FC"/>
          </w:tcPr>
          <w:p>
            <w:pPr>
              <w:jc w:val="right"/>
              <w:ind w:right="875"/>
              <w:spacing w:after="0" w:line="196"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192</w:t>
            </w:r>
          </w:p>
        </w:tc>
        <w:tc>
          <w:tcPr>
            <w:tcW w:w="1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89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169</w:t>
            </w:r>
          </w:p>
        </w:tc>
      </w:tr>
      <w:tr>
        <w:trPr>
          <w:trHeight w:val="183"/>
        </w:trPr>
        <w:tc>
          <w:tcPr>
            <w:tcW w:w="7720" w:type="dxa"/>
            <w:vAlign w:val="bottom"/>
          </w:tcPr>
          <w:p>
            <w:pPr>
              <w:spacing w:after="0" w:line="183" w:lineRule="exact"/>
              <w:rPr>
                <w:sz w:val="20"/>
                <w:szCs w:val="20"/>
                <w:color w:val="auto"/>
              </w:rPr>
            </w:pPr>
            <w:r>
              <w:rPr>
                <w:rFonts w:ascii="Arial" w:cs="Arial" w:eastAsia="Arial" w:hAnsi="Arial"/>
                <w:sz w:val="18"/>
                <w:szCs w:val="18"/>
                <w:b w:val="1"/>
                <w:bCs w:val="1"/>
                <w:color w:val="auto"/>
              </w:rPr>
              <w:t>Basic earnings per share attributable to common stockholders</w:t>
            </w:r>
          </w:p>
        </w:tc>
        <w:tc>
          <w:tcPr>
            <w:tcW w:w="1060" w:type="dxa"/>
            <w:vAlign w:val="bottom"/>
          </w:tcPr>
          <w:p>
            <w:pPr>
              <w:jc w:val="right"/>
              <w:ind w:right="875"/>
              <w:spacing w:after="0" w:line="183" w:lineRule="exact"/>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ind w:right="50"/>
              <w:spacing w:after="0" w:line="183" w:lineRule="exact"/>
              <w:rPr>
                <w:sz w:val="20"/>
                <w:szCs w:val="20"/>
                <w:color w:val="auto"/>
              </w:rPr>
            </w:pPr>
            <w:r>
              <w:rPr>
                <w:rFonts w:ascii="Arial" w:cs="Arial" w:eastAsia="Arial" w:hAnsi="Arial"/>
                <w:sz w:val="18"/>
                <w:szCs w:val="18"/>
                <w:b w:val="1"/>
                <w:bCs w:val="1"/>
                <w:color w:val="auto"/>
              </w:rPr>
              <w:t>2.26</w:t>
            </w:r>
          </w:p>
        </w:tc>
        <w:tc>
          <w:tcPr>
            <w:tcW w:w="1240" w:type="dxa"/>
            <w:vAlign w:val="bottom"/>
            <w:gridSpan w:val="2"/>
          </w:tcPr>
          <w:p>
            <w:pPr>
              <w:jc w:val="right"/>
              <w:ind w:right="896"/>
              <w:spacing w:after="0" w:line="183"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line="183" w:lineRule="exact"/>
              <w:rPr>
                <w:sz w:val="20"/>
                <w:szCs w:val="20"/>
                <w:color w:val="auto"/>
              </w:rPr>
            </w:pPr>
            <w:r>
              <w:rPr>
                <w:rFonts w:ascii="Arial" w:cs="Arial" w:eastAsia="Arial" w:hAnsi="Arial"/>
                <w:sz w:val="18"/>
                <w:szCs w:val="18"/>
                <w:color w:val="auto"/>
              </w:rPr>
              <w:t>1.92</w:t>
            </w:r>
          </w:p>
        </w:tc>
      </w:tr>
      <w:tr>
        <w:trPr>
          <w:trHeight w:val="20"/>
        </w:trPr>
        <w:tc>
          <w:tcPr>
            <w:tcW w:w="7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7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Diluted earnings per share attributable to common stockholders</w:t>
            </w:r>
          </w:p>
        </w:tc>
        <w:tc>
          <w:tcPr>
            <w:tcW w:w="1060" w:type="dxa"/>
            <w:vAlign w:val="bottom"/>
            <w:tcBorders>
              <w:bottom w:val="single" w:sz="8" w:color="auto"/>
            </w:tcBorders>
            <w:shd w:val="clear" w:color="auto" w:fill="CFF0FC"/>
          </w:tcPr>
          <w:p>
            <w:pPr>
              <w:jc w:val="right"/>
              <w:ind w:right="875"/>
              <w:spacing w:after="0" w:line="183"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FF0FC"/>
          </w:tcPr>
          <w:p>
            <w:pPr>
              <w:jc w:val="right"/>
              <w:ind w:right="50"/>
              <w:spacing w:after="0" w:line="183" w:lineRule="exact"/>
              <w:rPr>
                <w:sz w:val="20"/>
                <w:szCs w:val="20"/>
                <w:color w:val="auto"/>
              </w:rPr>
            </w:pPr>
            <w:r>
              <w:rPr>
                <w:rFonts w:ascii="Arial" w:cs="Arial" w:eastAsia="Arial" w:hAnsi="Arial"/>
                <w:sz w:val="18"/>
                <w:szCs w:val="18"/>
                <w:b w:val="1"/>
                <w:bCs w:val="1"/>
                <w:color w:val="auto"/>
              </w:rPr>
              <w:t>2.23</w:t>
            </w:r>
          </w:p>
        </w:tc>
        <w:tc>
          <w:tcPr>
            <w:tcW w:w="1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6"/>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1.90</w:t>
            </w:r>
          </w:p>
        </w:tc>
      </w:tr>
      <w:tr>
        <w:trPr>
          <w:trHeight w:val="183"/>
        </w:trPr>
        <w:tc>
          <w:tcPr>
            <w:tcW w:w="7720" w:type="dxa"/>
            <w:vAlign w:val="bottom"/>
          </w:tcPr>
          <w:p>
            <w:pPr>
              <w:spacing w:after="0" w:line="183" w:lineRule="exact"/>
              <w:rPr>
                <w:sz w:val="20"/>
                <w:szCs w:val="20"/>
                <w:color w:val="auto"/>
              </w:rPr>
            </w:pPr>
            <w:r>
              <w:rPr>
                <w:rFonts w:ascii="Arial" w:cs="Arial" w:eastAsia="Arial" w:hAnsi="Arial"/>
                <w:sz w:val="18"/>
                <w:szCs w:val="18"/>
                <w:b w:val="1"/>
                <w:bCs w:val="1"/>
                <w:color w:val="auto"/>
              </w:rPr>
              <w:t>Comprehensive income, net of tax</w:t>
            </w:r>
          </w:p>
        </w:tc>
        <w:tc>
          <w:tcPr>
            <w:tcW w:w="1060" w:type="dxa"/>
            <w:vAlign w:val="bottom"/>
          </w:tcPr>
          <w:p>
            <w:pPr>
              <w:jc w:val="right"/>
              <w:ind w:right="875"/>
              <w:spacing w:after="0" w:line="183" w:lineRule="exact"/>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ind w:right="50"/>
              <w:spacing w:after="0" w:line="183" w:lineRule="exact"/>
              <w:rPr>
                <w:sz w:val="20"/>
                <w:szCs w:val="20"/>
                <w:color w:val="auto"/>
              </w:rPr>
            </w:pPr>
            <w:r>
              <w:rPr>
                <w:rFonts w:ascii="Arial" w:cs="Arial" w:eastAsia="Arial" w:hAnsi="Arial"/>
                <w:sz w:val="18"/>
                <w:szCs w:val="18"/>
                <w:b w:val="1"/>
                <w:bCs w:val="1"/>
                <w:color w:val="auto"/>
              </w:rPr>
              <w:t>196</w:t>
            </w:r>
          </w:p>
        </w:tc>
        <w:tc>
          <w:tcPr>
            <w:tcW w:w="1240" w:type="dxa"/>
            <w:vAlign w:val="bottom"/>
            <w:gridSpan w:val="2"/>
          </w:tcPr>
          <w:p>
            <w:pPr>
              <w:jc w:val="right"/>
              <w:ind w:right="896"/>
              <w:spacing w:after="0" w:line="183"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line="183" w:lineRule="exact"/>
              <w:rPr>
                <w:sz w:val="20"/>
                <w:szCs w:val="20"/>
                <w:color w:val="auto"/>
              </w:rPr>
            </w:pPr>
            <w:r>
              <w:rPr>
                <w:rFonts w:ascii="Arial" w:cs="Arial" w:eastAsia="Arial" w:hAnsi="Arial"/>
                <w:sz w:val="18"/>
                <w:szCs w:val="18"/>
                <w:color w:val="auto"/>
              </w:rPr>
              <w:t>163</w:t>
            </w:r>
          </w:p>
        </w:tc>
      </w:tr>
      <w:tr>
        <w:trPr>
          <w:trHeight w:val="20"/>
        </w:trPr>
        <w:tc>
          <w:tcPr>
            <w:tcW w:w="7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-1285240</wp:posOffset>
            </wp:positionV>
            <wp:extent cx="1117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-487680</wp:posOffset>
            </wp:positionV>
            <wp:extent cx="1117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-471170</wp:posOffset>
            </wp:positionV>
            <wp:extent cx="1117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-179070</wp:posOffset>
            </wp:positionV>
            <wp:extent cx="1117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-162560</wp:posOffset>
            </wp:positionV>
            <wp:extent cx="1117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r>
      <w:tr>
        <w:trPr>
          <w:trHeight w:val="183"/>
        </w:trPr>
        <w:tc>
          <w:tcPr>
            <w:tcW w:w="7060" w:type="dxa"/>
            <w:vAlign w:val="bottom"/>
          </w:tcPr>
          <w:p>
            <w:pPr>
              <w:spacing w:after="0"/>
              <w:rPr>
                <w:sz w:val="15"/>
                <w:szCs w:val="15"/>
                <w:color w:val="auto"/>
              </w:rPr>
            </w:pPr>
          </w:p>
        </w:tc>
        <w:tc>
          <w:tcPr>
            <w:tcW w:w="17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6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2024</w:t>
            </w:r>
          </w:p>
        </w:tc>
        <w:tc>
          <w:tcPr>
            <w:tcW w:w="600" w:type="dxa"/>
            <w:vAlign w:val="bottom"/>
          </w:tcPr>
          <w:p>
            <w:pPr>
              <w:spacing w:after="0"/>
              <w:rPr>
                <w:sz w:val="15"/>
                <w:szCs w:val="15"/>
                <w:color w:val="auto"/>
              </w:rPr>
            </w:pPr>
          </w:p>
        </w:tc>
      </w:tr>
      <w:tr>
        <w:trPr>
          <w:trHeight w:val="196"/>
        </w:trPr>
        <w:tc>
          <w:tcPr>
            <w:tcW w:w="70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720" w:type="dxa"/>
            <w:vAlign w:val="bottom"/>
            <w:gridSpan w:val="2"/>
          </w:tcPr>
          <w:p>
            <w:pPr>
              <w:jc w:val="right"/>
              <w:ind w:right="888"/>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192</w:t>
            </w:r>
          </w:p>
        </w:tc>
        <w:tc>
          <w:tcPr>
            <w:tcW w:w="1240" w:type="dxa"/>
            <w:vAlign w:val="bottom"/>
            <w:gridSpan w:val="2"/>
          </w:tcPr>
          <w:p>
            <w:pPr>
              <w:jc w:val="right"/>
              <w:ind w:right="98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169</w:t>
            </w:r>
          </w:p>
        </w:tc>
      </w:tr>
      <w:tr>
        <w:trPr>
          <w:trHeight w:val="203"/>
        </w:trPr>
        <w:tc>
          <w:tcPr>
            <w:tcW w:w="7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28</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w:t>
            </w: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w:t>
            </w: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Unrealized (gain) loss on marketable securities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w:t>
            </w: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w:t>
            </w: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Changes in assets and liabilities: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Inventories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29</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28</w:t>
            </w: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Other assets and liabilities</w:t>
            </w:r>
          </w:p>
        </w:tc>
        <w:tc>
          <w:tcPr>
            <w:tcW w:w="6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r>
      <w:tr>
        <w:trPr>
          <w:trHeight w:val="196"/>
        </w:trPr>
        <w:tc>
          <w:tcPr>
            <w:tcW w:w="706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181</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173</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Additions of long-lived assets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(26)</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Investment in equity method investee</w:t>
            </w:r>
          </w:p>
        </w:tc>
        <w:tc>
          <w:tcPr>
            <w:tcW w:w="6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6"/>
        </w:trPr>
        <w:tc>
          <w:tcPr>
            <w:tcW w:w="706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rPr>
              <w:t>Net cash used for investing activities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(26)</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Repurchases of common stock</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(150)</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Dividend payments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Taxes paid related to net share settlement of equity awards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exercise of stock options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w:t>
            </w: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Payments on long-term debt</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w:t>
            </w: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Debt financing fees</w:t>
            </w:r>
          </w:p>
        </w:tc>
        <w:tc>
          <w:tcPr>
            <w:tcW w:w="6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r>
      <w:tr>
        <w:trPr>
          <w:trHeight w:val="196"/>
        </w:trPr>
        <w:tc>
          <w:tcPr>
            <w:tcW w:w="706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rPr>
              <w:t>Net cash used for financing activities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(184)</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 on cash</w:t>
            </w:r>
          </w:p>
        </w:tc>
        <w:tc>
          <w:tcPr>
            <w:tcW w:w="6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6"/>
        </w:trPr>
        <w:tc>
          <w:tcPr>
            <w:tcW w:w="706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rPr>
              <w:t>Net decrease in cash and cash equivalents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(28)</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6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781</w:t>
            </w:r>
          </w:p>
        </w:tc>
        <w:tc>
          <w:tcPr>
            <w:tcW w:w="1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555</w:t>
            </w:r>
          </w:p>
        </w:tc>
      </w:tr>
      <w:tr>
        <w:trPr>
          <w:trHeight w:val="236"/>
        </w:trPr>
        <w:tc>
          <w:tcPr>
            <w:tcW w:w="7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1720" w:type="dxa"/>
            <w:vAlign w:val="bottom"/>
            <w:gridSpan w:val="2"/>
            <w:shd w:val="clear" w:color="auto" w:fill="CFF0FC"/>
          </w:tcPr>
          <w:p>
            <w:pPr>
              <w:jc w:val="right"/>
              <w:ind w:right="888"/>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753</w:t>
            </w:r>
          </w:p>
        </w:tc>
        <w:tc>
          <w:tcPr>
            <w:tcW w:w="1240" w:type="dxa"/>
            <w:vAlign w:val="bottom"/>
            <w:gridSpan w:val="2"/>
            <w:shd w:val="clear" w:color="auto" w:fill="CFF0FC"/>
          </w:tcPr>
          <w:p>
            <w:pPr>
              <w:jc w:val="right"/>
              <w:ind w:right="980"/>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551</w:t>
            </w:r>
          </w:p>
        </w:tc>
      </w:tr>
      <w:tr>
        <w:trPr>
          <w:trHeight w:val="183"/>
        </w:trPr>
        <w:tc>
          <w:tcPr>
            <w:tcW w:w="706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660" w:type="dxa"/>
            <w:vAlign w:val="bottom"/>
            <w:tcBorders>
              <w:top w:val="single" w:sz="8" w:color="CFF0FC"/>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r>
      <w:tr>
        <w:trPr>
          <w:trHeight w:val="203"/>
        </w:trPr>
        <w:tc>
          <w:tcPr>
            <w:tcW w:w="70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Interest paid</w:t>
            </w:r>
          </w:p>
        </w:tc>
        <w:tc>
          <w:tcPr>
            <w:tcW w:w="1720" w:type="dxa"/>
            <w:vAlign w:val="bottom"/>
            <w:gridSpan w:val="2"/>
            <w:shd w:val="clear" w:color="auto" w:fill="CFF0FC"/>
          </w:tcPr>
          <w:p>
            <w:pPr>
              <w:jc w:val="right"/>
              <w:ind w:right="888"/>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(27)</w:t>
            </w:r>
          </w:p>
        </w:tc>
        <w:tc>
          <w:tcPr>
            <w:tcW w:w="1240" w:type="dxa"/>
            <w:vAlign w:val="bottom"/>
            <w:gridSpan w:val="2"/>
            <w:shd w:val="clear" w:color="auto" w:fill="CFF0FC"/>
          </w:tcPr>
          <w:p>
            <w:pPr>
              <w:jc w:val="right"/>
              <w:ind w:right="98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7060" w:type="dxa"/>
            <w:vAlign w:val="bottom"/>
          </w:tcPr>
          <w:p>
            <w:pPr>
              <w:ind w:left="400"/>
              <w:spacing w:after="0" w:line="202" w:lineRule="exact"/>
              <w:rPr>
                <w:sz w:val="20"/>
                <w:szCs w:val="20"/>
                <w:color w:val="auto"/>
              </w:rPr>
            </w:pPr>
            <w:r>
              <w:rPr>
                <w:rFonts w:ascii="Arial" w:cs="Arial" w:eastAsia="Arial" w:hAnsi="Arial"/>
                <w:sz w:val="18"/>
                <w:szCs w:val="18"/>
                <w:color w:val="auto"/>
              </w:rPr>
              <w:t>Income taxes paid</w:t>
            </w:r>
          </w:p>
        </w:tc>
        <w:tc>
          <w:tcPr>
            <w:tcW w:w="1720" w:type="dxa"/>
            <w:vAlign w:val="bottom"/>
            <w:gridSpan w:val="2"/>
          </w:tcPr>
          <w:p>
            <w:pPr>
              <w:jc w:val="right"/>
              <w:ind w:right="888"/>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1240" w:type="dxa"/>
            <w:vAlign w:val="bottom"/>
            <w:gridSpan w:val="2"/>
          </w:tcPr>
          <w:p>
            <w:pPr>
              <w:jc w:val="right"/>
              <w:ind w:right="98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70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Interest received from interest rate swaps</w:t>
            </w:r>
          </w:p>
        </w:tc>
        <w:tc>
          <w:tcPr>
            <w:tcW w:w="1720" w:type="dxa"/>
            <w:vAlign w:val="bottom"/>
            <w:gridSpan w:val="2"/>
            <w:shd w:val="clear" w:color="auto" w:fill="CFF0FC"/>
          </w:tcPr>
          <w:p>
            <w:pPr>
              <w:jc w:val="right"/>
              <w:ind w:right="888"/>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2</w:t>
            </w:r>
          </w:p>
        </w:tc>
        <w:tc>
          <w:tcPr>
            <w:tcW w:w="1240" w:type="dxa"/>
            <w:vAlign w:val="bottom"/>
            <w:gridSpan w:val="2"/>
            <w:shd w:val="clear" w:color="auto" w:fill="CFF0FC"/>
          </w:tcPr>
          <w:p>
            <w:pPr>
              <w:jc w:val="right"/>
              <w:ind w:right="98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Non-cash investing activities: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70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Capital expenditures in liabilities</w:t>
            </w:r>
          </w:p>
        </w:tc>
        <w:tc>
          <w:tcPr>
            <w:tcW w:w="1720" w:type="dxa"/>
            <w:vAlign w:val="bottom"/>
            <w:gridSpan w:val="2"/>
            <w:shd w:val="clear" w:color="auto" w:fill="CFF0FC"/>
          </w:tcPr>
          <w:p>
            <w:pPr>
              <w:jc w:val="right"/>
              <w:ind w:right="888"/>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8</w:t>
            </w:r>
          </w:p>
        </w:tc>
        <w:tc>
          <w:tcPr>
            <w:tcW w:w="1240" w:type="dxa"/>
            <w:vAlign w:val="bottom"/>
            <w:gridSpan w:val="2"/>
            <w:shd w:val="clear" w:color="auto" w:fill="CFF0FC"/>
          </w:tcPr>
          <w:p>
            <w:pPr>
              <w:jc w:val="right"/>
              <w:ind w:right="98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-796290</wp:posOffset>
            </wp:positionV>
            <wp:extent cx="111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-779145</wp:posOffset>
            </wp:positionV>
            <wp:extent cx="1117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46"/>
        </w:trPr>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2"/>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72"/>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Non-voting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72"/>
              <w:spacing w:after="0"/>
              <w:rPr>
                <w:sz w:val="20"/>
                <w:szCs w:val="20"/>
                <w:color w:val="auto"/>
              </w:rPr>
            </w:pPr>
            <w:r>
              <w:rPr>
                <w:rFonts w:ascii="Arial" w:cs="Arial" w:eastAsia="Arial" w:hAnsi="Arial"/>
                <w:sz w:val="14"/>
                <w:szCs w:val="14"/>
                <w:b w:val="1"/>
                <w:bCs w:val="1"/>
                <w:color w:val="auto"/>
              </w:rPr>
              <w:t>ive (Loss)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620" w:type="dxa"/>
            <w:vAlign w:val="bottom"/>
          </w:tcPr>
          <w:p>
            <w:pPr>
              <w:spacing w:after="0"/>
              <w:rPr>
                <w:sz w:val="14"/>
                <w:szCs w:val="14"/>
                <w:color w:val="auto"/>
              </w:rPr>
            </w:pPr>
          </w:p>
        </w:tc>
        <w:tc>
          <w:tcPr>
            <w:tcW w:w="96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98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rPr>
              <w:t>d (Deficit)</w:t>
            </w:r>
          </w:p>
        </w:tc>
        <w:tc>
          <w:tcPr>
            <w:tcW w:w="120" w:type="dxa"/>
            <w:vAlign w:val="bottom"/>
          </w:tcPr>
          <w:p>
            <w:pPr>
              <w:spacing w:after="0"/>
              <w:rPr>
                <w:sz w:val="14"/>
                <w:szCs w:val="14"/>
                <w:color w:val="auto"/>
              </w:rPr>
            </w:pPr>
          </w:p>
        </w:tc>
        <w:tc>
          <w:tcPr>
            <w:tcW w:w="104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rPr>
              <w:t>Income, net</w:t>
            </w: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w:t>
            </w:r>
          </w:p>
        </w:tc>
      </w:tr>
      <w:tr>
        <w:trPr>
          <w:trHeight w:val="171"/>
        </w:trPr>
        <w:tc>
          <w:tcPr>
            <w:tcW w:w="3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of tax</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 Equity</w:t>
            </w:r>
          </w:p>
        </w:tc>
      </w:tr>
      <w:tr>
        <w:trPr>
          <w:trHeight w:val="196"/>
        </w:trPr>
        <w:tc>
          <w:tcPr>
            <w:tcW w:w="3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2023</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w:t>
            </w:r>
          </w:p>
        </w:tc>
        <w:tc>
          <w:tcPr>
            <w:tcW w:w="30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5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w w:val="88"/>
              </w:rPr>
              <w:t>—</w:t>
            </w:r>
          </w:p>
        </w:tc>
        <w:tc>
          <w:tcPr>
            <w:tcW w:w="36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1,891</w:t>
            </w:r>
          </w:p>
        </w:tc>
        <w:tc>
          <w:tcPr>
            <w:tcW w:w="26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(628)</w:t>
            </w:r>
          </w:p>
        </w:tc>
        <w:tc>
          <w:tcPr>
            <w:tcW w:w="22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w:t>
            </w:r>
          </w:p>
        </w:tc>
        <w:tc>
          <w:tcPr>
            <w:tcW w:w="24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1,233</w:t>
            </w: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w:t>
            </w:r>
          </w:p>
        </w:tc>
      </w:tr>
      <w:tr>
        <w:trPr>
          <w:trHeight w:val="203"/>
        </w:trPr>
        <w:tc>
          <w:tcPr>
            <w:tcW w:w="36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Pension and OPEB liability adjustment</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36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Interest rate swaps</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w:t>
            </w: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w:t>
            </w:r>
          </w:p>
        </w:tc>
      </w:tr>
      <w:tr>
        <w:trPr>
          <w:trHeight w:val="203"/>
        </w:trPr>
        <w:tc>
          <w:tcPr>
            <w:tcW w:w="36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Repurchase of common stock</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r>
      <w:tr>
        <w:trPr>
          <w:trHeight w:val="184"/>
        </w:trPr>
        <w:tc>
          <w:tcPr>
            <w:tcW w:w="3620" w:type="dxa"/>
            <w:vAlign w:val="bottom"/>
          </w:tcPr>
          <w:p>
            <w:pPr>
              <w:ind w:left="100"/>
              <w:spacing w:after="0" w:line="183" w:lineRule="exact"/>
              <w:rPr>
                <w:sz w:val="20"/>
                <w:szCs w:val="20"/>
                <w:color w:val="auto"/>
              </w:rPr>
            </w:pPr>
            <w:r>
              <w:rPr>
                <w:rFonts w:ascii="Arial" w:cs="Arial" w:eastAsia="Arial" w:hAnsi="Arial"/>
                <w:sz w:val="18"/>
                <w:szCs w:val="18"/>
                <w:color w:val="auto"/>
              </w:rPr>
              <w:t>Dividends on common stock ($0.25 per</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1"/>
        </w:trPr>
        <w:tc>
          <w:tcPr>
            <w:tcW w:w="3620" w:type="dxa"/>
            <w:vAlign w:val="bottom"/>
          </w:tcPr>
          <w:p>
            <w:pPr>
              <w:ind w:left="100"/>
              <w:spacing w:after="0"/>
              <w:rPr>
                <w:sz w:val="20"/>
                <w:szCs w:val="20"/>
                <w:color w:val="auto"/>
              </w:rPr>
            </w:pPr>
            <w:r>
              <w:rPr>
                <w:rFonts w:ascii="Arial" w:cs="Arial" w:eastAsia="Arial" w:hAnsi="Arial"/>
                <w:sz w:val="18"/>
                <w:szCs w:val="18"/>
                <w:color w:val="auto"/>
              </w:rPr>
              <w:t>share)</w:t>
            </w:r>
          </w:p>
        </w:tc>
        <w:tc>
          <w:tcPr>
            <w:tcW w:w="16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3"/>
        </w:trPr>
        <w:tc>
          <w:tcPr>
            <w:tcW w:w="362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ind w:left="5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169</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169</w:t>
            </w:r>
          </w:p>
        </w:tc>
      </w:tr>
      <w:tr>
        <w:trPr>
          <w:trHeight w:val="196"/>
        </w:trPr>
        <w:tc>
          <w:tcPr>
            <w:tcW w:w="3620" w:type="dxa"/>
            <w:vAlign w:val="bottom"/>
          </w:tcPr>
          <w:p>
            <w:pPr>
              <w:spacing w:after="0" w:line="196" w:lineRule="exact"/>
              <w:rPr>
                <w:sz w:val="20"/>
                <w:szCs w:val="20"/>
                <w:color w:val="auto"/>
              </w:rPr>
            </w:pPr>
            <w:r>
              <w:rPr>
                <w:rFonts w:ascii="Arial" w:cs="Arial" w:eastAsia="Arial" w:hAnsi="Arial"/>
                <w:sz w:val="18"/>
                <w:szCs w:val="18"/>
                <w:color w:val="auto"/>
              </w:rPr>
              <w:t>Balance at March 31, 2024</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w:t>
            </w:r>
          </w:p>
        </w:tc>
        <w:tc>
          <w:tcPr>
            <w:tcW w:w="3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ind w:left="5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ind w:left="520"/>
              <w:spacing w:after="0" w:line="196" w:lineRule="exact"/>
              <w:rPr>
                <w:sz w:val="20"/>
                <w:szCs w:val="20"/>
                <w:color w:val="auto"/>
              </w:rPr>
            </w:pPr>
            <w:r>
              <w:rPr>
                <w:rFonts w:ascii="Arial" w:cs="Arial" w:eastAsia="Arial" w:hAnsi="Arial"/>
                <w:sz w:val="18"/>
                <w:szCs w:val="18"/>
                <w:color w:val="auto"/>
                <w:w w:val="88"/>
              </w:rPr>
              <w:t>—</w:t>
            </w:r>
          </w:p>
        </w:tc>
        <w:tc>
          <w:tcPr>
            <w:tcW w:w="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1,911</w:t>
            </w:r>
          </w:p>
        </w:tc>
        <w:tc>
          <w:tcPr>
            <w:tcW w:w="2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(533)</w:t>
            </w:r>
          </w:p>
        </w:tc>
        <w:tc>
          <w:tcPr>
            <w:tcW w:w="22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2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1,342</w:t>
            </w:r>
          </w:p>
        </w:tc>
      </w:tr>
      <w:tr>
        <w:trPr>
          <w:trHeight w:val="20"/>
        </w:trPr>
        <w:tc>
          <w:tcPr>
            <w:tcW w:w="3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6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Balance at December 31, 2024</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1"/>
              <w:spacing w:after="0" w:line="183" w:lineRule="exact"/>
              <w:rPr>
                <w:sz w:val="20"/>
                <w:szCs w:val="20"/>
                <w:color w:val="auto"/>
              </w:rPr>
            </w:pPr>
            <w:r>
              <w:rPr>
                <w:rFonts w:ascii="Arial" w:cs="Arial" w:eastAsia="Arial" w:hAnsi="Arial"/>
                <w:sz w:val="18"/>
                <w:szCs w:val="18"/>
                <w:color w:val="auto"/>
              </w:rPr>
              <w:t>1</w:t>
            </w:r>
          </w:p>
        </w:tc>
        <w:tc>
          <w:tcPr>
            <w:tcW w:w="30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500"/>
              <w:spacing w:after="0" w:line="183"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20"/>
              <w:spacing w:after="0" w:line="183" w:lineRule="exact"/>
              <w:rPr>
                <w:sz w:val="20"/>
                <w:szCs w:val="20"/>
                <w:color w:val="auto"/>
              </w:rPr>
            </w:pPr>
            <w:r>
              <w:rPr>
                <w:rFonts w:ascii="Arial" w:cs="Arial" w:eastAsia="Arial" w:hAnsi="Arial"/>
                <w:sz w:val="18"/>
                <w:szCs w:val="18"/>
                <w:color w:val="auto"/>
                <w:w w:val="88"/>
              </w:rPr>
              <w:t>—</w:t>
            </w:r>
          </w:p>
        </w:tc>
        <w:tc>
          <w:tcPr>
            <w:tcW w:w="360" w:type="dxa"/>
            <w:vAlign w:val="bottom"/>
            <w:gridSpan w:val="3"/>
            <w:shd w:val="clear" w:color="auto" w:fill="CFF0FC"/>
          </w:tcPr>
          <w:p>
            <w:pPr>
              <w:jc w:val="right"/>
              <w:ind w:right="20"/>
              <w:spacing w:after="0" w:line="183"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line="183" w:lineRule="exact"/>
              <w:rPr>
                <w:sz w:val="20"/>
                <w:szCs w:val="20"/>
                <w:color w:val="auto"/>
              </w:rPr>
            </w:pPr>
            <w:r>
              <w:rPr>
                <w:rFonts w:ascii="Arial" w:cs="Arial" w:eastAsia="Arial" w:hAnsi="Arial"/>
                <w:sz w:val="18"/>
                <w:szCs w:val="18"/>
                <w:color w:val="auto"/>
              </w:rPr>
              <w:t>1,940</w:t>
            </w:r>
          </w:p>
        </w:tc>
        <w:tc>
          <w:tcPr>
            <w:tcW w:w="26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(239)</w:t>
            </w:r>
          </w:p>
        </w:tc>
        <w:tc>
          <w:tcPr>
            <w:tcW w:w="22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(51)</w:t>
            </w:r>
          </w:p>
        </w:tc>
        <w:tc>
          <w:tcPr>
            <w:tcW w:w="24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31"/>
              <w:spacing w:after="0" w:line="183" w:lineRule="exact"/>
              <w:rPr>
                <w:sz w:val="20"/>
                <w:szCs w:val="20"/>
                <w:color w:val="auto"/>
              </w:rPr>
            </w:pPr>
            <w:r>
              <w:rPr>
                <w:rFonts w:ascii="Arial" w:cs="Arial" w:eastAsia="Arial" w:hAnsi="Arial"/>
                <w:sz w:val="18"/>
                <w:szCs w:val="18"/>
                <w:color w:val="auto"/>
              </w:rPr>
              <w:t>1,651</w:t>
            </w: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ind w:left="52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6</w:t>
            </w:r>
          </w:p>
        </w:tc>
      </w:tr>
      <w:tr>
        <w:trPr>
          <w:trHeight w:val="202"/>
        </w:trPr>
        <w:tc>
          <w:tcPr>
            <w:tcW w:w="36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Pension and OPEB liability adjustment</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w:t>
            </w: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ind w:left="52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6</w:t>
            </w:r>
          </w:p>
        </w:tc>
      </w:tr>
      <w:tr>
        <w:trPr>
          <w:trHeight w:val="203"/>
        </w:trPr>
        <w:tc>
          <w:tcPr>
            <w:tcW w:w="36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Interest rate swaps</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w:t>
            </w: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ind w:left="52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w:t>
            </w:r>
          </w:p>
        </w:tc>
      </w:tr>
      <w:tr>
        <w:trPr>
          <w:trHeight w:val="203"/>
        </w:trPr>
        <w:tc>
          <w:tcPr>
            <w:tcW w:w="36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Repurchase of common stock</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(155)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(155)</w:t>
            </w:r>
          </w:p>
        </w:tc>
      </w:tr>
      <w:tr>
        <w:trPr>
          <w:trHeight w:val="184"/>
        </w:trPr>
        <w:tc>
          <w:tcPr>
            <w:tcW w:w="3620" w:type="dxa"/>
            <w:vAlign w:val="bottom"/>
          </w:tcPr>
          <w:p>
            <w:pPr>
              <w:ind w:left="100"/>
              <w:spacing w:after="0" w:line="183" w:lineRule="exact"/>
              <w:rPr>
                <w:sz w:val="20"/>
                <w:szCs w:val="20"/>
                <w:color w:val="auto"/>
              </w:rPr>
            </w:pPr>
            <w:r>
              <w:rPr>
                <w:rFonts w:ascii="Arial" w:cs="Arial" w:eastAsia="Arial" w:hAnsi="Arial"/>
                <w:sz w:val="18"/>
                <w:szCs w:val="18"/>
                <w:color w:val="auto"/>
              </w:rPr>
              <w:t>Dividends on common stock ($0.27 per</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1"/>
        </w:trPr>
        <w:tc>
          <w:tcPr>
            <w:tcW w:w="3620" w:type="dxa"/>
            <w:vAlign w:val="bottom"/>
          </w:tcPr>
          <w:p>
            <w:pPr>
              <w:ind w:left="100"/>
              <w:spacing w:after="0"/>
              <w:rPr>
                <w:sz w:val="20"/>
                <w:szCs w:val="20"/>
                <w:color w:val="auto"/>
              </w:rPr>
            </w:pPr>
            <w:r>
              <w:rPr>
                <w:rFonts w:ascii="Arial" w:cs="Arial" w:eastAsia="Arial" w:hAnsi="Arial"/>
                <w:sz w:val="18"/>
                <w:szCs w:val="18"/>
                <w:color w:val="auto"/>
              </w:rPr>
              <w:t>share)</w:t>
            </w:r>
          </w:p>
        </w:tc>
        <w:tc>
          <w:tcPr>
            <w:tcW w:w="16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03"/>
        </w:trPr>
        <w:tc>
          <w:tcPr>
            <w:tcW w:w="362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ind w:left="52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192</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192</w:t>
            </w:r>
          </w:p>
        </w:tc>
      </w:tr>
      <w:tr>
        <w:trPr>
          <w:trHeight w:val="196"/>
        </w:trPr>
        <w:tc>
          <w:tcPr>
            <w:tcW w:w="3620" w:type="dxa"/>
            <w:vAlign w:val="bottom"/>
          </w:tcPr>
          <w:p>
            <w:pPr>
              <w:spacing w:after="0" w:line="196" w:lineRule="exact"/>
              <w:rPr>
                <w:sz w:val="20"/>
                <w:szCs w:val="20"/>
                <w:color w:val="auto"/>
              </w:rPr>
            </w:pPr>
            <w:r>
              <w:rPr>
                <w:rFonts w:ascii="Arial" w:cs="Arial" w:eastAsia="Arial" w:hAnsi="Arial"/>
                <w:sz w:val="18"/>
                <w:szCs w:val="18"/>
                <w:color w:val="auto"/>
              </w:rPr>
              <w:t>Balance at March 31, 2025</w:t>
            </w:r>
          </w:p>
        </w:tc>
        <w:tc>
          <w:tcPr>
            <w:tcW w:w="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1</w:t>
            </w:r>
          </w:p>
        </w:tc>
        <w:tc>
          <w:tcPr>
            <w:tcW w:w="30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Pr>
          <w:p>
            <w:pPr>
              <w:ind w:left="500"/>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Pr>
          <w:p>
            <w:pPr>
              <w:ind w:left="520"/>
              <w:spacing w:after="0" w:line="196" w:lineRule="exact"/>
              <w:rPr>
                <w:sz w:val="20"/>
                <w:szCs w:val="20"/>
                <w:color w:val="auto"/>
              </w:rPr>
            </w:pPr>
            <w:r>
              <w:rPr>
                <w:rFonts w:ascii="Arial" w:cs="Arial" w:eastAsia="Arial" w:hAnsi="Arial"/>
                <w:sz w:val="18"/>
                <w:szCs w:val="18"/>
                <w:b w:val="1"/>
                <w:bCs w:val="1"/>
                <w:color w:val="auto"/>
                <w:w w:val="88"/>
              </w:rPr>
              <w:t>—</w:t>
            </w:r>
          </w:p>
        </w:tc>
        <w:tc>
          <w:tcPr>
            <w:tcW w:w="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1,937</w:t>
            </w:r>
          </w:p>
        </w:tc>
        <w:tc>
          <w:tcPr>
            <w:tcW w:w="26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(226)</w:t>
            </w:r>
          </w:p>
        </w:tc>
        <w:tc>
          <w:tcPr>
            <w:tcW w:w="22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w:t>
            </w:r>
          </w:p>
        </w:tc>
        <w:tc>
          <w:tcPr>
            <w:tcW w:w="24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1,665</w:t>
            </w:r>
          </w:p>
        </w:tc>
      </w:tr>
      <w:tr>
        <w:trPr>
          <w:trHeight w:val="20"/>
        </w:trPr>
        <w:tc>
          <w:tcPr>
            <w:tcW w:w="3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-1610995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-1610995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-1610995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-1610995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-1610995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-1610995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-161925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-161925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-161925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-161925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-161925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-161925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102" w:lineRule="exact"/>
        <w:rPr>
          <w:sz w:val="20"/>
          <w:szCs w:val="20"/>
          <w:color w:val="auto"/>
        </w:rPr>
      </w:pPr>
    </w:p>
    <w:p>
      <w:pPr>
        <w:ind w:right="40" w:firstLine="499"/>
        <w:spacing w:after="0" w:line="247" w:lineRule="auto"/>
        <w:rPr>
          <w:sz w:val="20"/>
          <w:szCs w:val="20"/>
          <w:color w:val="auto"/>
        </w:rPr>
      </w:pPr>
      <w:r>
        <w:rPr>
          <w:rFonts w:ascii="Arial" w:cs="Arial" w:eastAsia="Arial" w:hAnsi="Arial"/>
          <w:sz w:val="18"/>
          <w:szCs w:val="18"/>
          <w:color w:val="auto"/>
        </w:rPr>
        <w:t>Allison Transmission Holdings, Inc. and its subsidiaries (“Allison” or the “Company”) is a leading designer and manufacturer of propulsion solutions for commercial and defense vehicles and the largest global manufacturer of medium- and heavy-duty fully automatic transmissions. The business was founded in 1915 and has been headquartered in Indianapolis, Indiana since inception. Allison is traded on the New York Stock Exchange under the symbol “ALSN”.</w:t>
      </w:r>
    </w:p>
    <w:p>
      <w:pPr>
        <w:spacing w:after="0" w:line="66" w:lineRule="exact"/>
        <w:rPr>
          <w:sz w:val="20"/>
          <w:szCs w:val="20"/>
          <w:color w:val="auto"/>
        </w:rPr>
      </w:pPr>
    </w:p>
    <w:p>
      <w:pPr>
        <w:ind w:right="360" w:firstLine="499"/>
        <w:spacing w:after="0" w:line="253" w:lineRule="auto"/>
        <w:rPr>
          <w:sz w:val="20"/>
          <w:szCs w:val="20"/>
          <w:color w:val="auto"/>
        </w:rPr>
      </w:pPr>
      <w:r>
        <w:rPr>
          <w:rFonts w:ascii="Arial" w:cs="Arial" w:eastAsia="Arial" w:hAnsi="Arial"/>
          <w:sz w:val="18"/>
          <w:szCs w:val="18"/>
          <w:color w:val="auto"/>
        </w:rPr>
        <w:t>The Company has a global presence by serving customers in North America, Asia, Europe, South America, and Africa, with approximately 77% of its revenues being generated in North America in 2024. The Company serves customers through an independent network of approximately 1,600 independent distributor and dealer locations worldwide.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02" w:lineRule="exact"/>
        <w:rPr>
          <w:sz w:val="20"/>
          <w:szCs w:val="20"/>
          <w:color w:val="auto"/>
        </w:rPr>
      </w:pPr>
    </w:p>
    <w:p>
      <w:pPr>
        <w:ind w:firstLine="499"/>
        <w:spacing w:after="0" w:line="242"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71" w:lineRule="exact"/>
        <w:rPr>
          <w:sz w:val="20"/>
          <w:szCs w:val="20"/>
          <w:color w:val="auto"/>
        </w:rPr>
      </w:pPr>
    </w:p>
    <w:p>
      <w:pPr>
        <w:ind w:firstLine="499"/>
        <w:spacing w:after="0" w:line="244" w:lineRule="auto"/>
        <w:rPr>
          <w:sz w:val="20"/>
          <w:szCs w:val="20"/>
          <w:color w:val="auto"/>
        </w:rPr>
      </w:pPr>
      <w:r>
        <w:rPr>
          <w:rFonts w:ascii="Arial" w:cs="Arial" w:eastAsia="Arial" w:hAnsi="Arial"/>
          <w:sz w:val="18"/>
          <w:szCs w:val="18"/>
          <w:color w:val="auto"/>
        </w:rPr>
        <w:t>These condensed consolidated financial statements present the financial position, results of comprehensive income, cash flows and statements of stockholders’ equity of the Company. The condensed consolidated financial statements should be read in conjunction with the audited consolidated financial statements included in our Annual Report on Form 10-K for the year ended December 31, 2024 as filed with the Securities and Exchange Commission on February 13, 2025. The interim period financial results for the three-month periods presented are not necessarily indicative of results to be expected for any other interim period or for the entire year.</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incentives, government price adjustments, fair market values and future cash flows associated with goodwill, indefinite-lived intangibles, definite-lived intangibles, long-lived asset impairment tests, useful lives for depreciation and amortization, warranty liabilities, core deposit liabilities, determination of discount rate and other assumptions for pension and other post-retirement benefit ("OPEB") expense,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Actual results could differ materially from these estimates and from the assumptions used in the preparation of the Company's financial statements. Changes in estimates are recorded in results of operations in the period that the events or circumstances giving rise to such changes occur.</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2" w:lineRule="exact"/>
        <w:rPr>
          <w:sz w:val="20"/>
          <w:szCs w:val="20"/>
          <w:color w:val="auto"/>
        </w:rPr>
      </w:pPr>
    </w:p>
    <w:p>
      <w:pPr>
        <w:ind w:right="100" w:firstLine="494"/>
        <w:spacing w:after="0" w:line="244" w:lineRule="auto"/>
        <w:rPr>
          <w:sz w:val="20"/>
          <w:szCs w:val="20"/>
          <w:color w:val="auto"/>
        </w:rPr>
      </w:pPr>
      <w:r>
        <w:rPr>
          <w:rFonts w:ascii="Arial" w:cs="Arial" w:eastAsia="Arial" w:hAnsi="Arial"/>
          <w:sz w:val="18"/>
          <w:szCs w:val="18"/>
          <w:color w:val="auto"/>
        </w:rPr>
        <w:t>In December 2023, the Financial Accounting Standards Board ("FASB") issued authoritative accounting guidance to improve income tax disclosures by requiring disaggregated information about a reporting entity's effective tax rate reconciliation and information on income taxes paid. The guidance will become effective for the Company beginning with its fiscal year ending December 31, 2025. The guidance will be applied prospectively with the option to apply it retrospectively. Management is currently evaluating the impact of this guidance on the Company's consolidated financial statements.</w:t>
      </w:r>
    </w:p>
    <w:p>
      <w:pPr>
        <w:spacing w:after="0" w:line="68" w:lineRule="exact"/>
        <w:rPr>
          <w:sz w:val="20"/>
          <w:szCs w:val="20"/>
          <w:color w:val="auto"/>
        </w:rPr>
      </w:pPr>
    </w:p>
    <w:p>
      <w:pPr>
        <w:ind w:right="80" w:firstLine="494"/>
        <w:spacing w:after="0" w:line="244" w:lineRule="auto"/>
        <w:rPr>
          <w:sz w:val="20"/>
          <w:szCs w:val="20"/>
          <w:color w:val="auto"/>
        </w:rPr>
      </w:pPr>
      <w:r>
        <w:rPr>
          <w:rFonts w:ascii="Arial" w:cs="Arial" w:eastAsia="Arial" w:hAnsi="Arial"/>
          <w:sz w:val="18"/>
          <w:szCs w:val="18"/>
          <w:color w:val="auto"/>
        </w:rPr>
        <w:t>In November 2024, the FASB issued authoritative accounting guidance, which was subsequently amended, requiring additional disaggregation of certain expense and cost line items presented in the financial statements and in the notes to the financial statements. The guidance will become effective for the Company beginning with the fiscal year ending December 31, 2027 and the subsequent interim periods. Early adoption is permitted. Upon adoption, the guidance may be applied prospectively or retrospectively. Management is currently evaluating the impact of this guidance on the Company's consolidated financial statements.</w:t>
      </w:r>
    </w:p>
    <w:p>
      <w:pPr>
        <w:spacing w:after="0" w:line="68" w:lineRule="exact"/>
        <w:rPr>
          <w:sz w:val="20"/>
          <w:szCs w:val="20"/>
          <w:color w:val="auto"/>
        </w:rPr>
      </w:pPr>
    </w:p>
    <w:p>
      <w:pPr>
        <w:ind w:right="80" w:firstLine="494"/>
        <w:spacing w:after="0" w:line="271" w:lineRule="auto"/>
        <w:rPr>
          <w:sz w:val="20"/>
          <w:szCs w:val="20"/>
          <w:color w:val="auto"/>
        </w:rPr>
      </w:pPr>
      <w:r>
        <w:rPr>
          <w:rFonts w:ascii="Arial" w:cs="Arial" w:eastAsia="Arial" w:hAnsi="Arial"/>
          <w:sz w:val="18"/>
          <w:szCs w:val="18"/>
          <w:color w:val="auto"/>
        </w:rPr>
        <w:t>All other recently issued accounting pronouncements were assessed as either not applicable to the Company or were not expected to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REVENUE</w:t>
      </w:r>
    </w:p>
    <w:p>
      <w:pPr>
        <w:spacing w:after="0" w:line="104"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71" w:lineRule="exact"/>
        <w:rPr>
          <w:sz w:val="20"/>
          <w:szCs w:val="20"/>
          <w:color w:val="auto"/>
        </w:rPr>
      </w:pPr>
    </w:p>
    <w:p>
      <w:pPr>
        <w:ind w:right="200" w:firstLine="494"/>
        <w:spacing w:after="0" w:line="253" w:lineRule="auto"/>
        <w:rPr>
          <w:sz w:val="20"/>
          <w:szCs w:val="20"/>
          <w:color w:val="auto"/>
        </w:rPr>
      </w:pPr>
      <w:r>
        <w:rPr>
          <w:rFonts w:ascii="Arial" w:cs="Arial" w:eastAsia="Arial" w:hAnsi="Arial"/>
          <w:sz w:val="18"/>
          <w:szCs w:val="18"/>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61" w:lineRule="exact"/>
        <w:rPr>
          <w:sz w:val="20"/>
          <w:szCs w:val="20"/>
          <w:color w:val="auto"/>
        </w:rPr>
      </w:pPr>
    </w:p>
    <w:p>
      <w:pPr>
        <w:ind w:right="360" w:firstLine="494"/>
        <w:spacing w:after="0" w:line="244" w:lineRule="auto"/>
        <w:rPr>
          <w:sz w:val="20"/>
          <w:szCs w:val="20"/>
          <w:color w:val="auto"/>
        </w:rPr>
      </w:pPr>
      <w:r>
        <w:rPr>
          <w:rFonts w:ascii="Arial" w:cs="Arial" w:eastAsia="Arial" w:hAnsi="Arial"/>
          <w:sz w:val="18"/>
          <w:szCs w:val="18"/>
          <w:color w:val="auto"/>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The Company estimates the impact of all other incentives based on the related sales and market conditions in the end market vocation. The Company recorded no material adjustments based on variable consideration during either of the three months ended March 31, 2025 or 2024.</w:t>
      </w:r>
    </w:p>
    <w:p>
      <w:pPr>
        <w:spacing w:after="0" w:line="68" w:lineRule="exact"/>
        <w:rPr>
          <w:sz w:val="20"/>
          <w:szCs w:val="20"/>
          <w:color w:val="auto"/>
        </w:rPr>
      </w:pPr>
    </w:p>
    <w:p>
      <w:pPr>
        <w:ind w:right="60" w:firstLine="494"/>
        <w:spacing w:after="0" w:line="244" w:lineRule="auto"/>
        <w:rPr>
          <w:sz w:val="20"/>
          <w:szCs w:val="20"/>
          <w:color w:val="auto"/>
        </w:rPr>
      </w:pPr>
      <w:r>
        <w:rPr>
          <w:rFonts w:ascii="Arial" w:cs="Arial" w:eastAsia="Arial" w:hAnsi="Arial"/>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March 31, 2025 and December 31, 2024. See "Note J. Deferred Revenue” for more information, including the amount of revenue earned during each of the three months ended March 31, 2025 and 2024 that had been previously deferred. The Company had no material contract assets as of either March 31, 2025 or December 31, 2024.</w:t>
      </w:r>
    </w:p>
    <w:p>
      <w:pPr>
        <w:spacing w:after="0" w:line="68" w:lineRule="exact"/>
        <w:rPr>
          <w:sz w:val="20"/>
          <w:szCs w:val="20"/>
          <w:color w:val="auto"/>
        </w:rPr>
      </w:pPr>
    </w:p>
    <w:p>
      <w:pPr>
        <w:ind w:right="320" w:firstLine="494"/>
        <w:spacing w:after="0" w:line="253" w:lineRule="auto"/>
        <w:rPr>
          <w:sz w:val="20"/>
          <w:szCs w:val="20"/>
          <w:color w:val="auto"/>
        </w:rPr>
      </w:pPr>
      <w:r>
        <w:rPr>
          <w:rFonts w:ascii="Arial" w:cs="Arial" w:eastAsia="Arial" w:hAnsi="Arial"/>
          <w:sz w:val="18"/>
          <w:szCs w:val="18"/>
          <w:color w:val="auto"/>
        </w:rPr>
        <w:t>The Company has one operating segment and reportable segment. The Company is in one line of business, which is the design,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70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9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North America On-Highway</w:t>
            </w:r>
          </w:p>
        </w:tc>
        <w:tc>
          <w:tcPr>
            <w:tcW w:w="4380" w:type="dxa"/>
            <w:vAlign w:val="bottom"/>
            <w:gridSpan w:val="2"/>
            <w:shd w:val="clear" w:color="auto" w:fill="CFF0FC"/>
          </w:tcPr>
          <w:p>
            <w:pPr>
              <w:jc w:val="right"/>
              <w:ind w:right="808"/>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435</w:t>
            </w:r>
          </w:p>
        </w:tc>
        <w:tc>
          <w:tcPr>
            <w:tcW w:w="1160" w:type="dxa"/>
            <w:vAlign w:val="bottom"/>
            <w:gridSpan w:val="2"/>
            <w:shd w:val="clear" w:color="auto" w:fill="CFF0FC"/>
          </w:tcPr>
          <w:p>
            <w:pPr>
              <w:jc w:val="right"/>
              <w:ind w:right="828"/>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Outside North America On-Highway</w:t>
            </w:r>
          </w:p>
        </w:tc>
        <w:tc>
          <w:tcPr>
            <w:tcW w:w="3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112</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Global Off-Highway</w:t>
            </w:r>
          </w:p>
        </w:tc>
        <w:tc>
          <w:tcPr>
            <w:tcW w:w="3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18</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Defense</w:t>
            </w:r>
          </w:p>
        </w:tc>
        <w:tc>
          <w:tcPr>
            <w:tcW w:w="3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53</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45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Service Parts, Support Equipment and Other</w:t>
            </w:r>
          </w:p>
        </w:tc>
        <w:tc>
          <w:tcPr>
            <w:tcW w:w="34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148</w:t>
            </w: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96"/>
        </w:trPr>
        <w:tc>
          <w:tcPr>
            <w:tcW w:w="4580" w:type="dxa"/>
            <w:vAlign w:val="bottom"/>
          </w:tcPr>
          <w:p>
            <w:pPr>
              <w:spacing w:after="0" w:line="196" w:lineRule="exact"/>
              <w:rPr>
                <w:sz w:val="20"/>
                <w:szCs w:val="20"/>
                <w:color w:val="auto"/>
              </w:rPr>
            </w:pPr>
            <w:r>
              <w:rPr>
                <w:rFonts w:ascii="Arial" w:cs="Arial" w:eastAsia="Arial" w:hAnsi="Arial"/>
                <w:sz w:val="18"/>
                <w:szCs w:val="18"/>
                <w:color w:val="auto"/>
              </w:rPr>
              <w:t>Total Net Sales</w:t>
            </w:r>
          </w:p>
        </w:tc>
        <w:tc>
          <w:tcPr>
            <w:tcW w:w="4380" w:type="dxa"/>
            <w:vAlign w:val="bottom"/>
            <w:gridSpan w:val="2"/>
          </w:tcPr>
          <w:p>
            <w:pPr>
              <w:jc w:val="right"/>
              <w:ind w:right="808"/>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766</w:t>
            </w:r>
          </w:p>
        </w:tc>
        <w:tc>
          <w:tcPr>
            <w:tcW w:w="1160" w:type="dxa"/>
            <w:vAlign w:val="bottom"/>
            <w:gridSpan w:val="2"/>
          </w:tcPr>
          <w:p>
            <w:pPr>
              <w:jc w:val="right"/>
              <w:ind w:right="828"/>
              <w:spacing w:after="0" w:line="196"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400" w:type="dxa"/>
            <w:vAlign w:val="bottom"/>
            <w:vMerge w:val="restart"/>
          </w:tcPr>
          <w:p>
            <w:pPr>
              <w:jc w:val="right"/>
              <w:ind w:right="2210"/>
              <w:spacing w:after="0"/>
              <w:rPr>
                <w:sz w:val="20"/>
                <w:szCs w:val="20"/>
                <w:color w:val="auto"/>
              </w:rPr>
            </w:pPr>
            <w:r>
              <w:rPr>
                <w:rFonts w:ascii="Arial" w:cs="Arial" w:eastAsia="Arial" w:hAnsi="Arial"/>
                <w:sz w:val="18"/>
                <w:szCs w:val="18"/>
                <w:color w:val="auto"/>
              </w:rPr>
              <w:t>9</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45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5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-1028065</wp:posOffset>
            </wp:positionV>
            <wp:extent cx="1111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INVENTORIES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3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2024</w:t>
            </w:r>
          </w:p>
        </w:tc>
      </w:tr>
      <w:tr>
        <w:trPr>
          <w:trHeight w:val="196"/>
        </w:trPr>
        <w:tc>
          <w:tcPr>
            <w:tcW w:w="5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Purchased parts and raw materials</w:t>
            </w:r>
          </w:p>
        </w:tc>
        <w:tc>
          <w:tcPr>
            <w:tcW w:w="3660" w:type="dxa"/>
            <w:vAlign w:val="bottom"/>
            <w:gridSpan w:val="2"/>
            <w:shd w:val="clear" w:color="auto" w:fill="CFF0FC"/>
          </w:tcPr>
          <w:p>
            <w:pPr>
              <w:jc w:val="right"/>
              <w:ind w:right="1002"/>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185</w:t>
            </w:r>
          </w:p>
        </w:tc>
        <w:tc>
          <w:tcPr>
            <w:tcW w:w="3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162</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Work in progress</w:t>
            </w:r>
          </w:p>
        </w:tc>
        <w:tc>
          <w:tcPr>
            <w:tcW w:w="2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w:t>
            </w:r>
          </w:p>
        </w:tc>
      </w:tr>
      <w:tr>
        <w:trPr>
          <w:trHeight w:val="203"/>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Finished goods</w:t>
            </w:r>
          </w:p>
        </w:tc>
        <w:tc>
          <w:tcPr>
            <w:tcW w:w="24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82</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79</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Service parts</w:t>
            </w:r>
          </w:p>
        </w:tc>
        <w:tc>
          <w:tcPr>
            <w:tcW w:w="24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64</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57</w:t>
            </w:r>
          </w:p>
        </w:tc>
      </w:tr>
      <w:tr>
        <w:trPr>
          <w:trHeight w:val="216"/>
        </w:trPr>
        <w:tc>
          <w:tcPr>
            <w:tcW w:w="52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inventories</w:t>
            </w:r>
          </w:p>
        </w:tc>
        <w:tc>
          <w:tcPr>
            <w:tcW w:w="2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02"/>
              <w:spacing w:after="0" w:line="196" w:lineRule="exact"/>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349</w:t>
            </w:r>
          </w:p>
        </w:tc>
        <w:tc>
          <w:tcPr>
            <w:tcW w:w="3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315</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24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64" w:lineRule="exact"/>
        <w:rPr>
          <w:sz w:val="20"/>
          <w:szCs w:val="20"/>
          <w:color w:val="auto"/>
        </w:rPr>
      </w:pPr>
    </w:p>
    <w:p>
      <w:pPr>
        <w:ind w:right="200" w:firstLine="494"/>
        <w:spacing w:after="0" w:line="253"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GOODWILL AND OTHER INTANGIBLE ASSETS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both March 31, 2025 and December 31, 2024, the carrying value of the Company’s Goodwill was $2,075 million.</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6"/>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36"/>
              <w:spacing w:after="0" w:line="147" w:lineRule="exact"/>
              <w:rPr>
                <w:sz w:val="20"/>
                <w:szCs w:val="20"/>
                <w:color w:val="auto"/>
              </w:rPr>
            </w:pPr>
            <w:r>
              <w:rPr>
                <w:rFonts w:ascii="Arial" w:cs="Arial" w:eastAsia="Arial" w:hAnsi="Arial"/>
                <w:sz w:val="14"/>
                <w:szCs w:val="14"/>
                <w:b w:val="1"/>
                <w:bCs w:val="1"/>
                <w:color w:val="auto"/>
              </w:rPr>
              <w:t>Intangible</w:t>
            </w:r>
          </w:p>
        </w:tc>
        <w:tc>
          <w:tcPr>
            <w:tcW w:w="100" w:type="dxa"/>
            <w:vAlign w:val="bottom"/>
          </w:tcPr>
          <w:p>
            <w:pPr>
              <w:spacing w:after="0"/>
              <w:rPr>
                <w:sz w:val="12"/>
                <w:szCs w:val="12"/>
                <w:color w:val="auto"/>
              </w:rPr>
            </w:pPr>
          </w:p>
        </w:tc>
        <w:tc>
          <w:tcPr>
            <w:tcW w:w="1000" w:type="dxa"/>
            <w:vAlign w:val="bottom"/>
            <w:gridSpan w:val="2"/>
          </w:tcPr>
          <w:p>
            <w:pPr>
              <w:jc w:val="center"/>
              <w:ind w:right="13"/>
              <w:spacing w:after="0" w:line="147" w:lineRule="exact"/>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6"/>
              <w:spacing w:after="0" w:line="147" w:lineRule="exact"/>
              <w:rPr>
                <w:sz w:val="20"/>
                <w:szCs w:val="20"/>
                <w:color w:val="auto"/>
              </w:rPr>
            </w:pPr>
            <w:r>
              <w:rPr>
                <w:rFonts w:ascii="Arial" w:cs="Arial" w:eastAsia="Arial" w:hAnsi="Arial"/>
                <w:sz w:val="14"/>
                <w:szCs w:val="14"/>
                <w:b w:val="1"/>
                <w:bCs w:val="1"/>
                <w:color w:val="auto"/>
              </w:rPr>
              <w:t>Intangible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2"/>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76"/>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right="273"/>
              <w:spacing w:after="0"/>
              <w:rPr>
                <w:sz w:val="20"/>
                <w:szCs w:val="20"/>
                <w:color w:val="auto"/>
              </w:rPr>
            </w:pPr>
            <w:r>
              <w:rPr>
                <w:rFonts w:ascii="Arial" w:cs="Arial" w:eastAsia="Arial" w:hAnsi="Arial"/>
                <w:sz w:val="14"/>
                <w:szCs w:val="14"/>
                <w:b w:val="1"/>
                <w:bCs w:val="1"/>
                <w:color w:val="auto"/>
                <w:w w:val="92"/>
              </w:rPr>
              <w:t>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w w:val="99"/>
              </w:rPr>
              <w:t>Intangible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76"/>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w:t>
            </w:r>
          </w:p>
        </w:tc>
        <w:tc>
          <w:tcPr>
            <w:tcW w:w="120" w:type="dxa"/>
            <w:vAlign w:val="bottom"/>
          </w:tcPr>
          <w:p>
            <w:pPr>
              <w:spacing w:after="0"/>
              <w:rPr>
                <w:sz w:val="14"/>
                <w:szCs w:val="14"/>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w w:val="99"/>
              </w:rPr>
              <w:t>Intangible</w:t>
            </w:r>
          </w:p>
        </w:tc>
      </w:tr>
      <w:tr>
        <w:trPr>
          <w:trHeight w:val="171"/>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36"/>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4"/>
                <w:szCs w:val="14"/>
                <w:color w:val="auto"/>
              </w:rPr>
            </w:pPr>
          </w:p>
        </w:tc>
        <w:tc>
          <w:tcPr>
            <w:tcW w:w="1000" w:type="dxa"/>
            <w:vAlign w:val="bottom"/>
            <w:gridSpan w:val="2"/>
          </w:tcPr>
          <w:p>
            <w:pPr>
              <w:jc w:val="center"/>
              <w:ind w:right="13"/>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0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assets, net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6"/>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02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assets, net</w:t>
            </w: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intangible assets:</w:t>
            </w: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Trade name</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791</w:t>
            </w:r>
          </w:p>
        </w:tc>
        <w:tc>
          <w:tcPr>
            <w:tcW w:w="340" w:type="dxa"/>
            <w:vAlign w:val="bottom"/>
            <w:gridSpan w:val="2"/>
          </w:tcPr>
          <w:p>
            <w:pPr>
              <w:jc w:val="right"/>
              <w:ind w:right="62"/>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791</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791</w:t>
            </w:r>
          </w:p>
        </w:tc>
        <w:tc>
          <w:tcPr>
            <w:tcW w:w="440" w:type="dxa"/>
            <w:vAlign w:val="bottom"/>
            <w:gridSpan w:val="3"/>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791</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 — commercial</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b w:val="1"/>
                <w:bCs w:val="1"/>
                <w:color w:val="auto"/>
              </w:rPr>
              <w:t>839</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(837)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839</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Proprietary technology</w:t>
            </w:r>
          </w:p>
        </w:tc>
        <w:tc>
          <w:tcPr>
            <w:tcW w:w="100" w:type="dxa"/>
            <w:vAlign w:val="bottom"/>
          </w:tcPr>
          <w:p>
            <w:pPr>
              <w:spacing w:after="0"/>
              <w:rPr>
                <w:sz w:val="17"/>
                <w:szCs w:val="17"/>
                <w:color w:val="auto"/>
              </w:rPr>
            </w:pPr>
          </w:p>
        </w:tc>
        <w:tc>
          <w:tcPr>
            <w:tcW w:w="90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507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26</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 — defense</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Non-compete agreement</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b w:val="1"/>
                <w:bCs w:val="1"/>
                <w:color w:val="auto"/>
              </w:rPr>
              <w:t>2,200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62"/>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(1,380)</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820</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2,200</w:t>
            </w:r>
          </w:p>
        </w:tc>
        <w:tc>
          <w:tcPr>
            <w:tcW w:w="440" w:type="dxa"/>
            <w:vAlign w:val="bottom"/>
            <w:gridSpan w:val="3"/>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822</w:t>
            </w: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other intangible assets for the next five fiscal years is expected to be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2026</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2027</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2028</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2029</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2030</w:t>
            </w:r>
          </w:p>
        </w:tc>
      </w:tr>
      <w:tr>
        <w:trPr>
          <w:trHeight w:val="23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Amortization expense</w:t>
            </w:r>
          </w:p>
        </w:tc>
        <w:tc>
          <w:tcPr>
            <w:tcW w:w="800" w:type="dxa"/>
            <w:vAlign w:val="bottom"/>
            <w:shd w:val="clear" w:color="auto" w:fill="CFF0FC"/>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w:t>
            </w:r>
          </w:p>
        </w:tc>
        <w:tc>
          <w:tcPr>
            <w:tcW w:w="920" w:type="dxa"/>
            <w:vAlign w:val="bottom"/>
            <w:gridSpan w:val="2"/>
            <w:shd w:val="clear" w:color="auto" w:fill="CFF0FC"/>
          </w:tcPr>
          <w:p>
            <w:pPr>
              <w:jc w:val="right"/>
              <w:ind w:right="628"/>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w:t>
            </w:r>
          </w:p>
        </w:tc>
        <w:tc>
          <w:tcPr>
            <w:tcW w:w="900" w:type="dxa"/>
            <w:vAlign w:val="bottom"/>
            <w:gridSpan w:val="2"/>
            <w:shd w:val="clear" w:color="auto" w:fill="CFF0FC"/>
          </w:tcPr>
          <w:p>
            <w:pPr>
              <w:jc w:val="right"/>
              <w:ind w:right="608"/>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w:t>
            </w:r>
          </w:p>
        </w:tc>
        <w:tc>
          <w:tcPr>
            <w:tcW w:w="900" w:type="dxa"/>
            <w:vAlign w:val="bottom"/>
            <w:gridSpan w:val="2"/>
            <w:shd w:val="clear" w:color="auto" w:fill="CFF0FC"/>
          </w:tcPr>
          <w:p>
            <w:pPr>
              <w:jc w:val="right"/>
              <w:ind w:right="608"/>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2</w:t>
            </w:r>
          </w:p>
        </w:tc>
      </w:tr>
      <w:tr>
        <w:trPr>
          <w:trHeight w:val="578"/>
        </w:trPr>
        <w:tc>
          <w:tcPr>
            <w:tcW w:w="516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10</w:t>
            </w: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746"/>
        </w:trPr>
        <w:tc>
          <w:tcPr>
            <w:tcW w:w="5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-890905</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-873760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-890905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-873760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-890905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-873760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-890905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-873760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FAIR VALUE OF FINANCIAL INSTRUMENTS</w:t>
      </w:r>
    </w:p>
    <w:p>
      <w:pPr>
        <w:spacing w:after="0" w:line="158"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w:t>
      </w:r>
    </w:p>
    <w:p>
      <w:pPr>
        <w:spacing w:after="0" w:line="104" w:lineRule="exact"/>
        <w:rPr>
          <w:sz w:val="20"/>
          <w:szCs w:val="20"/>
          <w:color w:val="auto"/>
        </w:rPr>
      </w:pPr>
    </w:p>
    <w:p>
      <w:pPr>
        <w:ind w:right="20" w:firstLine="494"/>
        <w:spacing w:after="0" w:line="247" w:lineRule="auto"/>
        <w:rPr>
          <w:sz w:val="20"/>
          <w:szCs w:val="20"/>
          <w:color w:val="auto"/>
        </w:rPr>
      </w:pPr>
      <w:r>
        <w:rPr>
          <w:rFonts w:ascii="Arial" w:cs="Arial" w:eastAsia="Arial" w:hAnsi="Arial"/>
          <w:sz w:val="18"/>
          <w:szCs w:val="18"/>
          <w:color w:val="auto"/>
        </w:rPr>
        <w:t>Level 2 —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in which all significant value-drivers are observable in active markets or are supported by observable levels at which transactions are executed in the marketplace.</w:t>
      </w:r>
    </w:p>
    <w:p>
      <w:pPr>
        <w:spacing w:after="0" w:line="66" w:lineRule="exact"/>
        <w:rPr>
          <w:sz w:val="20"/>
          <w:szCs w:val="20"/>
          <w:color w:val="auto"/>
        </w:rPr>
      </w:pPr>
    </w:p>
    <w:p>
      <w:pPr>
        <w:ind w:right="320" w:firstLine="494"/>
        <w:spacing w:after="0" w:line="244" w:lineRule="auto"/>
        <w:rPr>
          <w:sz w:val="20"/>
          <w:szCs w:val="20"/>
          <w:color w:val="auto"/>
        </w:rPr>
      </w:pPr>
      <w:r>
        <w:rPr>
          <w:rFonts w:ascii="Arial" w:cs="Arial" w:eastAsia="Arial" w:hAnsi="Arial"/>
          <w:sz w:val="18"/>
          <w:szCs w:val="18"/>
          <w:color w:val="auto"/>
        </w:rPr>
        <w:t>Level 3 — Certain inputs are unobservable or have little or no market data available.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March 31, 2025 and December 31, 2024, the Company did not have any Level 3 financial assets or liabilities.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(liabilities) measured at fair value as of March 31, 2025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 Measurements Using</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46"/>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gridSpan w:val="4"/>
          </w:tcPr>
          <w:p>
            <w:pPr>
              <w:jc w:val="center"/>
              <w:ind w:right="235"/>
              <w:spacing w:after="0" w:line="147" w:lineRule="exact"/>
              <w:rPr>
                <w:sz w:val="20"/>
                <w:szCs w:val="20"/>
                <w:color w:val="auto"/>
              </w:rPr>
            </w:pPr>
            <w:r>
              <w:rPr>
                <w:rFonts w:ascii="Arial" w:cs="Arial" w:eastAsia="Arial" w:hAnsi="Arial"/>
                <w:sz w:val="14"/>
                <w:szCs w:val="14"/>
                <w:b w:val="1"/>
                <w:bCs w:val="1"/>
                <w:color w:val="auto"/>
              </w:rPr>
              <w:t>Quoted Prices in Active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3"/>
          </w:tcPr>
          <w:p>
            <w:pPr>
              <w:jc w:val="center"/>
              <w:ind w:left="19"/>
              <w:spacing w:after="0" w:line="147" w:lineRule="exact"/>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2"/>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4"/>
          </w:tcPr>
          <w:p>
            <w:pPr>
              <w:jc w:val="center"/>
              <w:ind w:right="215"/>
              <w:spacing w:after="0"/>
              <w:rPr>
                <w:sz w:val="20"/>
                <w:szCs w:val="20"/>
                <w:color w:val="auto"/>
              </w:rPr>
            </w:pPr>
            <w:r>
              <w:rPr>
                <w:rFonts w:ascii="Arial" w:cs="Arial" w:eastAsia="Arial" w:hAnsi="Arial"/>
                <w:sz w:val="14"/>
                <w:szCs w:val="14"/>
                <w:b w:val="1"/>
                <w:bCs w:val="1"/>
                <w:color w:val="auto"/>
              </w:rPr>
              <w:t>Markets for Identical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center"/>
              <w:ind w:right="235"/>
              <w:spacing w:after="0"/>
              <w:rPr>
                <w:sz w:val="20"/>
                <w:szCs w:val="20"/>
                <w:color w:val="auto"/>
              </w:rPr>
            </w:pPr>
            <w:r>
              <w:rPr>
                <w:rFonts w:ascii="Arial" w:cs="Arial" w:eastAsia="Arial" w:hAnsi="Arial"/>
                <w:sz w:val="14"/>
                <w:szCs w:val="14"/>
                <w:b w:val="1"/>
                <w:bCs w:val="1"/>
                <w:color w:val="auto"/>
              </w:rPr>
              <w:t>Assets (Level 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4"/>
                <w:szCs w:val="14"/>
                <w:color w:val="auto"/>
              </w:rPr>
            </w:pPr>
          </w:p>
        </w:tc>
      </w:tr>
      <w:tr>
        <w:trPr>
          <w:trHeight w:val="146"/>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298"/>
              <w:spacing w:after="0" w:line="147"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135"/>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299"/>
              <w:spacing w:after="0" w:line="147"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2"/>
                <w:szCs w:val="12"/>
                <w:color w:val="auto"/>
              </w:rPr>
            </w:pPr>
          </w:p>
        </w:tc>
        <w:tc>
          <w:tcPr>
            <w:tcW w:w="1220" w:type="dxa"/>
            <w:vAlign w:val="bottom"/>
            <w:gridSpan w:val="2"/>
          </w:tcPr>
          <w:p>
            <w:pPr>
              <w:jc w:val="right"/>
              <w:ind w:right="110"/>
              <w:spacing w:after="0" w:line="147"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276"/>
              <w:spacing w:after="0" w:line="147"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2"/>
                <w:szCs w:val="12"/>
                <w:color w:val="auto"/>
              </w:rPr>
            </w:pPr>
          </w:p>
        </w:tc>
        <w:tc>
          <w:tcPr>
            <w:tcW w:w="1220" w:type="dxa"/>
            <w:vAlign w:val="bottom"/>
            <w:gridSpan w:val="2"/>
          </w:tcPr>
          <w:p>
            <w:pPr>
              <w:jc w:val="right"/>
              <w:ind w:right="113"/>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3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r>
      <w:tr>
        <w:trPr>
          <w:trHeight w:val="196"/>
        </w:trPr>
        <w:tc>
          <w:tcPr>
            <w:tcW w:w="3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equivalents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b w:val="1"/>
                <w:bCs w:val="1"/>
                <w:color w:val="auto"/>
              </w:rPr>
              <w:t>607</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664</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19"/>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FF0FC"/>
          </w:tcPr>
          <w:p>
            <w:pPr>
              <w:jc w:val="right"/>
              <w:ind w:right="728"/>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b w:val="1"/>
                <w:bCs w:val="1"/>
                <w:color w:val="auto"/>
              </w:rPr>
              <w:t>607</w:t>
            </w:r>
          </w:p>
        </w:tc>
        <w:tc>
          <w:tcPr>
            <w:tcW w:w="36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664</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7"/>
                <w:szCs w:val="17"/>
                <w:color w:val="auto"/>
              </w:rPr>
            </w:pPr>
          </w:p>
        </w:tc>
        <w:tc>
          <w:tcPr>
            <w:tcW w:w="1140" w:type="dxa"/>
            <w:vAlign w:val="bottom"/>
          </w:tcPr>
          <w:p>
            <w:pPr>
              <w:jc w:val="right"/>
              <w:ind w:right="38"/>
              <w:spacing w:after="0" w:line="202" w:lineRule="exact"/>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19"/>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w:t>
            </w:r>
          </w:p>
        </w:tc>
      </w:tr>
      <w:tr>
        <w:trPr>
          <w:trHeight w:val="202"/>
        </w:trPr>
        <w:tc>
          <w:tcPr>
            <w:tcW w:w="3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Rabbi trust assets</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9"/>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6"/>
              <w:spacing w:after="0" w:line="202" w:lineRule="exact"/>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20</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Deferred compensation obligation</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19"/>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30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Derivative assets</w:t>
            </w: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8"/>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9"/>
              <w:spacing w:after="0" w:line="202" w:lineRule="exact"/>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6"/>
              <w:spacing w:after="0" w:line="202" w:lineRule="exact"/>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5</w:t>
            </w:r>
          </w:p>
        </w:tc>
      </w:tr>
      <w:tr>
        <w:trPr>
          <w:trHeight w:val="196"/>
        </w:trPr>
        <w:tc>
          <w:tcPr>
            <w:tcW w:w="3000" w:type="dxa"/>
            <w:vAlign w:val="bottom"/>
          </w:tcPr>
          <w:p>
            <w:pPr>
              <w:ind w:left="80"/>
              <w:spacing w:after="0" w:line="196" w:lineRule="exact"/>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38"/>
              <w:spacing w:after="0" w:line="196" w:lineRule="exact"/>
              <w:rPr>
                <w:sz w:val="20"/>
                <w:szCs w:val="20"/>
                <w:color w:val="auto"/>
              </w:rPr>
            </w:pPr>
            <w:r>
              <w:rPr>
                <w:rFonts w:ascii="Arial" w:cs="Arial" w:eastAsia="Arial" w:hAnsi="Arial"/>
                <w:sz w:val="18"/>
                <w:szCs w:val="18"/>
                <w:b w:val="1"/>
                <w:bCs w:val="1"/>
                <w:color w:val="auto"/>
              </w:rPr>
              <w:t>622</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line="196" w:lineRule="exact"/>
              <w:rPr>
                <w:sz w:val="20"/>
                <w:szCs w:val="20"/>
                <w:color w:val="auto"/>
              </w:rPr>
            </w:pPr>
            <w:r>
              <w:rPr>
                <w:rFonts w:ascii="Arial" w:cs="Arial" w:eastAsia="Arial" w:hAnsi="Arial"/>
                <w:sz w:val="18"/>
                <w:szCs w:val="18"/>
                <w:color w:val="auto"/>
              </w:rPr>
              <w:t>675</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9"/>
              <w:spacing w:after="0" w:line="196" w:lineRule="exact"/>
              <w:rPr>
                <w:sz w:val="20"/>
                <w:szCs w:val="20"/>
                <w:color w:val="auto"/>
              </w:rPr>
            </w:pPr>
            <w:r>
              <w:rPr>
                <w:rFonts w:ascii="Arial" w:cs="Arial" w:eastAsia="Arial" w:hAnsi="Arial"/>
                <w:sz w:val="18"/>
                <w:szCs w:val="18"/>
                <w:b w:val="1"/>
                <w:bCs w:val="1"/>
                <w:color w:val="auto"/>
              </w:rPr>
              <w:t>4</w:t>
            </w:r>
          </w:p>
        </w:tc>
        <w:tc>
          <w:tcPr>
            <w:tcW w:w="1020" w:type="dxa"/>
            <w:vAlign w:val="bottom"/>
            <w:gridSpan w:val="2"/>
          </w:tcPr>
          <w:p>
            <w:pPr>
              <w:jc w:val="right"/>
              <w:ind w:right="728"/>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w:t>
            </w:r>
          </w:p>
        </w:tc>
        <w:tc>
          <w:tcPr>
            <w:tcW w:w="280" w:type="dxa"/>
            <w:vAlign w:val="bottom"/>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6"/>
              <w:spacing w:after="0" w:line="196" w:lineRule="exact"/>
              <w:rPr>
                <w:sz w:val="20"/>
                <w:szCs w:val="20"/>
                <w:color w:val="auto"/>
              </w:rPr>
            </w:pPr>
            <w:r>
              <w:rPr>
                <w:rFonts w:ascii="Arial" w:cs="Arial" w:eastAsia="Arial" w:hAnsi="Arial"/>
                <w:sz w:val="18"/>
                <w:szCs w:val="18"/>
                <w:b w:val="1"/>
                <w:bCs w:val="1"/>
                <w:color w:val="auto"/>
              </w:rPr>
              <w:t>626</w:t>
            </w:r>
          </w:p>
        </w:tc>
        <w:tc>
          <w:tcPr>
            <w:tcW w:w="360" w:type="dxa"/>
            <w:vAlign w:val="bottom"/>
            <w:gridSpan w:val="2"/>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line="196" w:lineRule="exact"/>
              <w:rPr>
                <w:sz w:val="20"/>
                <w:szCs w:val="20"/>
                <w:color w:val="auto"/>
              </w:rPr>
            </w:pPr>
            <w:r>
              <w:rPr>
                <w:rFonts w:ascii="Arial" w:cs="Arial" w:eastAsia="Arial" w:hAnsi="Arial"/>
                <w:sz w:val="18"/>
                <w:szCs w:val="18"/>
                <w:color w:val="auto"/>
              </w:rPr>
              <w:t>680</w:t>
            </w:r>
          </w:p>
        </w:tc>
      </w:tr>
      <w:tr>
        <w:trPr>
          <w:trHeight w:val="20"/>
        </w:trPr>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-162560</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-162560</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-162560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-162560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-162560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140" w:firstLine="494"/>
        <w:spacing w:after="0" w:line="253" w:lineRule="auto"/>
        <w:rPr>
          <w:sz w:val="20"/>
          <w:szCs w:val="20"/>
          <w:color w:val="auto"/>
        </w:rPr>
      </w:pPr>
      <w:r>
        <w:rPr>
          <w:rFonts w:ascii="Arial" w:cs="Arial" w:eastAsia="Arial" w:hAnsi="Arial"/>
          <w:sz w:val="18"/>
          <w:szCs w:val="18"/>
          <w:color w:val="auto"/>
        </w:rPr>
        <w:t>The Company’s valuation techniques used to calculate the fair value of cash equivalents, marketable securities, assets held in the rabbi trust and the deferred compensation obligation represent a market approach in active markets for identical assets that qualify as Level 1 in the fair value hierarchy. A description of the Company’s Level 1 assets is as follows:</w:t>
      </w:r>
    </w:p>
    <w:p>
      <w:pPr>
        <w:spacing w:after="0" w:line="61" w:lineRule="exact"/>
        <w:rPr>
          <w:sz w:val="20"/>
          <w:szCs w:val="20"/>
          <w:color w:val="auto"/>
        </w:rPr>
      </w:pPr>
    </w:p>
    <w:p>
      <w:pPr>
        <w:ind w:left="1260" w:hanging="384"/>
        <w:spacing w:after="0"/>
        <w:tabs>
          <w:tab w:leader="none" w:pos="12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Cash equivalents consist of short-term U.S. government backed securities and time deposits.</w:t>
      </w:r>
    </w:p>
    <w:p>
      <w:pPr>
        <w:spacing w:after="0" w:line="116" w:lineRule="exact"/>
        <w:rPr>
          <w:rFonts w:ascii="Times New Roman" w:cs="Times New Roman" w:eastAsia="Times New Roman" w:hAnsi="Times New Roman"/>
          <w:sz w:val="18"/>
          <w:szCs w:val="18"/>
          <w:color w:val="auto"/>
        </w:rPr>
      </w:pPr>
    </w:p>
    <w:p>
      <w:pPr>
        <w:ind w:left="1260" w:right="860" w:hanging="384"/>
        <w:spacing w:after="0" w:line="270" w:lineRule="auto"/>
        <w:tabs>
          <w:tab w:leader="none" w:pos="12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Marketable securities consist of publicly traded stock of Jing-Jin Electric Technologies Co. Ltd., which has a readily determinable fair value.</w:t>
      </w:r>
    </w:p>
    <w:p>
      <w:pPr>
        <w:spacing w:after="0" w:line="46" w:lineRule="exact"/>
        <w:rPr>
          <w:rFonts w:ascii="Times New Roman" w:cs="Times New Roman" w:eastAsia="Times New Roman" w:hAnsi="Times New Roman"/>
          <w:sz w:val="18"/>
          <w:szCs w:val="18"/>
          <w:color w:val="auto"/>
        </w:rPr>
      </w:pPr>
    </w:p>
    <w:p>
      <w:pPr>
        <w:ind w:left="1260" w:hanging="384"/>
        <w:spacing w:after="0"/>
        <w:tabs>
          <w:tab w:leader="none" w:pos="12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Rabbi trust assets consist principally of publicly available mutual funds and target date retirement funds.</w:t>
      </w:r>
    </w:p>
    <w:p>
      <w:pPr>
        <w:spacing w:after="0" w:line="116" w:lineRule="exact"/>
        <w:rPr>
          <w:rFonts w:ascii="Times New Roman" w:cs="Times New Roman" w:eastAsia="Times New Roman" w:hAnsi="Times New Roman"/>
          <w:sz w:val="18"/>
          <w:szCs w:val="18"/>
          <w:color w:val="auto"/>
        </w:rPr>
      </w:pPr>
    </w:p>
    <w:p>
      <w:pPr>
        <w:ind w:left="1260" w:hanging="384"/>
        <w:spacing w:after="0"/>
        <w:tabs>
          <w:tab w:leader="none" w:pos="12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Deferred compensation obligation is directly related to the fair value of assets held in the rabbi trust.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494"/>
        <w:spacing w:after="0" w:line="244" w:lineRule="auto"/>
        <w:rPr>
          <w:sz w:val="20"/>
          <w:szCs w:val="20"/>
          <w:color w:val="auto"/>
        </w:rPr>
      </w:pPr>
      <w:r>
        <w:rPr>
          <w:rFonts w:ascii="Arial" w:cs="Arial" w:eastAsia="Arial" w:hAnsi="Arial"/>
          <w:sz w:val="18"/>
          <w:szCs w:val="18"/>
          <w:color w:val="auto"/>
        </w:rPr>
        <w:t>The Company’s valuation techniques used to calculate the fair value of derivative instruments represent a market approach with observable inputs that qualify as Level 2 in the fair value hierarchy. The Company uses valuations from the issuing financial institutions for the fair value measurement of interest rate swaps. The floating-to-fixed interest rate swaps are based on the Secured Overnight Financing Rate ("SOFR"), which is observable at commonly quoted intervals. The fair values are included in other current and non-current assets in the Condensed Consolidated Balance Sheets. See "Note H. Derivatives” for more information regarding the Company's interest rate swaps.</w:t>
      </w:r>
    </w:p>
    <w:p>
      <w:pPr>
        <w:spacing w:after="0" w:line="68"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The Company holds equity securities in unconsolidated entities without a readily determinable fair value. Each of these investments represents a less than 20% ownership interest in the respective privately-held entity, and the Company does not maintain significant influence over or control of any of the entities. The Company has elected the measurement alternative and measures the investments at cost, less any impairment, plus or minus adjustments related to observable price changes in orderly transactions for identical or similar investments of the same issuer. These equity investments are recorded in Other non-current assets in the Condensed Consolidated Balance Sheets, with changes in the value recorded in Other income (expense), net in the Consolidated Statements of Comprehensive Income. As of both March 31, 2025 and December 31, 2024, the Company held equity securities without a readily determinable fair value of $7 million. During the three months ended March 31, 2025, no impairment charges or adjustments resulting from observable price changes in orderly transactions for identical or similar investments of the same issuer occurred for any of these investments.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DEBT</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494"/>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3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2024</w:t>
            </w:r>
          </w:p>
        </w:tc>
      </w:tr>
      <w:tr>
        <w:trPr>
          <w:trHeight w:val="196"/>
        </w:trPr>
        <w:tc>
          <w:tcPr>
            <w:tcW w:w="6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Long-term debt:</w:t>
            </w: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Senior Notes, fixed 4.75%, due 2027</w:t>
            </w:r>
          </w:p>
        </w:tc>
        <w:tc>
          <w:tcPr>
            <w:tcW w:w="16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400</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400</w:t>
            </w:r>
          </w:p>
        </w:tc>
      </w:tr>
      <w:tr>
        <w:trPr>
          <w:trHeight w:val="203"/>
        </w:trPr>
        <w:tc>
          <w:tcPr>
            <w:tcW w:w="6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Senior Notes, fixed 5.875%, due 2029</w:t>
            </w: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b w:val="1"/>
                <w:bCs w:val="1"/>
                <w:color w:val="auto"/>
              </w:rPr>
              <w:t>500</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500</w:t>
            </w: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Senior Notes, fixed 3.75%, due 2031</w:t>
            </w: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63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Senior Secured Credit Facility Term Loan, variable, due 2031</w:t>
            </w:r>
          </w:p>
        </w:tc>
        <w:tc>
          <w:tcPr>
            <w:tcW w:w="14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b w:val="1"/>
                <w:bCs w:val="1"/>
                <w:color w:val="auto"/>
              </w:rPr>
              <w:t>513</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514</w:t>
            </w:r>
          </w:p>
        </w:tc>
      </w:tr>
      <w:tr>
        <w:trPr>
          <w:trHeight w:val="196"/>
        </w:trPr>
        <w:tc>
          <w:tcPr>
            <w:tcW w:w="6300" w:type="dxa"/>
            <w:vAlign w:val="bottom"/>
          </w:tcPr>
          <w:p>
            <w:pPr>
              <w:ind w:left="200"/>
              <w:spacing w:after="0" w:line="196" w:lineRule="exact"/>
              <w:rPr>
                <w:sz w:val="20"/>
                <w:szCs w:val="20"/>
                <w:color w:val="auto"/>
              </w:rPr>
            </w:pPr>
            <w:r>
              <w:rPr>
                <w:rFonts w:ascii="Arial" w:cs="Arial" w:eastAsia="Arial" w:hAnsi="Arial"/>
                <w:sz w:val="18"/>
                <w:szCs w:val="18"/>
                <w:color w:val="auto"/>
              </w:rPr>
              <w:t>Total long-term debt</w:t>
            </w:r>
          </w:p>
        </w:tc>
        <w:tc>
          <w:tcPr>
            <w:tcW w:w="1680" w:type="dxa"/>
            <w:vAlign w:val="bottom"/>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54"/>
              <w:spacing w:after="0" w:line="196" w:lineRule="exact"/>
              <w:rPr>
                <w:sz w:val="20"/>
                <w:szCs w:val="20"/>
                <w:color w:val="auto"/>
              </w:rPr>
            </w:pPr>
            <w:r>
              <w:rPr>
                <w:rFonts w:ascii="Arial" w:cs="Arial" w:eastAsia="Arial" w:hAnsi="Arial"/>
                <w:sz w:val="18"/>
                <w:szCs w:val="18"/>
                <w:b w:val="1"/>
                <w:bCs w:val="1"/>
                <w:color w:val="auto"/>
              </w:rPr>
              <w:t>2,413</w:t>
            </w:r>
          </w:p>
        </w:tc>
        <w:tc>
          <w:tcPr>
            <w:tcW w:w="3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2,414</w:t>
            </w:r>
          </w:p>
        </w:tc>
      </w:tr>
      <w:tr>
        <w:trPr>
          <w:trHeight w:val="203"/>
        </w:trPr>
        <w:tc>
          <w:tcPr>
            <w:tcW w:w="6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5</w:t>
            </w:r>
          </w:p>
        </w:tc>
      </w:tr>
      <w:tr>
        <w:trPr>
          <w:trHeight w:val="203"/>
        </w:trPr>
        <w:tc>
          <w:tcPr>
            <w:tcW w:w="6300" w:type="dxa"/>
            <w:vAlign w:val="bottom"/>
          </w:tcPr>
          <w:p>
            <w:pPr>
              <w:ind w:left="400"/>
              <w:spacing w:after="0" w:line="202" w:lineRule="exact"/>
              <w:rPr>
                <w:sz w:val="20"/>
                <w:szCs w:val="20"/>
                <w:color w:val="auto"/>
              </w:rPr>
            </w:pPr>
            <w:r>
              <w:rPr>
                <w:rFonts w:ascii="Arial" w:cs="Arial" w:eastAsia="Arial" w:hAnsi="Arial"/>
                <w:sz w:val="18"/>
                <w:szCs w:val="18"/>
                <w:color w:val="auto"/>
              </w:rPr>
              <w:t>deferred financing costs, net</w:t>
            </w:r>
          </w:p>
        </w:tc>
        <w:tc>
          <w:tcPr>
            <w:tcW w:w="1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b w:val="1"/>
                <w:bCs w:val="1"/>
                <w:color w:val="auto"/>
              </w:rPr>
              <w:t>13</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14</w:t>
            </w:r>
          </w:p>
        </w:tc>
      </w:tr>
      <w:tr>
        <w:trPr>
          <w:trHeight w:val="216"/>
        </w:trPr>
        <w:tc>
          <w:tcPr>
            <w:tcW w:w="63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long-term debt, net</w:t>
            </w:r>
          </w:p>
        </w:tc>
        <w:tc>
          <w:tcPr>
            <w:tcW w:w="16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b w:val="1"/>
                <w:bCs w:val="1"/>
                <w:color w:val="auto"/>
              </w:rPr>
              <w:t>2,395</w:t>
            </w:r>
          </w:p>
        </w:tc>
        <w:tc>
          <w:tcPr>
            <w:tcW w:w="3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2,395</w:t>
            </w:r>
          </w:p>
        </w:tc>
      </w:tr>
      <w:tr>
        <w:trPr>
          <w:trHeight w:val="20"/>
        </w:trPr>
        <w:tc>
          <w:tcPr>
            <w:tcW w:w="63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-556895</wp:posOffset>
            </wp:positionV>
            <wp:extent cx="1117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64"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As of March 31, 2025, the Company had $2,413 million of indebtedness associated with Allison Transmission, Inc.’s (“ATI”), the Company’s wholly-owned subsidiary, 4.75% Senior Notes due October 2027 (“4.75% Senior Notes”), ATI’s 5.875% Senior Notes due June 2029 (“5.875% Senior Notes”), ATI’s 3.75% Senior Notes due January 2031 (“3.75% Senior Notes” and, together with the 4.75% Senior Notes and 5.875% Senior Notes, the “Senior Notes”) and the Second Amended and Restated Credit Agreement dated as of March 29, 2019, as amended (the “Credit Agreement”), governing ATI’s term loan facility in the amount of $513 million due March 2031 (“Term Loan”) and ATI’s revolving credit facility with commitments in the amount of $750 million due March 2029 (“Revolving Credit Facility” and, together with the Term Loan, the “Senior Secured Credit Facility”).</w:t>
      </w:r>
    </w:p>
    <w:p>
      <w:pPr>
        <w:spacing w:after="0" w:line="77" w:lineRule="exact"/>
        <w:rPr>
          <w:sz w:val="20"/>
          <w:szCs w:val="20"/>
          <w:color w:val="auto"/>
        </w:rPr>
      </w:pPr>
    </w:p>
    <w:p>
      <w:pPr>
        <w:jc w:val="both"/>
        <w:ind w:right="40" w:firstLine="494"/>
        <w:spacing w:after="0" w:line="253" w:lineRule="auto"/>
        <w:rPr>
          <w:sz w:val="20"/>
          <w:szCs w:val="20"/>
          <w:color w:val="auto"/>
        </w:rPr>
      </w:pPr>
      <w:r>
        <w:rPr>
          <w:rFonts w:ascii="Arial" w:cs="Arial" w:eastAsia="Arial" w:hAnsi="Arial"/>
          <w:sz w:val="18"/>
          <w:szCs w:val="18"/>
          <w:color w:val="auto"/>
        </w:rPr>
        <w:t>The fair value of the Company’s long-term debt obligations as of March 31, 2025 was $2,294 million. The fair value is based on quoted Level 2 market prices of the Company’s debt as of March 31, 2025. The difference between the fair value and carrying value of the long-term debt is driven primarily by trends in the financial markets.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02"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The borrowings under the Senior Secured Credit Facility are collateralized by a lien on substantially all assets of the Company, ATI and certain existing and future U.S. subsidiary guarantors, as provided in the Credit Agreement. Interest on the Term Loan, as of March 31, 2025, is either (a) 1.75% over a SOFR rate on deposits in U.S. dollars for one-, three- or six-month periods (or a twelve-month period if, at the time of the borrowing, consented to by all relevant lenders and the administrative agent) ("Term SOFR"), or (b) 0.75% over the greater of the prime lending rate as quoted by the administrative agent, the Term SOFR rate for an interest period of one month plus 1.00% and the federal funds effective rate published by the Federal Reserve Bank of New York plus 0.50%, subject to a 1.00% floor (the "Base Rate"). As of March 31, 2025, the Company elected to pay the lowest all-in rate of Term SOFR plus the applicable margin, or 6.07%, on the Term Loan. The Credit Agreement requires minimum quarterly principal payments on the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2031 is $1 million. As of March 31, 2025, there had been no payments required for certain net cash proceeds of non-ordinary course asset sales and casualty and condemnation events. The remaining principal balance is due upon maturity.</w:t>
      </w:r>
    </w:p>
    <w:p>
      <w:pPr>
        <w:spacing w:after="0" w:line="75" w:lineRule="exact"/>
        <w:rPr>
          <w:sz w:val="20"/>
          <w:szCs w:val="20"/>
          <w:color w:val="auto"/>
        </w:rPr>
      </w:pPr>
    </w:p>
    <w:p>
      <w:pPr>
        <w:ind w:right="220" w:firstLine="494"/>
        <w:spacing w:after="0" w:line="244" w:lineRule="auto"/>
        <w:rPr>
          <w:sz w:val="20"/>
          <w:szCs w:val="20"/>
          <w:color w:val="auto"/>
        </w:rPr>
      </w:pPr>
      <w:r>
        <w:rPr>
          <w:rFonts w:ascii="Arial" w:cs="Arial" w:eastAsia="Arial" w:hAnsi="Arial"/>
          <w:sz w:val="18"/>
          <w:szCs w:val="18"/>
          <w:color w:val="auto"/>
        </w:rPr>
        <w:t>The Senior Secured Credit Facility also provides a Revolving Credit Facility, net of an allowance for up to $75 million in outstanding letters of credit commitments. During the three months ended March 31, 2025, the Company made no withdrawals on the Revolving Credit Facility. As of March 31, 2025, the Company had $744 million available under the Revolving Credit Facility, net of $6 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Facility is (a) 0.75% over the Base Rate or (b) 1.75% over the Term SOFR rate; when the Company’s first lien net leverage ratio is equal to or less than 4.00x and above 3.50x, interest on the Revolving Credit Facility is (i) 0.50% over the Base Rate or (ii) 1.50% over the Term SOFR rate; and when the Company’s first lien net leverage ratio is equal to or below 3.50x, interest on the Revolving Credit Facility is (y)</w:t>
      </w:r>
    </w:p>
    <w:p>
      <w:pPr>
        <w:spacing w:after="0" w:line="2" w:lineRule="exact"/>
        <w:rPr>
          <w:sz w:val="20"/>
          <w:szCs w:val="20"/>
          <w:color w:val="auto"/>
        </w:rPr>
      </w:pPr>
    </w:p>
    <w:p>
      <w:pPr>
        <w:jc w:val="both"/>
        <w:ind w:right="380"/>
        <w:spacing w:after="0" w:line="248" w:lineRule="auto"/>
        <w:rPr>
          <w:sz w:val="20"/>
          <w:szCs w:val="20"/>
          <w:color w:val="auto"/>
        </w:rPr>
      </w:pPr>
      <w:r>
        <w:rPr>
          <w:rFonts w:ascii="Arial" w:cs="Arial" w:eastAsia="Arial" w:hAnsi="Arial"/>
          <w:sz w:val="17"/>
          <w:szCs w:val="17"/>
          <w:color w:val="auto"/>
        </w:rPr>
        <w:t>0.25% over the Base Rate or (z) 1.25% over the Term SOFR rate. As of March 31, 2025, the applicable margin for the Revolving Credit Facility was 1.25%. In addition, there is an annual commitment fee, based on the Company’s first lien net leverage ratio, on the average unused revolving credit borrowings available under the Revolving Credit Facility. As of March 31, 2025, the commitment fee was 0.25%.</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Borrowings under the Revolving Credit Facility are payable at the option of the Company throughout the term of the Revolving Credit Facility with the balance due in March 2029.</w:t>
      </w:r>
    </w:p>
    <w:p>
      <w:pPr>
        <w:spacing w:after="0" w:line="64" w:lineRule="exact"/>
        <w:rPr>
          <w:sz w:val="20"/>
          <w:szCs w:val="20"/>
          <w:color w:val="auto"/>
        </w:rPr>
      </w:pPr>
    </w:p>
    <w:p>
      <w:pPr>
        <w:ind w:right="80" w:firstLine="494"/>
        <w:spacing w:after="0" w:line="242" w:lineRule="auto"/>
        <w:rPr>
          <w:sz w:val="20"/>
          <w:szCs w:val="20"/>
          <w:color w:val="auto"/>
        </w:rPr>
      </w:pPr>
      <w:r>
        <w:rPr>
          <w:rFonts w:ascii="Arial" w:cs="Arial" w:eastAsia="Arial" w:hAnsi="Arial"/>
          <w:sz w:val="18"/>
          <w:szCs w:val="18"/>
          <w:color w:val="auto"/>
        </w:rPr>
        <w:t>The Senior Secured Credit Facility requires the Company to maintain a specified maximum first lien net leverage ratio of 5.50x when revolving loan commitments remain outstanding on the Revolving Credit Facility at the end of a fiscal quarter. As of March 31, 2025, the Company had no amounts outstanding under the Revolving Credit Facility; however, the Company would have been in compliance with the maximum first lien net leverage ratio, achieving a (0.21x) ratio. Additionally, within the terms of the Senior Secured Credit Facility, a first lien net leverage ratio at or below 4.00x results in the elimination of excess cash flow payments on the Senior Secured Credit Facility for the applicable year.</w:t>
      </w:r>
    </w:p>
    <w:p>
      <w:pPr>
        <w:spacing w:after="0" w:line="71" w:lineRule="exact"/>
        <w:rPr>
          <w:sz w:val="20"/>
          <w:szCs w:val="20"/>
          <w:color w:val="auto"/>
        </w:rPr>
      </w:pPr>
    </w:p>
    <w:p>
      <w:pPr>
        <w:ind w:right="120" w:firstLine="494"/>
        <w:spacing w:after="0" w:line="247" w:lineRule="auto"/>
        <w:rPr>
          <w:sz w:val="20"/>
          <w:szCs w:val="20"/>
          <w:color w:val="auto"/>
        </w:rPr>
      </w:pPr>
      <w:r>
        <w:rPr>
          <w:rFonts w:ascii="Arial" w:cs="Arial" w:eastAsia="Arial" w:hAnsi="Arial"/>
          <w:sz w:val="18"/>
          <w:szCs w:val="18"/>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March 31, 2025, the Company was in compliance with all covenants under the Credit Agreement.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02"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Each series of the Senior Notes is unsecured and is guaranteed by each of ATI’s domestic subsidiaries that is a borrower under or guarantees the Senior Secured Credit Facility and is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any series of the Senior Notes. The indentures governing the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March 31, 2025, the Company was in compliance with all covenants under the indentures governing the Senior Notes.</w:t>
      </w:r>
    </w:p>
    <w:p>
      <w:pPr>
        <w:spacing w:after="0" w:line="75"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ATI may from time to time seek to retire its Senior Notes through cash purchases, exchanges for equity securities, open market purchases, privately negotiated transactions, contractual redemptions or otherwise. Such repurchases or exchanges, if any, will depend on prevailing market conditions, liquidity requirements, contractual restrictions and other factors and will be in accordance with the respective indenture governing such notes. The amounts involved may be material. Some or all of the 4.75% Senior Notes and the 5.875% Senior Notes may be redeemed at any time at redemption prices specified in the indentures governing such notes. Prior to January 30, 2026, ATI may redeem some or all of the 3.75% Senior Notes by paying a price equal to 100.00% of the principal amount being redeemed, plus an “applicable premium”. At any time on or after January 30, 2026, ATI may redeem some or all of the 3.75% Senior Notes at redemption prices specified in the indenture governing such notes.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DERIVATIVES</w:t>
      </w:r>
    </w:p>
    <w:p>
      <w:pPr>
        <w:spacing w:after="0" w:line="104" w:lineRule="exact"/>
        <w:rPr>
          <w:sz w:val="20"/>
          <w:szCs w:val="20"/>
          <w:color w:val="auto"/>
        </w:rPr>
      </w:pPr>
    </w:p>
    <w:p>
      <w:pPr>
        <w:ind w:right="160" w:firstLine="494"/>
        <w:spacing w:after="0" w:line="253"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entered into interest rate swaps to manage a portion of this exposure. The interest rate swaps are designated as cash flow hedges that qualify for hedge accounting under the hypothetical derivative method.</w:t>
      </w:r>
    </w:p>
    <w:p>
      <w:pPr>
        <w:spacing w:after="0" w:line="61" w:lineRule="exact"/>
        <w:rPr>
          <w:sz w:val="20"/>
          <w:szCs w:val="20"/>
          <w:color w:val="auto"/>
        </w:rPr>
      </w:pPr>
    </w:p>
    <w:p>
      <w:pPr>
        <w:ind w:right="460" w:firstLine="544"/>
        <w:spacing w:after="0" w:line="271" w:lineRule="auto"/>
        <w:rPr>
          <w:sz w:val="20"/>
          <w:szCs w:val="20"/>
          <w:color w:val="auto"/>
        </w:rPr>
      </w:pPr>
      <w:r>
        <w:rPr>
          <w:rFonts w:ascii="Arial" w:cs="Arial" w:eastAsia="Arial" w:hAnsi="Arial"/>
          <w:sz w:val="18"/>
          <w:szCs w:val="18"/>
          <w:color w:val="auto"/>
        </w:rPr>
        <w:t>As of March 31, 2025, the Company held interest rate swap contracts that, in the aggregate, effectively hedge $500 million of the variable rate debt associated with the Term Loan at the Term SOFR weighted average fixed rate of 2.81% through September 2025.</w:t>
      </w:r>
    </w:p>
    <w:p>
      <w:pPr>
        <w:spacing w:after="0" w:line="46" w:lineRule="exact"/>
        <w:rPr>
          <w:sz w:val="20"/>
          <w:szCs w:val="20"/>
          <w:color w:val="auto"/>
        </w:rPr>
      </w:pPr>
    </w:p>
    <w:p>
      <w:pPr>
        <w:ind w:firstLine="544"/>
        <w:spacing w:after="0" w:line="253" w:lineRule="auto"/>
        <w:rPr>
          <w:sz w:val="20"/>
          <w:szCs w:val="20"/>
          <w:color w:val="auto"/>
        </w:rPr>
      </w:pPr>
      <w:r>
        <w:rPr>
          <w:rFonts w:ascii="Arial" w:cs="Arial" w:eastAsia="Arial" w:hAnsi="Arial"/>
          <w:sz w:val="18"/>
          <w:szCs w:val="18"/>
          <w:color w:val="auto"/>
        </w:rPr>
        <w:t>Fair value adjustments are recorded as a component of Accumulated other comprehensive loss, net of tax (“AOCL”) in the Condensed Consolidated Balance Sheets. Balances in AOCL are reclassified to earnings when transactions related to the underlying risk are settled. See "Note F. Fair Value of Financial Instruments” for information regarding the fair value of the Company’s interest rate swaps.</w:t>
      </w:r>
    </w:p>
    <w:p>
      <w:pPr>
        <w:spacing w:after="0" w:line="61" w:lineRule="exact"/>
        <w:rPr>
          <w:sz w:val="20"/>
          <w:szCs w:val="20"/>
          <w:color w:val="auto"/>
        </w:rPr>
      </w:pPr>
    </w:p>
    <w:p>
      <w:pPr>
        <w:ind w:right="760" w:firstLine="494"/>
        <w:spacing w:after="0" w:line="271" w:lineRule="auto"/>
        <w:rPr>
          <w:sz w:val="20"/>
          <w:szCs w:val="20"/>
          <w:color w:val="auto"/>
        </w:rPr>
      </w:pPr>
      <w:r>
        <w:rPr>
          <w:rFonts w:ascii="Arial" w:cs="Arial" w:eastAsia="Arial" w:hAnsi="Arial"/>
          <w:sz w:val="18"/>
          <w:szCs w:val="18"/>
          <w:color w:val="auto"/>
        </w:rPr>
        <w:t>The following tabular disclosures further describe the Company’s interest rate derivatives qualifying and designated for hedge accounting and their impact on the financial condition of the Company (dollars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480" w:type="dxa"/>
            <w:vAlign w:val="bottom"/>
            <w:tcBorders>
              <w:bottom w:val="single" w:sz="8" w:color="auto"/>
            </w:tcBorders>
          </w:tcPr>
          <w:p>
            <w:pPr>
              <w:spacing w:after="0"/>
              <w:rPr>
                <w:sz w:val="14"/>
                <w:szCs w:val="14"/>
                <w:color w:val="auto"/>
              </w:rPr>
            </w:pPr>
          </w:p>
        </w:tc>
      </w:tr>
      <w:tr>
        <w:trPr>
          <w:trHeight w:val="146"/>
        </w:trPr>
        <w:tc>
          <w:tcPr>
            <w:tcW w:w="2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59"/>
              <w:spacing w:after="0" w:line="147" w:lineRule="exact"/>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right"/>
              <w:ind w:right="379"/>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0" w:type="dxa"/>
            <w:vAlign w:val="bottom"/>
            <w:gridSpan w:val="2"/>
          </w:tcPr>
          <w:p>
            <w:pPr>
              <w:ind w:left="900"/>
              <w:spacing w:after="0"/>
              <w:rPr>
                <w:sz w:val="20"/>
                <w:szCs w:val="20"/>
                <w:color w:val="auto"/>
              </w:rPr>
            </w:pPr>
            <w:r>
              <w:rPr>
                <w:rFonts w:ascii="Arial" w:cs="Arial" w:eastAsia="Arial" w:hAnsi="Arial"/>
                <w:sz w:val="14"/>
                <w:szCs w:val="14"/>
                <w:b w:val="1"/>
                <w:bCs w:val="1"/>
                <w:color w:val="auto"/>
              </w:rPr>
              <w:t>Balance Sheet Location</w:t>
            </w:r>
          </w:p>
        </w:tc>
        <w:tc>
          <w:tcPr>
            <w:tcW w:w="1300" w:type="dxa"/>
            <w:vAlign w:val="bottom"/>
          </w:tcPr>
          <w:p>
            <w:pPr>
              <w:jc w:val="right"/>
              <w:ind w:right="239"/>
              <w:spacing w:after="0"/>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right"/>
              <w:ind w:right="699"/>
              <w:spacing w:after="0"/>
              <w:rPr>
                <w:sz w:val="20"/>
                <w:szCs w:val="20"/>
                <w:color w:val="auto"/>
              </w:rPr>
            </w:pPr>
            <w:r>
              <w:rPr>
                <w:rFonts w:ascii="Arial" w:cs="Arial" w:eastAsia="Arial" w:hAnsi="Arial"/>
                <w:sz w:val="14"/>
                <w:szCs w:val="14"/>
                <w:b w:val="1"/>
                <w:bCs w:val="1"/>
                <w:color w:val="auto"/>
              </w:rPr>
              <w:t>2024</w:t>
            </w:r>
          </w:p>
        </w:tc>
      </w:tr>
      <w:tr>
        <w:trPr>
          <w:trHeight w:val="196"/>
        </w:trPr>
        <w:tc>
          <w:tcPr>
            <w:tcW w:w="2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Derivative Assets:</w:t>
            </w:r>
          </w:p>
        </w:tc>
        <w:tc>
          <w:tcPr>
            <w:tcW w:w="1040" w:type="dxa"/>
            <w:vAlign w:val="bottom"/>
            <w:shd w:val="clear" w:color="auto" w:fill="CFF0FC"/>
          </w:tcPr>
          <w:p>
            <w:pPr>
              <w:spacing w:after="0"/>
              <w:rPr>
                <w:sz w:val="17"/>
                <w:szCs w:val="17"/>
                <w:color w:val="auto"/>
              </w:rPr>
            </w:pPr>
          </w:p>
        </w:tc>
        <w:tc>
          <w:tcPr>
            <w:tcW w:w="34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r>
      <w:tr>
        <w:trPr>
          <w:trHeight w:val="203"/>
        </w:trPr>
        <w:tc>
          <w:tcPr>
            <w:tcW w:w="2920" w:type="dxa"/>
            <w:vAlign w:val="bottom"/>
          </w:tcPr>
          <w:p>
            <w:pPr>
              <w:ind w:left="100"/>
              <w:spacing w:after="0" w:line="202" w:lineRule="exact"/>
              <w:rPr>
                <w:sz w:val="20"/>
                <w:szCs w:val="20"/>
                <w:color w:val="auto"/>
              </w:rPr>
            </w:pPr>
            <w:r>
              <w:rPr>
                <w:rFonts w:ascii="Arial" w:cs="Arial" w:eastAsia="Arial" w:hAnsi="Arial"/>
                <w:sz w:val="18"/>
                <w:szCs w:val="18"/>
                <w:color w:val="auto"/>
              </w:rPr>
              <w:t>Interest rate swaps</w:t>
            </w:r>
          </w:p>
        </w:tc>
        <w:tc>
          <w:tcPr>
            <w:tcW w:w="4640" w:type="dxa"/>
            <w:vAlign w:val="bottom"/>
            <w:gridSpan w:val="3"/>
          </w:tcPr>
          <w:p>
            <w:pPr>
              <w:ind w:left="1040"/>
              <w:spacing w:after="0" w:line="202" w:lineRule="exact"/>
              <w:rPr>
                <w:sz w:val="20"/>
                <w:szCs w:val="20"/>
                <w:color w:val="auto"/>
              </w:rPr>
            </w:pPr>
            <w:r>
              <w:rPr>
                <w:rFonts w:ascii="Arial" w:cs="Arial" w:eastAsia="Arial" w:hAnsi="Arial"/>
                <w:sz w:val="18"/>
                <w:szCs w:val="18"/>
                <w:color w:val="auto"/>
              </w:rPr>
              <w:t>Other current assets</w:t>
            </w:r>
          </w:p>
        </w:tc>
        <w:tc>
          <w:tcPr>
            <w:tcW w:w="1300" w:type="dxa"/>
            <w:vAlign w:val="bottom"/>
          </w:tcPr>
          <w:p>
            <w:pPr>
              <w:jc w:val="right"/>
              <w:ind w:right="1119"/>
              <w:spacing w:after="0" w:line="202" w:lineRule="exact"/>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4</w:t>
            </w:r>
          </w:p>
        </w:tc>
        <w:tc>
          <w:tcPr>
            <w:tcW w:w="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9"/>
              <w:spacing w:after="0" w:line="202" w:lineRule="exact"/>
              <w:rPr>
                <w:sz w:val="20"/>
                <w:szCs w:val="20"/>
                <w:color w:val="auto"/>
              </w:rPr>
            </w:pPr>
            <w:r>
              <w:rPr>
                <w:rFonts w:ascii="Arial" w:cs="Arial" w:eastAsia="Arial" w:hAnsi="Arial"/>
                <w:sz w:val="18"/>
                <w:szCs w:val="18"/>
                <w:color w:val="auto"/>
              </w:rPr>
              <w:t>5</w:t>
            </w:r>
          </w:p>
        </w:tc>
      </w:tr>
      <w:tr>
        <w:trPr>
          <w:trHeight w:val="236"/>
        </w:trPr>
        <w:tc>
          <w:tcPr>
            <w:tcW w:w="2920" w:type="dxa"/>
            <w:vAlign w:val="bottom"/>
            <w:tcBorders>
              <w:top w:val="single" w:sz="8" w:color="CFF0FC"/>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derivative assets</w:t>
            </w:r>
          </w:p>
        </w:tc>
        <w:tc>
          <w:tcPr>
            <w:tcW w:w="1040" w:type="dxa"/>
            <w:vAlign w:val="bottom"/>
            <w:tcBorders>
              <w:top w:val="single" w:sz="8" w:color="CFF0FC"/>
              <w:bottom w:val="single" w:sz="8" w:color="CFF0FC"/>
            </w:tcBorders>
            <w:shd w:val="clear" w:color="auto" w:fill="CFF0FC"/>
          </w:tcPr>
          <w:p>
            <w:pPr>
              <w:spacing w:after="0"/>
              <w:rPr>
                <w:sz w:val="20"/>
                <w:szCs w:val="20"/>
                <w:color w:val="auto"/>
              </w:rPr>
            </w:pPr>
          </w:p>
        </w:tc>
        <w:tc>
          <w:tcPr>
            <w:tcW w:w="342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ind w:right="1119"/>
              <w:spacing w:after="0" w:line="196" w:lineRule="exact"/>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b w:val="1"/>
                <w:bCs w:val="1"/>
                <w:color w:val="auto"/>
              </w:rPr>
              <w:t>4</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1200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120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-162560</wp:posOffset>
            </wp:positionV>
            <wp:extent cx="120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4" w:lineRule="exact"/>
        <w:rPr>
          <w:sz w:val="20"/>
          <w:szCs w:val="20"/>
          <w:color w:val="auto"/>
        </w:rPr>
      </w:pPr>
    </w:p>
    <w:p>
      <w:pPr>
        <w:jc w:val="both"/>
        <w:ind w:right="260" w:firstLine="494"/>
        <w:spacing w:after="0" w:line="247" w:lineRule="auto"/>
        <w:rPr>
          <w:sz w:val="20"/>
          <w:szCs w:val="20"/>
          <w:color w:val="auto"/>
        </w:rPr>
      </w:pPr>
      <w:r>
        <w:rPr>
          <w:rFonts w:ascii="Arial" w:cs="Arial" w:eastAsia="Arial" w:hAnsi="Arial"/>
          <w:sz w:val="18"/>
          <w:szCs w:val="18"/>
          <w:color w:val="auto"/>
        </w:rPr>
        <w:t>The balance of net derivative gains recorded in AOCL as of March 31, 2025 and December 31, 2024 was $4 million and $5 million, respectively. See "Note O. Accumulated Other Comprehensive Loss” for information regarding activity recorded as a component of AOCL during the three months ended March 31, 2025 and 2024. As of March 31, 2025, all derivative gains recorded in AOCL are expected to be reclassified to earnings within the next twelve months.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PRODUCT WARRANTY LIABILITIES</w:t>
      </w:r>
    </w:p>
    <w:p>
      <w:pPr>
        <w:spacing w:after="0" w:line="104"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As of March 31, 2025, current and non-current product warranty liabilities were $ 32 million and $41 million, respectively. As of March 31, 2024, current and non-current product warranty liabilities were $30 million and $28 million, respectively.</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Product warranty liability activities consisted of the following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194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142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102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w w:val="96"/>
              </w:rPr>
              <w:t>2024</w:t>
            </w:r>
          </w:p>
        </w:tc>
        <w:tc>
          <w:tcPr>
            <w:tcW w:w="0" w:type="dxa"/>
            <w:vAlign w:val="bottom"/>
          </w:tcPr>
          <w:p>
            <w:pPr>
              <w:spacing w:after="0"/>
              <w:rPr>
                <w:sz w:val="1"/>
                <w:szCs w:val="1"/>
                <w:color w:val="auto"/>
              </w:rPr>
            </w:pPr>
          </w:p>
        </w:tc>
      </w:tr>
      <w:tr>
        <w:trPr>
          <w:trHeight w:val="137"/>
        </w:trPr>
        <w:tc>
          <w:tcPr>
            <w:tcW w:w="596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Beginning balance</w:t>
            </w:r>
          </w:p>
        </w:tc>
        <w:tc>
          <w:tcPr>
            <w:tcW w:w="2840" w:type="dxa"/>
            <w:vAlign w:val="bottom"/>
            <w:gridSpan w:val="2"/>
            <w:shd w:val="clear" w:color="auto" w:fill="CFF0FC"/>
          </w:tcPr>
          <w:p>
            <w:pPr>
              <w:jc w:val="right"/>
              <w:ind w:right="719"/>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67</w:t>
            </w:r>
          </w:p>
        </w:tc>
        <w:tc>
          <w:tcPr>
            <w:tcW w:w="740" w:type="dxa"/>
            <w:vAlign w:val="bottom"/>
            <w:gridSpan w:val="2"/>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Payments</w:t>
            </w:r>
          </w:p>
        </w:tc>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5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Increase in liability (warranty issued during period)</w:t>
            </w:r>
          </w:p>
        </w:tc>
        <w:tc>
          <w:tcPr>
            <w:tcW w:w="19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b w:val="1"/>
                <w:bCs w:val="1"/>
                <w:color w:val="auto"/>
              </w:rPr>
              <w:t>9</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Net adjustments to liability</w:t>
            </w:r>
          </w:p>
        </w:tc>
        <w:tc>
          <w:tcPr>
            <w:tcW w:w="19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6"/>
        </w:trPr>
        <w:tc>
          <w:tcPr>
            <w:tcW w:w="59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 balance</w:t>
            </w:r>
          </w:p>
        </w:tc>
        <w:tc>
          <w:tcPr>
            <w:tcW w:w="19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719"/>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73</w:t>
            </w:r>
          </w:p>
        </w:tc>
        <w:tc>
          <w:tcPr>
            <w:tcW w:w="1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1111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111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DEFERRED REVENUE</w:t>
      </w:r>
    </w:p>
    <w:p>
      <w:pPr>
        <w:spacing w:after="0" w:line="104" w:lineRule="exact"/>
        <w:rPr>
          <w:sz w:val="20"/>
          <w:szCs w:val="20"/>
          <w:color w:val="auto"/>
        </w:rPr>
      </w:pPr>
    </w:p>
    <w:p>
      <w:pPr>
        <w:ind w:right="100" w:firstLine="494"/>
        <w:spacing w:after="0" w:line="271" w:lineRule="auto"/>
        <w:rPr>
          <w:sz w:val="20"/>
          <w:szCs w:val="20"/>
          <w:color w:val="auto"/>
        </w:rPr>
      </w:pPr>
      <w:r>
        <w:rPr>
          <w:rFonts w:ascii="Arial" w:cs="Arial" w:eastAsia="Arial" w:hAnsi="Arial"/>
          <w:sz w:val="18"/>
          <w:szCs w:val="18"/>
          <w:color w:val="auto"/>
        </w:rPr>
        <w:t>As of March 31, 2025, current and non-current deferred revenue were $37 million and $99 million, respectively. As of March 31, 2024, current and non-current deferred revenue were $42 million and $92 million, respectively.</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revenue activity consisted of the following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40" w:type="dxa"/>
            <w:vAlign w:val="bottom"/>
          </w:tcPr>
          <w:p>
            <w:pPr>
              <w:spacing w:after="0"/>
              <w:rPr>
                <w:sz w:val="17"/>
                <w:szCs w:val="17"/>
                <w:color w:val="auto"/>
              </w:rPr>
            </w:pPr>
          </w:p>
        </w:tc>
        <w:tc>
          <w:tcPr>
            <w:tcW w:w="14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2025</w:t>
            </w:r>
          </w:p>
        </w:tc>
        <w:tc>
          <w:tcPr>
            <w:tcW w:w="18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1560" w:type="dxa"/>
            <w:vAlign w:val="bottom"/>
            <w:vMerge w:val="restart"/>
          </w:tcPr>
          <w:p>
            <w:pPr>
              <w:jc w:val="right"/>
              <w:ind w:right="954"/>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37"/>
        </w:trPr>
        <w:tc>
          <w:tcPr>
            <w:tcW w:w="6440" w:type="dxa"/>
            <w:vAlign w:val="bottom"/>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Beginning balance</w:t>
            </w:r>
          </w:p>
        </w:tc>
        <w:tc>
          <w:tcPr>
            <w:tcW w:w="1440" w:type="dxa"/>
            <w:vAlign w:val="bottom"/>
            <w:shd w:val="clear" w:color="auto" w:fill="CFF0FC"/>
          </w:tcPr>
          <w:p>
            <w:pPr>
              <w:jc w:val="right"/>
              <w:ind w:right="1256"/>
              <w:spacing w:after="0" w:line="196"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b w:val="1"/>
                <w:bCs w:val="1"/>
                <w:color w:val="auto"/>
              </w:rPr>
              <w:t>136</w:t>
            </w:r>
          </w:p>
        </w:tc>
        <w:tc>
          <w:tcPr>
            <w:tcW w:w="960" w:type="dxa"/>
            <w:vAlign w:val="bottom"/>
            <w:gridSpan w:val="2"/>
            <w:shd w:val="clear" w:color="auto" w:fill="CFF0FC"/>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3"/>
        </w:trPr>
        <w:tc>
          <w:tcPr>
            <w:tcW w:w="6440" w:type="dxa"/>
            <w:vAlign w:val="bottom"/>
          </w:tcPr>
          <w:p>
            <w:pPr>
              <w:spacing w:after="0" w:line="202" w:lineRule="exact"/>
              <w:rPr>
                <w:sz w:val="20"/>
                <w:szCs w:val="20"/>
                <w:color w:val="auto"/>
              </w:rPr>
            </w:pPr>
            <w:r>
              <w:rPr>
                <w:rFonts w:ascii="Arial" w:cs="Arial" w:eastAsia="Arial" w:hAnsi="Arial"/>
                <w:sz w:val="18"/>
                <w:szCs w:val="18"/>
                <w:color w:val="auto"/>
              </w:rPr>
              <w:t>Increases</w:t>
            </w:r>
          </w:p>
        </w:tc>
        <w:tc>
          <w:tcPr>
            <w:tcW w:w="1440" w:type="dxa"/>
            <w:vAlign w:val="bottom"/>
          </w:tcPr>
          <w:p>
            <w:pPr>
              <w:spacing w:after="0"/>
              <w:rPr>
                <w:sz w:val="17"/>
                <w:szCs w:val="17"/>
                <w:color w:val="auto"/>
              </w:rPr>
            </w:pPr>
          </w:p>
        </w:tc>
        <w:tc>
          <w:tcPr>
            <w:tcW w:w="84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11</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64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Revenue earned</w:t>
            </w:r>
          </w:p>
        </w:tc>
        <w:tc>
          <w:tcPr>
            <w:tcW w:w="14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2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440" w:type="dxa"/>
            <w:vAlign w:val="bottom"/>
          </w:tcPr>
          <w:p>
            <w:pPr>
              <w:spacing w:after="0" w:line="196" w:lineRule="exact"/>
              <w:rPr>
                <w:sz w:val="20"/>
                <w:szCs w:val="20"/>
                <w:color w:val="auto"/>
              </w:rPr>
            </w:pPr>
            <w:r>
              <w:rPr>
                <w:rFonts w:ascii="Arial" w:cs="Arial" w:eastAsia="Arial" w:hAnsi="Arial"/>
                <w:sz w:val="18"/>
                <w:szCs w:val="18"/>
                <w:color w:val="auto"/>
              </w:rPr>
              <w:t>Ending balance</w:t>
            </w:r>
          </w:p>
        </w:tc>
        <w:tc>
          <w:tcPr>
            <w:tcW w:w="1440" w:type="dxa"/>
            <w:vAlign w:val="bottom"/>
          </w:tcPr>
          <w:p>
            <w:pPr>
              <w:jc w:val="right"/>
              <w:ind w:right="1256"/>
              <w:spacing w:after="0" w:line="196" w:lineRule="exact"/>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36"/>
              <w:spacing w:after="0" w:line="196" w:lineRule="exact"/>
              <w:rPr>
                <w:sz w:val="20"/>
                <w:szCs w:val="20"/>
                <w:color w:val="auto"/>
              </w:rPr>
            </w:pPr>
            <w:r>
              <w:rPr>
                <w:rFonts w:ascii="Arial" w:cs="Arial" w:eastAsia="Arial" w:hAnsi="Arial"/>
                <w:sz w:val="18"/>
                <w:szCs w:val="18"/>
                <w:b w:val="1"/>
                <w:bCs w:val="1"/>
                <w:color w:val="auto"/>
              </w:rPr>
              <w:t>136</w:t>
            </w:r>
          </w:p>
        </w:tc>
        <w:tc>
          <w:tcPr>
            <w:tcW w:w="960" w:type="dxa"/>
            <w:vAlign w:val="bottom"/>
            <w:gridSpan w:val="2"/>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54"/>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-162560</wp:posOffset>
            </wp:positionV>
            <wp:extent cx="1543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64" w:lineRule="exact"/>
        <w:rPr>
          <w:sz w:val="20"/>
          <w:szCs w:val="20"/>
          <w:color w:val="auto"/>
        </w:rPr>
      </w:pPr>
    </w:p>
    <w:p>
      <w:pPr>
        <w:jc w:val="both"/>
        <w:ind w:right="180" w:firstLine="494"/>
        <w:spacing w:after="0" w:line="253" w:lineRule="auto"/>
        <w:rPr>
          <w:sz w:val="20"/>
          <w:szCs w:val="20"/>
          <w:color w:val="auto"/>
        </w:rPr>
      </w:pPr>
      <w:r>
        <w:rPr>
          <w:rFonts w:ascii="Arial" w:cs="Arial" w:eastAsia="Arial" w:hAnsi="Arial"/>
          <w:sz w:val="18"/>
          <w:szCs w:val="18"/>
          <w:color w:val="auto"/>
        </w:rPr>
        <w:t>Deferred revenue recorded in current and non-current liabilities related to ETC as of March 31, 2025 was $28 million and $97 million, respectively. Deferred revenue recorded in current and non-current liabilities related to ETC as of March 31, 2024 was $29 million and $89 million, respectively.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LEASES</w:t>
      </w:r>
    </w:p>
    <w:p>
      <w:pPr>
        <w:spacing w:after="0" w:line="104" w:lineRule="exact"/>
        <w:rPr>
          <w:sz w:val="20"/>
          <w:szCs w:val="20"/>
          <w:color w:val="auto"/>
        </w:rPr>
      </w:pPr>
    </w:p>
    <w:p>
      <w:pPr>
        <w:ind w:right="180" w:firstLine="494"/>
        <w:spacing w:after="0"/>
        <w:rPr>
          <w:sz w:val="20"/>
          <w:szCs w:val="20"/>
          <w:color w:val="auto"/>
        </w:rPr>
      </w:pPr>
      <w:r>
        <w:rPr>
          <w:rFonts w:ascii="Arial" w:cs="Arial" w:eastAsia="Arial" w:hAnsi="Arial"/>
          <w:sz w:val="18"/>
          <w:szCs w:val="18"/>
          <w:color w:val="auto"/>
        </w:rPr>
        <w:t>Contracts are assessed by the Company to determine if the contract conveys the right to control an identified asset in exchange for consideration during a period of time. The Company classifies all identified leases as either operating or finance leases. The Company's operating leases consist of real estate, vehicles and IT equipment. As of both March 31, 2025 and December 31, 2024,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72" w:lineRule="exact"/>
        <w:rPr>
          <w:sz w:val="20"/>
          <w:szCs w:val="20"/>
          <w:color w:val="auto"/>
        </w:rPr>
      </w:pPr>
    </w:p>
    <w:p>
      <w:pPr>
        <w:ind w:right="320" w:firstLine="494"/>
        <w:spacing w:after="0" w:line="253" w:lineRule="auto"/>
        <w:rPr>
          <w:sz w:val="20"/>
          <w:szCs w:val="20"/>
          <w:color w:val="auto"/>
        </w:rPr>
      </w:pPr>
      <w:r>
        <w:rPr>
          <w:rFonts w:ascii="Arial" w:cs="Arial" w:eastAsia="Arial" w:hAnsi="Arial"/>
          <w:sz w:val="18"/>
          <w:szCs w:val="18"/>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at inception of the contract.</w:t>
      </w:r>
    </w:p>
    <w:p>
      <w:pPr>
        <w:spacing w:after="0" w:line="61"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ROU assets are calculated as the related lease liability adjusted for lease incentives, any initial direct costs, prepayments and the effect of escalating lease payments on period expense. As of March 31, 2025 and December 31, 2024, total ROU assets were $19 million and $20 million, respectively, and were recorded in Other non-current assets in the Condensed Consolidated Balance Sheets. There were no new ROU assets obtained in exchange for lease obligations during the three months ended March 31, 2025. During the three months ended March 31, 2024, the Company recorded $3 million of new ROU assets obtained in exchange for lease obligations.</w:t>
      </w:r>
    </w:p>
    <w:p>
      <w:pPr>
        <w:spacing w:after="0" w:line="68" w:lineRule="exact"/>
        <w:rPr>
          <w:sz w:val="20"/>
          <w:szCs w:val="20"/>
          <w:color w:val="auto"/>
        </w:rPr>
      </w:pPr>
    </w:p>
    <w:p>
      <w:pPr>
        <w:ind w:right="140" w:firstLine="494"/>
        <w:spacing w:after="0" w:line="242" w:lineRule="auto"/>
        <w:rPr>
          <w:sz w:val="20"/>
          <w:szCs w:val="20"/>
          <w:color w:val="auto"/>
        </w:rPr>
      </w:pPr>
      <w:r>
        <w:rPr>
          <w:rFonts w:ascii="Arial" w:cs="Arial" w:eastAsia="Arial" w:hAnsi="Arial"/>
          <w:sz w:val="18"/>
          <w:szCs w:val="18"/>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Term SOFR on the Term Loan. The Company believes this rate effectively represents a borrowing rate the Company could obtain on a debt instrument possessing similar terms as the lease. Lease liabilities are classified between current and non-current liabilities based on the terms of the underlying leases. The weighted average discount rate on operating leases as of March 31, 2025 and December 31, 2024 was 4.82% and 4.84%, respectively.</w:t>
      </w:r>
    </w:p>
    <w:p>
      <w:pPr>
        <w:spacing w:after="0" w:line="71"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As of March 31, 2025, the Company recorded current and non-current operating lease liabilities of $5 million and $14 million, respectively. As of December 31, 2024, the Company recorded current and non-current operating lease liabilities of $6 million and $14 million, respectively. The Company's current and non-current operating lease liabilities are recorded in Other current liabilities and Other non-current liabilities, respectively, in the Condensed Consolidated Balance Sheets. The following table reconciles future undiscounted cash flows for operating leases to total operating lease liabilities as of March 31, 2025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tcPr>
          <w:p>
            <w:pPr>
              <w:jc w:val="right"/>
              <w:ind w:right="633"/>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5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2025</w:t>
            </w:r>
          </w:p>
        </w:tc>
      </w:tr>
      <w:tr>
        <w:trPr>
          <w:trHeight w:val="196"/>
        </w:trPr>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For the remainder of 2025</w:t>
            </w:r>
          </w:p>
        </w:tc>
        <w:tc>
          <w:tcPr>
            <w:tcW w:w="50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b w:val="1"/>
                <w:bCs w:val="1"/>
                <w:color w:val="auto"/>
              </w:rPr>
              <w:t>$</w:t>
            </w:r>
          </w:p>
        </w:tc>
        <w:tc>
          <w:tcPr>
            <w:tcW w:w="16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5</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4</w:t>
            </w: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2027</w:t>
            </w:r>
          </w:p>
        </w:tc>
        <w:tc>
          <w:tcPr>
            <w:tcW w:w="47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b w:val="1"/>
                <w:bCs w:val="1"/>
                <w:color w:val="auto"/>
              </w:rPr>
              <w:t>4</w:t>
            </w: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3</w:t>
            </w: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2029</w:t>
            </w:r>
          </w:p>
        </w:tc>
        <w:tc>
          <w:tcPr>
            <w:tcW w:w="47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b w:val="1"/>
                <w:bCs w:val="1"/>
                <w:color w:val="auto"/>
              </w:rPr>
              <w:t>2</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7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b w:val="1"/>
                <w:bCs w:val="1"/>
                <w:color w:val="auto"/>
              </w:rPr>
              <w:t>3</w:t>
            </w:r>
          </w:p>
        </w:tc>
      </w:tr>
      <w:tr>
        <w:trPr>
          <w:trHeight w:val="196"/>
        </w:trPr>
        <w:tc>
          <w:tcPr>
            <w:tcW w:w="4540" w:type="dxa"/>
            <w:vAlign w:val="bottom"/>
            <w:shd w:val="clear" w:color="auto" w:fill="CFF0FC"/>
          </w:tcPr>
          <w:p>
            <w:pPr>
              <w:ind w:left="240"/>
              <w:spacing w:after="0" w:line="196" w:lineRule="exact"/>
              <w:rPr>
                <w:sz w:val="20"/>
                <w:szCs w:val="20"/>
                <w:color w:val="auto"/>
              </w:rPr>
            </w:pPr>
            <w:r>
              <w:rPr>
                <w:rFonts w:ascii="Arial" w:cs="Arial" w:eastAsia="Arial" w:hAnsi="Arial"/>
                <w:sz w:val="18"/>
                <w:szCs w:val="18"/>
                <w:color w:val="auto"/>
              </w:rPr>
              <w:t>Total lease payments</w:t>
            </w:r>
          </w:p>
        </w:tc>
        <w:tc>
          <w:tcPr>
            <w:tcW w:w="50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b w:val="1"/>
                <w:bCs w:val="1"/>
                <w:color w:val="auto"/>
              </w:rPr>
              <w:t>$</w:t>
            </w:r>
          </w:p>
        </w:tc>
        <w:tc>
          <w:tcPr>
            <w:tcW w:w="16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21</w:t>
            </w:r>
          </w:p>
        </w:tc>
      </w:tr>
      <w:tr>
        <w:trPr>
          <w:trHeight w:val="203"/>
        </w:trPr>
        <w:tc>
          <w:tcPr>
            <w:tcW w:w="4540" w:type="dxa"/>
            <w:vAlign w:val="bottom"/>
          </w:tcPr>
          <w:p>
            <w:pPr>
              <w:ind w:left="480"/>
              <w:spacing w:after="0" w:line="202" w:lineRule="exact"/>
              <w:rPr>
                <w:sz w:val="20"/>
                <w:szCs w:val="20"/>
                <w:color w:val="auto"/>
              </w:rPr>
            </w:pPr>
            <w:r>
              <w:rPr>
                <w:rFonts w:ascii="Arial" w:cs="Arial" w:eastAsia="Arial" w:hAnsi="Arial"/>
                <w:sz w:val="18"/>
                <w:szCs w:val="18"/>
                <w:color w:val="auto"/>
              </w:rPr>
              <w:t>Less: Interest</w:t>
            </w:r>
          </w:p>
        </w:tc>
        <w:tc>
          <w:tcPr>
            <w:tcW w:w="47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b w:val="1"/>
                <w:bCs w:val="1"/>
                <w:color w:val="auto"/>
              </w:rPr>
              <w:t>2</w:t>
            </w:r>
          </w:p>
        </w:tc>
      </w:tr>
      <w:tr>
        <w:trPr>
          <w:trHeight w:val="236"/>
        </w:trPr>
        <w:tc>
          <w:tcPr>
            <w:tcW w:w="4540" w:type="dxa"/>
            <w:vAlign w:val="bottom"/>
            <w:shd w:val="clear" w:color="auto" w:fill="CFF0FC"/>
          </w:tcPr>
          <w:p>
            <w:pPr>
              <w:ind w:left="240"/>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50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b w:val="1"/>
                <w:bCs w:val="1"/>
                <w:color w:val="auto"/>
              </w:rPr>
              <w:t>$</w:t>
            </w:r>
          </w:p>
        </w:tc>
        <w:tc>
          <w:tcPr>
            <w:tcW w:w="16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19</w:t>
            </w:r>
          </w:p>
        </w:tc>
      </w:tr>
      <w:tr>
        <w:trPr>
          <w:trHeight w:val="578"/>
        </w:trPr>
        <w:tc>
          <w:tcPr>
            <w:tcW w:w="4540" w:type="dxa"/>
            <w:vAlign w:val="bottom"/>
            <w:tcBorders>
              <w:top w:val="single" w:sz="8" w:color="CFF0FC"/>
            </w:tcBorders>
          </w:tcPr>
          <w:p>
            <w:pPr>
              <w:spacing w:after="0"/>
              <w:rPr>
                <w:sz w:val="24"/>
                <w:szCs w:val="24"/>
                <w:color w:val="auto"/>
              </w:rPr>
            </w:pPr>
          </w:p>
        </w:tc>
        <w:tc>
          <w:tcPr>
            <w:tcW w:w="4700" w:type="dxa"/>
            <w:vAlign w:val="bottom"/>
            <w:tcBorders>
              <w:top w:val="single" w:sz="8" w:color="CFF0FC"/>
            </w:tcBorders>
          </w:tcPr>
          <w:p>
            <w:pPr>
              <w:jc w:val="right"/>
              <w:ind w:right="3430"/>
              <w:spacing w:after="0"/>
              <w:rPr>
                <w:sz w:val="20"/>
                <w:szCs w:val="20"/>
                <w:color w:val="auto"/>
              </w:rPr>
            </w:pPr>
            <w:r>
              <w:rPr>
                <w:rFonts w:ascii="Arial" w:cs="Arial" w:eastAsia="Arial" w:hAnsi="Arial"/>
                <w:sz w:val="18"/>
                <w:szCs w:val="18"/>
                <w:color w:val="auto"/>
              </w:rPr>
              <w:t>17</w:t>
            </w:r>
          </w:p>
        </w:tc>
        <w:tc>
          <w:tcPr>
            <w:tcW w:w="3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r>
      <w:tr>
        <w:trPr>
          <w:trHeight w:val="745"/>
        </w:trPr>
        <w:tc>
          <w:tcPr>
            <w:tcW w:w="454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weighted average remaining lease term as of March 31, 2025 and March 31, 2024 was 5.1 years and 5.8 years, respectively.</w:t>
      </w:r>
    </w:p>
    <w:p>
      <w:pPr>
        <w:spacing w:after="0" w:line="104" w:lineRule="exact"/>
        <w:rPr>
          <w:sz w:val="20"/>
          <w:szCs w:val="20"/>
          <w:color w:val="auto"/>
        </w:rPr>
      </w:pPr>
    </w:p>
    <w:p>
      <w:pPr>
        <w:ind w:right="40" w:firstLine="494"/>
        <w:spacing w:after="0" w:line="247" w:lineRule="auto"/>
        <w:rPr>
          <w:sz w:val="20"/>
          <w:szCs w:val="20"/>
          <w:color w:val="auto"/>
        </w:rPr>
      </w:pPr>
      <w:r>
        <w:rPr>
          <w:rFonts w:ascii="Arial" w:cs="Arial" w:eastAsia="Arial" w:hAnsi="Arial"/>
          <w:sz w:val="18"/>
          <w:szCs w:val="18"/>
          <w:color w:val="auto"/>
        </w:rPr>
        <w:t>Operating lease expense is recorded within Selling, general and administrative and Engineering — research and development on the Company's Condensed Consolidated Statements of Comprehensive Income. For each of the three months ended March 31, 2025 and 2024, the operating lease expense was $2 million. There was no material short-term operating lease expense for either of the three months ended March 31, 2025 or 2024.</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OTHER CURRENT LIABILITIES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liabilities consisted of the following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3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2024</w:t>
            </w:r>
          </w:p>
        </w:tc>
      </w:tr>
      <w:tr>
        <w:trPr>
          <w:trHeight w:val="196"/>
        </w:trPr>
        <w:tc>
          <w:tcPr>
            <w:tcW w:w="4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Taxes payable</w:t>
            </w:r>
          </w:p>
        </w:tc>
        <w:tc>
          <w:tcPr>
            <w:tcW w:w="3980" w:type="dxa"/>
            <w:vAlign w:val="bottom"/>
            <w:gridSpan w:val="2"/>
            <w:shd w:val="clear" w:color="auto" w:fill="CFF0FC"/>
          </w:tcPr>
          <w:p>
            <w:pPr>
              <w:jc w:val="right"/>
              <w:ind w:right="1008"/>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51</w:t>
            </w:r>
          </w:p>
        </w:tc>
        <w:tc>
          <w:tcPr>
            <w:tcW w:w="3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14</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Sales incentives</w:t>
            </w:r>
          </w:p>
        </w:tc>
        <w:tc>
          <w:tcPr>
            <w:tcW w:w="2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42</w:t>
            </w:r>
          </w:p>
        </w:tc>
      </w:tr>
      <w:tr>
        <w:trPr>
          <w:trHeight w:val="203"/>
        </w:trPr>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interest payable</w:t>
            </w:r>
          </w:p>
        </w:tc>
        <w:tc>
          <w:tcPr>
            <w:tcW w:w="28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28</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25</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Payroll and related costs</w:t>
            </w:r>
          </w:p>
        </w:tc>
        <w:tc>
          <w:tcPr>
            <w:tcW w:w="2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90</w:t>
            </w:r>
          </w:p>
        </w:tc>
      </w:tr>
      <w:tr>
        <w:trPr>
          <w:trHeight w:val="203"/>
        </w:trPr>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Vendor buyback obligation</w:t>
            </w:r>
          </w:p>
        </w:tc>
        <w:tc>
          <w:tcPr>
            <w:tcW w:w="28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20</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19</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Other accruals</w:t>
            </w:r>
          </w:p>
        </w:tc>
        <w:tc>
          <w:tcPr>
            <w:tcW w:w="28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38</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27</w:t>
            </w:r>
          </w:p>
        </w:tc>
      </w:tr>
      <w:tr>
        <w:trPr>
          <w:trHeight w:val="216"/>
        </w:trPr>
        <w:tc>
          <w:tcPr>
            <w:tcW w:w="49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3980" w:type="dxa"/>
            <w:vAlign w:val="bottom"/>
            <w:gridSpan w:val="2"/>
            <w:shd w:val="clear" w:color="auto" w:fill="CFF0FC"/>
          </w:tcPr>
          <w:p>
            <w:pPr>
              <w:jc w:val="right"/>
              <w:ind w:right="1008"/>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198</w:t>
            </w:r>
          </w:p>
        </w:tc>
        <w:tc>
          <w:tcPr>
            <w:tcW w:w="3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217</w:t>
            </w: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28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EMPLOYEE BENEFIT PLANS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Components of net periodic benefit cost (credit) consisted of the following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4"/>
                <w:szCs w:val="14"/>
                <w:b w:val="1"/>
                <w:bCs w:val="1"/>
                <w:color w:val="auto"/>
              </w:rPr>
              <w:t>Pension Plans</w:t>
            </w: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center"/>
              <w:ind w:right="293"/>
              <w:spacing w:after="0"/>
              <w:rPr>
                <w:sz w:val="20"/>
                <w:szCs w:val="20"/>
                <w:color w:val="auto"/>
              </w:rPr>
            </w:pPr>
            <w:r>
              <w:rPr>
                <w:rFonts w:ascii="Arial" w:cs="Arial" w:eastAsia="Arial" w:hAnsi="Arial"/>
                <w:sz w:val="14"/>
                <w:szCs w:val="14"/>
                <w:b w:val="1"/>
                <w:bCs w:val="1"/>
                <w:color w:val="auto"/>
              </w:rPr>
              <w:t>Post-retirement Benefits</w:t>
            </w:r>
          </w:p>
        </w:tc>
      </w:tr>
      <w:tr>
        <w:trPr>
          <w:trHeight w:val="146"/>
        </w:trPr>
        <w:tc>
          <w:tcPr>
            <w:tcW w:w="4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20" w:type="dxa"/>
            <w:vAlign w:val="bottom"/>
            <w:gridSpan w:val="4"/>
          </w:tcPr>
          <w:p>
            <w:pPr>
              <w:jc w:val="center"/>
              <w:ind w:left="239"/>
              <w:spacing w:after="0" w:line="147" w:lineRule="exact"/>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gridSpan w:val="4"/>
          </w:tcPr>
          <w:p>
            <w:pPr>
              <w:jc w:val="center"/>
              <w:ind w:right="293"/>
              <w:spacing w:after="0" w:line="147" w:lineRule="exact"/>
              <w:rPr>
                <w:sz w:val="20"/>
                <w:szCs w:val="20"/>
                <w:color w:val="auto"/>
              </w:rPr>
            </w:pPr>
            <w:r>
              <w:rPr>
                <w:rFonts w:ascii="Arial" w:cs="Arial" w:eastAsia="Arial" w:hAnsi="Arial"/>
                <w:sz w:val="14"/>
                <w:szCs w:val="14"/>
                <w:b w:val="1"/>
                <w:bCs w:val="1"/>
                <w:color w:val="auto"/>
              </w:rPr>
              <w:t>Three Months Ended</w:t>
            </w:r>
          </w:p>
        </w:tc>
      </w:tr>
      <w:tr>
        <w:trPr>
          <w:trHeight w:val="162"/>
        </w:trPr>
        <w:tc>
          <w:tcPr>
            <w:tcW w:w="4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gridSpan w:val="3"/>
          </w:tcPr>
          <w:p>
            <w:pPr>
              <w:jc w:val="center"/>
              <w:ind w:right="350"/>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rPr>
              <w:t>March 31,</w:t>
            </w:r>
          </w:p>
        </w:tc>
        <w:tc>
          <w:tcPr>
            <w:tcW w:w="960" w:type="dxa"/>
            <w:vAlign w:val="bottom"/>
          </w:tcPr>
          <w:p>
            <w:pPr>
              <w:spacing w:after="0"/>
              <w:rPr>
                <w:sz w:val="14"/>
                <w:szCs w:val="14"/>
                <w:color w:val="auto"/>
              </w:rPr>
            </w:pPr>
          </w:p>
        </w:tc>
      </w:tr>
      <w:tr>
        <w:trPr>
          <w:trHeight w:val="171"/>
        </w:trPr>
        <w:tc>
          <w:tcPr>
            <w:tcW w:w="422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Pr>
          <w:p>
            <w:pPr>
              <w:spacing w:after="0"/>
              <w:rPr>
                <w:sz w:val="14"/>
                <w:szCs w:val="14"/>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53"/>
              <w:spacing w:after="0"/>
              <w:rPr>
                <w:sz w:val="20"/>
                <w:szCs w:val="20"/>
                <w:color w:val="auto"/>
              </w:rPr>
            </w:pPr>
            <w:r>
              <w:rPr>
                <w:rFonts w:ascii="Arial" w:cs="Arial" w:eastAsia="Arial" w:hAnsi="Arial"/>
                <w:sz w:val="14"/>
                <w:szCs w:val="14"/>
                <w:b w:val="1"/>
                <w:bCs w:val="1"/>
                <w:color w:val="auto"/>
              </w:rPr>
              <w:t>2024</w:t>
            </w: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periodic benefit cost (credit):</w:t>
            </w:r>
          </w:p>
        </w:tc>
        <w:tc>
          <w:tcPr>
            <w:tcW w:w="160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2360" w:type="dxa"/>
            <w:vAlign w:val="bottom"/>
            <w:gridSpan w:val="2"/>
          </w:tcPr>
          <w:p>
            <w:pPr>
              <w:jc w:val="right"/>
              <w:ind w:right="579"/>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w:t>
            </w:r>
          </w:p>
        </w:tc>
        <w:tc>
          <w:tcPr>
            <w:tcW w:w="980" w:type="dxa"/>
            <w:vAlign w:val="bottom"/>
            <w:gridSpan w:val="2"/>
          </w:tcPr>
          <w:p>
            <w:pPr>
              <w:jc w:val="right"/>
              <w:ind w:right="65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400" w:type="dxa"/>
            <w:vAlign w:val="bottom"/>
            <w:gridSpan w:val="2"/>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203"/>
        </w:trPr>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cost</w:t>
            </w:r>
          </w:p>
        </w:tc>
        <w:tc>
          <w:tcPr>
            <w:tcW w:w="16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1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203"/>
        </w:trPr>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Prior service credit</w:t>
            </w:r>
          </w:p>
        </w:tc>
        <w:tc>
          <w:tcPr>
            <w:tcW w:w="16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Recognized actuarial gain</w:t>
            </w:r>
          </w:p>
        </w:tc>
        <w:tc>
          <w:tcPr>
            <w:tcW w:w="16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r>
      <w:tr>
        <w:trPr>
          <w:trHeight w:val="21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periodic benefit cost (credit)</w:t>
            </w:r>
          </w:p>
        </w:tc>
        <w:tc>
          <w:tcPr>
            <w:tcW w:w="16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9"/>
              <w:spacing w:after="0" w:line="196" w:lineRule="exact"/>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857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857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857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857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4" w:lineRule="exact"/>
        <w:rPr>
          <w:sz w:val="20"/>
          <w:szCs w:val="20"/>
          <w:color w:val="auto"/>
        </w:rPr>
      </w:pPr>
    </w:p>
    <w:p>
      <w:pPr>
        <w:ind w:right="280" w:firstLine="494"/>
        <w:spacing w:after="0" w:line="271" w:lineRule="auto"/>
        <w:rPr>
          <w:sz w:val="20"/>
          <w:szCs w:val="20"/>
          <w:color w:val="auto"/>
        </w:rPr>
      </w:pPr>
      <w:r>
        <w:rPr>
          <w:rFonts w:ascii="Arial" w:cs="Arial" w:eastAsia="Arial" w:hAnsi="Arial"/>
          <w:sz w:val="18"/>
          <w:szCs w:val="18"/>
          <w:color w:val="auto"/>
        </w:rPr>
        <w:t>The components of net periodic benefit cost (credit) other than the service cost component are included in Other income (expense), net in the Condensed Consolidated Statements of Comprehensive Income.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INCOME TAXES</w:t>
      </w:r>
    </w:p>
    <w:p>
      <w:pPr>
        <w:spacing w:after="0" w:line="104" w:lineRule="exact"/>
        <w:rPr>
          <w:sz w:val="20"/>
          <w:szCs w:val="20"/>
          <w:color w:val="auto"/>
        </w:rPr>
      </w:pPr>
    </w:p>
    <w:p>
      <w:pPr>
        <w:ind w:right="20" w:firstLine="494"/>
        <w:spacing w:after="0" w:line="271" w:lineRule="auto"/>
        <w:rPr>
          <w:sz w:val="20"/>
          <w:szCs w:val="20"/>
          <w:color w:val="auto"/>
        </w:rPr>
      </w:pPr>
      <w:r>
        <w:rPr>
          <w:rFonts w:ascii="Arial" w:cs="Arial" w:eastAsia="Arial" w:hAnsi="Arial"/>
          <w:sz w:val="18"/>
          <w:szCs w:val="18"/>
          <w:color w:val="auto"/>
        </w:rPr>
        <w:t>For the three months ended March 31, 2025 and 2024, the Company recorded total income tax expense of $41 million and $35 million, respectively. The effective tax rate for the three months ended March 31, 2025 and 2024 was 18% and 17%, respectively.</w:t>
      </w:r>
    </w:p>
    <w:p>
      <w:pPr>
        <w:spacing w:after="0" w:line="46" w:lineRule="exact"/>
        <w:rPr>
          <w:sz w:val="20"/>
          <w:szCs w:val="20"/>
          <w:color w:val="auto"/>
        </w:rPr>
      </w:pPr>
    </w:p>
    <w:p>
      <w:pPr>
        <w:ind w:right="220" w:firstLine="494"/>
        <w:spacing w:after="0" w:line="244"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68" w:lineRule="exact"/>
        <w:rPr>
          <w:sz w:val="20"/>
          <w:szCs w:val="20"/>
          <w:color w:val="auto"/>
        </w:rPr>
      </w:pPr>
    </w:p>
    <w:p>
      <w:pPr>
        <w:ind w:right="60" w:firstLine="494"/>
        <w:spacing w:after="0" w:line="271" w:lineRule="auto"/>
        <w:rPr>
          <w:sz w:val="20"/>
          <w:szCs w:val="20"/>
          <w:color w:val="auto"/>
        </w:rPr>
      </w:pPr>
      <w:r>
        <w:rPr>
          <w:rFonts w:ascii="Arial" w:cs="Arial" w:eastAsia="Arial" w:hAnsi="Arial"/>
          <w:sz w:val="18"/>
          <w:szCs w:val="18"/>
          <w:color w:val="auto"/>
        </w:rPr>
        <w:t>Management has determined, based on an evaluation of available objective and subjective evidence, that it is more likely than not that certain federal and state deferred tax assets will not be realized; therefore, these deferred tax assets are offset with a valuation allowance.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ACCUMULATED OTHER COMPREHENSIVE LOSS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reconcile changes in AOCL by component (net of tax,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46"/>
        </w:trPr>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15"/>
              <w:spacing w:after="0" w:line="147" w:lineRule="exact"/>
              <w:rPr>
                <w:sz w:val="20"/>
                <w:szCs w:val="20"/>
                <w:color w:val="auto"/>
              </w:rPr>
            </w:pPr>
            <w:r>
              <w:rPr>
                <w:rFonts w:ascii="Arial" w:cs="Arial" w:eastAsia="Arial" w:hAnsi="Arial"/>
                <w:sz w:val="14"/>
                <w:szCs w:val="14"/>
                <w:b w:val="1"/>
                <w:bCs w:val="1"/>
                <w:color w:val="auto"/>
              </w:rPr>
              <w:t>Pension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2"/>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35"/>
              <w:spacing w:after="0"/>
              <w:rPr>
                <w:sz w:val="20"/>
                <w:szCs w:val="20"/>
                <w:color w:val="auto"/>
              </w:rPr>
            </w:pPr>
            <w:r>
              <w:rPr>
                <w:rFonts w:ascii="Arial" w:cs="Arial" w:eastAsia="Arial" w:hAnsi="Arial"/>
                <w:sz w:val="14"/>
                <w:szCs w:val="14"/>
                <w:b w:val="1"/>
                <w:bCs w:val="1"/>
                <w:color w:val="auto"/>
              </w:rPr>
              <w:t>and OPEB</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234"/>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75"/>
              <w:spacing w:after="0"/>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334"/>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234"/>
              <w:spacing w:after="0"/>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rate swaps</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items</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AOCL as of December 31, 2023</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11</w:t>
            </w:r>
          </w:p>
        </w:tc>
        <w:tc>
          <w:tcPr>
            <w:tcW w:w="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3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3"/>
        </w:trPr>
        <w:tc>
          <w:tcPr>
            <w:tcW w:w="5820" w:type="dxa"/>
            <w:vAlign w:val="bottom"/>
          </w:tcPr>
          <w:p>
            <w:pPr>
              <w:ind w:left="160"/>
              <w:spacing w:after="0" w:line="202" w:lineRule="exact"/>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7"/>
                <w:szCs w:val="17"/>
                <w:color w:val="auto"/>
              </w:rPr>
            </w:pPr>
          </w:p>
        </w:tc>
        <w:tc>
          <w:tcPr>
            <w:tcW w:w="11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58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Amounts reclassified from AOCL</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5820" w:type="dxa"/>
            <w:vAlign w:val="bottom"/>
          </w:tcPr>
          <w:p>
            <w:pPr>
              <w:ind w:left="160"/>
              <w:spacing w:after="0" w:line="202" w:lineRule="exact"/>
              <w:rPr>
                <w:sz w:val="20"/>
                <w:szCs w:val="20"/>
                <w:color w:val="auto"/>
              </w:rPr>
            </w:pPr>
            <w:r>
              <w:rPr>
                <w:rFonts w:ascii="Arial" w:cs="Arial" w:eastAsia="Arial" w:hAnsi="Arial"/>
                <w:sz w:val="18"/>
                <w:szCs w:val="18"/>
                <w:color w:val="auto"/>
              </w:rPr>
              <w:t>Income tax benefit (expense)</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current period other comprehensive (loss) income</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3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5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AOCL as of March 31, 2024</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12</w:t>
            </w:r>
          </w:p>
        </w:tc>
        <w:tc>
          <w:tcPr>
            <w:tcW w:w="14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3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AOCL as of December 31, 2024</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(3)</w:t>
            </w:r>
          </w:p>
        </w:tc>
        <w:tc>
          <w:tcPr>
            <w:tcW w:w="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4"/>
              <w:spacing w:after="0" w:line="183" w:lineRule="exact"/>
              <w:rPr>
                <w:sz w:val="20"/>
                <w:szCs w:val="20"/>
                <w:color w:val="auto"/>
              </w:rPr>
            </w:pPr>
            <w:r>
              <w:rPr>
                <w:rFonts w:ascii="Arial" w:cs="Arial" w:eastAsia="Arial" w:hAnsi="Arial"/>
                <w:sz w:val="18"/>
                <w:szCs w:val="18"/>
                <w:color w:val="auto"/>
              </w:rPr>
              <w:t>5</w:t>
            </w:r>
          </w:p>
        </w:tc>
        <w:tc>
          <w:tcPr>
            <w:tcW w:w="3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(53)</w:t>
            </w:r>
          </w:p>
        </w:tc>
        <w:tc>
          <w:tcPr>
            <w:tcW w:w="3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(51)</w:t>
            </w:r>
          </w:p>
        </w:tc>
      </w:tr>
      <w:tr>
        <w:trPr>
          <w:trHeight w:val="203"/>
        </w:trPr>
        <w:tc>
          <w:tcPr>
            <w:tcW w:w="5820" w:type="dxa"/>
            <w:vAlign w:val="bottom"/>
          </w:tcPr>
          <w:p>
            <w:pPr>
              <w:ind w:left="160"/>
              <w:spacing w:after="0" w:line="202" w:lineRule="exact"/>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7"/>
                <w:szCs w:val="17"/>
                <w:color w:val="auto"/>
              </w:rPr>
            </w:pPr>
          </w:p>
        </w:tc>
        <w:tc>
          <w:tcPr>
            <w:tcW w:w="112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6</w:t>
            </w:r>
          </w:p>
        </w:tc>
      </w:tr>
      <w:tr>
        <w:trPr>
          <w:trHeight w:val="203"/>
        </w:trPr>
        <w:tc>
          <w:tcPr>
            <w:tcW w:w="58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Amounts reclassified from AOCL</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w:t>
            </w:r>
          </w:p>
        </w:tc>
      </w:tr>
      <w:tr>
        <w:trPr>
          <w:trHeight w:val="203"/>
        </w:trPr>
        <w:tc>
          <w:tcPr>
            <w:tcW w:w="5820" w:type="dxa"/>
            <w:vAlign w:val="bottom"/>
          </w:tcPr>
          <w:p>
            <w:pPr>
              <w:ind w:left="160"/>
              <w:spacing w:after="0" w:line="202" w:lineRule="exact"/>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2</w:t>
            </w: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current period other comprehensive (loss) income</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6</w:t>
            </w:r>
          </w:p>
        </w:tc>
        <w:tc>
          <w:tcPr>
            <w:tcW w:w="3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4</w:t>
            </w:r>
          </w:p>
        </w:tc>
      </w:tr>
      <w:tr>
        <w:trPr>
          <w:trHeight w:val="20"/>
        </w:trPr>
        <w:tc>
          <w:tcPr>
            <w:tcW w:w="5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AOCL as of March 31, 2025</w:t>
            </w: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4"/>
              <w:spacing w:after="0" w:line="196" w:lineRule="exact"/>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w:t>
            </w:r>
          </w:p>
        </w:tc>
        <w:tc>
          <w:tcPr>
            <w:tcW w:w="38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w:t>
            </w: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-976630</wp:posOffset>
            </wp:positionV>
            <wp:extent cx="857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-976630</wp:posOffset>
            </wp:positionV>
            <wp:extent cx="857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-976630</wp:posOffset>
            </wp:positionV>
            <wp:extent cx="857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-162560</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-162560</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-162560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372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Amounts reclassified from AOCL</w:t>
            </w:r>
          </w:p>
        </w:tc>
        <w:tc>
          <w:tcPr>
            <w:tcW w:w="300" w:type="dxa"/>
            <w:vAlign w:val="bottom"/>
            <w:tcBorders>
              <w:bottom w:val="single" w:sz="8" w:color="auto"/>
            </w:tcBorders>
          </w:tcPr>
          <w:p>
            <w:pPr>
              <w:spacing w:after="0"/>
              <w:rPr>
                <w:sz w:val="14"/>
                <w:szCs w:val="14"/>
                <w:color w:val="auto"/>
              </w:rPr>
            </w:pPr>
          </w:p>
        </w:tc>
        <w:tc>
          <w:tcPr>
            <w:tcW w:w="3340" w:type="dxa"/>
            <w:vAlign w:val="bottom"/>
            <w:vMerge w:val="restart"/>
          </w:tcPr>
          <w:p>
            <w:pPr>
              <w:jc w:val="center"/>
              <w:ind w:left="97"/>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2"/>
                <w:szCs w:val="12"/>
                <w:color w:val="auto"/>
              </w:rPr>
            </w:pP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340" w:type="dxa"/>
            <w:vAlign w:val="bottom"/>
          </w:tcPr>
          <w:p>
            <w:pPr>
              <w:jc w:val="center"/>
              <w:ind w:left="97"/>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20"/>
                <w:szCs w:val="20"/>
                <w:color w:val="auto"/>
              </w:rPr>
            </w:pPr>
            <w:r>
              <w:rPr>
                <w:rFonts w:ascii="Arial" w:cs="Arial" w:eastAsia="Arial" w:hAnsi="Arial"/>
                <w:sz w:val="14"/>
                <w:szCs w:val="14"/>
                <w:b w:val="1"/>
                <w:bCs w:val="1"/>
                <w:color w:val="auto"/>
              </w:rPr>
              <w:t>AOCL Components</w:t>
            </w:r>
          </w:p>
        </w:tc>
        <w:tc>
          <w:tcPr>
            <w:tcW w:w="16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March 31, 2025</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March 31, 2024</w:t>
            </w:r>
          </w:p>
        </w:tc>
        <w:tc>
          <w:tcPr>
            <w:tcW w:w="300" w:type="dxa"/>
            <w:vAlign w:val="bottom"/>
            <w:tcBorders>
              <w:bottom w:val="single" w:sz="8" w:color="auto"/>
            </w:tcBorders>
          </w:tcPr>
          <w:p>
            <w:pPr>
              <w:spacing w:after="0"/>
              <w:rPr>
                <w:sz w:val="14"/>
                <w:szCs w:val="14"/>
                <w:color w:val="auto"/>
              </w:rPr>
            </w:pPr>
          </w:p>
        </w:tc>
        <w:tc>
          <w:tcPr>
            <w:tcW w:w="3340" w:type="dxa"/>
            <w:vAlign w:val="bottom"/>
          </w:tcPr>
          <w:p>
            <w:pPr>
              <w:jc w:val="center"/>
              <w:ind w:left="97"/>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196"/>
        </w:trPr>
        <w:tc>
          <w:tcPr>
            <w:tcW w:w="388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Interest rate swaps</w:t>
            </w:r>
          </w:p>
        </w:tc>
        <w:tc>
          <w:tcPr>
            <w:tcW w:w="1640" w:type="dxa"/>
            <w:vAlign w:val="bottom"/>
            <w:shd w:val="clear" w:color="auto" w:fill="CFF0FC"/>
          </w:tcPr>
          <w:p>
            <w:pPr>
              <w:jc w:val="right"/>
              <w:ind w:right="1459"/>
              <w:spacing w:after="0" w:line="196" w:lineRule="exact"/>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2</w:t>
            </w:r>
          </w:p>
        </w:tc>
        <w:tc>
          <w:tcPr>
            <w:tcW w:w="1780" w:type="dxa"/>
            <w:vAlign w:val="bottom"/>
            <w:gridSpan w:val="2"/>
            <w:shd w:val="clear" w:color="auto" w:fill="CFF0FC"/>
          </w:tcPr>
          <w:p>
            <w:pPr>
              <w:jc w:val="right"/>
              <w:ind w:right="1448"/>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w:t>
            </w:r>
          </w:p>
        </w:tc>
        <w:tc>
          <w:tcPr>
            <w:tcW w:w="33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03"/>
        </w:trPr>
        <w:tc>
          <w:tcPr>
            <w:tcW w:w="3880" w:type="dxa"/>
            <w:vAlign w:val="bottom"/>
          </w:tcPr>
          <w:p>
            <w:pPr>
              <w:ind w:left="100"/>
              <w:spacing w:after="0" w:line="202" w:lineRule="exact"/>
              <w:rPr>
                <w:sz w:val="20"/>
                <w:szCs w:val="20"/>
                <w:color w:val="auto"/>
              </w:rPr>
            </w:pPr>
            <w:r>
              <w:rPr>
                <w:rFonts w:ascii="Arial" w:cs="Arial" w:eastAsia="Arial" w:hAnsi="Arial"/>
                <w:sz w:val="18"/>
                <w:szCs w:val="18"/>
                <w:color w:val="auto"/>
              </w:rPr>
              <w:t>Prior service credit</w:t>
            </w:r>
          </w:p>
        </w:tc>
        <w:tc>
          <w:tcPr>
            <w:tcW w:w="1640" w:type="dxa"/>
            <w:vAlign w:val="bottom"/>
          </w:tcPr>
          <w:p>
            <w:pPr>
              <w:spacing w:after="0"/>
              <w:rPr>
                <w:sz w:val="17"/>
                <w:szCs w:val="17"/>
                <w:color w:val="auto"/>
              </w:rPr>
            </w:pP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3340" w:type="dxa"/>
            <w:vAlign w:val="bottom"/>
          </w:tcPr>
          <w:p>
            <w:pPr>
              <w:ind w:left="180"/>
              <w:spacing w:after="0" w:line="202" w:lineRule="exact"/>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03"/>
        </w:trPr>
        <w:tc>
          <w:tcPr>
            <w:tcW w:w="388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Recognized actuarial gain</w:t>
            </w:r>
          </w:p>
        </w:tc>
        <w:tc>
          <w:tcPr>
            <w:tcW w:w="16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33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196"/>
        </w:trPr>
        <w:tc>
          <w:tcPr>
            <w:tcW w:w="3880" w:type="dxa"/>
            <w:vAlign w:val="bottom"/>
          </w:tcPr>
          <w:p>
            <w:pPr>
              <w:spacing w:after="0" w:line="196" w:lineRule="exact"/>
              <w:rPr>
                <w:sz w:val="20"/>
                <w:szCs w:val="20"/>
                <w:color w:val="auto"/>
              </w:rPr>
            </w:pPr>
            <w:r>
              <w:rPr>
                <w:rFonts w:ascii="Arial" w:cs="Arial" w:eastAsia="Arial" w:hAnsi="Arial"/>
                <w:sz w:val="18"/>
                <w:szCs w:val="18"/>
                <w:color w:val="auto"/>
              </w:rPr>
              <w:t>Total reclassifications, before tax</w:t>
            </w:r>
          </w:p>
        </w:tc>
        <w:tc>
          <w:tcPr>
            <w:tcW w:w="1640" w:type="dxa"/>
            <w:vAlign w:val="bottom"/>
          </w:tcPr>
          <w:p>
            <w:pPr>
              <w:jc w:val="right"/>
              <w:ind w:right="1459"/>
              <w:spacing w:after="0" w:line="196" w:lineRule="exact"/>
              <w:rPr>
                <w:sz w:val="20"/>
                <w:szCs w:val="20"/>
                <w:color w:val="auto"/>
              </w:rPr>
            </w:pPr>
            <w:r>
              <w:rPr>
                <w:rFonts w:ascii="Arial" w:cs="Arial" w:eastAsia="Arial" w:hAnsi="Arial"/>
                <w:sz w:val="18"/>
                <w:szCs w:val="18"/>
                <w:b w:val="1"/>
                <w:bCs w:val="1"/>
                <w:color w:val="auto"/>
                <w:w w:val="79"/>
              </w:rPr>
              <w:t>$</w:t>
            </w:r>
          </w:p>
        </w:tc>
        <w:tc>
          <w:tcPr>
            <w:tcW w:w="30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4</w:t>
            </w:r>
          </w:p>
        </w:tc>
        <w:tc>
          <w:tcPr>
            <w:tcW w:w="1780" w:type="dxa"/>
            <w:vAlign w:val="bottom"/>
            <w:gridSpan w:val="2"/>
          </w:tcPr>
          <w:p>
            <w:pPr>
              <w:jc w:val="right"/>
              <w:ind w:right="1448"/>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w:t>
            </w:r>
          </w:p>
        </w:tc>
        <w:tc>
          <w:tcPr>
            <w:tcW w:w="3340" w:type="dxa"/>
            <w:vAlign w:val="bottom"/>
          </w:tcPr>
          <w:p>
            <w:pPr>
              <w:ind w:left="180"/>
              <w:spacing w:after="0" w:line="196" w:lineRule="exact"/>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03"/>
        </w:trPr>
        <w:tc>
          <w:tcPr>
            <w:tcW w:w="38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16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99"/>
              </w:rPr>
              <w:t>(1)</w:t>
            </w:r>
          </w:p>
        </w:tc>
        <w:tc>
          <w:tcPr>
            <w:tcW w:w="16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3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196"/>
        </w:trPr>
        <w:tc>
          <w:tcPr>
            <w:tcW w:w="3880" w:type="dxa"/>
            <w:vAlign w:val="bottom"/>
          </w:tcPr>
          <w:p>
            <w:pPr>
              <w:spacing w:after="0" w:line="196" w:lineRule="exact"/>
              <w:rPr>
                <w:sz w:val="20"/>
                <w:szCs w:val="20"/>
                <w:color w:val="auto"/>
              </w:rPr>
            </w:pPr>
            <w:r>
              <w:rPr>
                <w:rFonts w:ascii="Arial" w:cs="Arial" w:eastAsia="Arial" w:hAnsi="Arial"/>
                <w:sz w:val="18"/>
                <w:szCs w:val="18"/>
                <w:color w:val="auto"/>
              </w:rPr>
              <w:t>Total reclassifications, net of tax</w:t>
            </w:r>
          </w:p>
        </w:tc>
        <w:tc>
          <w:tcPr>
            <w:tcW w:w="1640" w:type="dxa"/>
            <w:vAlign w:val="bottom"/>
          </w:tcPr>
          <w:p>
            <w:pPr>
              <w:jc w:val="right"/>
              <w:ind w:right="1459"/>
              <w:spacing w:after="0" w:line="196" w:lineRule="exact"/>
              <w:rPr>
                <w:sz w:val="20"/>
                <w:szCs w:val="20"/>
                <w:color w:val="auto"/>
              </w:rPr>
            </w:pPr>
            <w:r>
              <w:rPr>
                <w:rFonts w:ascii="Arial" w:cs="Arial" w:eastAsia="Arial" w:hAnsi="Arial"/>
                <w:sz w:val="18"/>
                <w:szCs w:val="18"/>
                <w:b w:val="1"/>
                <w:bCs w:val="1"/>
                <w:color w:val="auto"/>
                <w:w w:val="79"/>
              </w:rPr>
              <w:t>$</w:t>
            </w:r>
          </w:p>
        </w:tc>
        <w:tc>
          <w:tcPr>
            <w:tcW w:w="30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3</w:t>
            </w:r>
          </w:p>
        </w:tc>
        <w:tc>
          <w:tcPr>
            <w:tcW w:w="1780" w:type="dxa"/>
            <w:vAlign w:val="bottom"/>
            <w:gridSpan w:val="2"/>
          </w:tcPr>
          <w:p>
            <w:pPr>
              <w:jc w:val="right"/>
              <w:ind w:right="1448"/>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w:t>
            </w: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-427990</wp:posOffset>
            </wp:positionV>
            <wp:extent cx="1111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-427990</wp:posOffset>
            </wp:positionV>
            <wp:extent cx="1111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-161925</wp:posOffset>
            </wp:positionV>
            <wp:extent cx="1111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-161925</wp:posOffset>
            </wp:positionV>
            <wp:extent cx="1111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69"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Prior service credits and actuarial gains are included in the computation of the Company’s net periodic benefit cost (credit). See "Note M. Employee Benefit Plans” for additional details.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COMMITMENTS AND CONTINGENCIES</w:t>
      </w:r>
    </w:p>
    <w:p>
      <w:pPr>
        <w:spacing w:after="0" w:line="104" w:lineRule="exact"/>
        <w:rPr>
          <w:sz w:val="20"/>
          <w:szCs w:val="20"/>
          <w:color w:val="auto"/>
        </w:rPr>
      </w:pPr>
    </w:p>
    <w:p>
      <w:pPr>
        <w:ind w:right="220" w:firstLine="494"/>
        <w:spacing w:after="0" w:line="244"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EARNINGS PER SHARE</w:t>
      </w:r>
    </w:p>
    <w:p>
      <w:pPr>
        <w:spacing w:after="0" w:line="104"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(in millions,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4"/>
                <w:szCs w:val="14"/>
                <w:color w:val="auto"/>
              </w:rPr>
            </w:pPr>
          </w:p>
        </w:tc>
      </w:tr>
      <w:tr>
        <w:trPr>
          <w:trHeight w:val="171"/>
        </w:trPr>
        <w:tc>
          <w:tcPr>
            <w:tcW w:w="7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4"/>
                <w:szCs w:val="14"/>
                <w:color w:val="auto"/>
              </w:rPr>
            </w:pPr>
          </w:p>
        </w:tc>
      </w:tr>
      <w:tr>
        <w:trPr>
          <w:trHeight w:val="155"/>
        </w:trPr>
        <w:tc>
          <w:tcPr>
            <w:tcW w:w="77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2024</w:t>
            </w:r>
          </w:p>
        </w:tc>
      </w:tr>
      <w:tr>
        <w:trPr>
          <w:trHeight w:val="236"/>
        </w:trPr>
        <w:tc>
          <w:tcPr>
            <w:tcW w:w="774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ind w:right="55"/>
              <w:spacing w:after="0" w:line="196" w:lineRule="exact"/>
              <w:rPr>
                <w:sz w:val="20"/>
                <w:szCs w:val="20"/>
                <w:color w:val="auto"/>
              </w:rPr>
            </w:pPr>
            <w:r>
              <w:rPr>
                <w:rFonts w:ascii="Arial" w:cs="Arial" w:eastAsia="Arial" w:hAnsi="Arial"/>
                <w:sz w:val="18"/>
                <w:szCs w:val="18"/>
                <w:b w:val="1"/>
                <w:bCs w:val="1"/>
                <w:color w:val="auto"/>
              </w:rPr>
              <w:t>192</w:t>
            </w:r>
          </w:p>
        </w:tc>
        <w:tc>
          <w:tcPr>
            <w:tcW w:w="760" w:type="dxa"/>
            <w:vAlign w:val="bottom"/>
            <w:gridSpan w:val="2"/>
            <w:shd w:val="clear" w:color="auto" w:fill="CFF0FC"/>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169</w:t>
            </w:r>
          </w:p>
        </w:tc>
      </w:tr>
      <w:tr>
        <w:trPr>
          <w:trHeight w:val="183"/>
        </w:trPr>
        <w:tc>
          <w:tcPr>
            <w:tcW w:w="774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Weighted average shares of common stock outstanding</w:t>
            </w:r>
          </w:p>
        </w:tc>
        <w:tc>
          <w:tcPr>
            <w:tcW w:w="9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55"/>
              <w:spacing w:after="0" w:line="183" w:lineRule="exact"/>
              <w:rPr>
                <w:sz w:val="20"/>
                <w:szCs w:val="20"/>
                <w:color w:val="auto"/>
              </w:rPr>
            </w:pPr>
            <w:r>
              <w:rPr>
                <w:rFonts w:ascii="Arial" w:cs="Arial" w:eastAsia="Arial" w:hAnsi="Arial"/>
                <w:sz w:val="18"/>
                <w:szCs w:val="18"/>
                <w:b w:val="1"/>
                <w:bCs w:val="1"/>
                <w:color w:val="auto"/>
              </w:rPr>
              <w:t>85</w:t>
            </w:r>
          </w:p>
        </w:tc>
        <w:tc>
          <w:tcPr>
            <w:tcW w:w="160" w:type="dxa"/>
            <w:vAlign w:val="bottom"/>
            <w:tcBorders>
              <w:top w:val="single" w:sz="8" w:color="CFF0FC"/>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3"/>
              <w:spacing w:after="0" w:line="183" w:lineRule="exact"/>
              <w:rPr>
                <w:sz w:val="20"/>
                <w:szCs w:val="20"/>
                <w:color w:val="auto"/>
              </w:rPr>
            </w:pPr>
            <w:r>
              <w:rPr>
                <w:rFonts w:ascii="Arial" w:cs="Arial" w:eastAsia="Arial" w:hAnsi="Arial"/>
                <w:sz w:val="18"/>
                <w:szCs w:val="18"/>
                <w:color w:val="auto"/>
              </w:rPr>
              <w:t>88</w:t>
            </w:r>
          </w:p>
        </w:tc>
      </w:tr>
      <w:tr>
        <w:trPr>
          <w:trHeight w:val="203"/>
        </w:trPr>
        <w:tc>
          <w:tcPr>
            <w:tcW w:w="7740" w:type="dxa"/>
            <w:vAlign w:val="bottom"/>
            <w:tcBorders>
              <w:bottom w:val="single" w:sz="8" w:color="CFF0FC"/>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Dilutive effect of stock-based awards</w:t>
            </w:r>
          </w:p>
        </w:tc>
        <w:tc>
          <w:tcPr>
            <w:tcW w:w="9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5"/>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w:t>
            </w:r>
          </w:p>
        </w:tc>
      </w:tr>
      <w:tr>
        <w:trPr>
          <w:trHeight w:val="196"/>
        </w:trPr>
        <w:tc>
          <w:tcPr>
            <w:tcW w:w="7740" w:type="dxa"/>
            <w:vAlign w:val="bottom"/>
          </w:tcPr>
          <w:p>
            <w:pPr>
              <w:ind w:left="200"/>
              <w:spacing w:after="0" w:line="196" w:lineRule="exact"/>
              <w:rPr>
                <w:sz w:val="20"/>
                <w:szCs w:val="20"/>
                <w:color w:val="auto"/>
              </w:rPr>
            </w:pPr>
            <w:r>
              <w:rPr>
                <w:rFonts w:ascii="Arial" w:cs="Arial" w:eastAsia="Arial" w:hAnsi="Arial"/>
                <w:sz w:val="18"/>
                <w:szCs w:val="18"/>
                <w:color w:val="auto"/>
              </w:rPr>
              <w:t>Diluted weighted average shares of common stock outstanding</w:t>
            </w:r>
          </w:p>
        </w:tc>
        <w:tc>
          <w:tcPr>
            <w:tcW w:w="9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86</w:t>
            </w:r>
          </w:p>
        </w:tc>
        <w:tc>
          <w:tcPr>
            <w:tcW w:w="1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89</w:t>
            </w:r>
          </w:p>
        </w:tc>
      </w:tr>
      <w:tr>
        <w:trPr>
          <w:trHeight w:val="20"/>
        </w:trPr>
        <w:tc>
          <w:tcPr>
            <w:tcW w:w="7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3"/>
        </w:trPr>
        <w:tc>
          <w:tcPr>
            <w:tcW w:w="7740" w:type="dxa"/>
            <w:vAlign w:val="bottom"/>
            <w:tcBorders>
              <w:right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Basic earnings per share attributable to common stockholders</w:t>
            </w: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ind w:right="55"/>
              <w:spacing w:after="0" w:line="182" w:lineRule="exact"/>
              <w:rPr>
                <w:sz w:val="20"/>
                <w:szCs w:val="20"/>
                <w:color w:val="auto"/>
              </w:rPr>
            </w:pPr>
            <w:r>
              <w:rPr>
                <w:rFonts w:ascii="Arial" w:cs="Arial" w:eastAsia="Arial" w:hAnsi="Arial"/>
                <w:sz w:val="18"/>
                <w:szCs w:val="18"/>
                <w:b w:val="1"/>
                <w:bCs w:val="1"/>
                <w:color w:val="auto"/>
              </w:rPr>
              <w:t>2.26</w:t>
            </w:r>
          </w:p>
        </w:tc>
        <w:tc>
          <w:tcPr>
            <w:tcW w:w="760" w:type="dxa"/>
            <w:vAlign w:val="bottom"/>
            <w:gridSpan w:val="2"/>
            <w:shd w:val="clear" w:color="auto" w:fill="CFF0FC"/>
          </w:tcPr>
          <w:p>
            <w:pPr>
              <w:jc w:val="right"/>
              <w:ind w:right="500"/>
              <w:spacing w:after="0" w:line="18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1.92</w:t>
            </w:r>
          </w:p>
        </w:tc>
      </w:tr>
      <w:tr>
        <w:trPr>
          <w:trHeight w:val="20"/>
        </w:trPr>
        <w:tc>
          <w:tcPr>
            <w:tcW w:w="77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7740" w:type="dxa"/>
            <w:vAlign w:val="bottom"/>
          </w:tcPr>
          <w:p>
            <w:pPr>
              <w:ind w:left="200"/>
              <w:spacing w:after="0" w:line="182" w:lineRule="exact"/>
              <w:rPr>
                <w:sz w:val="20"/>
                <w:szCs w:val="20"/>
                <w:color w:val="auto"/>
              </w:rPr>
            </w:pPr>
            <w:r>
              <w:rPr>
                <w:rFonts w:ascii="Arial" w:cs="Arial" w:eastAsia="Arial" w:hAnsi="Arial"/>
                <w:sz w:val="18"/>
                <w:szCs w:val="18"/>
                <w:color w:val="auto"/>
              </w:rPr>
              <w:t>Diluted earnings per share attributable to common stockholders</w:t>
            </w:r>
          </w:p>
        </w:tc>
        <w:tc>
          <w:tcPr>
            <w:tcW w:w="940" w:type="dxa"/>
            <w:vAlign w:val="bottom"/>
          </w:tcPr>
          <w:p>
            <w:pPr>
              <w:jc w:val="right"/>
              <w:ind w:right="78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ind w:right="55"/>
              <w:spacing w:after="0" w:line="182" w:lineRule="exact"/>
              <w:rPr>
                <w:sz w:val="20"/>
                <w:szCs w:val="20"/>
                <w:color w:val="auto"/>
              </w:rPr>
            </w:pPr>
            <w:r>
              <w:rPr>
                <w:rFonts w:ascii="Arial" w:cs="Arial" w:eastAsia="Arial" w:hAnsi="Arial"/>
                <w:sz w:val="18"/>
                <w:szCs w:val="18"/>
                <w:b w:val="1"/>
                <w:bCs w:val="1"/>
                <w:color w:val="auto"/>
              </w:rPr>
              <w:t>2.23</w:t>
            </w:r>
          </w:p>
        </w:tc>
        <w:tc>
          <w:tcPr>
            <w:tcW w:w="760" w:type="dxa"/>
            <w:vAlign w:val="bottom"/>
            <w:gridSpan w:val="2"/>
          </w:tcPr>
          <w:p>
            <w:pPr>
              <w:jc w:val="right"/>
              <w:ind w:right="500"/>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line="182" w:lineRule="exact"/>
              <w:rPr>
                <w:sz w:val="20"/>
                <w:szCs w:val="20"/>
                <w:color w:val="auto"/>
              </w:rPr>
            </w:pPr>
            <w:r>
              <w:rPr>
                <w:rFonts w:ascii="Arial" w:cs="Arial" w:eastAsia="Arial" w:hAnsi="Arial"/>
                <w:sz w:val="18"/>
                <w:szCs w:val="18"/>
                <w:color w:val="auto"/>
              </w:rPr>
              <w:t>1.90</w:t>
            </w:r>
          </w:p>
        </w:tc>
      </w:tr>
      <w:tr>
        <w:trPr>
          <w:trHeight w:val="20"/>
        </w:trPr>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-753745</wp:posOffset>
            </wp:positionV>
            <wp:extent cx="1117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-736600</wp:posOffset>
            </wp:positionV>
            <wp:extent cx="1117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-471170</wp:posOffset>
            </wp:positionV>
            <wp:extent cx="1117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-179070</wp:posOffset>
            </wp:positionV>
            <wp:extent cx="1117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-162560</wp:posOffset>
            </wp:positionV>
            <wp:extent cx="1117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69" w:lineRule="exact"/>
        <w:rPr>
          <w:sz w:val="20"/>
          <w:szCs w:val="20"/>
          <w:color w:val="auto"/>
        </w:rPr>
      </w:pPr>
    </w:p>
    <w:p>
      <w:pPr>
        <w:ind w:right="200" w:firstLine="494"/>
        <w:spacing w:after="0" w:line="242" w:lineRule="auto"/>
        <w:rPr>
          <w:sz w:val="20"/>
          <w:szCs w:val="20"/>
          <w:color w:val="auto"/>
        </w:rPr>
      </w:pPr>
      <w:r>
        <w:rPr>
          <w:rFonts w:ascii="Arial" w:cs="Arial" w:eastAsia="Arial" w:hAnsi="Arial"/>
          <w:sz w:val="18"/>
          <w:szCs w:val="18"/>
          <w:color w:val="auto"/>
        </w:rPr>
        <w:t>The dilutive impact of stock-based compensation is calculated using the treasury stock method. The treasury stock method assumes that the Company uses the proceeds from the exercise of awards to repurchase common stock at the average market price during the period. For each of the three months ended March 31, 2025 and 2024, there were no outstanding stock options that were anti-dilutive and excluded from the diluted EPS calculation. Basic and diluted EPS for the full-year are calculated using the weighted average shares of common stock outstanding during the year while quarterly basic and diluted EPS are calculated using the weighted average shares of common stock outstanding during the quarter; therefore, the sum of each quarter's EPS may not equal full-year EPS.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COMMON STOCK</w:t>
      </w:r>
    </w:p>
    <w:p>
      <w:pPr>
        <w:spacing w:after="0" w:line="104" w:lineRule="exact"/>
        <w:rPr>
          <w:sz w:val="20"/>
          <w:szCs w:val="20"/>
          <w:color w:val="auto"/>
        </w:rPr>
      </w:pPr>
    </w:p>
    <w:p>
      <w:pPr>
        <w:ind w:right="100" w:firstLine="494"/>
        <w:spacing w:after="0" w:line="253" w:lineRule="auto"/>
        <w:rPr>
          <w:sz w:val="20"/>
          <w:szCs w:val="20"/>
          <w:color w:val="auto"/>
        </w:rPr>
      </w:pPr>
      <w:r>
        <w:rPr>
          <w:rFonts w:ascii="Arial" w:cs="Arial" w:eastAsia="Arial" w:hAnsi="Arial"/>
          <w:sz w:val="18"/>
          <w:szCs w:val="18"/>
          <w:color w:val="auto"/>
        </w:rPr>
        <w:t>On February 20, 2025, the Board of Directors authorized the Company to repurchase an additional $1,000 million of its common stock pursuant to the Company's stock repurchase program (the "Repurchase Program"), bringing the total amount authorized pursuant to the Repurchase Program to $5,000 million.</w:t>
      </w:r>
    </w:p>
    <w:p>
      <w:pPr>
        <w:spacing w:after="0" w:line="61"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During the three months ended March 31, 2025, the Company repurchased approximately $154 million of its common stock under the Repurchase Program, leaving $1,366 million of authorized repurchases remaining under the Repurchase Program as of March 31, 2025. The Repurchase Program has no termination date, and the timing and amount of stock purchases are subject to market conditions and corporate needs. The Repurchase Program may be modified, suspended or discontinued at any time at the Company’s discretion.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SEGMENT INFORMATION</w:t>
      </w:r>
    </w:p>
    <w:p>
      <w:pPr>
        <w:spacing w:after="0" w:line="117" w:lineRule="exact"/>
        <w:rPr>
          <w:sz w:val="20"/>
          <w:szCs w:val="20"/>
          <w:color w:val="auto"/>
        </w:rPr>
      </w:pPr>
    </w:p>
    <w:p>
      <w:pPr>
        <w:ind w:right="60" w:firstLine="494"/>
        <w:spacing w:after="0" w:line="253" w:lineRule="auto"/>
        <w:rPr>
          <w:sz w:val="20"/>
          <w:szCs w:val="20"/>
          <w:color w:val="auto"/>
        </w:rPr>
      </w:pPr>
      <w:r>
        <w:rPr>
          <w:rFonts w:ascii="Arial" w:cs="Arial" w:eastAsia="Arial" w:hAnsi="Arial"/>
          <w:sz w:val="18"/>
          <w:szCs w:val="18"/>
          <w:color w:val="auto"/>
        </w:rPr>
        <w:t>In accordance with the FASB’s authoritative accounting guidance on segment reporting, the Company has one operating segment and reportable segment. The Company is managed by the Chief Operating Decision Maker ("CODM") based on its one line of business, the design, manufacture and distribution of vehicle propulsion solutions.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0" w:firstLine="494"/>
        <w:spacing w:after="0" w:line="242" w:lineRule="auto"/>
        <w:rPr>
          <w:sz w:val="20"/>
          <w:szCs w:val="20"/>
          <w:color w:val="auto"/>
        </w:rPr>
      </w:pPr>
      <w:r>
        <w:rPr>
          <w:rFonts w:ascii="Arial" w:cs="Arial" w:eastAsia="Arial" w:hAnsi="Arial"/>
          <w:sz w:val="18"/>
          <w:szCs w:val="18"/>
          <w:color w:val="auto"/>
        </w:rPr>
        <w:t>The Company’s CODM is its Chair, President and Chief Executive Officer. The CODM evaluates Company performance and makes decisions on the allocation of resources based on Net income, a GAAP measure, and Adjusted Earnings before Interest, Taxes, Depreciation, and Amortization (“EBITDA”), a non-GAAP measure. The most directly comparable GAAP measure to Adjusted EBITDA is Net income. The Company believes that Net income and Adjusted EBITDA provide management, investors and creditors with useful measures of the operational results of its business and increase the period-to-period comparability of the Company's operating profitability and comparability with other companies.</w:t>
      </w:r>
    </w:p>
    <w:p>
      <w:pPr>
        <w:spacing w:after="0" w:line="71" w:lineRule="exact"/>
        <w:rPr>
          <w:sz w:val="20"/>
          <w:szCs w:val="20"/>
          <w:color w:val="auto"/>
        </w:rPr>
      </w:pPr>
    </w:p>
    <w:p>
      <w:pPr>
        <w:ind w:right="80" w:firstLine="494"/>
        <w:spacing w:after="0" w:line="244" w:lineRule="auto"/>
        <w:rPr>
          <w:sz w:val="20"/>
          <w:szCs w:val="20"/>
          <w:color w:val="auto"/>
        </w:rPr>
      </w:pPr>
      <w:r>
        <w:rPr>
          <w:rFonts w:ascii="Arial" w:cs="Arial" w:eastAsia="Arial" w:hAnsi="Arial"/>
          <w:sz w:val="18"/>
          <w:szCs w:val="18"/>
          <w:color w:val="auto"/>
        </w:rPr>
        <w:t xml:space="preserve">The CODM assesses Company performance utilizing Net income and Adjusted EBITDA by comparing budget versus actual and year-over-year variances. Certain variances identified in the analysis of Net income and Adjusted EBITDA are evaluated to assist the CODM in assessing Company performance and making decisions on the allocation of Company resources. The following expenses included in Net income and Adjusted EBITDA are identified as significant expenses regularly provided to the CODM: Cost of sales, Selling, general and administrative, and Engineering </w:t>
      </w:r>
      <w:r>
        <w:rPr>
          <w:rFonts w:ascii="Arial" w:cs="Arial" w:eastAsia="Arial" w:hAnsi="Arial"/>
          <w:sz w:val="18"/>
          <w:szCs w:val="18"/>
          <w:i w:val="1"/>
          <w:iCs w:val="1"/>
          <w:color w:val="auto"/>
        </w:rPr>
        <w:t>—</w:t>
      </w:r>
      <w:r>
        <w:rPr>
          <w:rFonts w:ascii="Arial" w:cs="Arial" w:eastAsia="Arial" w:hAnsi="Arial"/>
          <w:sz w:val="18"/>
          <w:szCs w:val="18"/>
          <w:color w:val="auto"/>
        </w:rPr>
        <w:t xml:space="preserve"> research and development.</w:t>
      </w:r>
    </w:p>
    <w:p>
      <w:pPr>
        <w:spacing w:after="0" w:line="68" w:lineRule="exact"/>
        <w:rPr>
          <w:sz w:val="20"/>
          <w:szCs w:val="20"/>
          <w:color w:val="auto"/>
        </w:rPr>
      </w:pPr>
    </w:p>
    <w:p>
      <w:pPr>
        <w:ind w:right="160" w:firstLine="494"/>
        <w:spacing w:after="0" w:line="253" w:lineRule="auto"/>
        <w:rPr>
          <w:sz w:val="20"/>
          <w:szCs w:val="20"/>
          <w:color w:val="auto"/>
        </w:rPr>
      </w:pPr>
      <w:r>
        <w:rPr>
          <w:rFonts w:ascii="Arial" w:cs="Arial" w:eastAsia="Arial" w:hAnsi="Arial"/>
          <w:sz w:val="18"/>
          <w:szCs w:val="18"/>
          <w:color w:val="auto"/>
        </w:rPr>
        <w:t>The Company’s one reportable segment is the same as its consolidated financial results; therefore, segment information for additions of long-lived assets and asset information can be found in the Company’s Condensed Consolidated Statements of Cash Flows and Condensed Consolidated Balance Sheets, respectively.</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financial summary of the Company’s one reportable segment (dollars in millions):</w:t>
      </w:r>
    </w:p>
    <w:p>
      <w:pPr>
        <w:spacing w:after="0" w:line="316"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-1905</wp:posOffset>
            </wp:positionV>
            <wp:extent cx="25717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2024</w:t>
            </w:r>
          </w:p>
        </w:tc>
      </w:tr>
      <w:tr>
        <w:trPr>
          <w:trHeight w:val="196"/>
        </w:trPr>
        <w:tc>
          <w:tcPr>
            <w:tcW w:w="7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sales</w:t>
            </w:r>
          </w:p>
        </w:tc>
        <w:tc>
          <w:tcPr>
            <w:tcW w:w="1180" w:type="dxa"/>
            <w:vAlign w:val="bottom"/>
            <w:shd w:val="clear" w:color="auto" w:fill="CFF0FC"/>
          </w:tcPr>
          <w:p>
            <w:pPr>
              <w:jc w:val="right"/>
              <w:ind w:right="975"/>
              <w:spacing w:after="0" w:line="196" w:lineRule="exact"/>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766</w:t>
            </w:r>
          </w:p>
        </w:tc>
        <w:tc>
          <w:tcPr>
            <w:tcW w:w="700" w:type="dxa"/>
            <w:vAlign w:val="bottom"/>
            <w:gridSpan w:val="2"/>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789</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less:</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3"/>
        </w:trPr>
        <w:tc>
          <w:tcPr>
            <w:tcW w:w="7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Cost of sales</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388</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423</w:t>
            </w:r>
          </w:p>
        </w:tc>
      </w:tr>
      <w:tr>
        <w:trPr>
          <w:trHeight w:val="203"/>
        </w:trPr>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180" w:type="dxa"/>
            <w:vAlign w:val="bottom"/>
          </w:tcPr>
          <w:p>
            <w:pPr>
              <w:spacing w:after="0"/>
              <w:rPr>
                <w:sz w:val="17"/>
                <w:szCs w:val="17"/>
                <w:color w:val="auto"/>
              </w:rPr>
            </w:pPr>
          </w:p>
        </w:tc>
        <w:tc>
          <w:tcPr>
            <w:tcW w:w="7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86</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86</w:t>
            </w:r>
          </w:p>
        </w:tc>
      </w:tr>
      <w:tr>
        <w:trPr>
          <w:trHeight w:val="202"/>
        </w:trPr>
        <w:tc>
          <w:tcPr>
            <w:tcW w:w="7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Engineering — research and development</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43</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46</w:t>
            </w:r>
          </w:p>
        </w:tc>
      </w:tr>
      <w:tr>
        <w:trPr>
          <w:trHeight w:val="203"/>
        </w:trPr>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Other segment items (a)</w:t>
            </w:r>
          </w:p>
        </w:tc>
        <w:tc>
          <w:tcPr>
            <w:tcW w:w="1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57</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65</w:t>
            </w:r>
          </w:p>
        </w:tc>
      </w:tr>
      <w:tr>
        <w:trPr>
          <w:trHeight w:val="196"/>
        </w:trPr>
        <w:tc>
          <w:tcPr>
            <w:tcW w:w="71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income (GAAP)</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192</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169</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plus:</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3"/>
        </w:trPr>
        <w:tc>
          <w:tcPr>
            <w:tcW w:w="7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expense</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41</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35</w:t>
            </w:r>
          </w:p>
        </w:tc>
      </w:tr>
      <w:tr>
        <w:trPr>
          <w:trHeight w:val="203"/>
        </w:trPr>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1180" w:type="dxa"/>
            <w:vAlign w:val="bottom"/>
          </w:tcPr>
          <w:p>
            <w:pPr>
              <w:spacing w:after="0"/>
              <w:rPr>
                <w:sz w:val="17"/>
                <w:szCs w:val="17"/>
                <w:color w:val="auto"/>
              </w:rPr>
            </w:pPr>
          </w:p>
        </w:tc>
        <w:tc>
          <w:tcPr>
            <w:tcW w:w="7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28</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27</w:t>
            </w:r>
          </w:p>
        </w:tc>
      </w:tr>
      <w:tr>
        <w:trPr>
          <w:trHeight w:val="203"/>
        </w:trPr>
        <w:tc>
          <w:tcPr>
            <w:tcW w:w="7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 net</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21</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25</w:t>
            </w:r>
          </w:p>
        </w:tc>
      </w:tr>
      <w:tr>
        <w:trPr>
          <w:trHeight w:val="203"/>
        </w:trPr>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1180" w:type="dxa"/>
            <w:vAlign w:val="bottom"/>
          </w:tcPr>
          <w:p>
            <w:pPr>
              <w:spacing w:after="0"/>
              <w:rPr>
                <w:sz w:val="17"/>
                <w:szCs w:val="17"/>
                <w:color w:val="auto"/>
              </w:rPr>
            </w:pPr>
          </w:p>
        </w:tc>
        <w:tc>
          <w:tcPr>
            <w:tcW w:w="7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5</w:t>
            </w:r>
          </w:p>
        </w:tc>
      </w:tr>
      <w:tr>
        <w:trPr>
          <w:trHeight w:val="202"/>
        </w:trPr>
        <w:tc>
          <w:tcPr>
            <w:tcW w:w="71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adjustments (b)</w:t>
            </w:r>
          </w:p>
        </w:tc>
        <w:tc>
          <w:tcPr>
            <w:tcW w:w="1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3</w:t>
            </w:r>
          </w:p>
        </w:tc>
        <w:tc>
          <w:tcPr>
            <w:tcW w:w="2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28</w:t>
            </w:r>
          </w:p>
        </w:tc>
      </w:tr>
      <w:tr>
        <w:trPr>
          <w:trHeight w:val="196"/>
        </w:trPr>
        <w:tc>
          <w:tcPr>
            <w:tcW w:w="7180" w:type="dxa"/>
            <w:vAlign w:val="bottom"/>
          </w:tcPr>
          <w:p>
            <w:pPr>
              <w:spacing w:after="0" w:line="182" w:lineRule="exact"/>
              <w:rPr>
                <w:sz w:val="20"/>
                <w:szCs w:val="20"/>
                <w:color w:val="auto"/>
              </w:rPr>
            </w:pPr>
            <w:r>
              <w:rPr>
                <w:rFonts w:ascii="Arial" w:cs="Arial" w:eastAsia="Arial" w:hAnsi="Arial"/>
                <w:sz w:val="18"/>
                <w:szCs w:val="18"/>
                <w:b w:val="1"/>
                <w:bCs w:val="1"/>
                <w:color w:val="auto"/>
              </w:rPr>
              <w:t>Adjusted EBITDA (Non-GAAP)</w:t>
            </w:r>
          </w:p>
        </w:tc>
        <w:tc>
          <w:tcPr>
            <w:tcW w:w="1180" w:type="dxa"/>
            <w:vAlign w:val="bottom"/>
          </w:tcPr>
          <w:p>
            <w:pPr>
              <w:jc w:val="right"/>
              <w:ind w:right="975"/>
              <w:spacing w:after="0" w:line="182" w:lineRule="exact"/>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ind w:right="30"/>
              <w:spacing w:after="0" w:line="182" w:lineRule="exact"/>
              <w:rPr>
                <w:sz w:val="20"/>
                <w:szCs w:val="20"/>
                <w:color w:val="auto"/>
              </w:rPr>
            </w:pPr>
            <w:r>
              <w:rPr>
                <w:rFonts w:ascii="Arial" w:cs="Arial" w:eastAsia="Arial" w:hAnsi="Arial"/>
                <w:sz w:val="18"/>
                <w:szCs w:val="18"/>
                <w:b w:val="1"/>
                <w:bCs w:val="1"/>
                <w:color w:val="auto"/>
              </w:rPr>
              <w:t>287</w:t>
            </w:r>
          </w:p>
        </w:tc>
        <w:tc>
          <w:tcPr>
            <w:tcW w:w="700" w:type="dxa"/>
            <w:vAlign w:val="bottom"/>
            <w:gridSpan w:val="2"/>
          </w:tcPr>
          <w:p>
            <w:pPr>
              <w:jc w:val="right"/>
              <w:ind w:right="210"/>
              <w:spacing w:after="0" w:line="18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51"/>
              <w:spacing w:after="0" w:line="182" w:lineRule="exact"/>
              <w:rPr>
                <w:sz w:val="20"/>
                <w:szCs w:val="20"/>
                <w:color w:val="auto"/>
              </w:rPr>
            </w:pPr>
            <w:r>
              <w:rPr>
                <w:rFonts w:ascii="Arial" w:cs="Arial" w:eastAsia="Arial" w:hAnsi="Arial"/>
                <w:sz w:val="18"/>
                <w:szCs w:val="18"/>
                <w:color w:val="auto"/>
              </w:rPr>
              <w:t>289</w:t>
            </w:r>
          </w:p>
        </w:tc>
      </w:tr>
      <w:tr>
        <w:trPr>
          <w:trHeight w:val="20"/>
        </w:trPr>
        <w:tc>
          <w:tcPr>
            <w:tcW w:w="7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1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1180" w:type="dxa"/>
            <w:vAlign w:val="bottom"/>
            <w:tcBorders>
              <w:bottom w:val="single" w:sz="8" w:color="auto"/>
            </w:tcBorders>
            <w:shd w:val="clear" w:color="auto" w:fill="CFF0FC"/>
          </w:tcPr>
          <w:p>
            <w:pPr>
              <w:jc w:val="right"/>
              <w:ind w:right="975"/>
              <w:spacing w:after="0" w:line="182" w:lineRule="exact"/>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b w:val="1"/>
                <w:bCs w:val="1"/>
                <w:color w:val="auto"/>
              </w:rPr>
              <w:t>5,366</w:t>
            </w:r>
          </w:p>
        </w:tc>
        <w:tc>
          <w:tcPr>
            <w:tcW w:w="2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10"/>
              <w:spacing w:after="0" w:line="182"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51"/>
              <w:spacing w:after="0" w:line="182" w:lineRule="exact"/>
              <w:rPr>
                <w:sz w:val="20"/>
                <w:szCs w:val="20"/>
                <w:color w:val="auto"/>
              </w:rPr>
            </w:pPr>
            <w:r>
              <w:rPr>
                <w:rFonts w:ascii="Arial" w:cs="Arial" w:eastAsia="Arial" w:hAnsi="Arial"/>
                <w:sz w:val="18"/>
                <w:szCs w:val="18"/>
                <w:color w:val="auto"/>
              </w:rPr>
              <w:t>5,056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-316865</wp:posOffset>
            </wp:positionV>
            <wp:extent cx="1797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1797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1797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56" w:lineRule="exact"/>
        <w:rPr>
          <w:sz w:val="20"/>
          <w:szCs w:val="20"/>
          <w:color w:val="auto"/>
        </w:rPr>
      </w:pPr>
    </w:p>
    <w:p>
      <w:pPr>
        <w:ind w:left="640" w:right="460" w:hanging="377"/>
        <w:spacing w:after="0" w:line="245"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other segment items included in Net income including Income tax expense, Interest expense, net and Other income (expense), net.</w:t>
      </w:r>
    </w:p>
    <w:p>
      <w:pPr>
        <w:ind w:left="640" w:hanging="37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other reconciling items between Net income and Adjusted EBITDA.</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81"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64" w:lineRule="exact"/>
        <w:rPr>
          <w:sz w:val="20"/>
          <w:szCs w:val="20"/>
          <w:color w:val="auto"/>
        </w:rPr>
      </w:pPr>
    </w:p>
    <w:p>
      <w:pPr>
        <w:ind w:right="160" w:firstLine="494"/>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2024 as filed with the Securities and Exchange Commission on February 13, 2025. Our actual results may differ materially from those contained in or implied by any forward-looking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ind w:right="220" w:firstLine="494"/>
        <w:spacing w:after="0" w:line="247" w:lineRule="auto"/>
        <w:rPr>
          <w:sz w:val="20"/>
          <w:szCs w:val="20"/>
          <w:color w:val="auto"/>
        </w:rPr>
      </w:pPr>
      <w:r>
        <w:rPr>
          <w:rFonts w:ascii="Arial" w:cs="Arial" w:eastAsia="Arial" w:hAnsi="Arial"/>
          <w:sz w:val="18"/>
          <w:szCs w:val="18"/>
          <w:color w:val="auto"/>
        </w:rPr>
        <w:t>Allison Transmission Holdings, Inc. and its subsidiaries (“Allison,” the “Company,” “we,” “us” or “our”) is a leading designer and manufacturer of propulsion solutions for commercial and defense vehicles and the largest global manufacturer of medium- and heavy-duty fully automatic transmissions. The business was founded in 1915 and has been headquartered in Indianapolis, Indiana since inception. Allison is traded on the New York Stock Exchange under the symbol “ALSN”.</w:t>
      </w:r>
    </w:p>
    <w:p>
      <w:pPr>
        <w:spacing w:after="0" w:line="66" w:lineRule="exact"/>
        <w:rPr>
          <w:sz w:val="20"/>
          <w:szCs w:val="20"/>
          <w:color w:val="auto"/>
        </w:rPr>
      </w:pPr>
    </w:p>
    <w:p>
      <w:pPr>
        <w:ind w:right="60" w:firstLine="499"/>
        <w:spacing w:after="0" w:line="253" w:lineRule="auto"/>
        <w:rPr>
          <w:sz w:val="20"/>
          <w:szCs w:val="20"/>
          <w:color w:val="auto"/>
        </w:rPr>
      </w:pPr>
      <w:r>
        <w:rPr>
          <w:rFonts w:ascii="Arial" w:cs="Arial" w:eastAsia="Arial" w:hAnsi="Arial"/>
          <w:sz w:val="18"/>
          <w:szCs w:val="18"/>
          <w:color w:val="auto"/>
        </w:rPr>
        <w:t>We have a global presence by serving customers in North America, Asia, Europe, South America, and Africa, with approximately 77% of our revenues being generated in North America in 2024. We serve customers through an independent network of approximately 1,600 independent distributor and dealer locations worldwide.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04" w:lineRule="exact"/>
        <w:rPr>
          <w:sz w:val="20"/>
          <w:szCs w:val="20"/>
          <w:color w:val="auto"/>
        </w:rPr>
      </w:pPr>
    </w:p>
    <w:p>
      <w:pPr>
        <w:ind w:right="100" w:firstLine="499"/>
        <w:spacing w:after="0" w:line="271" w:lineRule="auto"/>
        <w:rPr>
          <w:sz w:val="20"/>
          <w:szCs w:val="20"/>
          <w:color w:val="auto"/>
        </w:rPr>
      </w:pPr>
      <w:r>
        <w:rPr>
          <w:rFonts w:ascii="Arial" w:cs="Arial" w:eastAsia="Arial" w:hAnsi="Arial"/>
          <w:sz w:val="18"/>
          <w:szCs w:val="18"/>
          <w:color w:val="auto"/>
        </w:rPr>
        <w:t>In 2025, we expect higher net sales driven by price increases on certain products, increased demand for Tracked vehicle applications in our Defense end market and continued strength in North American vocational demand.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Net Sales by End Market (dollars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End Market</w:t>
            </w: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rPr>
              <w:t>For the Three Months Ended March 31,</w:t>
            </w:r>
          </w:p>
        </w:tc>
        <w:tc>
          <w:tcPr>
            <w:tcW w:w="100" w:type="dxa"/>
            <w:vAlign w:val="bottom"/>
          </w:tcPr>
          <w:p>
            <w:pPr>
              <w:spacing w:after="0"/>
              <w:rPr>
                <w:sz w:val="14"/>
                <w:szCs w:val="14"/>
                <w:color w:val="auto"/>
              </w:rPr>
            </w:pPr>
          </w:p>
        </w:tc>
        <w:tc>
          <w:tcPr>
            <w:tcW w:w="16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56"/>
        </w:trPr>
        <w:tc>
          <w:tcPr>
            <w:tcW w:w="652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16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North America On-Highway</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435</w:t>
            </w: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420</w:t>
            </w:r>
          </w:p>
        </w:tc>
        <w:tc>
          <w:tcPr>
            <w:tcW w:w="17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Outside North America On-Highway</w:t>
            </w:r>
          </w:p>
        </w:tc>
        <w:tc>
          <w:tcPr>
            <w:tcW w:w="120" w:type="dxa"/>
            <w:vAlign w:val="bottom"/>
          </w:tcPr>
          <w:p>
            <w:pPr>
              <w:spacing w:after="0"/>
              <w:rPr>
                <w:sz w:val="17"/>
                <w:szCs w:val="17"/>
                <w:color w:val="auto"/>
              </w:rPr>
            </w:pPr>
          </w:p>
        </w:tc>
        <w:tc>
          <w:tcPr>
            <w:tcW w:w="132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112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115</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Global Off-Highway</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b w:val="1"/>
                <w:bCs w:val="1"/>
                <w:color w:val="auto"/>
              </w:rPr>
              <w:t>18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46</w:t>
            </w:r>
          </w:p>
        </w:tc>
        <w:tc>
          <w:tcPr>
            <w:tcW w:w="1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Defense</w:t>
            </w:r>
          </w:p>
        </w:tc>
        <w:tc>
          <w:tcPr>
            <w:tcW w:w="120" w:type="dxa"/>
            <w:vAlign w:val="bottom"/>
          </w:tcPr>
          <w:p>
            <w:pPr>
              <w:spacing w:after="0"/>
              <w:rPr>
                <w:sz w:val="17"/>
                <w:szCs w:val="17"/>
                <w:color w:val="auto"/>
              </w:rPr>
            </w:pPr>
          </w:p>
        </w:tc>
        <w:tc>
          <w:tcPr>
            <w:tcW w:w="132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53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48</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Service Parts, Support Equipment and Other</w:t>
            </w:r>
          </w:p>
        </w:tc>
        <w:tc>
          <w:tcPr>
            <w:tcW w:w="1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b w:val="1"/>
                <w:bCs w:val="1"/>
                <w:color w:val="auto"/>
              </w:rPr>
              <w:t>148</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160</w:t>
            </w:r>
          </w:p>
        </w:tc>
        <w:tc>
          <w:tcPr>
            <w:tcW w:w="170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520" w:type="dxa"/>
            <w:vAlign w:val="bottom"/>
          </w:tcPr>
          <w:p>
            <w:pPr>
              <w:spacing w:after="0" w:line="182" w:lineRule="exact"/>
              <w:rPr>
                <w:sz w:val="20"/>
                <w:szCs w:val="20"/>
                <w:color w:val="auto"/>
              </w:rPr>
            </w:pPr>
            <w:r>
              <w:rPr>
                <w:rFonts w:ascii="Arial" w:cs="Arial" w:eastAsia="Arial" w:hAnsi="Arial"/>
                <w:sz w:val="18"/>
                <w:szCs w:val="18"/>
                <w:color w:val="auto"/>
              </w:rPr>
              <w:t>Total Net Sales</w:t>
            </w:r>
          </w:p>
        </w:tc>
        <w:tc>
          <w:tcPr>
            <w:tcW w:w="1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35"/>
              <w:spacing w:after="0" w:line="182" w:lineRule="exact"/>
              <w:rPr>
                <w:sz w:val="20"/>
                <w:szCs w:val="20"/>
                <w:color w:val="auto"/>
              </w:rPr>
            </w:pPr>
            <w:r>
              <w:rPr>
                <w:rFonts w:ascii="Arial" w:cs="Arial" w:eastAsia="Arial" w:hAnsi="Arial"/>
                <w:sz w:val="18"/>
                <w:szCs w:val="18"/>
                <w:b w:val="1"/>
                <w:bCs w:val="1"/>
                <w:color w:val="auto"/>
              </w:rPr>
              <w:t>766</w:t>
            </w:r>
          </w:p>
        </w:tc>
        <w:tc>
          <w:tcPr>
            <w:tcW w:w="44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line="182" w:lineRule="exact"/>
              <w:rPr>
                <w:sz w:val="20"/>
                <w:szCs w:val="20"/>
                <w:color w:val="auto"/>
              </w:rPr>
            </w:pPr>
            <w:r>
              <w:rPr>
                <w:rFonts w:ascii="Arial" w:cs="Arial" w:eastAsia="Arial" w:hAnsi="Arial"/>
                <w:sz w:val="18"/>
                <w:szCs w:val="18"/>
                <w:color w:val="auto"/>
              </w:rPr>
              <w:t>789</w:t>
            </w:r>
          </w:p>
        </w:tc>
        <w:tc>
          <w:tcPr>
            <w:tcW w:w="17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-162560</wp:posOffset>
            </wp:positionV>
            <wp:extent cx="946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-162560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200" w:firstLine="494"/>
        <w:spacing w:after="0" w:line="253" w:lineRule="auto"/>
        <w:rPr>
          <w:sz w:val="20"/>
          <w:szCs w:val="20"/>
          <w:color w:val="auto"/>
        </w:rPr>
      </w:pPr>
      <w:r>
        <w:rPr>
          <w:rFonts w:ascii="Arial" w:cs="Arial" w:eastAsia="Arial" w:hAnsi="Arial"/>
          <w:sz w:val="18"/>
          <w:szCs w:val="18"/>
          <w:color w:val="auto"/>
        </w:rPr>
        <w:t>North America On-Highway end market net sales were up 4% for the first quarter 2025 compared to the first quarter 2024, principally driven by price increases on certain products and continued strength in Class 8 vocational trucks, partially offset by lower demand for medium-duty trucks.</w:t>
      </w:r>
    </w:p>
    <w:p>
      <w:pPr>
        <w:spacing w:after="0" w:line="61" w:lineRule="exact"/>
        <w:rPr>
          <w:sz w:val="20"/>
          <w:szCs w:val="20"/>
          <w:color w:val="auto"/>
        </w:rPr>
      </w:pPr>
    </w:p>
    <w:p>
      <w:pPr>
        <w:ind w:right="140" w:firstLine="494"/>
        <w:spacing w:after="0" w:line="271" w:lineRule="auto"/>
        <w:rPr>
          <w:sz w:val="20"/>
          <w:szCs w:val="20"/>
          <w:color w:val="auto"/>
        </w:rPr>
      </w:pPr>
      <w:r>
        <w:rPr>
          <w:rFonts w:ascii="Arial" w:cs="Arial" w:eastAsia="Arial" w:hAnsi="Arial"/>
          <w:sz w:val="18"/>
          <w:szCs w:val="18"/>
          <w:color w:val="auto"/>
        </w:rPr>
        <w:t>Outside North America On-Highway end market net sales were down 3% for the first quarter 2025 compared to the first quarter 2024, principally driven by lower demand in Europe.</w:t>
      </w:r>
    </w:p>
    <w:p>
      <w:pPr>
        <w:spacing w:after="0" w:line="46"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Global Off-Highway net sales were down $28 million for the first quarter 2025 compared to the first quarter 2024, principally driven by lower demand from the energy, mining and construction sectors outside of North America.</w:t>
      </w:r>
    </w:p>
    <w:p>
      <w:pPr>
        <w:spacing w:after="0" w:line="46" w:lineRule="exact"/>
        <w:rPr>
          <w:sz w:val="20"/>
          <w:szCs w:val="20"/>
          <w:color w:val="auto"/>
        </w:rPr>
      </w:pPr>
    </w:p>
    <w:p>
      <w:pPr>
        <w:ind w:right="400" w:firstLine="494"/>
        <w:spacing w:after="0" w:line="271" w:lineRule="auto"/>
        <w:rPr>
          <w:sz w:val="20"/>
          <w:szCs w:val="20"/>
          <w:color w:val="auto"/>
        </w:rPr>
      </w:pPr>
      <w:r>
        <w:rPr>
          <w:rFonts w:ascii="Arial" w:cs="Arial" w:eastAsia="Arial" w:hAnsi="Arial"/>
          <w:sz w:val="18"/>
          <w:szCs w:val="18"/>
          <w:color w:val="auto"/>
        </w:rPr>
        <w:t>Defense end market net sales were up 10% for the first quarter 2025 compared to the first quarter 2024, principally driven by price increases on certain products.</w:t>
      </w:r>
    </w:p>
    <w:p>
      <w:pPr>
        <w:spacing w:after="0" w:line="46" w:lineRule="exact"/>
        <w:rPr>
          <w:sz w:val="20"/>
          <w:szCs w:val="20"/>
          <w:color w:val="auto"/>
        </w:rPr>
      </w:pPr>
    </w:p>
    <w:p>
      <w:pPr>
        <w:jc w:val="both"/>
        <w:ind w:right="560" w:firstLine="494"/>
        <w:spacing w:after="0" w:line="253" w:lineRule="auto"/>
        <w:rPr>
          <w:sz w:val="20"/>
          <w:szCs w:val="20"/>
          <w:color w:val="auto"/>
        </w:rPr>
      </w:pPr>
      <w:r>
        <w:rPr>
          <w:rFonts w:ascii="Arial" w:cs="Arial" w:eastAsia="Arial" w:hAnsi="Arial"/>
          <w:sz w:val="18"/>
          <w:szCs w:val="18"/>
          <w:color w:val="auto"/>
        </w:rPr>
        <w:t>Service Parts, Support Equipment and Other end market net sales were down 8% for the first quarter 2025 compared to the first quarter 2024, principally driven by lower demand for service parts and support equipment, partially offset by price increases on certain products.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02" w:lineRule="exact"/>
        <w:rPr>
          <w:sz w:val="20"/>
          <w:szCs w:val="20"/>
          <w:color w:val="auto"/>
        </w:rPr>
      </w:pPr>
    </w:p>
    <w:p>
      <w:pPr>
        <w:ind w:right="240" w:firstLine="494"/>
        <w:spacing w:after="0" w:line="242" w:lineRule="auto"/>
        <w:rPr>
          <w:sz w:val="20"/>
          <w:szCs w:val="20"/>
          <w:color w:val="auto"/>
        </w:rPr>
      </w:pPr>
      <w:r>
        <w:rPr>
          <w:rFonts w:ascii="Arial" w:cs="Arial" w:eastAsia="Arial" w:hAnsi="Arial"/>
          <w:sz w:val="18"/>
          <w:szCs w:val="18"/>
          <w:color w:val="auto"/>
        </w:rPr>
        <w:t>We generate our net sales primarily from the sale of vehicle propulsion solutions, service and component parts, support equipment, defense kits, engineering services, royalties and extended transmission coverage to a wide array of original equipment manufacturers, distributors and the U.S. government. Sales are recorded in accordance with the terms of the contract, net of provisions for customer incentives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02"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Our primary components of cost of sales are purchased parts, the overhead expense related to our manufacturing operations and direct labor associated with the manufacture and assembly of vehicle propulsion solutions and parts. For the three months ended March 31, 2025, direct material costs were approximately 66%, overhead costs were approximately 26%, and direct labor costs were approximately 8% of cost of sales. We are subject to changes in our cost of sales caused by movements in underlying commodity prices. We seek to hedge against this risk by using long-term agreements (“LTAs”), as appropriate. See Part I, Item 3, “Quantitative and Qualitative Disclosures about Market Risk—Commodity Price Risk” included below.</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2" w:lineRule="exact"/>
        <w:rPr>
          <w:sz w:val="20"/>
          <w:szCs w:val="20"/>
          <w:color w:val="auto"/>
        </w:rPr>
      </w:pPr>
    </w:p>
    <w:p>
      <w:pPr>
        <w:ind w:right="580" w:firstLine="494"/>
        <w:spacing w:after="0" w:line="253"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02" w:lineRule="exact"/>
        <w:rPr>
          <w:sz w:val="20"/>
          <w:szCs w:val="20"/>
          <w:color w:val="auto"/>
        </w:rPr>
      </w:pPr>
    </w:p>
    <w:p>
      <w:pPr>
        <w:ind w:right="140" w:firstLine="494"/>
        <w:spacing w:after="0" w:line="271"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56"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(the “Credit Agreement”), governing Allison Transmission, Inc.’s (“ATI”), our wholly-owned subsidiary, term loan facility in the amount of $513 million due March 2031 (“Term Loan”) and ATI’s revolving credit facility with commitments in the amount of $750 million due March 2029 ("Revolving Credit Facility" and, together with the Term Loan, the "Senior Secured Credit Facility"). Adjusted EBITDA as a percent of net sales is calculated as Adjusted EBITDA divided by net sales.</w:t>
      </w:r>
    </w:p>
    <w:p>
      <w:pPr>
        <w:spacing w:after="0" w:line="129"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77" w:lineRule="exact"/>
        <w:rPr>
          <w:sz w:val="20"/>
          <w:szCs w:val="20"/>
          <w:color w:val="auto"/>
        </w:rPr>
      </w:pPr>
    </w:p>
    <w:p>
      <w:pPr>
        <w:ind w:right="80" w:firstLine="494"/>
        <w:spacing w:after="0" w:line="248"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tbl>
      <w:tblPr>
        <w:tblLayout w:type="fixed"/>
        <w:tblInd w:w="0" w:type="dxa"/>
        <w:tblCellMar>
          <w:top w:w="0" w:type="dxa"/>
          <w:left w:w="0" w:type="dxa"/>
          <w:bottom w:w="0" w:type="dxa"/>
          <w:right w:w="0" w:type="dxa"/>
        </w:tblCellMar>
      </w:tblPr>
      <w:tr>
        <w:trPr>
          <w:trHeight w:val="149"/>
        </w:trPr>
        <w:tc>
          <w:tcPr>
            <w:tcW w:w="5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Three Months Ended</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40" w:type="dxa"/>
            <w:vAlign w:val="bottom"/>
            <w:vMerge w:val="continue"/>
          </w:tcPr>
          <w:p>
            <w:pPr>
              <w:spacing w:after="0"/>
              <w:rPr>
                <w:sz w:val="13"/>
                <w:szCs w:val="13"/>
                <w:color w:val="auto"/>
              </w:rPr>
            </w:pPr>
          </w:p>
        </w:tc>
        <w:tc>
          <w:tcPr>
            <w:tcW w:w="24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13"/>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11"/>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51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income (GAAP)</w:t>
            </w:r>
          </w:p>
        </w:tc>
        <w:tc>
          <w:tcPr>
            <w:tcW w:w="2820" w:type="dxa"/>
            <w:vAlign w:val="bottom"/>
            <w:gridSpan w:val="2"/>
            <w:shd w:val="clear" w:color="auto" w:fill="CFF0FC"/>
          </w:tcPr>
          <w:p>
            <w:pPr>
              <w:jc w:val="right"/>
              <w:ind w:right="170"/>
              <w:spacing w:after="0" w:line="196" w:lineRule="exact"/>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FF0FC"/>
          </w:tcPr>
          <w:p>
            <w:pPr>
              <w:jc w:val="right"/>
              <w:ind w:right="113"/>
              <w:spacing w:after="0" w:line="196" w:lineRule="exact"/>
              <w:rPr>
                <w:sz w:val="20"/>
                <w:szCs w:val="20"/>
                <w:color w:val="auto"/>
              </w:rPr>
            </w:pPr>
            <w:r>
              <w:rPr>
                <w:rFonts w:ascii="Arial" w:cs="Arial" w:eastAsia="Arial" w:hAnsi="Arial"/>
                <w:sz w:val="18"/>
                <w:szCs w:val="18"/>
                <w:b w:val="1"/>
                <w:bCs w:val="1"/>
                <w:color w:val="auto"/>
              </w:rPr>
              <w:t>192</w:t>
            </w:r>
          </w:p>
        </w:tc>
        <w:tc>
          <w:tcPr>
            <w:tcW w:w="740" w:type="dxa"/>
            <w:vAlign w:val="bottom"/>
            <w:gridSpan w:val="2"/>
            <w:shd w:val="clear" w:color="auto" w:fill="CFF0FC"/>
          </w:tcPr>
          <w:p>
            <w:pPr>
              <w:jc w:val="right"/>
              <w:ind w:right="46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91"/>
              <w:spacing w:after="0" w:line="19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plus:</w:t>
            </w:r>
          </w:p>
        </w:tc>
        <w:tc>
          <w:tcPr>
            <w:tcW w:w="2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expense</w:t>
            </w:r>
          </w:p>
        </w:tc>
        <w:tc>
          <w:tcPr>
            <w:tcW w:w="24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13"/>
              <w:spacing w:after="0" w:line="202" w:lineRule="exact"/>
              <w:rPr>
                <w:sz w:val="20"/>
                <w:szCs w:val="20"/>
                <w:color w:val="auto"/>
              </w:rPr>
            </w:pPr>
            <w:r>
              <w:rPr>
                <w:rFonts w:ascii="Arial" w:cs="Arial" w:eastAsia="Arial" w:hAnsi="Arial"/>
                <w:sz w:val="18"/>
                <w:szCs w:val="18"/>
                <w:b w:val="1"/>
                <w:bCs w:val="1"/>
                <w:color w:val="auto"/>
              </w:rPr>
              <w:t>41</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2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28</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 net</w:t>
            </w:r>
          </w:p>
        </w:tc>
        <w:tc>
          <w:tcPr>
            <w:tcW w:w="24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13"/>
              <w:spacing w:after="0" w:line="202" w:lineRule="exact"/>
              <w:rPr>
                <w:sz w:val="20"/>
                <w:szCs w:val="20"/>
                <w:color w:val="auto"/>
              </w:rPr>
            </w:pPr>
            <w:r>
              <w:rPr>
                <w:rFonts w:ascii="Arial" w:cs="Arial" w:eastAsia="Arial" w:hAnsi="Arial"/>
                <w:sz w:val="18"/>
                <w:szCs w:val="18"/>
                <w:b w:val="1"/>
                <w:bCs w:val="1"/>
                <w:color w:val="auto"/>
              </w:rPr>
              <w:t>21</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2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right"/>
              <w:ind w:right="9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 expense (a)</w:t>
            </w:r>
          </w:p>
        </w:tc>
        <w:tc>
          <w:tcPr>
            <w:tcW w:w="24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13"/>
              <w:spacing w:after="0" w:line="202" w:lineRule="exact"/>
              <w:rPr>
                <w:sz w:val="20"/>
                <w:szCs w:val="20"/>
                <w:color w:val="auto"/>
              </w:rPr>
            </w:pPr>
            <w:r>
              <w:rPr>
                <w:rFonts w:ascii="Arial" w:cs="Arial" w:eastAsia="Arial" w:hAnsi="Arial"/>
                <w:sz w:val="18"/>
                <w:szCs w:val="18"/>
                <w:b w:val="1"/>
                <w:bCs w:val="1"/>
                <w:color w:val="auto"/>
              </w:rPr>
              <w:t>6</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Unrealized (gain) loss on marketable securities (b)</w:t>
            </w:r>
          </w:p>
        </w:tc>
        <w:tc>
          <w:tcPr>
            <w:tcW w:w="2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right"/>
              <w:ind w:right="91"/>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UAW Local 933 contract signing incentives (c)</w:t>
            </w:r>
          </w:p>
        </w:tc>
        <w:tc>
          <w:tcPr>
            <w:tcW w:w="24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13"/>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5140" w:type="dxa"/>
            <w:vAlign w:val="bottom"/>
          </w:tcPr>
          <w:p>
            <w:pPr>
              <w:ind w:left="200"/>
              <w:spacing w:after="0" w:line="202" w:lineRule="exact"/>
              <w:rPr>
                <w:sz w:val="20"/>
                <w:szCs w:val="20"/>
                <w:color w:val="auto"/>
              </w:rPr>
            </w:pPr>
            <w:r>
              <w:rPr>
                <w:rFonts w:ascii="Arial" w:cs="Arial" w:eastAsia="Arial" w:hAnsi="Arial"/>
                <w:sz w:val="18"/>
                <w:szCs w:val="18"/>
                <w:color w:val="auto"/>
              </w:rPr>
              <w:t>Other (d)</w:t>
            </w:r>
          </w:p>
        </w:tc>
        <w:tc>
          <w:tcPr>
            <w:tcW w:w="2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3"/>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Adjusted EBITDA (Non-GAAP)</w:t>
            </w:r>
          </w:p>
        </w:tc>
        <w:tc>
          <w:tcPr>
            <w:tcW w:w="24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FF0FC"/>
          </w:tcPr>
          <w:p>
            <w:pPr>
              <w:jc w:val="right"/>
              <w:ind w:right="113"/>
              <w:spacing w:after="0" w:line="196" w:lineRule="exact"/>
              <w:rPr>
                <w:sz w:val="20"/>
                <w:szCs w:val="20"/>
                <w:color w:val="auto"/>
              </w:rPr>
            </w:pPr>
            <w:r>
              <w:rPr>
                <w:rFonts w:ascii="Arial" w:cs="Arial" w:eastAsia="Arial" w:hAnsi="Arial"/>
                <w:sz w:val="18"/>
                <w:szCs w:val="18"/>
                <w:b w:val="1"/>
                <w:bCs w:val="1"/>
                <w:color w:val="auto"/>
              </w:rPr>
              <w:t>287</w:t>
            </w:r>
          </w:p>
        </w:tc>
        <w:tc>
          <w:tcPr>
            <w:tcW w:w="740" w:type="dxa"/>
            <w:vAlign w:val="bottom"/>
            <w:gridSpan w:val="2"/>
            <w:shd w:val="clear" w:color="auto" w:fill="CFF0FC"/>
          </w:tcPr>
          <w:p>
            <w:pPr>
              <w:jc w:val="right"/>
              <w:ind w:right="46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91"/>
              <w:spacing w:after="0" w:line="196"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40" w:type="dxa"/>
            <w:vAlign w:val="bottom"/>
          </w:tcPr>
          <w:p>
            <w:pPr>
              <w:spacing w:after="0" w:line="183" w:lineRule="exact"/>
              <w:rPr>
                <w:sz w:val="20"/>
                <w:szCs w:val="20"/>
                <w:color w:val="auto"/>
              </w:rPr>
            </w:pPr>
            <w:r>
              <w:rPr>
                <w:rFonts w:ascii="Arial" w:cs="Arial" w:eastAsia="Arial" w:hAnsi="Arial"/>
                <w:sz w:val="18"/>
                <w:szCs w:val="18"/>
                <w:b w:val="1"/>
                <w:bCs w:val="1"/>
                <w:color w:val="auto"/>
              </w:rPr>
              <w:t>Net sales (GAAP)</w:t>
            </w:r>
          </w:p>
        </w:tc>
        <w:tc>
          <w:tcPr>
            <w:tcW w:w="2460" w:type="dxa"/>
            <w:vAlign w:val="bottom"/>
          </w:tcPr>
          <w:p>
            <w:pPr>
              <w:spacing w:after="0"/>
              <w:rPr>
                <w:sz w:val="15"/>
                <w:szCs w:val="15"/>
                <w:color w:val="auto"/>
              </w:rPr>
            </w:pPr>
          </w:p>
        </w:tc>
        <w:tc>
          <w:tcPr>
            <w:tcW w:w="360" w:type="dxa"/>
            <w:vAlign w:val="bottom"/>
          </w:tcPr>
          <w:p>
            <w:pPr>
              <w:jc w:val="right"/>
              <w:ind w:right="170"/>
              <w:spacing w:after="0" w:line="183" w:lineRule="exact"/>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113"/>
              <w:spacing w:after="0" w:line="183" w:lineRule="exact"/>
              <w:rPr>
                <w:sz w:val="20"/>
                <w:szCs w:val="20"/>
                <w:color w:val="auto"/>
              </w:rPr>
            </w:pPr>
            <w:r>
              <w:rPr>
                <w:rFonts w:ascii="Arial" w:cs="Arial" w:eastAsia="Arial" w:hAnsi="Arial"/>
                <w:sz w:val="18"/>
                <w:szCs w:val="18"/>
                <w:b w:val="1"/>
                <w:bCs w:val="1"/>
                <w:color w:val="auto"/>
              </w:rPr>
              <w:t>766</w:t>
            </w:r>
          </w:p>
        </w:tc>
        <w:tc>
          <w:tcPr>
            <w:tcW w:w="740" w:type="dxa"/>
            <w:vAlign w:val="bottom"/>
            <w:gridSpan w:val="2"/>
          </w:tcPr>
          <w:p>
            <w:pPr>
              <w:jc w:val="right"/>
              <w:ind w:right="460"/>
              <w:spacing w:after="0" w:line="183"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91"/>
              <w:spacing w:after="0" w:line="183" w:lineRule="exact"/>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Net income as a percent of Net sales (GAAP)</w:t>
            </w:r>
          </w:p>
        </w:tc>
        <w:tc>
          <w:tcPr>
            <w:tcW w:w="24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25.1%</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b w:val="1"/>
                <w:bCs w:val="1"/>
                <w:color w:val="auto"/>
              </w:rPr>
              <w:t>Adjusted EBITDA as a percent of Net sales (Non-GAAP)</w:t>
            </w:r>
          </w:p>
        </w:tc>
        <w:tc>
          <w:tcPr>
            <w:tcW w:w="2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37.5%</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2"/>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Net cash provided by operating activities (GAAP)</w:t>
            </w:r>
          </w:p>
        </w:tc>
        <w:tc>
          <w:tcPr>
            <w:tcW w:w="282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FF0FC"/>
          </w:tcPr>
          <w:p>
            <w:pPr>
              <w:jc w:val="right"/>
              <w:ind w:right="113"/>
              <w:spacing w:after="0" w:line="202" w:lineRule="exact"/>
              <w:rPr>
                <w:sz w:val="20"/>
                <w:szCs w:val="20"/>
                <w:color w:val="auto"/>
              </w:rPr>
            </w:pPr>
            <w:r>
              <w:rPr>
                <w:rFonts w:ascii="Arial" w:cs="Arial" w:eastAsia="Arial" w:hAnsi="Arial"/>
                <w:sz w:val="18"/>
                <w:szCs w:val="18"/>
                <w:b w:val="1"/>
                <w:bCs w:val="1"/>
                <w:color w:val="auto"/>
              </w:rPr>
              <w:t>181</w:t>
            </w:r>
          </w:p>
        </w:tc>
        <w:tc>
          <w:tcPr>
            <w:tcW w:w="740" w:type="dxa"/>
            <w:vAlign w:val="bottom"/>
            <w:gridSpan w:val="2"/>
            <w:shd w:val="clear" w:color="auto" w:fill="CFF0FC"/>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Deductions to reconcile to Adjusted free cash flow:</w:t>
            </w:r>
          </w:p>
        </w:tc>
        <w:tc>
          <w:tcPr>
            <w:tcW w:w="2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Additions of long-lived assets</w:t>
            </w:r>
          </w:p>
        </w:tc>
        <w:tc>
          <w:tcPr>
            <w:tcW w:w="24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(26)</w:t>
            </w:r>
          </w:p>
        </w:tc>
        <w:tc>
          <w:tcPr>
            <w:tcW w:w="1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5140" w:type="dxa"/>
            <w:vAlign w:val="bottom"/>
          </w:tcPr>
          <w:p>
            <w:pPr>
              <w:spacing w:after="0" w:line="196" w:lineRule="exact"/>
              <w:rPr>
                <w:sz w:val="20"/>
                <w:szCs w:val="20"/>
                <w:color w:val="auto"/>
              </w:rPr>
            </w:pPr>
            <w:r>
              <w:rPr>
                <w:rFonts w:ascii="Arial" w:cs="Arial" w:eastAsia="Arial" w:hAnsi="Arial"/>
                <w:sz w:val="18"/>
                <w:szCs w:val="18"/>
                <w:b w:val="1"/>
                <w:bCs w:val="1"/>
                <w:color w:val="auto"/>
              </w:rPr>
              <w:t>Adjusted free cash flow (Non-GAAP)</w:t>
            </w:r>
          </w:p>
        </w:tc>
        <w:tc>
          <w:tcPr>
            <w:tcW w:w="2820" w:type="dxa"/>
            <w:vAlign w:val="bottom"/>
            <w:gridSpan w:val="2"/>
          </w:tcPr>
          <w:p>
            <w:pPr>
              <w:jc w:val="right"/>
              <w:ind w:right="170"/>
              <w:spacing w:after="0" w:line="196" w:lineRule="exact"/>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13"/>
              <w:spacing w:after="0" w:line="196" w:lineRule="exact"/>
              <w:rPr>
                <w:sz w:val="20"/>
                <w:szCs w:val="20"/>
                <w:color w:val="auto"/>
              </w:rPr>
            </w:pPr>
            <w:r>
              <w:rPr>
                <w:rFonts w:ascii="Arial" w:cs="Arial" w:eastAsia="Arial" w:hAnsi="Arial"/>
                <w:sz w:val="18"/>
                <w:szCs w:val="18"/>
                <w:b w:val="1"/>
                <w:bCs w:val="1"/>
                <w:color w:val="auto"/>
              </w:rPr>
              <w:t>155</w:t>
            </w:r>
          </w:p>
        </w:tc>
        <w:tc>
          <w:tcPr>
            <w:tcW w:w="74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91"/>
              <w:spacing w:after="0" w:line="196"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60" w:type="dxa"/>
            <w:vAlign w:val="bottom"/>
            <w:vMerge w:val="restart"/>
          </w:tcPr>
          <w:p>
            <w:pPr>
              <w:jc w:val="right"/>
              <w:ind w:right="1790"/>
              <w:spacing w:after="0"/>
              <w:rPr>
                <w:sz w:val="20"/>
                <w:szCs w:val="20"/>
                <w:color w:val="auto"/>
              </w:rPr>
            </w:pPr>
            <w:r>
              <w:rPr>
                <w:rFonts w:ascii="Arial" w:cs="Arial" w:eastAsia="Arial" w:hAnsi="Arial"/>
                <w:sz w:val="18"/>
                <w:szCs w:val="18"/>
                <w:color w:val="auto"/>
              </w:rPr>
              <w:t>25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51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1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-1824990</wp:posOffset>
            </wp:positionV>
            <wp:extent cx="1111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-1807845</wp:posOffset>
            </wp:positionV>
            <wp:extent cx="1111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-1028065</wp:posOffset>
            </wp:positionV>
            <wp:extent cx="1111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40" w:right="60" w:hanging="377"/>
        <w:spacing w:after="0" w:line="24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 research and development).</w:t>
      </w:r>
    </w:p>
    <w:p>
      <w:pPr>
        <w:ind w:left="640" w:right="460" w:hanging="377"/>
        <w:spacing w:after="0" w:line="23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(gains) losses (recorded in Other income (expense), net) related to an investment in the common stock of Jing-Jin Electric Technologies Co. Ltd.</w:t>
      </w:r>
    </w:p>
    <w:p>
      <w:pPr>
        <w:spacing w:after="0" w:line="1" w:lineRule="exact"/>
        <w:rPr>
          <w:rFonts w:ascii="Arial" w:cs="Arial" w:eastAsia="Arial" w:hAnsi="Arial"/>
          <w:sz w:val="18"/>
          <w:szCs w:val="18"/>
          <w:color w:val="auto"/>
        </w:rPr>
      </w:pPr>
    </w:p>
    <w:p>
      <w:pPr>
        <w:ind w:left="640" w:hanging="377"/>
        <w:spacing w:after="0" w:line="23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non-recurring incentives (recorded in Cost of sales, Selling, general and administrative, and Engineering - research and development) to eligible employees as a result of the International Union, United Automobile, Aerospace and Agricultural Implement Workers of America ("UAW") Local 933 represented employees ratifying a four-year collective bargaining agreement effective through November 2027.</w:t>
      </w:r>
    </w:p>
    <w:p>
      <w:pPr>
        <w:spacing w:after="0" w:line="2" w:lineRule="exact"/>
        <w:rPr>
          <w:rFonts w:ascii="Arial" w:cs="Arial" w:eastAsia="Arial" w:hAnsi="Arial"/>
          <w:sz w:val="18"/>
          <w:szCs w:val="18"/>
          <w:color w:val="auto"/>
        </w:rPr>
      </w:pPr>
    </w:p>
    <w:p>
      <w:pPr>
        <w:ind w:left="640" w:hanging="37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other adjustments as defined by the Credit Agreement.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three months ended March 31, 2025 and 2024</w:t>
      </w:r>
    </w:p>
    <w:p>
      <w:pPr>
        <w:spacing w:after="0" w:line="102" w:lineRule="exact"/>
        <w:rPr>
          <w:sz w:val="20"/>
          <w:szCs w:val="20"/>
          <w:color w:val="auto"/>
        </w:rPr>
      </w:pPr>
    </w:p>
    <w:p>
      <w:pPr>
        <w:ind w:right="300" w:firstLine="494"/>
        <w:spacing w:after="0" w:line="253" w:lineRule="auto"/>
        <w:rPr>
          <w:sz w:val="20"/>
          <w:szCs w:val="20"/>
          <w:color w:val="auto"/>
        </w:rPr>
      </w:pPr>
      <w:r>
        <w:rPr>
          <w:rFonts w:ascii="Arial" w:cs="Arial" w:eastAsia="Arial" w:hAnsi="Arial"/>
          <w:sz w:val="18"/>
          <w:szCs w:val="18"/>
          <w:color w:val="auto"/>
        </w:rPr>
        <w:t>The following table sets forth certain financial information for the three months ended March 31, 2025 and 2024. The following table and discussion should be read in conjunction with the information contained in our condensed consolidated financial statements and the notes thereto included in Part I, Item 1 of this Quarterly Report on Form 10-Q.</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c>
          <w:tcPr>
            <w:tcW w:w="1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6"/>
        </w:trPr>
        <w:tc>
          <w:tcPr>
            <w:tcW w:w="5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434"/>
              <w:spacing w:after="0" w:line="14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43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71"/>
        </w:trPr>
        <w:tc>
          <w:tcPr>
            <w:tcW w:w="5740" w:type="dxa"/>
            <w:vAlign w:val="bottom"/>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4"/>
                <w:szCs w:val="14"/>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of net sales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of net sales</w:t>
            </w:r>
          </w:p>
        </w:tc>
        <w:tc>
          <w:tcPr>
            <w:tcW w:w="180" w:type="dxa"/>
            <w:vAlign w:val="bottom"/>
          </w:tcPr>
          <w:p>
            <w:pPr>
              <w:spacing w:after="0"/>
              <w:rPr>
                <w:sz w:val="14"/>
                <w:szCs w:val="14"/>
                <w:color w:val="auto"/>
              </w:rPr>
            </w:pPr>
          </w:p>
        </w:tc>
      </w:tr>
      <w:tr>
        <w:trPr>
          <w:trHeight w:val="196"/>
        </w:trPr>
        <w:tc>
          <w:tcPr>
            <w:tcW w:w="5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766</w:t>
            </w: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100%</w:t>
            </w:r>
          </w:p>
        </w:tc>
        <w:tc>
          <w:tcPr>
            <w:tcW w:w="3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789</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100%</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388</w:t>
            </w:r>
          </w:p>
        </w:tc>
        <w:tc>
          <w:tcPr>
            <w:tcW w:w="2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423</w:t>
            </w:r>
          </w:p>
        </w:tc>
        <w:tc>
          <w:tcPr>
            <w:tcW w:w="2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c>
          <w:tcPr>
            <w:tcW w:w="180" w:type="dxa"/>
            <w:vAlign w:val="bottom"/>
          </w:tcPr>
          <w:p>
            <w:pPr>
              <w:spacing w:after="0"/>
              <w:rPr>
                <w:sz w:val="17"/>
                <w:szCs w:val="17"/>
                <w:color w:val="auto"/>
              </w:rPr>
            </w:pPr>
          </w:p>
        </w:tc>
      </w:tr>
      <w:tr>
        <w:trPr>
          <w:trHeight w:val="196"/>
        </w:trPr>
        <w:tc>
          <w:tcPr>
            <w:tcW w:w="5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378</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49</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366</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17"/>
                <w:szCs w:val="17"/>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7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86</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7"/>
                <w:szCs w:val="17"/>
                <w:color w:val="auto"/>
              </w:rPr>
            </w:pPr>
          </w:p>
        </w:tc>
      </w:tr>
      <w:tr>
        <w:trPr>
          <w:trHeight w:val="202"/>
        </w:trPr>
        <w:tc>
          <w:tcPr>
            <w:tcW w:w="5740" w:type="dxa"/>
            <w:vAlign w:val="bottom"/>
          </w:tcPr>
          <w:p>
            <w:pPr>
              <w:ind w:left="160"/>
              <w:spacing w:after="0" w:line="202" w:lineRule="exact"/>
              <w:rPr>
                <w:sz w:val="20"/>
                <w:szCs w:val="20"/>
                <w:color w:val="auto"/>
              </w:rPr>
            </w:pPr>
            <w:r>
              <w:rPr>
                <w:rFonts w:ascii="Arial" w:cs="Arial" w:eastAsia="Arial" w:hAnsi="Arial"/>
                <w:sz w:val="18"/>
                <w:szCs w:val="18"/>
                <w:color w:val="auto"/>
              </w:rPr>
              <w:t>Engineering — research and development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2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w:t>
            </w:r>
          </w:p>
        </w:tc>
        <w:tc>
          <w:tcPr>
            <w:tcW w:w="2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r>
      <w:tr>
        <w:trPr>
          <w:trHeight w:val="196"/>
        </w:trPr>
        <w:tc>
          <w:tcPr>
            <w:tcW w:w="574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129</w:t>
            </w:r>
          </w:p>
        </w:tc>
        <w:tc>
          <w:tcPr>
            <w:tcW w:w="20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16</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w:t>
            </w:r>
          </w:p>
        </w:tc>
        <w:tc>
          <w:tcPr>
            <w:tcW w:w="20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249</w:t>
            </w:r>
          </w:p>
        </w:tc>
        <w:tc>
          <w:tcPr>
            <w:tcW w:w="2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234</w:t>
            </w:r>
          </w:p>
        </w:tc>
        <w:tc>
          <w:tcPr>
            <w:tcW w:w="2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180" w:type="dxa"/>
            <w:vAlign w:val="bottom"/>
          </w:tcPr>
          <w:p>
            <w:pPr>
              <w:spacing w:after="0"/>
              <w:rPr>
                <w:sz w:val="17"/>
                <w:szCs w:val="17"/>
                <w:color w:val="auto"/>
              </w:rPr>
            </w:pPr>
          </w:p>
        </w:tc>
      </w:tr>
      <w:tr>
        <w:trPr>
          <w:trHeight w:val="203"/>
        </w:trPr>
        <w:tc>
          <w:tcPr>
            <w:tcW w:w="5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b w:val="1"/>
                <w:bCs w:val="1"/>
                <w:color w:val="auto"/>
              </w:rPr>
              <w:t>(21)</w:t>
            </w:r>
          </w:p>
        </w:tc>
        <w:tc>
          <w:tcPr>
            <w:tcW w:w="14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(25)</w:t>
            </w:r>
          </w:p>
        </w:tc>
        <w:tc>
          <w:tcPr>
            <w:tcW w:w="13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w:t>
            </w:r>
          </w:p>
        </w:tc>
      </w:tr>
      <w:tr>
        <w:trPr>
          <w:trHeight w:val="196"/>
        </w:trPr>
        <w:tc>
          <w:tcPr>
            <w:tcW w:w="5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233</w:t>
            </w:r>
          </w:p>
        </w:tc>
        <w:tc>
          <w:tcPr>
            <w:tcW w:w="20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w:t>
            </w:r>
          </w:p>
        </w:tc>
        <w:tc>
          <w:tcPr>
            <w:tcW w:w="20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7"/>
                <w:szCs w:val="17"/>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(41)</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(35)</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w:t>
            </w:r>
          </w:p>
        </w:tc>
      </w:tr>
      <w:tr>
        <w:trPr>
          <w:trHeight w:val="20"/>
        </w:trPr>
        <w:tc>
          <w:tcPr>
            <w:tcW w:w="5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5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192</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25%</w:t>
            </w:r>
          </w:p>
        </w:tc>
        <w:tc>
          <w:tcPr>
            <w:tcW w:w="3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21%</w:t>
            </w: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-822325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-822325</wp:posOffset>
            </wp:positionV>
            <wp:extent cx="1111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-822325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-822325</wp:posOffset>
            </wp:positionV>
            <wp:extent cx="1117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1111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1111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02" w:lineRule="exact"/>
        <w:rPr>
          <w:sz w:val="20"/>
          <w:szCs w:val="20"/>
          <w:color w:val="auto"/>
        </w:rPr>
      </w:pPr>
    </w:p>
    <w:p>
      <w:pPr>
        <w:ind w:right="220" w:firstLine="494"/>
        <w:spacing w:after="0" w:line="271" w:lineRule="auto"/>
        <w:rPr>
          <w:sz w:val="20"/>
          <w:szCs w:val="20"/>
          <w:color w:val="auto"/>
        </w:rPr>
      </w:pPr>
      <w:r>
        <w:rPr>
          <w:rFonts w:ascii="Arial" w:cs="Arial" w:eastAsia="Arial" w:hAnsi="Arial"/>
          <w:sz w:val="18"/>
          <w:szCs w:val="18"/>
          <w:color w:val="auto"/>
        </w:rPr>
        <w:t>Net sales for the quarter ended March 31, 2025 were $766 million compared to $789 million for the quarter ended March 31, 2024, a decrease of 3%.</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was principally driven by:</w:t>
      </w:r>
    </w:p>
    <w:p>
      <w:pPr>
        <w:spacing w:after="0" w:line="104" w:lineRule="exact"/>
        <w:rPr>
          <w:sz w:val="20"/>
          <w:szCs w:val="20"/>
          <w:color w:val="auto"/>
        </w:rPr>
      </w:pPr>
    </w:p>
    <w:p>
      <w:pPr>
        <w:ind w:left="1780" w:right="140" w:hanging="515"/>
        <w:spacing w:after="0" w:line="270" w:lineRule="auto"/>
        <w:tabs>
          <w:tab w:leader="none" w:pos="1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Global Off-Highway end market net sales decreased $28 million, or 61%, principally driven by lower demand from the energy, mining and construction sectors outside of North America.</w:t>
      </w:r>
    </w:p>
    <w:p>
      <w:pPr>
        <w:spacing w:after="0" w:line="46" w:lineRule="exact"/>
        <w:rPr>
          <w:rFonts w:ascii="Times New Roman" w:cs="Times New Roman" w:eastAsia="Times New Roman" w:hAnsi="Times New Roman"/>
          <w:sz w:val="18"/>
          <w:szCs w:val="18"/>
          <w:color w:val="auto"/>
        </w:rPr>
      </w:pPr>
    </w:p>
    <w:p>
      <w:pPr>
        <w:ind w:left="1780" w:right="140" w:hanging="515"/>
        <w:spacing w:after="0" w:line="270" w:lineRule="auto"/>
        <w:tabs>
          <w:tab w:leader="none" w:pos="1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Service Parts, Support Equipment and Other end market net sales decreased $12 million, or 8%, principally driven by lower demand for service parts and support equipment, partially offset by price increases on certain products.</w:t>
      </w:r>
    </w:p>
    <w:p>
      <w:pPr>
        <w:spacing w:after="0" w:line="46" w:lineRule="exact"/>
        <w:rPr>
          <w:rFonts w:ascii="Times New Roman" w:cs="Times New Roman" w:eastAsia="Times New Roman" w:hAnsi="Times New Roman"/>
          <w:sz w:val="18"/>
          <w:szCs w:val="18"/>
          <w:color w:val="auto"/>
        </w:rPr>
      </w:pPr>
    </w:p>
    <w:p>
      <w:pPr>
        <w:ind w:left="1780" w:right="460" w:hanging="515"/>
        <w:spacing w:after="0" w:line="270" w:lineRule="auto"/>
        <w:tabs>
          <w:tab w:leader="none" w:pos="1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Outside North America On-Highway end market net sales decreased $3 million, or 3%, principally driven by lower demand in Europe.</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decreases were partially offset by:</w:t>
      </w:r>
    </w:p>
    <w:p>
      <w:pPr>
        <w:spacing w:after="0" w:line="104" w:lineRule="exact"/>
        <w:rPr>
          <w:sz w:val="20"/>
          <w:szCs w:val="20"/>
          <w:color w:val="auto"/>
        </w:rPr>
      </w:pPr>
    </w:p>
    <w:p>
      <w:pPr>
        <w:jc w:val="both"/>
        <w:ind w:left="1780" w:right="60" w:hanging="515"/>
        <w:spacing w:after="0" w:line="252" w:lineRule="auto"/>
        <w:tabs>
          <w:tab w:leader="none" w:pos="17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North America On-Highway end market net sales increased $15 million, or 4%, principally driven by price increases on certain products and continued strength in Class 8 vocational trucks, partially offset by lower demand for medium-duty trucks.</w:t>
      </w:r>
    </w:p>
    <w:p>
      <w:pPr>
        <w:spacing w:after="0" w:line="62"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Defense end market net sales increased $5 million, or 10%, principally driven by price increases on certain products.</w:t>
      </w:r>
    </w:p>
    <w:p>
      <w:pPr>
        <w:spacing w:after="0" w:line="118"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Cost of sales</w:t>
      </w:r>
    </w:p>
    <w:p>
      <w:pPr>
        <w:spacing w:after="0" w:line="102" w:lineRule="exact"/>
        <w:rPr>
          <w:sz w:val="20"/>
          <w:szCs w:val="20"/>
          <w:color w:val="auto"/>
        </w:rPr>
      </w:pPr>
    </w:p>
    <w:p>
      <w:pPr>
        <w:ind w:right="140" w:firstLine="494"/>
        <w:spacing w:after="0" w:line="247" w:lineRule="auto"/>
        <w:rPr>
          <w:sz w:val="20"/>
          <w:szCs w:val="20"/>
          <w:color w:val="auto"/>
        </w:rPr>
      </w:pPr>
      <w:r>
        <w:rPr>
          <w:rFonts w:ascii="Arial" w:cs="Arial" w:eastAsia="Arial" w:hAnsi="Arial"/>
          <w:sz w:val="18"/>
          <w:szCs w:val="18"/>
          <w:color w:val="auto"/>
        </w:rPr>
        <w:t>Cost of sales for the quarter ended March 31, 2025 was $ 388 million compared to $423 million for the quarter ended March 31, 2024, a decrease of 8%. The decrease was principally driven by lower direct material expense commensurate with decreased net sales and $13 million of UAW Local 933 contract signing incentives recognized in the first quarter of 2024 that did not reoccur in 2025, partially offset by unfavorable direct material costs.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02"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Gross profit for the quarter ended March 31, 2025 was $378 million compared to $366 million for the quarter ended March 31, 2024, an increase of 3%. The increase was principally driven by $39 million of price increases on certain products and $13 million of UAW Local 933 contract signing incentives recognized in the first quarter of 2024 that did not reoccur in 2025, partially offset by $37 million of decreased net sales and $6 million of unfavorable direct material costs. Gross profit as a percent of net sales for the three months ended March 31, 2025 increased 290 basis points compared to the same period in 2024, principally driven by price increases on certain products and decreased cost of sales, including $13 million of UAW Local 933 contract signing incentives recognized in the first quarter of 2024 that did not reoccur in 2025.</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2" w:lineRule="exact"/>
        <w:rPr>
          <w:sz w:val="20"/>
          <w:szCs w:val="20"/>
          <w:color w:val="auto"/>
        </w:rPr>
      </w:pPr>
    </w:p>
    <w:p>
      <w:pPr>
        <w:ind w:right="60" w:firstLine="494"/>
        <w:spacing w:after="0" w:line="253" w:lineRule="auto"/>
        <w:rPr>
          <w:sz w:val="20"/>
          <w:szCs w:val="20"/>
          <w:color w:val="auto"/>
        </w:rPr>
      </w:pPr>
      <w:r>
        <w:rPr>
          <w:rFonts w:ascii="Arial" w:cs="Arial" w:eastAsia="Arial" w:hAnsi="Arial"/>
          <w:sz w:val="18"/>
          <w:szCs w:val="18"/>
          <w:color w:val="auto"/>
        </w:rPr>
        <w:t>Selling, general and administrative expenses were $86 million for each of the quarters ended March 31, 2025 and March 31, 2024. During the first quarter of 2025, there was increased commercial activities spending and lower incentive compensation expense compared to the first quarter of 2024.</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02" w:lineRule="exact"/>
        <w:rPr>
          <w:sz w:val="20"/>
          <w:szCs w:val="20"/>
          <w:color w:val="auto"/>
        </w:rPr>
      </w:pPr>
    </w:p>
    <w:p>
      <w:pPr>
        <w:ind w:right="40" w:firstLine="494"/>
        <w:spacing w:after="0" w:line="271" w:lineRule="auto"/>
        <w:rPr>
          <w:sz w:val="20"/>
          <w:szCs w:val="20"/>
          <w:color w:val="auto"/>
        </w:rPr>
      </w:pPr>
      <w:r>
        <w:rPr>
          <w:rFonts w:ascii="Arial" w:cs="Arial" w:eastAsia="Arial" w:hAnsi="Arial"/>
          <w:sz w:val="18"/>
          <w:szCs w:val="18"/>
          <w:color w:val="auto"/>
        </w:rPr>
        <w:t>Engineering expenses for the quarter ended March 31, 2025 were $43 million compared to $46 million for the quarter ended March 31, 2024, a decrease of 7%. The decrease was principally driven by the timing of product initiatives spending.</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02" w:lineRule="exact"/>
        <w:rPr>
          <w:sz w:val="20"/>
          <w:szCs w:val="20"/>
          <w:color w:val="auto"/>
        </w:rPr>
      </w:pPr>
    </w:p>
    <w:p>
      <w:pPr>
        <w:ind w:right="200" w:firstLine="494"/>
        <w:spacing w:after="0" w:line="253" w:lineRule="auto"/>
        <w:rPr>
          <w:sz w:val="20"/>
          <w:szCs w:val="20"/>
          <w:color w:val="auto"/>
        </w:rPr>
      </w:pPr>
      <w:r>
        <w:rPr>
          <w:rFonts w:ascii="Arial" w:cs="Arial" w:eastAsia="Arial" w:hAnsi="Arial"/>
          <w:sz w:val="18"/>
          <w:szCs w:val="18"/>
          <w:color w:val="auto"/>
        </w:rPr>
        <w:t>Interest expense, net for the quarter ended March 31, 2025 was $ 21 million compared to $25 million for the quarter ended March 31, 2024, a decrease of 16%. The decrease was principally driven by lower interest expense on ATI's Term Loan due primarily to decreased variable interest rates.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2" w:lineRule="exact"/>
        <w:rPr>
          <w:sz w:val="20"/>
          <w:szCs w:val="20"/>
          <w:color w:val="auto"/>
        </w:rPr>
      </w:pPr>
    </w:p>
    <w:p>
      <w:pPr>
        <w:ind w:right="540" w:firstLine="494"/>
        <w:spacing w:after="0" w:line="253" w:lineRule="auto"/>
        <w:rPr>
          <w:sz w:val="20"/>
          <w:szCs w:val="20"/>
          <w:color w:val="auto"/>
        </w:rPr>
      </w:pPr>
      <w:r>
        <w:rPr>
          <w:rFonts w:ascii="Arial" w:cs="Arial" w:eastAsia="Arial" w:hAnsi="Arial"/>
          <w:sz w:val="18"/>
          <w:szCs w:val="18"/>
          <w:color w:val="auto"/>
        </w:rPr>
        <w:t>Other income (expense), net for the quarter ended March 31, 2025 was $5 million compared to ($5) million for the quarter ended March 31, 2024. The change was principally driven by a $10 million change in unrealized mark-to-market adjustments for marketable securities.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2" w:lineRule="exact"/>
        <w:rPr>
          <w:sz w:val="20"/>
          <w:szCs w:val="20"/>
          <w:color w:val="auto"/>
        </w:rPr>
      </w:pPr>
    </w:p>
    <w:p>
      <w:pPr>
        <w:ind w:right="40" w:firstLine="494"/>
        <w:spacing w:after="0" w:line="253" w:lineRule="auto"/>
        <w:rPr>
          <w:sz w:val="20"/>
          <w:szCs w:val="20"/>
          <w:color w:val="auto"/>
        </w:rPr>
      </w:pPr>
      <w:r>
        <w:rPr>
          <w:rFonts w:ascii="Arial" w:cs="Arial" w:eastAsia="Arial" w:hAnsi="Arial"/>
          <w:sz w:val="18"/>
          <w:szCs w:val="18"/>
          <w:color w:val="auto"/>
        </w:rPr>
        <w:t>Income tax expense for the three months ended March 31, 2025 was $41 million, resulting in an effective tax rate of 18%, compared to $35 million of income tax expense and an effective tax rate of 17% for the three months ended March 31, 2024. The increase in income tax expense was principally driven by higher taxable income.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$753 million and $781 million as of March 31, 2025 and December 31, 2024, respectively. Of the available cash and cash equivalents, $146 million was deposited in operating accounts and $607 million was invested in U.S. government backed securities and time deposits as of March 31, 2025, compared to $117 million deposited in operating accounts and $664 million invested in U.S. government backed securities as of December 31, 2024.</w:t>
      </w:r>
    </w:p>
    <w:p>
      <w:pPr>
        <w:spacing w:after="0" w:line="72" w:lineRule="exact"/>
        <w:rPr>
          <w:sz w:val="20"/>
          <w:szCs w:val="20"/>
          <w:color w:val="auto"/>
        </w:rPr>
      </w:pPr>
    </w:p>
    <w:p>
      <w:pPr>
        <w:ind w:right="320" w:firstLine="494"/>
        <w:spacing w:after="0" w:line="244" w:lineRule="auto"/>
        <w:rPr>
          <w:sz w:val="20"/>
          <w:szCs w:val="20"/>
          <w:color w:val="auto"/>
        </w:rPr>
      </w:pPr>
      <w:r>
        <w:rPr>
          <w:rFonts w:ascii="Arial" w:cs="Arial" w:eastAsia="Arial" w:hAnsi="Arial"/>
          <w:sz w:val="18"/>
          <w:szCs w:val="18"/>
          <w:color w:val="auto"/>
        </w:rPr>
        <w:t>As of March 31, 2025, the total of cash held by foreign subsidiaries was $80 million, the majority of which was at our subsidiaries located in China, India, Japan, Hungary and the Netherlands.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initiatives or operating needs with local resources.</w:t>
      </w:r>
    </w:p>
    <w:p>
      <w:pPr>
        <w:spacing w:after="0" w:line="122"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22" w:lineRule="exact"/>
        <w:rPr>
          <w:sz w:val="20"/>
          <w:szCs w:val="20"/>
          <w:color w:val="auto"/>
        </w:rPr>
      </w:pPr>
    </w:p>
    <w:p>
      <w:pPr>
        <w:ind w:right="60" w:firstLine="494"/>
        <w:spacing w:after="0" w:line="239" w:lineRule="auto"/>
        <w:rPr>
          <w:sz w:val="20"/>
          <w:szCs w:val="20"/>
          <w:color w:val="auto"/>
        </w:rPr>
      </w:pPr>
      <w:r>
        <w:rPr>
          <w:rFonts w:ascii="Arial" w:cs="Arial" w:eastAsia="Arial" w:hAnsi="Arial"/>
          <w:sz w:val="18"/>
          <w:szCs w:val="18"/>
          <w:color w:val="auto"/>
        </w:rPr>
        <w:t>Our liquidity requirements are significant, primarily due to our debt service requirements. As of March 31, 2025, we had $513 million of indebtedness associated with ATI’s Term Loan, $400 million of indebtedness associated with ATI’s 4.75% Senior Notes due October 2027 (“4.75% Senior Notes”), $500 million of indebtedness associated with ATI’s 5.875% Senior Notes due June 2029 (“5.875% Senior Notes”) and $1,000 million of indebtedness associated with ATI’s 3.75% Senior Notes due January 2031 (“3.75% Senior Notes” and, together with the 4.75% Senior Notes and 5.875% Senior Notes, the “Senior Notes”). Short-term and long-term debt service liquidity requirements consist of $1 million of minimum required quarterly principal payments on ATI’s Term Loan through its maturity date of March 2031 and periodic interest payments on ATI’s Term Loan and the Senior Notes. There are no required quarterly principal payments on the Senior Notes. Long-term debt service liquidity requirements also consist of the payment in full of any remaining principal balance of ATI’s Term Loan and the Senior Notes upon their respective maturity dates.</w:t>
      </w:r>
    </w:p>
    <w:p>
      <w:pPr>
        <w:spacing w:after="0" w:line="129" w:lineRule="exact"/>
        <w:rPr>
          <w:sz w:val="20"/>
          <w:szCs w:val="20"/>
          <w:color w:val="auto"/>
        </w:rPr>
      </w:pPr>
    </w:p>
    <w:p>
      <w:pPr>
        <w:ind w:right="300" w:firstLine="494"/>
        <w:spacing w:after="0" w:line="253" w:lineRule="auto"/>
        <w:rPr>
          <w:sz w:val="20"/>
          <w:szCs w:val="20"/>
          <w:color w:val="auto"/>
        </w:rPr>
      </w:pPr>
      <w:r>
        <w:rPr>
          <w:rFonts w:ascii="Arial" w:cs="Arial" w:eastAsia="Arial" w:hAnsi="Arial"/>
          <w:sz w:val="18"/>
          <w:szCs w:val="18"/>
          <w:color w:val="auto"/>
        </w:rPr>
        <w:t>We made $1 million and $ 101 million of principal payments on the Term Loan during the three months ended March 31, 2025 and 2024, respectively. Our ability to make payments on and refinance our indebtedness and to fund planned capital expenditures and growth initiatives will depend on our ability to generate cash in the future.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The Senior Secured Credit Facility provides for a $750 million Revolving Credit Facility, net of an allowance for up to $75 million in outstanding letter of credit commitments. As of March 31, 2025, we had $744 million available under the Revolving Credit Facility, net of $6 million in letters of credit. As of March 31, 2025, we had no amounts outstanding under the Revolving Credit Facility.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March 31, 2025, our first lien net leverage ratio was (0.21x).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spacing w:after="0" w:line="132"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March 31, 2025, we are in compliance with all covenants under the Senior Secured Credit Facility and indentures governing the Senior Notes.</w:t>
      </w:r>
    </w:p>
    <w:p>
      <w:pPr>
        <w:spacing w:after="0" w:line="131"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Our credit ratings and outlook are reviewed periodically by Moody’s Ratings (“Moody’s”) and Fitch Ratings, Inc. (“Fitch”). As of March 31, 2025, our credit ratings from both Moody's and Fitch are shown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Credit Ratings</w:t>
            </w:r>
          </w:p>
        </w:tc>
        <w:tc>
          <w:tcPr>
            <w:tcW w:w="18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March 31, 2025</w:t>
            </w:r>
          </w:p>
        </w:tc>
        <w:tc>
          <w:tcPr>
            <w:tcW w:w="0" w:type="dxa"/>
            <w:vAlign w:val="bottom"/>
          </w:tcPr>
          <w:p>
            <w:pPr>
              <w:spacing w:after="0"/>
              <w:rPr>
                <w:sz w:val="1"/>
                <w:szCs w:val="1"/>
                <w:color w:val="auto"/>
              </w:rPr>
            </w:pPr>
          </w:p>
        </w:tc>
      </w:tr>
      <w:tr>
        <w:trPr>
          <w:trHeight w:val="156"/>
        </w:trPr>
        <w:tc>
          <w:tcPr>
            <w:tcW w:w="6120" w:type="dxa"/>
            <w:vAlign w:val="bottom"/>
            <w:vMerge w:val="continue"/>
          </w:tcPr>
          <w:p>
            <w:pPr>
              <w:spacing w:after="0"/>
              <w:rPr>
                <w:sz w:val="13"/>
                <w:szCs w:val="13"/>
                <w:color w:val="auto"/>
              </w:rPr>
            </w:pPr>
          </w:p>
        </w:tc>
        <w:tc>
          <w:tcPr>
            <w:tcW w:w="1800" w:type="dxa"/>
            <w:vAlign w:val="bottom"/>
            <w:tcBorders>
              <w:bottom w:val="single" w:sz="8" w:color="auto"/>
            </w:tcBorders>
          </w:tcPr>
          <w:p>
            <w:pPr>
              <w:ind w:left="960"/>
              <w:spacing w:after="0" w:line="155" w:lineRule="exact"/>
              <w:rPr>
                <w:sz w:val="20"/>
                <w:szCs w:val="20"/>
                <w:color w:val="auto"/>
              </w:rPr>
            </w:pPr>
            <w:r>
              <w:rPr>
                <w:rFonts w:ascii="Arial" w:cs="Arial" w:eastAsia="Arial" w:hAnsi="Arial"/>
                <w:sz w:val="14"/>
                <w:szCs w:val="14"/>
                <w:b w:val="1"/>
                <w:bCs w:val="1"/>
                <w:color w:val="auto"/>
              </w:rPr>
              <w:t>Moody's</w:t>
            </w: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196"/>
        </w:trPr>
        <w:tc>
          <w:tcPr>
            <w:tcW w:w="6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Corporate Credit</w:t>
            </w:r>
          </w:p>
        </w:tc>
        <w:tc>
          <w:tcPr>
            <w:tcW w:w="1800" w:type="dxa"/>
            <w:vAlign w:val="bottom"/>
            <w:shd w:val="clear" w:color="auto" w:fill="CFF0FC"/>
          </w:tcPr>
          <w:p>
            <w:pPr>
              <w:jc w:val="center"/>
              <w:ind w:left="633"/>
              <w:spacing w:after="0" w:line="196" w:lineRule="exact"/>
              <w:rPr>
                <w:sz w:val="20"/>
                <w:szCs w:val="20"/>
                <w:color w:val="auto"/>
              </w:rPr>
            </w:pPr>
            <w:r>
              <w:rPr>
                <w:rFonts w:ascii="Arial" w:cs="Arial" w:eastAsia="Arial" w:hAnsi="Arial"/>
                <w:sz w:val="18"/>
                <w:szCs w:val="18"/>
                <w:color w:val="auto"/>
                <w:w w:val="99"/>
              </w:rPr>
              <w:t>Ba1</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3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8"/>
              </w:rPr>
              <w:t>BB+</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Term Loan</w:t>
            </w:r>
          </w:p>
        </w:tc>
        <w:tc>
          <w:tcPr>
            <w:tcW w:w="1800" w:type="dxa"/>
            <w:vAlign w:val="bottom"/>
          </w:tcPr>
          <w:p>
            <w:pPr>
              <w:jc w:val="center"/>
              <w:ind w:left="613"/>
              <w:spacing w:after="0" w:line="202" w:lineRule="exact"/>
              <w:rPr>
                <w:sz w:val="20"/>
                <w:szCs w:val="20"/>
                <w:color w:val="auto"/>
              </w:rPr>
            </w:pPr>
            <w:r>
              <w:rPr>
                <w:rFonts w:ascii="Arial" w:cs="Arial" w:eastAsia="Arial" w:hAnsi="Arial"/>
                <w:sz w:val="18"/>
                <w:szCs w:val="18"/>
                <w:color w:val="auto"/>
                <w:w w:val="99"/>
              </w:rPr>
              <w:t>Baa2</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tcPr>
          <w:p>
            <w:pPr>
              <w:jc w:val="center"/>
              <w:spacing w:after="0" w:line="202" w:lineRule="exact"/>
              <w:rPr>
                <w:sz w:val="20"/>
                <w:szCs w:val="20"/>
                <w:color w:val="auto"/>
              </w:rPr>
            </w:pPr>
            <w:r>
              <w:rPr>
                <w:rFonts w:ascii="Arial" w:cs="Arial" w:eastAsia="Arial" w:hAnsi="Arial"/>
                <w:sz w:val="18"/>
                <w:szCs w:val="18"/>
                <w:color w:val="auto"/>
                <w:w w:val="99"/>
              </w:rPr>
              <w:t>BBB-</w:t>
            </w:r>
          </w:p>
        </w:tc>
        <w:tc>
          <w:tcPr>
            <w:tcW w:w="0" w:type="dxa"/>
            <w:vAlign w:val="bottom"/>
          </w:tcPr>
          <w:p>
            <w:pPr>
              <w:spacing w:after="0"/>
              <w:rPr>
                <w:sz w:val="1"/>
                <w:szCs w:val="1"/>
                <w:color w:val="auto"/>
              </w:rPr>
            </w:pPr>
          </w:p>
        </w:tc>
      </w:tr>
      <w:tr>
        <w:trPr>
          <w:trHeight w:val="203"/>
        </w:trPr>
        <w:tc>
          <w:tcPr>
            <w:tcW w:w="6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4.75% Senior Notes</w:t>
            </w:r>
          </w:p>
        </w:tc>
        <w:tc>
          <w:tcPr>
            <w:tcW w:w="1800" w:type="dxa"/>
            <w:vAlign w:val="bottom"/>
            <w:shd w:val="clear" w:color="auto" w:fill="CFF0FC"/>
          </w:tcPr>
          <w:p>
            <w:pPr>
              <w:jc w:val="center"/>
              <w:ind w:left="633"/>
              <w:spacing w:after="0" w:line="202" w:lineRule="exact"/>
              <w:rPr>
                <w:sz w:val="20"/>
                <w:szCs w:val="20"/>
                <w:color w:val="auto"/>
              </w:rPr>
            </w:pPr>
            <w:r>
              <w:rPr>
                <w:rFonts w:ascii="Arial" w:cs="Arial" w:eastAsia="Arial" w:hAnsi="Arial"/>
                <w:sz w:val="18"/>
                <w:szCs w:val="18"/>
                <w:color w:val="auto"/>
                <w:w w:val="99"/>
              </w:rPr>
              <w:t>Ba2</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3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8"/>
              </w:rPr>
              <w:t>BB+</w:t>
            </w:r>
          </w:p>
        </w:tc>
        <w:tc>
          <w:tcPr>
            <w:tcW w:w="0" w:type="dxa"/>
            <w:vAlign w:val="bottom"/>
          </w:tcPr>
          <w:p>
            <w:pPr>
              <w:spacing w:after="0"/>
              <w:rPr>
                <w:sz w:val="1"/>
                <w:szCs w:val="1"/>
                <w:color w:val="auto"/>
              </w:rPr>
            </w:pPr>
          </w:p>
        </w:tc>
      </w:tr>
      <w:tr>
        <w:trPr>
          <w:trHeight w:val="202"/>
        </w:trPr>
        <w:tc>
          <w:tcPr>
            <w:tcW w:w="6120" w:type="dxa"/>
            <w:vAlign w:val="bottom"/>
          </w:tcPr>
          <w:p>
            <w:pPr>
              <w:spacing w:after="0" w:line="202" w:lineRule="exact"/>
              <w:rPr>
                <w:sz w:val="20"/>
                <w:szCs w:val="20"/>
                <w:color w:val="auto"/>
              </w:rPr>
            </w:pPr>
            <w:r>
              <w:rPr>
                <w:rFonts w:ascii="Arial" w:cs="Arial" w:eastAsia="Arial" w:hAnsi="Arial"/>
                <w:sz w:val="18"/>
                <w:szCs w:val="18"/>
                <w:color w:val="auto"/>
              </w:rPr>
              <w:t>5.875% Senior Notes</w:t>
            </w:r>
          </w:p>
        </w:tc>
        <w:tc>
          <w:tcPr>
            <w:tcW w:w="1800" w:type="dxa"/>
            <w:vAlign w:val="bottom"/>
          </w:tcPr>
          <w:p>
            <w:pPr>
              <w:jc w:val="center"/>
              <w:ind w:left="633"/>
              <w:spacing w:after="0" w:line="202" w:lineRule="exact"/>
              <w:rPr>
                <w:sz w:val="20"/>
                <w:szCs w:val="20"/>
                <w:color w:val="auto"/>
              </w:rPr>
            </w:pPr>
            <w:r>
              <w:rPr>
                <w:rFonts w:ascii="Arial" w:cs="Arial" w:eastAsia="Arial" w:hAnsi="Arial"/>
                <w:sz w:val="18"/>
                <w:szCs w:val="18"/>
                <w:color w:val="auto"/>
                <w:w w:val="99"/>
              </w:rPr>
              <w:t>Ba2</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tcPr>
          <w:p>
            <w:pPr>
              <w:jc w:val="center"/>
              <w:spacing w:after="0" w:line="202" w:lineRule="exact"/>
              <w:rPr>
                <w:sz w:val="20"/>
                <w:szCs w:val="20"/>
                <w:color w:val="auto"/>
              </w:rPr>
            </w:pPr>
            <w:r>
              <w:rPr>
                <w:rFonts w:ascii="Arial" w:cs="Arial" w:eastAsia="Arial" w:hAnsi="Arial"/>
                <w:sz w:val="18"/>
                <w:szCs w:val="18"/>
                <w:color w:val="auto"/>
                <w:w w:val="98"/>
              </w:rPr>
              <w:t>BB+</w:t>
            </w:r>
          </w:p>
        </w:tc>
        <w:tc>
          <w:tcPr>
            <w:tcW w:w="0" w:type="dxa"/>
            <w:vAlign w:val="bottom"/>
          </w:tcPr>
          <w:p>
            <w:pPr>
              <w:spacing w:after="0"/>
              <w:rPr>
                <w:sz w:val="1"/>
                <w:szCs w:val="1"/>
                <w:color w:val="auto"/>
              </w:rPr>
            </w:pPr>
          </w:p>
        </w:tc>
      </w:tr>
      <w:tr>
        <w:trPr>
          <w:trHeight w:val="203"/>
        </w:trPr>
        <w:tc>
          <w:tcPr>
            <w:tcW w:w="6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3.75% Senior Notes</w:t>
            </w:r>
          </w:p>
        </w:tc>
        <w:tc>
          <w:tcPr>
            <w:tcW w:w="1800" w:type="dxa"/>
            <w:vAlign w:val="bottom"/>
            <w:shd w:val="clear" w:color="auto" w:fill="CFF0FC"/>
          </w:tcPr>
          <w:p>
            <w:pPr>
              <w:jc w:val="center"/>
              <w:ind w:left="633"/>
              <w:spacing w:after="0" w:line="202" w:lineRule="exact"/>
              <w:rPr>
                <w:sz w:val="20"/>
                <w:szCs w:val="20"/>
                <w:color w:val="auto"/>
              </w:rPr>
            </w:pPr>
            <w:r>
              <w:rPr>
                <w:rFonts w:ascii="Arial" w:cs="Arial" w:eastAsia="Arial" w:hAnsi="Arial"/>
                <w:sz w:val="18"/>
                <w:szCs w:val="18"/>
                <w:color w:val="auto"/>
                <w:w w:val="99"/>
              </w:rPr>
              <w:t>Ba2</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3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8"/>
              </w:rPr>
              <w:t>BB+</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140" w:firstLine="494"/>
        <w:spacing w:after="0" w:line="244" w:lineRule="auto"/>
        <w:rPr>
          <w:sz w:val="20"/>
          <w:szCs w:val="20"/>
          <w:color w:val="auto"/>
        </w:rPr>
      </w:pPr>
      <w:r>
        <w:rPr>
          <w:rFonts w:ascii="Arial" w:cs="Arial" w:eastAsia="Arial" w:hAnsi="Arial"/>
          <w:sz w:val="18"/>
          <w:szCs w:val="18"/>
          <w:color w:val="auto"/>
        </w:rPr>
        <w:t>On February 20, 2025, our Board of Directors authorized us to repurchase an additional $1,000 million of our common stock pursuant to our stock repurchase program (the "Repurchase Program"), bringing the total amount authorized pursuant to the Repurchase Program to $5,000 million. During the three months ended March 31, 2025, we repurchased $154 million of our common stock under the Repurchase Program. Substantially all of the repurchase transactions during the three months ended March 31, 2025 were settled in cash during the same period. As of March 31, 2025, we had approximately $1,366 million available under the Repurchase Program.</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sources and uses of funds for the three months ended March 31, 2025 and 2024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32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60" w:type="dxa"/>
            <w:vAlign w:val="bottom"/>
            <w:vMerge w:val="continue"/>
          </w:tcPr>
          <w:p>
            <w:pPr>
              <w:spacing w:after="0"/>
              <w:rPr>
                <w:sz w:val="13"/>
                <w:szCs w:val="13"/>
                <w:color w:val="auto"/>
              </w:rPr>
            </w:pPr>
          </w:p>
        </w:tc>
        <w:tc>
          <w:tcPr>
            <w:tcW w:w="32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4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flows provided by operating activities</w:t>
            </w:r>
          </w:p>
        </w:tc>
        <w:tc>
          <w:tcPr>
            <w:tcW w:w="4240" w:type="dxa"/>
            <w:vAlign w:val="bottom"/>
            <w:gridSpan w:val="2"/>
            <w:shd w:val="clear" w:color="auto" w:fill="CFF0FC"/>
          </w:tcPr>
          <w:p>
            <w:pPr>
              <w:jc w:val="right"/>
              <w:ind w:right="788"/>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FF0FC"/>
          </w:tcPr>
          <w:p>
            <w:pPr>
              <w:jc w:val="right"/>
              <w:ind w:right="17"/>
              <w:spacing w:after="0" w:line="196" w:lineRule="exact"/>
              <w:rPr>
                <w:sz w:val="20"/>
                <w:szCs w:val="20"/>
                <w:color w:val="auto"/>
              </w:rPr>
            </w:pPr>
            <w:r>
              <w:rPr>
                <w:rFonts w:ascii="Arial" w:cs="Arial" w:eastAsia="Arial" w:hAnsi="Arial"/>
                <w:sz w:val="18"/>
                <w:szCs w:val="18"/>
                <w:b w:val="1"/>
                <w:bCs w:val="1"/>
                <w:color w:val="auto"/>
              </w:rPr>
              <w:t>181</w:t>
            </w:r>
          </w:p>
        </w:tc>
        <w:tc>
          <w:tcPr>
            <w:tcW w:w="780" w:type="dxa"/>
            <w:vAlign w:val="bottom"/>
            <w:gridSpan w:val="2"/>
            <w:shd w:val="clear" w:color="auto" w:fill="CFF0FC"/>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Cash flows used for investing activities</w:t>
            </w:r>
          </w:p>
        </w:tc>
        <w:tc>
          <w:tcPr>
            <w:tcW w:w="4240" w:type="dxa"/>
            <w:vAlign w:val="bottom"/>
            <w:gridSpan w:val="2"/>
          </w:tcPr>
          <w:p>
            <w:pPr>
              <w:jc w:val="right"/>
              <w:ind w:right="788"/>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w:t>
            </w:r>
          </w:p>
        </w:tc>
        <w:tc>
          <w:tcPr>
            <w:tcW w:w="7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4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flows used for financing activities</w:t>
            </w:r>
          </w:p>
        </w:tc>
        <w:tc>
          <w:tcPr>
            <w:tcW w:w="4240" w:type="dxa"/>
            <w:vAlign w:val="bottom"/>
            <w:gridSpan w:val="2"/>
            <w:shd w:val="clear" w:color="auto" w:fill="CFF0FC"/>
          </w:tcPr>
          <w:p>
            <w:pPr>
              <w:jc w:val="right"/>
              <w:ind w:right="788"/>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(184)</w:t>
            </w:r>
          </w:p>
        </w:tc>
        <w:tc>
          <w:tcPr>
            <w:tcW w:w="780" w:type="dxa"/>
            <w:vAlign w:val="bottom"/>
            <w:gridSpan w:val="2"/>
            <w:shd w:val="clear" w:color="auto" w:fill="CFF0FC"/>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598"/>
        </w:trPr>
        <w:tc>
          <w:tcPr>
            <w:tcW w:w="4460" w:type="dxa"/>
            <w:vAlign w:val="bottom"/>
          </w:tcPr>
          <w:p>
            <w:pPr>
              <w:spacing w:after="0"/>
              <w:rPr>
                <w:sz w:val="24"/>
                <w:szCs w:val="24"/>
                <w:color w:val="auto"/>
              </w:rPr>
            </w:pPr>
          </w:p>
        </w:tc>
        <w:tc>
          <w:tcPr>
            <w:tcW w:w="3280" w:type="dxa"/>
            <w:vAlign w:val="bottom"/>
          </w:tcPr>
          <w:p>
            <w:pPr>
              <w:jc w:val="right"/>
              <w:ind w:right="1930"/>
              <w:spacing w:after="0"/>
              <w:rPr>
                <w:sz w:val="20"/>
                <w:szCs w:val="20"/>
                <w:color w:val="auto"/>
              </w:rPr>
            </w:pPr>
            <w:r>
              <w:rPr>
                <w:rFonts w:ascii="Arial" w:cs="Arial" w:eastAsia="Arial" w:hAnsi="Arial"/>
                <w:sz w:val="18"/>
                <w:szCs w:val="18"/>
                <w:color w:val="auto"/>
              </w:rPr>
              <w:t>30</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4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Generally, cash provided by operating activities has been adequate to fund our operations. We have significant liquidity, including $753 million of cash and cash equivalents and $744 million available under the Revolving Credit Facility, net of $6 million of letters of credit, as of March 31, 2025. At this time, we believe cash provided by operating activities, cash and cash equivalents and borrowing capacity under the Revolving Credit Facility will be sufficient to meet our known and anticipated cash requirements for the next twelve months and thereafter.</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02" w:lineRule="exact"/>
        <w:rPr>
          <w:sz w:val="20"/>
          <w:szCs w:val="20"/>
          <w:color w:val="auto"/>
        </w:rPr>
      </w:pPr>
    </w:p>
    <w:p>
      <w:pPr>
        <w:ind w:right="120" w:firstLine="494"/>
        <w:spacing w:after="0" w:line="253" w:lineRule="auto"/>
        <w:rPr>
          <w:sz w:val="20"/>
          <w:szCs w:val="20"/>
          <w:color w:val="auto"/>
        </w:rPr>
      </w:pPr>
      <w:r>
        <w:rPr>
          <w:rFonts w:ascii="Arial" w:cs="Arial" w:eastAsia="Arial" w:hAnsi="Arial"/>
          <w:sz w:val="18"/>
          <w:szCs w:val="18"/>
          <w:color w:val="auto"/>
        </w:rPr>
        <w:t>Operating activities for the three months ended March 31, 2025 generated $ 181 million of cash compared to $173 million for the three months ended March 31, 2024. The increase was principally driven by UAW Local 933 contract signing incentives recognized in the first quarter of 2024 that did not reoccur in 2025, partially offset by higher cash incentive compensation payments.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02" w:lineRule="exact"/>
        <w:rPr>
          <w:sz w:val="20"/>
          <w:szCs w:val="20"/>
          <w:color w:val="auto"/>
        </w:rPr>
      </w:pPr>
    </w:p>
    <w:p>
      <w:pPr>
        <w:ind w:right="160" w:firstLine="499"/>
        <w:spacing w:after="0" w:line="271" w:lineRule="auto"/>
        <w:rPr>
          <w:sz w:val="20"/>
          <w:szCs w:val="20"/>
          <w:color w:val="auto"/>
        </w:rPr>
      </w:pPr>
      <w:r>
        <w:rPr>
          <w:rFonts w:ascii="Arial" w:cs="Arial" w:eastAsia="Arial" w:hAnsi="Arial"/>
          <w:sz w:val="18"/>
          <w:szCs w:val="18"/>
          <w:color w:val="auto"/>
        </w:rPr>
        <w:t>Investing activities for the three months ended March 31, 2025 used $26 million of cash compared to $12 million for the three months ended March 31, 2024. The increase was principally driven by a $15 million increase in capital expenditures.</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02" w:lineRule="exact"/>
        <w:rPr>
          <w:sz w:val="20"/>
          <w:szCs w:val="20"/>
          <w:color w:val="auto"/>
        </w:rPr>
      </w:pPr>
    </w:p>
    <w:p>
      <w:pPr>
        <w:ind w:right="140" w:firstLine="494"/>
        <w:spacing w:after="0" w:line="247" w:lineRule="auto"/>
        <w:rPr>
          <w:sz w:val="20"/>
          <w:szCs w:val="20"/>
          <w:color w:val="auto"/>
        </w:rPr>
      </w:pPr>
      <w:r>
        <w:rPr>
          <w:rFonts w:ascii="Arial" w:cs="Arial" w:eastAsia="Arial" w:hAnsi="Arial"/>
          <w:sz w:val="18"/>
          <w:szCs w:val="18"/>
          <w:color w:val="auto"/>
        </w:rPr>
        <w:t>Financing activities for the three months ended March 31, 2025 used $184 million of cash compared to $164 million for the three months ended March 31, 2024. The increase was principally driven by $98 million of higher stock repurchases under the Repurchase Program and $17 million of lower proceeds from the exercise of stock options, partially offset by $100 million of decreased payments on our long-term debt.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04" w:lineRule="exact"/>
        <w:rPr>
          <w:sz w:val="20"/>
          <w:szCs w:val="20"/>
          <w:color w:val="auto"/>
        </w:rPr>
      </w:pPr>
    </w:p>
    <w:p>
      <w:pPr>
        <w:ind w:right="220" w:firstLine="494"/>
        <w:spacing w:after="0" w:line="247"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4"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A discussion of our critical accounting estimates is included in Part II, Item 7, “Management’s Discussion and Analysis of Financial Condition and Results of Operations” in our Annual Report on Form 10-K for the year ended December 31, 2024 as filed with the Securities and Exchange Commission on February 13, 2025.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estimates being reported for the three months ended March 31,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B. Summary of Significant Accounting Policies” in Part I, Item 1, of this Quarterly Report on Form 10-Q.</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4"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natural disasters, extreme weather events, wars and public health crises such as pandemics; global economic volatility; general economic and industry conditions, including the risk of prolonged inflation and recession; labor strikes, work stoppages or similar labor disputes, which could significantly disrupt our operations or those of our principal customers or suppliers; the highly cyclical industries in which certain of our end users operate; uncertainty in the global regulatory and business environments in which we operate; the concentration of our net sales in our top five customers and the loss of any one of these; cybersecurity risks to our operational systems, security systems or infrastructure owned by us or our third-party vendors and suppliers;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and tariffs;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w:t>
      </w:r>
    </w:p>
    <w:p>
      <w:pPr>
        <w:spacing w:after="0" w:line="84" w:lineRule="exact"/>
        <w:rPr>
          <w:sz w:val="20"/>
          <w:szCs w:val="20"/>
          <w:color w:val="auto"/>
        </w:rPr>
      </w:pPr>
    </w:p>
    <w:p>
      <w:pPr>
        <w:ind w:right="20" w:firstLine="494"/>
        <w:spacing w:after="0" w:line="242"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2024 as filed with the Securities and Exchange Commission on February 13, 2025 and Part II, Item 1A of this Quarterly Report on Form 10-Q. All written and oral forward-looking statements attributable to us, or persons acting on our behalf, are expressly qualified in their entirety by these cautionary statements as well as other cautionary statements that are made from time to time in our other Securities and Exchange Commission filings or public communications. You should evaluate all forward-looking statements made in this Quarterly Report on Form 10-Q in the context of these risks and uncertainties.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9" w:lineRule="exact"/>
        <w:rPr>
          <w:sz w:val="20"/>
          <w:szCs w:val="20"/>
          <w:color w:val="auto"/>
        </w:rPr>
      </w:pPr>
    </w:p>
    <w:p>
      <w:pPr>
        <w:ind w:right="440" w:firstLine="499"/>
        <w:spacing w:after="0" w:line="271" w:lineRule="auto"/>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firstLine="499"/>
        <w:spacing w:after="0"/>
        <w:rPr>
          <w:sz w:val="20"/>
          <w:szCs w:val="20"/>
          <w:color w:val="auto"/>
        </w:rPr>
      </w:pPr>
      <w:r>
        <w:rPr>
          <w:rFonts w:ascii="Arial" w:cs="Arial" w:eastAsia="Arial" w:hAnsi="Arial"/>
          <w:sz w:val="18"/>
          <w:szCs w:val="18"/>
          <w:color w:val="auto"/>
        </w:rPr>
        <w:t>Our principal interest rate exposure relates to outstanding amounts under our Senior Secured Credit Facility. Our Senior Secured Credit Facility provides for variable rate borrowings of up to $ 1,257 million, including our $513 million Term Loan and $744 million available under our Revolving Credit Facility, net of $6 million of letters of credit. As of March 31, 2025, we held interest rate swap contracts that, in the aggregate, effectively hedge $500 million of the variable rate debt associated with the Term Loan at the forward-looking term rate based on the Secured Overnight Financing Rate weighted average fixed rate of 2.81% through September 2025. A one-eighth percent increase or decrease in assumed interest rates for the Senior Secured Credit Facility, if fully drawn as of March 31, 2025, would have an impact of approximately $1 million on interest expense per year. As of March 31, 2025, we had no outstanding borrowings against the Revolving Credit Facility.</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02" w:lineRule="exact"/>
        <w:rPr>
          <w:sz w:val="20"/>
          <w:szCs w:val="20"/>
          <w:color w:val="auto"/>
        </w:rPr>
      </w:pPr>
    </w:p>
    <w:p>
      <w:pPr>
        <w:ind w:right="180" w:firstLine="499"/>
        <w:spacing w:after="0" w:line="247"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66" w:lineRule="exact"/>
        <w:rPr>
          <w:sz w:val="20"/>
          <w:szCs w:val="20"/>
          <w:color w:val="auto"/>
        </w:rPr>
      </w:pPr>
    </w:p>
    <w:p>
      <w:pPr>
        <w:ind w:right="40" w:firstLine="499"/>
        <w:spacing w:after="0" w:line="253"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Chinese Yuan Renminbi, Euro, Indian Rupee, and Japanese Yen would correspondingly change our earnings, net of tax, by an estimated $7 million per year. We believe our other direct exposure to foreign currencies is immaterial.</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02" w:lineRule="exact"/>
        <w:rPr>
          <w:sz w:val="20"/>
          <w:szCs w:val="20"/>
          <w:color w:val="auto"/>
        </w:rPr>
      </w:pPr>
    </w:p>
    <w:p>
      <w:pPr>
        <w:ind w:right="40" w:firstLine="499"/>
        <w:spacing w:after="0" w:line="242"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As of March 31, 2025, approximately 66% of our cost of sales consisted of purchased components.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includes an index-based component. As our costs change, we are able to pass through a portion of the changes in commodity prices to certain of our customers according to our LTAs. We historically have not entered into long-term purchase contracts related to the purchase of aluminum and steel.</w:t>
      </w:r>
    </w:p>
    <w:p>
      <w:pPr>
        <w:spacing w:after="0" w:line="71" w:lineRule="exact"/>
        <w:rPr>
          <w:sz w:val="20"/>
          <w:szCs w:val="20"/>
          <w:color w:val="auto"/>
        </w:rPr>
      </w:pPr>
    </w:p>
    <w:p>
      <w:pPr>
        <w:ind w:right="240" w:firstLine="499"/>
        <w:spacing w:after="0" w:line="271"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$8 million and $12 million per year, respectively.</w:t>
      </w:r>
    </w:p>
    <w:p>
      <w:pPr>
        <w:spacing w:after="0" w:line="46" w:lineRule="exact"/>
        <w:rPr>
          <w:sz w:val="20"/>
          <w:szCs w:val="20"/>
          <w:color w:val="auto"/>
        </w:rPr>
      </w:pPr>
    </w:p>
    <w:p>
      <w:pPr>
        <w:ind w:right="40" w:firstLine="499"/>
        <w:spacing w:after="0" w:line="271" w:lineRule="auto"/>
        <w:rPr>
          <w:sz w:val="20"/>
          <w:szCs w:val="20"/>
          <w:color w:val="auto"/>
        </w:rPr>
      </w:pPr>
      <w:r>
        <w:rPr>
          <w:rFonts w:ascii="Arial" w:cs="Arial" w:eastAsia="Arial" w:hAnsi="Arial"/>
          <w:sz w:val="18"/>
          <w:szCs w:val="18"/>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4" w:lineRule="exact"/>
        <w:rPr>
          <w:sz w:val="20"/>
          <w:szCs w:val="20"/>
          <w:color w:val="auto"/>
        </w:rPr>
      </w:pPr>
    </w:p>
    <w:p>
      <w:pPr>
        <w:ind w:right="20" w:firstLine="499"/>
        <w:spacing w:after="0"/>
        <w:rPr>
          <w:sz w:val="20"/>
          <w:szCs w:val="20"/>
          <w:color w:val="auto"/>
        </w:rPr>
      </w:pPr>
      <w:r>
        <w:rPr>
          <w:rFonts w:ascii="Arial" w:cs="Arial" w:eastAsia="Arial" w:hAnsi="Arial"/>
          <w:sz w:val="18"/>
          <w:szCs w:val="18"/>
          <w:color w:val="auto"/>
        </w:rPr>
        <w:t>Our management, with the participation of our Chief Executive Officer, who is our principal executive officer, and our Chief Operating Officer, who is our principal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77" w:lineRule="exact"/>
        <w:rPr>
          <w:sz w:val="20"/>
          <w:szCs w:val="20"/>
          <w:color w:val="auto"/>
        </w:rPr>
      </w:pPr>
    </w:p>
    <w:p>
      <w:pPr>
        <w:ind w:right="180" w:firstLine="499"/>
        <w:spacing w:after="0" w:line="242" w:lineRule="auto"/>
        <w:rPr>
          <w:sz w:val="20"/>
          <w:szCs w:val="20"/>
          <w:color w:val="auto"/>
        </w:rPr>
      </w:pPr>
      <w:r>
        <w:rPr>
          <w:rFonts w:ascii="Arial" w:cs="Arial" w:eastAsia="Arial" w:hAnsi="Arial"/>
          <w:sz w:val="18"/>
          <w:szCs w:val="18"/>
          <w:color w:val="auto"/>
        </w:rPr>
        <w:t>Based on the evaluation, our Chief Executive Officer and Chief Operating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Operating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firstLine="499"/>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ind w:right="80" w:firstLine="499"/>
        <w:spacing w:after="0" w:line="266" w:lineRule="auto"/>
        <w:rPr>
          <w:sz w:val="20"/>
          <w:szCs w:val="20"/>
          <w:color w:val="auto"/>
        </w:rPr>
      </w:pPr>
      <w:r>
        <w:rPr>
          <w:rFonts w:ascii="Arial" w:cs="Arial" w:eastAsia="Arial" w:hAnsi="Arial"/>
          <w:sz w:val="17"/>
          <w:szCs w:val="17"/>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P. Commitments and Contingencies” in the notes to the condensed consolidated financial statements included in Part I, Item 1 of this Quarterly Report on Form 10-Q, which information is incorporated herein by reference.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right="120" w:firstLine="499"/>
        <w:spacing w:after="0" w:line="271"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2024 as filed with the Securities and Exchange Commission on February 13, 2025.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ind w:right="140" w:firstLine="499"/>
        <w:spacing w:after="0" w:line="271" w:lineRule="auto"/>
        <w:rPr>
          <w:sz w:val="20"/>
          <w:szCs w:val="20"/>
          <w:color w:val="auto"/>
        </w:rPr>
      </w:pPr>
      <w:r>
        <w:rPr>
          <w:rFonts w:ascii="Arial" w:cs="Arial" w:eastAsia="Arial" w:hAnsi="Arial"/>
          <w:sz w:val="18"/>
          <w:szCs w:val="18"/>
          <w:color w:val="auto"/>
        </w:rPr>
        <w:t>The following table sets forth information related to our repurchases of our common stock on a monthly basis during the three months ended March 31,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Total Number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Purchased</w:t>
            </w:r>
          </w:p>
        </w:tc>
        <w:tc>
          <w:tcPr>
            <w:tcW w:w="140" w:type="dxa"/>
            <w:vAlign w:val="bottom"/>
          </w:tcPr>
          <w:p>
            <w:pPr>
              <w:spacing w:after="0"/>
              <w:rPr>
                <w:sz w:val="14"/>
                <w:szCs w:val="14"/>
                <w:color w:val="auto"/>
              </w:rPr>
            </w:pPr>
          </w:p>
        </w:tc>
        <w:tc>
          <w:tcPr>
            <w:tcW w:w="1240" w:type="dxa"/>
            <w:vAlign w:val="bottom"/>
            <w:gridSpan w:val="2"/>
          </w:tcPr>
          <w:p>
            <w:pPr>
              <w:jc w:val="center"/>
              <w:ind w:right="37"/>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as Part of</w:t>
            </w:r>
          </w:p>
        </w:tc>
        <w:tc>
          <w:tcPr>
            <w:tcW w:w="140" w:type="dxa"/>
            <w:vAlign w:val="bottom"/>
          </w:tcPr>
          <w:p>
            <w:pPr>
              <w:spacing w:after="0"/>
              <w:rPr>
                <w:sz w:val="14"/>
                <w:szCs w:val="14"/>
                <w:color w:val="auto"/>
              </w:rPr>
            </w:pPr>
          </w:p>
        </w:tc>
        <w:tc>
          <w:tcPr>
            <w:tcW w:w="1240" w:type="dxa"/>
            <w:vAlign w:val="bottom"/>
            <w:gridSpan w:val="2"/>
          </w:tcPr>
          <w:p>
            <w:pPr>
              <w:jc w:val="center"/>
              <w:ind w:right="17"/>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Publicly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97"/>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20" w:type="dxa"/>
            <w:vAlign w:val="bottom"/>
          </w:tcPr>
          <w:p>
            <w:pPr>
              <w:jc w:val="center"/>
              <w:ind w:right="38"/>
              <w:spacing w:after="0"/>
              <w:rPr>
                <w:sz w:val="20"/>
                <w:szCs w:val="20"/>
                <w:color w:val="auto"/>
              </w:rPr>
            </w:pPr>
            <w:r>
              <w:rPr>
                <w:rFonts w:ascii="Arial" w:cs="Arial" w:eastAsia="Arial" w:hAnsi="Arial"/>
                <w:sz w:val="14"/>
                <w:szCs w:val="14"/>
                <w:b w:val="1"/>
                <w:bCs w:val="1"/>
                <w:color w:val="auto"/>
              </w:rPr>
              <w:t>Total Number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98"/>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Announced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37"/>
              <w:spacing w:after="0"/>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20" w:type="dxa"/>
            <w:vAlign w:val="bottom"/>
          </w:tcPr>
          <w:p>
            <w:pPr>
              <w:jc w:val="center"/>
              <w:ind w:right="18"/>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98"/>
              <w:spacing w:after="0"/>
              <w:rPr>
                <w:sz w:val="20"/>
                <w:szCs w:val="20"/>
                <w:color w:val="auto"/>
              </w:rPr>
            </w:pPr>
            <w:r>
              <w:rPr>
                <w:rFonts w:ascii="Arial" w:cs="Arial" w:eastAsia="Arial" w:hAnsi="Arial"/>
                <w:sz w:val="14"/>
                <w:szCs w:val="14"/>
                <w:b w:val="1"/>
                <w:bCs w:val="1"/>
                <w:color w:val="auto"/>
              </w:rPr>
              <w:t>Price Paid</w:t>
            </w: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Plans or</w:t>
            </w:r>
          </w:p>
        </w:tc>
        <w:tc>
          <w:tcPr>
            <w:tcW w:w="140" w:type="dxa"/>
            <w:vAlign w:val="bottom"/>
          </w:tcPr>
          <w:p>
            <w:pPr>
              <w:spacing w:after="0"/>
              <w:rPr>
                <w:sz w:val="14"/>
                <w:szCs w:val="14"/>
                <w:color w:val="auto"/>
              </w:rPr>
            </w:pPr>
          </w:p>
        </w:tc>
        <w:tc>
          <w:tcPr>
            <w:tcW w:w="1240" w:type="dxa"/>
            <w:vAlign w:val="bottom"/>
            <w:gridSpan w:val="2"/>
          </w:tcPr>
          <w:p>
            <w:pPr>
              <w:jc w:val="center"/>
              <w:ind w:right="57"/>
              <w:spacing w:after="0"/>
              <w:rPr>
                <w:sz w:val="20"/>
                <w:szCs w:val="20"/>
                <w:color w:val="auto"/>
              </w:rPr>
            </w:pPr>
            <w:r>
              <w:rPr>
                <w:rFonts w:ascii="Arial" w:cs="Arial" w:eastAsia="Arial" w:hAnsi="Arial"/>
                <w:sz w:val="14"/>
                <w:szCs w:val="14"/>
                <w:b w:val="1"/>
                <w:bCs w:val="1"/>
                <w:color w:val="auto"/>
              </w:rPr>
              <w:t>Under the Plans</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3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4"/>
                <w:szCs w:val="14"/>
                <w:color w:val="auto"/>
              </w:rPr>
            </w:pPr>
          </w:p>
        </w:tc>
        <w:tc>
          <w:tcPr>
            <w:tcW w:w="128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rPr>
              <w:t>Programs</w:t>
            </w:r>
          </w:p>
        </w:tc>
        <w:tc>
          <w:tcPr>
            <w:tcW w:w="140" w:type="dxa"/>
            <w:vAlign w:val="bottom"/>
          </w:tcPr>
          <w:p>
            <w:pPr>
              <w:spacing w:after="0"/>
              <w:rPr>
                <w:sz w:val="14"/>
                <w:szCs w:val="14"/>
                <w:color w:val="auto"/>
              </w:rPr>
            </w:pPr>
          </w:p>
        </w:tc>
        <w:tc>
          <w:tcPr>
            <w:tcW w:w="1240" w:type="dxa"/>
            <w:vAlign w:val="bottom"/>
            <w:tcBorders>
              <w:bottom w:val="single" w:sz="8" w:color="auto"/>
            </w:tcBorders>
            <w:gridSpan w:val="2"/>
          </w:tcPr>
          <w:p>
            <w:pPr>
              <w:jc w:val="center"/>
              <w:ind w:right="37"/>
              <w:spacing w:after="0"/>
              <w:rPr>
                <w:sz w:val="20"/>
                <w:szCs w:val="20"/>
                <w:color w:val="auto"/>
              </w:rPr>
            </w:pPr>
            <w:r>
              <w:rPr>
                <w:rFonts w:ascii="Arial" w:cs="Arial" w:eastAsia="Arial" w:hAnsi="Arial"/>
                <w:sz w:val="14"/>
                <w:szCs w:val="14"/>
                <w:b w:val="1"/>
                <w:bCs w:val="1"/>
                <w:color w:val="auto"/>
              </w:rPr>
              <w:t>or Programs(1)</w:t>
            </w:r>
          </w:p>
        </w:tc>
        <w:tc>
          <w:tcPr>
            <w:tcW w:w="0" w:type="dxa"/>
            <w:vAlign w:val="bottom"/>
          </w:tcPr>
          <w:p>
            <w:pPr>
              <w:spacing w:after="0"/>
              <w:rPr>
                <w:sz w:val="1"/>
                <w:szCs w:val="1"/>
                <w:color w:val="auto"/>
              </w:rPr>
            </w:pPr>
          </w:p>
        </w:tc>
      </w:tr>
      <w:tr>
        <w:trPr>
          <w:trHeight w:val="196"/>
        </w:trPr>
        <w:tc>
          <w:tcPr>
            <w:tcW w:w="5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January 1 – January 31, 2025</w:t>
            </w:r>
          </w:p>
        </w:tc>
        <w:tc>
          <w:tcPr>
            <w:tcW w:w="132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261,153</w:t>
            </w:r>
          </w:p>
        </w:tc>
        <w:tc>
          <w:tcPr>
            <w:tcW w:w="3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114.86</w:t>
            </w:r>
          </w:p>
        </w:tc>
        <w:tc>
          <w:tcPr>
            <w:tcW w:w="1380" w:type="dxa"/>
            <w:vAlign w:val="bottom"/>
            <w:gridSpan w:val="2"/>
            <w:shd w:val="clear" w:color="auto" w:fill="CFF0FC"/>
          </w:tcPr>
          <w:p>
            <w:pPr>
              <w:jc w:val="right"/>
              <w:ind w:right="26"/>
              <w:spacing w:after="0" w:line="196" w:lineRule="exact"/>
              <w:rPr>
                <w:sz w:val="20"/>
                <w:szCs w:val="20"/>
                <w:color w:val="auto"/>
              </w:rPr>
            </w:pPr>
            <w:r>
              <w:rPr>
                <w:rFonts w:ascii="Arial" w:cs="Arial" w:eastAsia="Arial" w:hAnsi="Arial"/>
                <w:sz w:val="18"/>
                <w:szCs w:val="18"/>
                <w:color w:val="auto"/>
              </w:rPr>
              <w:t>261,153</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w w:val="99"/>
              </w:rPr>
              <w:t>489,146,500</w:t>
            </w:r>
          </w:p>
        </w:tc>
        <w:tc>
          <w:tcPr>
            <w:tcW w:w="0" w:type="dxa"/>
            <w:vAlign w:val="bottom"/>
          </w:tcPr>
          <w:p>
            <w:pPr>
              <w:spacing w:after="0"/>
              <w:rPr>
                <w:sz w:val="1"/>
                <w:szCs w:val="1"/>
                <w:color w:val="auto"/>
              </w:rPr>
            </w:pPr>
          </w:p>
        </w:tc>
      </w:tr>
      <w:tr>
        <w:trPr>
          <w:trHeight w:val="184"/>
        </w:trPr>
        <w:tc>
          <w:tcPr>
            <w:tcW w:w="5740" w:type="dxa"/>
            <w:vAlign w:val="bottom"/>
          </w:tcPr>
          <w:p>
            <w:pPr>
              <w:spacing w:after="0" w:line="183" w:lineRule="exact"/>
              <w:rPr>
                <w:sz w:val="20"/>
                <w:szCs w:val="20"/>
                <w:color w:val="auto"/>
              </w:rPr>
            </w:pPr>
            <w:r>
              <w:rPr>
                <w:rFonts w:ascii="Arial" w:cs="Arial" w:eastAsia="Arial" w:hAnsi="Arial"/>
                <w:sz w:val="18"/>
                <w:szCs w:val="18"/>
                <w:color w:val="auto"/>
              </w:rPr>
              <w:t>February 1 – February 28, 2025</w:t>
            </w: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7"/>
              <w:spacing w:after="0" w:line="183" w:lineRule="exact"/>
              <w:rPr>
                <w:sz w:val="20"/>
                <w:szCs w:val="20"/>
                <w:color w:val="auto"/>
              </w:rPr>
            </w:pPr>
            <w:r>
              <w:rPr>
                <w:rFonts w:ascii="Arial" w:cs="Arial" w:eastAsia="Arial" w:hAnsi="Arial"/>
                <w:sz w:val="18"/>
                <w:szCs w:val="18"/>
                <w:color w:val="auto"/>
              </w:rPr>
              <w:t>1,447,649,0</w:t>
            </w:r>
          </w:p>
        </w:tc>
        <w:tc>
          <w:tcPr>
            <w:tcW w:w="0" w:type="dxa"/>
            <w:vAlign w:val="bottom"/>
          </w:tcPr>
          <w:p>
            <w:pPr>
              <w:spacing w:after="0"/>
              <w:rPr>
                <w:sz w:val="1"/>
                <w:szCs w:val="1"/>
                <w:color w:val="auto"/>
              </w:rPr>
            </w:pPr>
          </w:p>
        </w:tc>
      </w:tr>
      <w:tr>
        <w:trPr>
          <w:trHeight w:val="221"/>
        </w:trPr>
        <w:tc>
          <w:tcPr>
            <w:tcW w:w="5740" w:type="dxa"/>
            <w:vAlign w:val="bottom"/>
          </w:tcPr>
          <w:p>
            <w:pPr>
              <w:spacing w:after="0"/>
              <w:rPr>
                <w:sz w:val="19"/>
                <w:szCs w:val="19"/>
                <w:color w:val="auto"/>
              </w:rPr>
            </w:pP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398,725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104.08</w:t>
            </w:r>
          </w:p>
        </w:tc>
        <w:tc>
          <w:tcPr>
            <w:tcW w:w="1380" w:type="dxa"/>
            <w:vAlign w:val="bottom"/>
            <w:gridSpan w:val="2"/>
          </w:tcPr>
          <w:p>
            <w:pPr>
              <w:jc w:val="right"/>
              <w:ind w:right="26"/>
              <w:spacing w:after="0"/>
              <w:rPr>
                <w:sz w:val="20"/>
                <w:szCs w:val="20"/>
                <w:color w:val="auto"/>
              </w:rPr>
            </w:pPr>
            <w:r>
              <w:rPr>
                <w:rFonts w:ascii="Arial" w:cs="Arial" w:eastAsia="Arial" w:hAnsi="Arial"/>
                <w:sz w:val="18"/>
                <w:szCs w:val="18"/>
                <w:color w:val="auto"/>
              </w:rPr>
              <w:t>398,725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4"/>
        </w:trPr>
        <w:tc>
          <w:tcPr>
            <w:tcW w:w="57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March 1 – March 31, 2025</w:t>
            </w:r>
          </w:p>
        </w:tc>
        <w:tc>
          <w:tcPr>
            <w:tcW w:w="1320" w:type="dxa"/>
            <w:vAlign w:val="bottom"/>
            <w:vMerge w:val="restart"/>
            <w:shd w:val="clear" w:color="auto" w:fill="CFF0FC"/>
          </w:tcPr>
          <w:p>
            <w:pPr>
              <w:jc w:val="right"/>
              <w:ind w:right="38"/>
              <w:spacing w:after="0"/>
              <w:rPr>
                <w:sz w:val="20"/>
                <w:szCs w:val="20"/>
                <w:color w:val="auto"/>
              </w:rPr>
            </w:pPr>
            <w:r>
              <w:rPr>
                <w:rFonts w:ascii="Arial" w:cs="Arial" w:eastAsia="Arial" w:hAnsi="Arial"/>
                <w:sz w:val="18"/>
                <w:szCs w:val="18"/>
                <w:color w:val="auto"/>
              </w:rPr>
              <w:t>841,831</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spacing w:after="0"/>
              <w:rPr>
                <w:sz w:val="15"/>
                <w:szCs w:val="15"/>
                <w:color w:val="auto"/>
              </w:rPr>
            </w:pPr>
          </w:p>
        </w:tc>
        <w:tc>
          <w:tcPr>
            <w:tcW w:w="1280" w:type="dxa"/>
            <w:vAlign w:val="bottom"/>
            <w:vMerge w:val="restart"/>
            <w:shd w:val="clear" w:color="auto" w:fill="CFF0FC"/>
          </w:tcPr>
          <w:p>
            <w:pPr>
              <w:jc w:val="right"/>
              <w:ind w:right="26"/>
              <w:spacing w:after="0"/>
              <w:rPr>
                <w:sz w:val="20"/>
                <w:szCs w:val="20"/>
                <w:color w:val="auto"/>
              </w:rPr>
            </w:pPr>
            <w:r>
              <w:rPr>
                <w:rFonts w:ascii="Arial" w:cs="Arial" w:eastAsia="Arial" w:hAnsi="Arial"/>
                <w:sz w:val="18"/>
                <w:szCs w:val="18"/>
                <w:color w:val="auto"/>
              </w:rPr>
              <w:t>841,831</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7"/>
              <w:spacing w:after="0" w:line="183" w:lineRule="exact"/>
              <w:rPr>
                <w:sz w:val="20"/>
                <w:szCs w:val="20"/>
                <w:color w:val="auto"/>
              </w:rPr>
            </w:pPr>
            <w:r>
              <w:rPr>
                <w:rFonts w:ascii="Arial" w:cs="Arial" w:eastAsia="Arial" w:hAnsi="Arial"/>
                <w:sz w:val="18"/>
                <w:szCs w:val="18"/>
                <w:color w:val="auto"/>
              </w:rPr>
              <w:t>1,365,652,8</w:t>
            </w:r>
          </w:p>
        </w:tc>
        <w:tc>
          <w:tcPr>
            <w:tcW w:w="0" w:type="dxa"/>
            <w:vAlign w:val="bottom"/>
          </w:tcPr>
          <w:p>
            <w:pPr>
              <w:spacing w:after="0"/>
              <w:rPr>
                <w:sz w:val="1"/>
                <w:szCs w:val="1"/>
                <w:color w:val="auto"/>
              </w:rPr>
            </w:pPr>
          </w:p>
        </w:tc>
      </w:tr>
      <w:tr>
        <w:trPr>
          <w:trHeight w:val="208"/>
        </w:trPr>
        <w:tc>
          <w:tcPr>
            <w:tcW w:w="57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vMerge w:val="continue"/>
            <w:shd w:val="clear" w:color="auto" w:fill="CFF0FC"/>
          </w:tcPr>
          <w:p>
            <w:pPr>
              <w:spacing w:after="0"/>
              <w:rPr>
                <w:sz w:val="18"/>
                <w:szCs w:val="18"/>
                <w:color w:val="auto"/>
              </w:rPr>
            </w:pPr>
          </w:p>
        </w:tc>
        <w:tc>
          <w:tcPr>
            <w:tcW w:w="3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97.40</w:t>
            </w:r>
          </w:p>
        </w:tc>
        <w:tc>
          <w:tcPr>
            <w:tcW w:w="100" w:type="dxa"/>
            <w:vAlign w:val="bottom"/>
            <w:tcBorders>
              <w:bottom w:val="single" w:sz="8" w:color="CFF0FC"/>
            </w:tcBorders>
            <w:vMerge w:val="continue"/>
            <w:shd w:val="clear" w:color="auto" w:fill="CFF0FC"/>
          </w:tcPr>
          <w:p>
            <w:pPr>
              <w:spacing w:after="0"/>
              <w:rPr>
                <w:sz w:val="18"/>
                <w:szCs w:val="18"/>
                <w:color w:val="auto"/>
              </w:rPr>
            </w:pPr>
          </w:p>
        </w:tc>
        <w:tc>
          <w:tcPr>
            <w:tcW w:w="128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1320" w:type="dxa"/>
            <w:vAlign w:val="bottom"/>
          </w:tcPr>
          <w:p>
            <w:pPr>
              <w:jc w:val="right"/>
              <w:ind w:right="38"/>
              <w:spacing w:after="0" w:line="182" w:lineRule="exact"/>
              <w:rPr>
                <w:sz w:val="20"/>
                <w:szCs w:val="20"/>
                <w:color w:val="auto"/>
              </w:rPr>
            </w:pPr>
            <w:r>
              <w:rPr>
                <w:rFonts w:ascii="Arial" w:cs="Arial" w:eastAsia="Arial" w:hAnsi="Arial"/>
                <w:sz w:val="18"/>
                <w:szCs w:val="18"/>
                <w:color w:val="auto"/>
              </w:rPr>
              <w:t>1,501,709</w:t>
            </w:r>
          </w:p>
        </w:tc>
        <w:tc>
          <w:tcPr>
            <w:tcW w:w="32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8"/>
              <w:spacing w:after="0" w:line="182" w:lineRule="exact"/>
              <w:rPr>
                <w:sz w:val="20"/>
                <w:szCs w:val="20"/>
                <w:color w:val="auto"/>
              </w:rPr>
            </w:pPr>
            <w:r>
              <w:rPr>
                <w:rFonts w:ascii="Arial" w:cs="Arial" w:eastAsia="Arial" w:hAnsi="Arial"/>
                <w:sz w:val="18"/>
                <w:szCs w:val="18"/>
                <w:color w:val="auto"/>
              </w:rPr>
              <w:t>102.21</w:t>
            </w:r>
          </w:p>
        </w:tc>
        <w:tc>
          <w:tcPr>
            <w:tcW w:w="1380" w:type="dxa"/>
            <w:vAlign w:val="bottom"/>
            <w:gridSpan w:val="2"/>
          </w:tcPr>
          <w:p>
            <w:pPr>
              <w:jc w:val="right"/>
              <w:ind w:right="26"/>
              <w:spacing w:after="0" w:line="182" w:lineRule="exact"/>
              <w:rPr>
                <w:sz w:val="20"/>
                <w:szCs w:val="20"/>
                <w:color w:val="auto"/>
              </w:rPr>
            </w:pPr>
            <w:r>
              <w:rPr>
                <w:rFonts w:ascii="Arial" w:cs="Arial" w:eastAsia="Arial" w:hAnsi="Arial"/>
                <w:sz w:val="18"/>
                <w:szCs w:val="18"/>
                <w:color w:val="auto"/>
              </w:rPr>
              <w:t>1,501,709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-162560</wp:posOffset>
            </wp:positionV>
            <wp:extent cx="93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-162560</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4" w:lineRule="exact"/>
        <w:rPr>
          <w:sz w:val="20"/>
          <w:szCs w:val="20"/>
          <w:color w:val="auto"/>
        </w:rPr>
      </w:pPr>
    </w:p>
    <w:p>
      <w:pPr>
        <w:ind w:left="640" w:right="240" w:hanging="372"/>
        <w:spacing w:after="0" w:line="24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values reflect the amounts that may be repurchased under the Repurchase Program approved by the Board of Directors on November 14, 2016 and the increases approved by the Board of Directors on November 8, 2017, July 30, 2018, May 9, 2019, February 24, 2022 and February 20, 2025, which in the aggregate total authorized repurchases of $5,000 million. The Repurchase Program has no termination date.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Insider Trading Arrangements</w:t>
      </w:r>
    </w:p>
    <w:p>
      <w:pPr>
        <w:spacing w:after="0" w:line="104" w:lineRule="exact"/>
        <w:rPr>
          <w:sz w:val="20"/>
          <w:szCs w:val="20"/>
          <w:color w:val="auto"/>
        </w:rPr>
      </w:pPr>
    </w:p>
    <w:p>
      <w:pPr>
        <w:ind w:right="160" w:firstLine="499"/>
        <w:spacing w:after="0" w:line="247" w:lineRule="auto"/>
        <w:rPr>
          <w:sz w:val="20"/>
          <w:szCs w:val="20"/>
          <w:color w:val="auto"/>
        </w:rPr>
      </w:pPr>
      <w:r>
        <w:rPr>
          <w:rFonts w:ascii="Arial" w:cs="Arial" w:eastAsia="Arial" w:hAnsi="Arial"/>
          <w:sz w:val="18"/>
          <w:szCs w:val="18"/>
          <w:color w:val="auto"/>
        </w:rPr>
        <w:t>The following table sets forth information related to the Company's directors and officers who adopted, modified or terminated any contract, instruction or written plan for the purchase or sale of Company securities that was intended to satisfy the affirmative defense conditions of Rule 10b5-1(c) ("Rule 10b5-1 trading arrangement") or any “non-Rule 10b5-1 trading arrangement,” as such term is defined in Item 408(c) of Regulation S-K, during the three months ended March 31,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Trading Arrangement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Shares to</w:t>
            </w:r>
          </w:p>
        </w:tc>
        <w:tc>
          <w:tcPr>
            <w:tcW w:w="24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Non-Rule</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40" w:type="dxa"/>
            <w:vAlign w:val="bottom"/>
          </w:tcPr>
          <w:p>
            <w:pPr>
              <w:ind w:left="66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2720" w:type="dxa"/>
            <w:vAlign w:val="bottom"/>
          </w:tcPr>
          <w:p>
            <w:pPr>
              <w:ind w:left="120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Action</w:t>
            </w:r>
          </w:p>
        </w:tc>
        <w:tc>
          <w:tcPr>
            <w:tcW w:w="14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Date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Rule 10b5-1*</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10b5-1**</w:t>
            </w:r>
          </w:p>
        </w:tc>
        <w:tc>
          <w:tcPr>
            <w:tcW w:w="12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auto"/>
              </w:rPr>
              <w:t>be Sold</w:t>
            </w:r>
          </w:p>
        </w:tc>
        <w:tc>
          <w:tcPr>
            <w:tcW w:w="2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77"/>
        </w:trPr>
        <w:tc>
          <w:tcPr>
            <w:tcW w:w="174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720" w:type="dxa"/>
            <w:vAlign w:val="bottom"/>
            <w:tcBorders>
              <w:top w:val="single" w:sz="8" w:color="auto"/>
            </w:tcBorders>
            <w:shd w:val="clear" w:color="auto" w:fill="CFF0FC"/>
          </w:tcPr>
          <w:p>
            <w:pPr>
              <w:spacing w:after="0" w:line="177" w:lineRule="exact"/>
              <w:rPr>
                <w:sz w:val="20"/>
                <w:szCs w:val="20"/>
                <w:color w:val="auto"/>
              </w:rPr>
            </w:pPr>
            <w:r>
              <w:rPr>
                <w:rFonts w:ascii="Arial" w:cs="Arial" w:eastAsia="Arial" w:hAnsi="Arial"/>
                <w:sz w:val="18"/>
                <w:szCs w:val="18"/>
                <w:color w:val="auto"/>
              </w:rPr>
              <w:t>Vice President, Engineering and</w:t>
            </w:r>
          </w:p>
        </w:tc>
        <w:tc>
          <w:tcPr>
            <w:tcW w:w="160" w:type="dxa"/>
            <w:vAlign w:val="bottom"/>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740" w:type="dxa"/>
            <w:vAlign w:val="bottom"/>
            <w:shd w:val="clear" w:color="auto" w:fill="CFF0FC"/>
          </w:tcPr>
          <w:p>
            <w:pPr>
              <w:spacing w:after="0"/>
              <w:rPr>
                <w:sz w:val="20"/>
                <w:szCs w:val="20"/>
                <w:color w:val="auto"/>
              </w:rPr>
            </w:pPr>
            <w:r>
              <w:rPr>
                <w:rFonts w:ascii="Arial" w:cs="Arial" w:eastAsia="Arial" w:hAnsi="Arial"/>
                <w:sz w:val="18"/>
                <w:szCs w:val="18"/>
                <w:color w:val="auto"/>
              </w:rPr>
              <w:t>Ryan A. Milburn</w:t>
            </w:r>
          </w:p>
        </w:tc>
        <w:tc>
          <w:tcPr>
            <w:tcW w:w="16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Technology Development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Adopted</w:t>
            </w:r>
          </w:p>
        </w:tc>
        <w:tc>
          <w:tcPr>
            <w:tcW w:w="10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2/19/2025</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7,910</w:t>
            </w:r>
          </w:p>
        </w:tc>
        <w:tc>
          <w:tcPr>
            <w:tcW w:w="12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9"/>
              </w:rPr>
              <w:t>12/31/2026</w:t>
            </w:r>
          </w:p>
        </w:tc>
        <w:tc>
          <w:tcPr>
            <w:tcW w:w="0" w:type="dxa"/>
            <w:vAlign w:val="bottom"/>
          </w:tcPr>
          <w:p>
            <w:pPr>
              <w:spacing w:after="0"/>
              <w:rPr>
                <w:sz w:val="1"/>
                <w:szCs w:val="1"/>
                <w:color w:val="auto"/>
              </w:rPr>
            </w:pPr>
          </w:p>
        </w:tc>
      </w:tr>
      <w:tr>
        <w:trPr>
          <w:trHeight w:val="203"/>
        </w:trPr>
        <w:tc>
          <w:tcPr>
            <w:tcW w:w="1740" w:type="dxa"/>
            <w:vAlign w:val="bottom"/>
          </w:tcPr>
          <w:p>
            <w:pPr>
              <w:spacing w:after="0" w:line="202" w:lineRule="exact"/>
              <w:rPr>
                <w:sz w:val="20"/>
                <w:szCs w:val="20"/>
                <w:color w:val="auto"/>
              </w:rPr>
            </w:pPr>
            <w:r>
              <w:rPr>
                <w:rFonts w:ascii="Arial" w:cs="Arial" w:eastAsia="Arial" w:hAnsi="Arial"/>
                <w:sz w:val="18"/>
                <w:szCs w:val="18"/>
                <w:color w:val="auto"/>
              </w:rPr>
              <w:t>G. Frederick Bohley</w:t>
            </w:r>
          </w:p>
        </w:tc>
        <w:tc>
          <w:tcPr>
            <w:tcW w:w="16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Chief Operating Officer</w:t>
            </w:r>
          </w:p>
        </w:tc>
        <w:tc>
          <w:tcPr>
            <w:tcW w:w="160" w:type="dxa"/>
            <w:vAlign w:val="bottom"/>
          </w:tcPr>
          <w:p>
            <w:pPr>
              <w:spacing w:after="0"/>
              <w:rPr>
                <w:sz w:val="17"/>
                <w:szCs w:val="17"/>
                <w:color w:val="auto"/>
              </w:rPr>
            </w:pP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rPr>
              <w:t>Adopted</w:t>
            </w:r>
          </w:p>
        </w:tc>
        <w:tc>
          <w:tcPr>
            <w:tcW w:w="102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9"/>
              </w:rPr>
              <w:t>2/26/2025</w:t>
            </w:r>
          </w:p>
        </w:tc>
        <w:tc>
          <w:tcPr>
            <w:tcW w:w="16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10,348</w:t>
            </w:r>
          </w:p>
        </w:tc>
        <w:tc>
          <w:tcPr>
            <w:tcW w:w="122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99"/>
              </w:rPr>
              <w:t>2/17/2026</w:t>
            </w:r>
          </w:p>
        </w:tc>
        <w:tc>
          <w:tcPr>
            <w:tcW w:w="0" w:type="dxa"/>
            <w:vAlign w:val="bottom"/>
          </w:tcPr>
          <w:p>
            <w:pPr>
              <w:spacing w:after="0"/>
              <w:rPr>
                <w:sz w:val="1"/>
                <w:szCs w:val="1"/>
                <w:color w:val="auto"/>
              </w:rPr>
            </w:pPr>
          </w:p>
        </w:tc>
      </w:tr>
      <w:tr>
        <w:trPr>
          <w:trHeight w:val="184"/>
        </w:trPr>
        <w:tc>
          <w:tcPr>
            <w:tcW w:w="1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7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Vice President, General Counsel</w:t>
            </w: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740" w:type="dxa"/>
            <w:vAlign w:val="bottom"/>
            <w:shd w:val="clear" w:color="auto" w:fill="CFF0FC"/>
          </w:tcPr>
          <w:p>
            <w:pPr>
              <w:spacing w:after="0"/>
              <w:rPr>
                <w:sz w:val="20"/>
                <w:szCs w:val="20"/>
                <w:color w:val="auto"/>
              </w:rPr>
            </w:pPr>
            <w:r>
              <w:rPr>
                <w:rFonts w:ascii="Arial" w:cs="Arial" w:eastAsia="Arial" w:hAnsi="Arial"/>
                <w:sz w:val="18"/>
                <w:szCs w:val="18"/>
                <w:color w:val="auto"/>
              </w:rPr>
              <w:t>Eric Scroggins</w:t>
            </w:r>
          </w:p>
        </w:tc>
        <w:tc>
          <w:tcPr>
            <w:tcW w:w="16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and Assistant Secretary</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Adopted</w:t>
            </w:r>
          </w:p>
        </w:tc>
        <w:tc>
          <w:tcPr>
            <w:tcW w:w="10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2/27/2025</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6,300</w:t>
            </w:r>
          </w:p>
        </w:tc>
        <w:tc>
          <w:tcPr>
            <w:tcW w:w="122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2/17/2026</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Intended to satisfy the affirmative defense of Rule 10b5-1(c)</w:t>
      </w:r>
    </w:p>
    <w:p>
      <w:pPr>
        <w:spacing w:after="0" w:line="14" w:lineRule="exact"/>
        <w:rPr>
          <w:sz w:val="20"/>
          <w:szCs w:val="20"/>
          <w:color w:val="auto"/>
        </w:rPr>
      </w:pPr>
    </w:p>
    <w:p>
      <w:pPr>
        <w:ind w:left="5520" w:right="5520" w:hanging="5251"/>
        <w:spacing w:after="0" w:line="359" w:lineRule="auto"/>
        <w:tabs>
          <w:tab w:leader="none" w:pos="455" w:val="left"/>
        </w:tabs>
        <w:numPr>
          <w:ilvl w:val="0"/>
          <w:numId w:val="9"/>
        </w:numPr>
        <w:rPr>
          <w:rFonts w:ascii="Arial" w:cs="Arial" w:eastAsia="Arial" w:hAnsi="Arial"/>
          <w:sz w:val="17"/>
          <w:szCs w:val="17"/>
          <w:color w:val="auto"/>
        </w:rPr>
      </w:pPr>
      <w:r>
        <w:rPr>
          <w:rFonts w:ascii="Arial" w:cs="Arial" w:eastAsia="Arial" w:hAnsi="Arial"/>
          <w:sz w:val="17"/>
          <w:szCs w:val="17"/>
          <w:color w:val="auto"/>
        </w:rPr>
        <w:t>Not intended to satisfy the affirmative defense of Rule 10b5-1(c)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440" w:type="dxa"/>
            <w:vAlign w:val="bottom"/>
            <w:gridSpan w:val="5"/>
          </w:tcPr>
          <w:p>
            <w:pPr>
              <w:jc w:val="center"/>
              <w:ind w:right="860"/>
              <w:spacing w:after="0"/>
              <w:rPr>
                <w:sz w:val="20"/>
                <w:szCs w:val="20"/>
                <w:color w:val="auto"/>
              </w:rPr>
            </w:pPr>
            <w:r>
              <w:rPr>
                <w:rFonts w:ascii="Arial" w:cs="Arial" w:eastAsia="Arial" w:hAnsi="Arial"/>
                <w:sz w:val="18"/>
                <w:szCs w:val="18"/>
                <w:b w:val="1"/>
                <w:bCs w:val="1"/>
                <w:color w:val="auto"/>
              </w:rPr>
              <w:t>Item 6.</w:t>
            </w:r>
          </w:p>
        </w:tc>
        <w:tc>
          <w:tcPr>
            <w:tcW w:w="9800" w:type="dxa"/>
            <w:vAlign w:val="bottom"/>
            <w:gridSpan w:val="10"/>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137"/>
        </w:trPr>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2"/>
        </w:trPr>
        <w:tc>
          <w:tcPr>
            <w:tcW w:w="144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vMerge w:val="restart"/>
          </w:tcPr>
          <w:p>
            <w:pPr>
              <w:spacing w:after="0"/>
              <w:rPr>
                <w:sz w:val="24"/>
                <w:szCs w:val="24"/>
                <w:color w:val="auto"/>
              </w:rPr>
            </w:pPr>
          </w:p>
        </w:tc>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54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Number</w:t>
            </w:r>
          </w:p>
        </w:tc>
        <w:tc>
          <w:tcPr>
            <w:tcW w:w="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45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920" w:type="dxa"/>
            <w:vAlign w:val="bottom"/>
            <w:gridSpan w:val="3"/>
          </w:tcPr>
          <w:p>
            <w:pPr>
              <w:jc w:val="center"/>
              <w:ind w:right="268"/>
              <w:spacing w:after="0"/>
              <w:rPr>
                <w:sz w:val="20"/>
                <w:szCs w:val="20"/>
                <w:color w:val="auto"/>
              </w:rPr>
            </w:pPr>
            <w:r>
              <w:rPr>
                <w:rFonts w:ascii="Arial" w:cs="Arial" w:eastAsia="Arial" w:hAnsi="Arial"/>
                <w:sz w:val="18"/>
                <w:szCs w:val="18"/>
                <w:color w:val="auto"/>
                <w:w w:val="96"/>
              </w:rPr>
              <w:t>31.1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0000FF"/>
              </w:rPr>
              <w:t>Certification of Chief Executive Officer pursuant to Rule 13a-14(a)/15d-14(a) as adopted pursuant to Section 302 of the</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6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 (filed herewith)</w:t>
            </w:r>
          </w:p>
        </w:tc>
        <w:tc>
          <w:tcPr>
            <w:tcW w:w="20" w:type="dxa"/>
            <w:vAlign w:val="bottom"/>
            <w:tcBorders>
              <w:top w:val="single" w:sz="8" w:color="0000FF"/>
              <w:bottom w:val="single" w:sz="8" w:color="0000EE"/>
            </w:tcBorders>
          </w:tcPr>
          <w:p>
            <w:pPr>
              <w:spacing w:after="0"/>
              <w:rPr>
                <w:sz w:val="15"/>
                <w:szCs w:val="15"/>
                <w:color w:val="auto"/>
              </w:rPr>
            </w:pPr>
          </w:p>
        </w:tc>
        <w:tc>
          <w:tcPr>
            <w:tcW w:w="6000" w:type="dxa"/>
            <w:vAlign w:val="bottom"/>
            <w:tcBorders>
              <w:top w:val="single" w:sz="8" w:color="0000FF"/>
            </w:tcBorders>
            <w:gridSpan w:val="6"/>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20" w:type="dxa"/>
            <w:vAlign w:val="bottom"/>
            <w:gridSpan w:val="3"/>
          </w:tcPr>
          <w:p>
            <w:pPr>
              <w:jc w:val="center"/>
              <w:ind w:right="268"/>
              <w:spacing w:after="0"/>
              <w:rPr>
                <w:sz w:val="20"/>
                <w:szCs w:val="20"/>
                <w:color w:val="auto"/>
              </w:rPr>
            </w:pPr>
            <w:r>
              <w:rPr>
                <w:rFonts w:ascii="Arial" w:cs="Arial" w:eastAsia="Arial" w:hAnsi="Arial"/>
                <w:sz w:val="18"/>
                <w:szCs w:val="18"/>
                <w:color w:val="auto"/>
                <w:w w:val="96"/>
              </w:rPr>
              <w:t>31.2</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0000FF"/>
              </w:rPr>
              <w:t>Certification of Principal Financial Officer pursuant to Rule 13a-14(a)/15d-14(a) as adopted pursuant to Section 302 of the</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6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 (filed herewith)</w:t>
            </w:r>
          </w:p>
        </w:tc>
        <w:tc>
          <w:tcPr>
            <w:tcW w:w="20" w:type="dxa"/>
            <w:vAlign w:val="bottom"/>
            <w:tcBorders>
              <w:top w:val="single" w:sz="8" w:color="0000FF"/>
              <w:bottom w:val="single" w:sz="8" w:color="0000EE"/>
            </w:tcBorders>
          </w:tcPr>
          <w:p>
            <w:pPr>
              <w:spacing w:after="0"/>
              <w:rPr>
                <w:sz w:val="15"/>
                <w:szCs w:val="15"/>
                <w:color w:val="auto"/>
              </w:rPr>
            </w:pPr>
          </w:p>
        </w:tc>
        <w:tc>
          <w:tcPr>
            <w:tcW w:w="6200" w:type="dxa"/>
            <w:vAlign w:val="bottom"/>
            <w:tcBorders>
              <w:top w:val="single" w:sz="8" w:color="0000FF"/>
            </w:tcBorders>
            <w:gridSpan w:val="7"/>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20" w:type="dxa"/>
            <w:vAlign w:val="bottom"/>
            <w:gridSpan w:val="3"/>
          </w:tcPr>
          <w:p>
            <w:pPr>
              <w:jc w:val="center"/>
              <w:ind w:right="268"/>
              <w:spacing w:after="0"/>
              <w:rPr>
                <w:sz w:val="20"/>
                <w:szCs w:val="20"/>
                <w:color w:val="auto"/>
              </w:rPr>
            </w:pPr>
            <w:r>
              <w:rPr>
                <w:rFonts w:ascii="Arial" w:cs="Arial" w:eastAsia="Arial" w:hAnsi="Arial"/>
                <w:sz w:val="18"/>
                <w:szCs w:val="18"/>
                <w:color w:val="auto"/>
                <w:w w:val="96"/>
              </w:rPr>
              <w:t>32.1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0000FF"/>
              </w:rPr>
              <w:t>Certification of Periodic Report by Chief Executive Officer and Principal Financial Officer pursuant to 18 U.S.C. Section</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6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1350, as adopted pursuant to Section 906 of the Sarbanes-Oxley Act of 2002 (filed herewith)</w:t>
            </w:r>
          </w:p>
        </w:tc>
        <w:tc>
          <w:tcPr>
            <w:tcW w:w="3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7360" w:type="dxa"/>
            <w:vAlign w:val="bottom"/>
            <w:tcBorders>
              <w:right w:val="single" w:sz="8" w:color="0000EE"/>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gridSpan w:val="3"/>
          </w:tcPr>
          <w:p>
            <w:pPr>
              <w:jc w:val="center"/>
              <w:ind w:right="268"/>
              <w:spacing w:after="0"/>
              <w:rPr>
                <w:sz w:val="20"/>
                <w:szCs w:val="20"/>
                <w:color w:val="auto"/>
              </w:rPr>
            </w:pPr>
            <w:r>
              <w:rPr>
                <w:rFonts w:ascii="Arial" w:cs="Arial" w:eastAsia="Arial" w:hAnsi="Arial"/>
                <w:sz w:val="18"/>
                <w:szCs w:val="18"/>
                <w:color w:val="auto"/>
                <w:w w:val="96"/>
              </w:rPr>
              <w:t>10.1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0000FF"/>
              </w:rPr>
              <w:t>Form of 2025 Equity Incentive Award Plan Performance Stock Unit Agreement (filed herewith)</w:t>
            </w: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gridSpan w:val="5"/>
          </w:tcPr>
          <w:p>
            <w:pPr>
              <w:spacing w:after="0" w:line="20" w:lineRule="exact"/>
              <w:rPr>
                <w:sz w:val="1"/>
                <w:szCs w:val="1"/>
                <w:color w:val="auto"/>
              </w:rPr>
            </w:pPr>
          </w:p>
        </w:tc>
        <w:tc>
          <w:tcPr>
            <w:tcW w:w="7440" w:type="dxa"/>
            <w:vAlign w:val="bottom"/>
            <w:gridSpan w:val="6"/>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440" w:type="dxa"/>
            <w:vAlign w:val="bottom"/>
            <w:gridSpan w:val="5"/>
          </w:tcPr>
          <w:p>
            <w:pPr>
              <w:ind w:left="60"/>
              <w:spacing w:after="0"/>
              <w:rPr>
                <w:sz w:val="20"/>
                <w:szCs w:val="20"/>
                <w:color w:val="auto"/>
              </w:rPr>
            </w:pPr>
            <w:r>
              <w:rPr>
                <w:rFonts w:ascii="Arial" w:cs="Arial" w:eastAsia="Arial" w:hAnsi="Arial"/>
                <w:sz w:val="18"/>
                <w:szCs w:val="18"/>
                <w:color w:val="auto"/>
              </w:rPr>
              <w:t>101.INS</w:t>
            </w:r>
          </w:p>
        </w:tc>
        <w:tc>
          <w:tcPr>
            <w:tcW w:w="9800" w:type="dxa"/>
            <w:vAlign w:val="bottom"/>
            <w:gridSpan w:val="10"/>
          </w:tcPr>
          <w:p>
            <w:pPr>
              <w:spacing w:after="0"/>
              <w:rPr>
                <w:sz w:val="20"/>
                <w:szCs w:val="20"/>
                <w:color w:val="auto"/>
              </w:rPr>
            </w:pPr>
            <w:r>
              <w:rPr>
                <w:rFonts w:ascii="Arial" w:cs="Arial" w:eastAsia="Arial" w:hAnsi="Arial"/>
                <w:sz w:val="18"/>
                <w:szCs w:val="18"/>
                <w:color w:val="auto"/>
              </w:rPr>
              <w:t>Inline XBRL Instance Document (filed herewith)</w:t>
            </w:r>
          </w:p>
        </w:tc>
        <w:tc>
          <w:tcPr>
            <w:tcW w:w="0" w:type="dxa"/>
            <w:vAlign w:val="bottom"/>
          </w:tcPr>
          <w:p>
            <w:pPr>
              <w:spacing w:after="0"/>
              <w:rPr>
                <w:sz w:val="1"/>
                <w:szCs w:val="1"/>
                <w:color w:val="auto"/>
              </w:rPr>
            </w:pPr>
          </w:p>
        </w:tc>
      </w:tr>
      <w:tr>
        <w:trPr>
          <w:trHeight w:val="324"/>
        </w:trPr>
        <w:tc>
          <w:tcPr>
            <w:tcW w:w="1440" w:type="dxa"/>
            <w:vAlign w:val="bottom"/>
            <w:gridSpan w:val="5"/>
          </w:tcPr>
          <w:p>
            <w:pPr>
              <w:ind w:left="60"/>
              <w:spacing w:after="0"/>
              <w:rPr>
                <w:sz w:val="20"/>
                <w:szCs w:val="20"/>
                <w:color w:val="auto"/>
              </w:rPr>
            </w:pPr>
            <w:r>
              <w:rPr>
                <w:rFonts w:ascii="Arial" w:cs="Arial" w:eastAsia="Arial" w:hAnsi="Arial"/>
                <w:sz w:val="18"/>
                <w:szCs w:val="18"/>
                <w:color w:val="auto"/>
              </w:rPr>
              <w:t>101.SCH</w:t>
            </w:r>
          </w:p>
        </w:tc>
        <w:tc>
          <w:tcPr>
            <w:tcW w:w="980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With Embedded Linkbase Document (filed herewith)</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20" w:right="340" w:hanging="1358"/>
        <w:spacing w:after="0" w:line="271" w:lineRule="auto"/>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the Registrant’s Quarterly Report on Form 10-Q for the quarter ended March 31, 2025, formatted in Inline XBRL and contained in Exhibit 101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right="400" w:firstLine="49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ALLISON TRANSMISSION HOLDINGS, INC.</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40" w:type="dxa"/>
            <w:vAlign w:val="bottom"/>
          </w:tcPr>
          <w:p>
            <w:pPr>
              <w:spacing w:after="0"/>
              <w:rPr>
                <w:sz w:val="20"/>
                <w:szCs w:val="20"/>
                <w:color w:val="auto"/>
              </w:rPr>
            </w:pPr>
            <w:r>
              <w:rPr>
                <w:rFonts w:ascii="Arial" w:cs="Arial" w:eastAsia="Arial" w:hAnsi="Arial"/>
                <w:sz w:val="18"/>
                <w:szCs w:val="18"/>
                <w:color w:val="auto"/>
              </w:rPr>
              <w:t>Date: May 2, 2025</w:t>
            </w:r>
          </w:p>
        </w:tc>
        <w:tc>
          <w:tcPr>
            <w:tcW w:w="920" w:type="dxa"/>
            <w:vAlign w:val="bottom"/>
          </w:tcPr>
          <w:p>
            <w:pPr>
              <w:ind w:left="540"/>
              <w:spacing w:after="0"/>
              <w:rPr>
                <w:sz w:val="20"/>
                <w:szCs w:val="20"/>
                <w:color w:val="auto"/>
              </w:rPr>
            </w:pPr>
            <w:r>
              <w:rPr>
                <w:rFonts w:ascii="Arial" w:cs="Arial" w:eastAsia="Arial" w:hAnsi="Arial"/>
                <w:sz w:val="18"/>
                <w:szCs w:val="18"/>
                <w:color w:val="auto"/>
              </w:rPr>
              <w:t>By:</w:t>
            </w:r>
          </w:p>
        </w:tc>
        <w:tc>
          <w:tcPr>
            <w:tcW w:w="8280" w:type="dxa"/>
            <w:vAlign w:val="bottom"/>
            <w:gridSpan w:val="4"/>
          </w:tcPr>
          <w:p>
            <w:pPr>
              <w:ind w:left="120"/>
              <w:spacing w:after="0"/>
              <w:rPr>
                <w:sz w:val="20"/>
                <w:szCs w:val="20"/>
                <w:color w:val="auto"/>
              </w:rPr>
            </w:pPr>
            <w:r>
              <w:rPr>
                <w:rFonts w:ascii="Arial" w:cs="Arial" w:eastAsia="Arial" w:hAnsi="Arial"/>
                <w:sz w:val="18"/>
                <w:szCs w:val="18"/>
                <w:color w:val="auto"/>
              </w:rPr>
              <w:t>/s/ David S. Graziosi</w:t>
            </w:r>
          </w:p>
        </w:tc>
      </w:tr>
      <w:tr>
        <w:trPr>
          <w:trHeight w:val="430"/>
        </w:trPr>
        <w:tc>
          <w:tcPr>
            <w:tcW w:w="2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jc w:val="center"/>
              <w:ind w:left="110"/>
              <w:spacing w:after="0"/>
              <w:rPr>
                <w:sz w:val="20"/>
                <w:szCs w:val="20"/>
                <w:color w:val="auto"/>
              </w:rPr>
            </w:pPr>
            <w:r>
              <w:rPr>
                <w:rFonts w:ascii="Arial" w:cs="Arial" w:eastAsia="Arial" w:hAnsi="Arial"/>
                <w:sz w:val="18"/>
                <w:szCs w:val="18"/>
                <w:color w:val="auto"/>
                <w:w w:val="98"/>
              </w:rPr>
              <w:t>Name:</w:t>
            </w:r>
          </w:p>
        </w:tc>
        <w:tc>
          <w:tcPr>
            <w:tcW w:w="50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David S. Graziosi</w:t>
            </w:r>
          </w:p>
        </w:tc>
        <w:tc>
          <w:tcPr>
            <w:tcW w:w="2020" w:type="dxa"/>
            <w:vAlign w:val="bottom"/>
          </w:tcPr>
          <w:p>
            <w:pPr>
              <w:spacing w:after="0"/>
              <w:rPr>
                <w:sz w:val="24"/>
                <w:szCs w:val="24"/>
                <w:color w:val="auto"/>
              </w:rPr>
            </w:pPr>
          </w:p>
        </w:tc>
      </w:tr>
      <w:tr>
        <w:trPr>
          <w:trHeight w:val="288"/>
        </w:trPr>
        <w:tc>
          <w:tcPr>
            <w:tcW w:w="2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left="110"/>
              <w:spacing w:after="0"/>
              <w:rPr>
                <w:sz w:val="20"/>
                <w:szCs w:val="20"/>
                <w:color w:val="auto"/>
              </w:rPr>
            </w:pPr>
            <w:r>
              <w:rPr>
                <w:rFonts w:ascii="Arial" w:cs="Arial" w:eastAsia="Arial" w:hAnsi="Arial"/>
                <w:sz w:val="18"/>
                <w:szCs w:val="18"/>
                <w:color w:val="auto"/>
              </w:rPr>
              <w:t>Title:</w:t>
            </w:r>
          </w:p>
        </w:tc>
        <w:tc>
          <w:tcPr>
            <w:tcW w:w="7040" w:type="dxa"/>
            <w:vAlign w:val="bottom"/>
            <w:gridSpan w:val="2"/>
          </w:tcPr>
          <w:p>
            <w:pPr>
              <w:ind w:left="200"/>
              <w:spacing w:after="0"/>
              <w:rPr>
                <w:sz w:val="20"/>
                <w:szCs w:val="20"/>
                <w:color w:val="auto"/>
              </w:rPr>
            </w:pPr>
            <w:r>
              <w:rPr>
                <w:rFonts w:ascii="Arial" w:cs="Arial" w:eastAsia="Arial" w:hAnsi="Arial"/>
                <w:sz w:val="18"/>
                <w:szCs w:val="18"/>
                <w:color w:val="auto"/>
              </w:rPr>
              <w:t>Chair, President and Chief Executive Officer</w:t>
            </w:r>
          </w:p>
        </w:tc>
      </w:tr>
      <w:tr>
        <w:trPr>
          <w:trHeight w:val="239"/>
        </w:trPr>
        <w:tc>
          <w:tcPr>
            <w:tcW w:w="2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40" w:type="dxa"/>
            <w:vAlign w:val="bottom"/>
            <w:gridSpan w:val="2"/>
          </w:tcPr>
          <w:p>
            <w:pPr>
              <w:ind w:left="200"/>
              <w:spacing w:after="0"/>
              <w:rPr>
                <w:sz w:val="20"/>
                <w:szCs w:val="20"/>
                <w:color w:val="auto"/>
              </w:rPr>
            </w:pPr>
            <w:r>
              <w:rPr>
                <w:rFonts w:ascii="Arial" w:cs="Arial" w:eastAsia="Arial" w:hAnsi="Arial"/>
                <w:sz w:val="18"/>
                <w:szCs w:val="18"/>
                <w:color w:val="auto"/>
              </w:rPr>
              <w:t>(Principal Executive Officer)</w:t>
            </w:r>
          </w:p>
        </w:tc>
      </w:tr>
      <w:tr>
        <w:trPr>
          <w:trHeight w:val="644"/>
        </w:trPr>
        <w:tc>
          <w:tcPr>
            <w:tcW w:w="2040" w:type="dxa"/>
            <w:vAlign w:val="bottom"/>
          </w:tcPr>
          <w:p>
            <w:pPr>
              <w:spacing w:after="0"/>
              <w:rPr>
                <w:sz w:val="20"/>
                <w:szCs w:val="20"/>
                <w:color w:val="auto"/>
              </w:rPr>
            </w:pPr>
            <w:r>
              <w:rPr>
                <w:rFonts w:ascii="Arial" w:cs="Arial" w:eastAsia="Arial" w:hAnsi="Arial"/>
                <w:sz w:val="18"/>
                <w:szCs w:val="18"/>
                <w:color w:val="auto"/>
              </w:rPr>
              <w:t>Date: May 2, 2025</w:t>
            </w:r>
          </w:p>
        </w:tc>
        <w:tc>
          <w:tcPr>
            <w:tcW w:w="920" w:type="dxa"/>
            <w:vAlign w:val="bottom"/>
          </w:tcPr>
          <w:p>
            <w:pPr>
              <w:ind w:left="540"/>
              <w:spacing w:after="0"/>
              <w:rPr>
                <w:sz w:val="20"/>
                <w:szCs w:val="20"/>
                <w:color w:val="auto"/>
              </w:rPr>
            </w:pPr>
            <w:r>
              <w:rPr>
                <w:rFonts w:ascii="Arial" w:cs="Arial" w:eastAsia="Arial" w:hAnsi="Arial"/>
                <w:sz w:val="18"/>
                <w:szCs w:val="18"/>
                <w:color w:val="auto"/>
              </w:rPr>
              <w:t>By:</w:t>
            </w:r>
          </w:p>
        </w:tc>
        <w:tc>
          <w:tcPr>
            <w:tcW w:w="8280" w:type="dxa"/>
            <w:vAlign w:val="bottom"/>
            <w:gridSpan w:val="4"/>
          </w:tcPr>
          <w:p>
            <w:pPr>
              <w:ind w:left="120"/>
              <w:spacing w:after="0"/>
              <w:rPr>
                <w:sz w:val="20"/>
                <w:szCs w:val="20"/>
                <w:color w:val="auto"/>
              </w:rPr>
            </w:pPr>
            <w:r>
              <w:rPr>
                <w:rFonts w:ascii="Arial" w:cs="Arial" w:eastAsia="Arial" w:hAnsi="Arial"/>
                <w:sz w:val="18"/>
                <w:szCs w:val="18"/>
                <w:color w:val="auto"/>
              </w:rPr>
              <w:t>/s/ G. Frederick Bohley</w:t>
            </w:r>
          </w:p>
        </w:tc>
      </w:tr>
      <w:tr>
        <w:trPr>
          <w:trHeight w:val="430"/>
        </w:trPr>
        <w:tc>
          <w:tcPr>
            <w:tcW w:w="2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jc w:val="center"/>
              <w:ind w:left="110"/>
              <w:spacing w:after="0"/>
              <w:rPr>
                <w:sz w:val="20"/>
                <w:szCs w:val="20"/>
                <w:color w:val="auto"/>
              </w:rPr>
            </w:pPr>
            <w:r>
              <w:rPr>
                <w:rFonts w:ascii="Arial" w:cs="Arial" w:eastAsia="Arial" w:hAnsi="Arial"/>
                <w:sz w:val="18"/>
                <w:szCs w:val="18"/>
                <w:color w:val="auto"/>
                <w:w w:val="98"/>
              </w:rPr>
              <w:t>Name:</w:t>
            </w:r>
          </w:p>
        </w:tc>
        <w:tc>
          <w:tcPr>
            <w:tcW w:w="50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G. Frederick Bohley</w:t>
            </w:r>
          </w:p>
        </w:tc>
        <w:tc>
          <w:tcPr>
            <w:tcW w:w="2020" w:type="dxa"/>
            <w:vAlign w:val="bottom"/>
          </w:tcPr>
          <w:p>
            <w:pPr>
              <w:spacing w:after="0"/>
              <w:rPr>
                <w:sz w:val="24"/>
                <w:szCs w:val="24"/>
                <w:color w:val="auto"/>
              </w:rPr>
            </w:pPr>
          </w:p>
        </w:tc>
      </w:tr>
      <w:tr>
        <w:trPr>
          <w:trHeight w:val="234"/>
        </w:trPr>
        <w:tc>
          <w:tcPr>
            <w:tcW w:w="2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left="110"/>
              <w:spacing w:after="0"/>
              <w:rPr>
                <w:sz w:val="20"/>
                <w:szCs w:val="20"/>
                <w:color w:val="auto"/>
              </w:rPr>
            </w:pPr>
            <w:r>
              <w:rPr>
                <w:rFonts w:ascii="Arial" w:cs="Arial" w:eastAsia="Arial" w:hAnsi="Arial"/>
                <w:sz w:val="18"/>
                <w:szCs w:val="18"/>
                <w:color w:val="auto"/>
              </w:rPr>
              <w:t>Title:</w:t>
            </w:r>
          </w:p>
        </w:tc>
        <w:tc>
          <w:tcPr>
            <w:tcW w:w="7040" w:type="dxa"/>
            <w:vAlign w:val="bottom"/>
            <w:gridSpan w:val="2"/>
          </w:tcPr>
          <w:p>
            <w:pPr>
              <w:ind w:left="200"/>
              <w:spacing w:after="0"/>
              <w:rPr>
                <w:sz w:val="20"/>
                <w:szCs w:val="20"/>
                <w:color w:val="auto"/>
              </w:rPr>
            </w:pPr>
            <w:r>
              <w:rPr>
                <w:rFonts w:ascii="Arial" w:cs="Arial" w:eastAsia="Arial" w:hAnsi="Arial"/>
                <w:sz w:val="18"/>
                <w:szCs w:val="18"/>
                <w:color w:val="auto"/>
              </w:rPr>
              <w:t>Chief Operating Officer (Principal Financial Officer and</w:t>
            </w:r>
          </w:p>
        </w:tc>
      </w:tr>
      <w:tr>
        <w:trPr>
          <w:trHeight w:val="239"/>
        </w:trPr>
        <w:tc>
          <w:tcPr>
            <w:tcW w:w="2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40" w:type="dxa"/>
            <w:vAlign w:val="bottom"/>
            <w:gridSpan w:val="2"/>
          </w:tcPr>
          <w:p>
            <w:pPr>
              <w:ind w:left="200"/>
              <w:spacing w:after="0"/>
              <w:rPr>
                <w:sz w:val="20"/>
                <w:szCs w:val="20"/>
                <w:color w:val="auto"/>
              </w:rPr>
            </w:pPr>
            <w:r>
              <w:rPr>
                <w:rFonts w:ascii="Arial" w:cs="Arial" w:eastAsia="Arial" w:hAnsi="Arial"/>
                <w:sz w:val="18"/>
                <w:szCs w:val="18"/>
                <w:color w:val="auto"/>
              </w:rPr>
              <w:t>Principal Accounting Officer)</w:t>
            </w:r>
          </w:p>
        </w:tc>
      </w:tr>
      <w:tr>
        <w:trPr>
          <w:trHeight w:val="810"/>
        </w:trPr>
        <w:tc>
          <w:tcPr>
            <w:tcW w:w="2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20" w:type="dxa"/>
            <w:vAlign w:val="bottom"/>
          </w:tcPr>
          <w:p>
            <w:pPr>
              <w:ind w:left="1320"/>
              <w:spacing w:after="0"/>
              <w:rPr>
                <w:sz w:val="20"/>
                <w:szCs w:val="20"/>
                <w:color w:val="auto"/>
              </w:rPr>
            </w:pPr>
            <w:r>
              <w:rPr>
                <w:rFonts w:ascii="Arial" w:cs="Arial" w:eastAsia="Arial" w:hAnsi="Arial"/>
                <w:sz w:val="18"/>
                <w:szCs w:val="18"/>
                <w:color w:val="auto"/>
              </w:rPr>
              <w:t>38</w:t>
            </w:r>
          </w:p>
        </w:tc>
        <w:tc>
          <w:tcPr>
            <w:tcW w:w="2020" w:type="dxa"/>
            <w:vAlign w:val="bottom"/>
          </w:tcPr>
          <w:p>
            <w:pPr>
              <w:spacing w:after="0"/>
              <w:rPr>
                <w:sz w:val="24"/>
                <w:szCs w:val="24"/>
                <w:color w:val="auto"/>
              </w:rPr>
            </w:pPr>
          </w:p>
        </w:tc>
      </w:tr>
      <w:tr>
        <w:trPr>
          <w:trHeight w:val="745"/>
        </w:trPr>
        <w:tc>
          <w:tcPr>
            <w:tcW w:w="20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ALLISON TRANSMISSION HOLDINGS, INC. 2024 EQUITY</w:t>
      </w:r>
    </w:p>
    <w:p>
      <w:pPr>
        <w:spacing w:after="0" w:line="2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INCENTIVE AWARD PLAN</w:t>
      </w:r>
    </w:p>
    <w:p>
      <w:pPr>
        <w:spacing w:after="0" w:line="200" w:lineRule="exact"/>
        <w:rPr>
          <w:sz w:val="20"/>
          <w:szCs w:val="20"/>
          <w:color w:val="auto"/>
        </w:rPr>
      </w:pPr>
    </w:p>
    <w:p>
      <w:pPr>
        <w:spacing w:after="0" w:line="21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PERFORMANCE STOCK UNIT GRANT NOTICE</w:t>
      </w:r>
    </w:p>
    <w:p>
      <w:pPr>
        <w:spacing w:after="0" w:line="200" w:lineRule="exact"/>
        <w:rPr>
          <w:sz w:val="20"/>
          <w:szCs w:val="20"/>
          <w:color w:val="auto"/>
        </w:rPr>
      </w:pPr>
    </w:p>
    <w:p>
      <w:pPr>
        <w:spacing w:after="0" w:line="249" w:lineRule="exact"/>
        <w:rPr>
          <w:sz w:val="20"/>
          <w:szCs w:val="20"/>
          <w:color w:val="auto"/>
        </w:rPr>
      </w:pPr>
    </w:p>
    <w:p>
      <w:pPr>
        <w:jc w:val="both"/>
        <w:ind w:left="40" w:right="180" w:firstLine="749"/>
        <w:spacing w:after="0" w:line="245" w:lineRule="auto"/>
        <w:rPr>
          <w:sz w:val="20"/>
          <w:szCs w:val="20"/>
          <w:color w:val="auto"/>
        </w:rPr>
      </w:pPr>
      <w:r>
        <w:rPr>
          <w:rFonts w:ascii="Times New Roman" w:cs="Times New Roman" w:eastAsia="Times New Roman" w:hAnsi="Times New Roman"/>
          <w:sz w:val="20"/>
          <w:szCs w:val="20"/>
          <w:color w:val="auto"/>
        </w:rPr>
        <w:t>Allison Transmission Holdings,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2024 Equity Incentive Award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the number of performance stock units (the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set forth below. The PSUs are subject to the terms and conditions set forth in this Performance Stock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and the Performance Stock Unit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Plan, which are incorporated herein by reference. Unless otherwise defined herein, the terms defined in the Plan shall have the same defined meanings in the Grant Notice and the Agreement.</w:t>
      </w:r>
    </w:p>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Target Number of PSUs (the “</w:t>
      </w:r>
      <w:r>
        <w:rPr>
          <w:rFonts w:ascii="Times New Roman" w:cs="Times New Roman" w:eastAsia="Times New Roman" w:hAnsi="Times New Roman"/>
          <w:sz w:val="20"/>
          <w:szCs w:val="20"/>
          <w:b w:val="1"/>
          <w:bCs w:val="1"/>
          <w:u w:val="single" w:color="auto"/>
          <w:color w:val="auto"/>
        </w:rPr>
        <w:t>Target</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PSUs</w:t>
      </w:r>
      <w:r>
        <w:rPr>
          <w:rFonts w:ascii="Times New Roman" w:cs="Times New Roman" w:eastAsia="Times New Roman" w:hAnsi="Times New Roman"/>
          <w:sz w:val="20"/>
          <w:szCs w:val="20"/>
          <w:b w:val="1"/>
          <w:bCs w:val="1"/>
          <w:color w:val="auto"/>
        </w:rPr>
        <w:t>”):</w:t>
      </w:r>
    </w:p>
    <w:p>
      <w:pPr>
        <w:spacing w:after="0" w:line="68" w:lineRule="exact"/>
        <w:rPr>
          <w:sz w:val="20"/>
          <w:szCs w:val="20"/>
          <w:color w:val="auto"/>
        </w:rPr>
      </w:pPr>
    </w:p>
    <w:p>
      <w:pPr>
        <w:ind w:left="60"/>
        <w:spacing w:after="0"/>
        <w:tabs>
          <w:tab w:leader="none" w:pos="2420" w:val="left"/>
        </w:tabs>
        <w:rPr>
          <w:sz w:val="20"/>
          <w:szCs w:val="20"/>
          <w:color w:val="auto"/>
        </w:rPr>
      </w:pPr>
      <w:r>
        <w:rPr>
          <w:rFonts w:ascii="Times New Roman" w:cs="Times New Roman" w:eastAsia="Times New Roman" w:hAnsi="Times New Roman"/>
          <w:sz w:val="20"/>
          <w:szCs w:val="20"/>
          <w:b w:val="1"/>
          <w:bCs w:val="1"/>
          <w:color w:val="auto"/>
        </w:rPr>
        <w:t>Type of Shares Issuable:</w:t>
      </w:r>
      <w:r>
        <w:rPr>
          <w:sz w:val="20"/>
          <w:szCs w:val="20"/>
          <w:color w:val="auto"/>
        </w:rPr>
        <w:tab/>
      </w:r>
      <w:r>
        <w:rPr>
          <w:rFonts w:ascii="Times New Roman" w:cs="Times New Roman" w:eastAsia="Times New Roman" w:hAnsi="Times New Roman"/>
          <w:sz w:val="19"/>
          <w:szCs w:val="19"/>
          <w:color w:val="auto"/>
        </w:rPr>
        <w:t>Common Stock of Allison Transmission Holdings, Inc.</w:t>
      </w:r>
    </w:p>
    <w:p>
      <w:pPr>
        <w:spacing w:after="0" w:line="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Vesting Schedule: </w:t>
      </w:r>
      <w:r>
        <w:rPr>
          <w:rFonts w:ascii="Times New Roman" w:cs="Times New Roman" w:eastAsia="Times New Roman" w:hAnsi="Times New Roman"/>
          <w:sz w:val="20"/>
          <w:szCs w:val="20"/>
          <w:color w:val="auto"/>
        </w:rPr>
        <w:t>The award will vest in accordance with the vesting schedule set forth in</w:t>
      </w:r>
    </w:p>
    <w:p>
      <w:pPr>
        <w:spacing w:after="0" w:line="2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61" w:lineRule="exact"/>
        <w:rPr>
          <w:sz w:val="20"/>
          <w:szCs w:val="20"/>
          <w:color w:val="auto"/>
        </w:rPr>
      </w:pPr>
    </w:p>
    <w:p>
      <w:pPr>
        <w:jc w:val="both"/>
        <w:ind w:left="40" w:right="180" w:firstLine="749"/>
        <w:spacing w:after="0" w:line="246" w:lineRule="auto"/>
        <w:rPr>
          <w:sz w:val="20"/>
          <w:szCs w:val="20"/>
          <w:color w:val="auto"/>
        </w:rPr>
      </w:pPr>
      <w:r>
        <w:rPr>
          <w:rFonts w:ascii="Times New Roman" w:cs="Times New Roman" w:eastAsia="Times New Roman" w:hAnsi="Times New Roman"/>
          <w:sz w:val="20"/>
          <w:szCs w:val="20"/>
          <w:color w:val="auto"/>
        </w:rPr>
        <w:t>By his or her signature, and the Company’s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pacing w:after="0" w:line="181" w:lineRule="exact"/>
        <w:rPr>
          <w:sz w:val="20"/>
          <w:szCs w:val="20"/>
          <w:color w:val="auto"/>
        </w:rPr>
      </w:pPr>
    </w:p>
    <w:p>
      <w:pPr>
        <w:ind w:left="40"/>
        <w:spacing w:after="0"/>
        <w:tabs>
          <w:tab w:leader="none" w:pos="4380" w:val="left"/>
        </w:tabs>
        <w:rPr>
          <w:sz w:val="20"/>
          <w:szCs w:val="20"/>
          <w:color w:val="auto"/>
        </w:rPr>
      </w:pPr>
      <w:r>
        <w:rPr>
          <w:rFonts w:ascii="Times New Roman" w:cs="Times New Roman" w:eastAsia="Times New Roman" w:hAnsi="Times New Roman"/>
          <w:sz w:val="20"/>
          <w:szCs w:val="20"/>
          <w:b w:val="1"/>
          <w:bCs w:val="1"/>
          <w:color w:val="auto"/>
        </w:rPr>
        <w:t>ALLISON TRANSMISSION HOLDINGS, INC.</w:t>
      </w:r>
      <w:r>
        <w:rPr>
          <w:sz w:val="20"/>
          <w:szCs w:val="20"/>
          <w:color w:val="auto"/>
        </w:rPr>
        <w:tab/>
      </w:r>
      <w:r>
        <w:rPr>
          <w:rFonts w:ascii="Times New Roman" w:cs="Times New Roman" w:eastAsia="Times New Roman" w:hAnsi="Times New Roman"/>
          <w:sz w:val="19"/>
          <w:szCs w:val="19"/>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120" w:type="dxa"/>
            <w:vAlign w:val="bottom"/>
          </w:tcPr>
          <w:p>
            <w:pPr>
              <w:ind w:left="216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3120" w:type="dxa"/>
            <w:vAlign w:val="bottom"/>
          </w:tcPr>
          <w:p>
            <w:pPr>
              <w:ind w:left="2160"/>
              <w:spacing w:after="0"/>
              <w:rPr>
                <w:sz w:val="20"/>
                <w:szCs w:val="20"/>
                <w:color w:val="auto"/>
              </w:rPr>
            </w:pPr>
            <w:r>
              <w:rPr>
                <w:rFonts w:ascii="Times New Roman" w:cs="Times New Roman" w:eastAsia="Times New Roman" w:hAnsi="Times New Roman"/>
                <w:sz w:val="20"/>
                <w:szCs w:val="20"/>
                <w:color w:val="auto"/>
                <w:w w:val="96"/>
              </w:rPr>
              <w:t>Print Name:</w:t>
            </w:r>
          </w:p>
        </w:tc>
        <w:tc>
          <w:tcPr>
            <w:tcW w:w="0" w:type="dxa"/>
            <w:vAlign w:val="bottom"/>
          </w:tcPr>
          <w:p>
            <w:pPr>
              <w:spacing w:after="0"/>
              <w:rPr>
                <w:sz w:val="1"/>
                <w:szCs w:val="1"/>
                <w:color w:val="auto"/>
              </w:rPr>
            </w:pPr>
          </w:p>
        </w:tc>
      </w:tr>
      <w:tr>
        <w:trPr>
          <w:trHeight w:val="258"/>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120" w:type="dxa"/>
            <w:vAlign w:val="bottom"/>
            <w:vMerge w:val="restart"/>
          </w:tcPr>
          <w:p>
            <w:pPr>
              <w:ind w:left="216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19"/>
                <w:szCs w:val="19"/>
                <w:color w:val="auto"/>
              </w:rPr>
            </w:pPr>
          </w:p>
        </w:tc>
        <w:tc>
          <w:tcPr>
            <w:tcW w:w="3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2186305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50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TO PERFORMANCE STOCK UNIT GRANT NOTICE PERFORMANCE STOCK UNIT</w:t>
      </w: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167" w:lineRule="exact"/>
        <w:rPr>
          <w:sz w:val="20"/>
          <w:szCs w:val="20"/>
          <w:color w:val="auto"/>
        </w:rPr>
      </w:pPr>
    </w:p>
    <w:p>
      <w:pPr>
        <w:ind w:right="220" w:firstLine="749"/>
        <w:spacing w:after="0" w:line="269" w:lineRule="auto"/>
        <w:rPr>
          <w:sz w:val="20"/>
          <w:szCs w:val="20"/>
          <w:color w:val="auto"/>
        </w:rPr>
      </w:pPr>
      <w:r>
        <w:rPr>
          <w:rFonts w:ascii="Times New Roman" w:cs="Times New Roman" w:eastAsia="Times New Roman" w:hAnsi="Times New Roman"/>
          <w:sz w:val="20"/>
          <w:szCs w:val="20"/>
          <w:color w:val="auto"/>
        </w:rPr>
        <w:t>Pursuant to the Grant Notice to which this Agreement is attached, the Company has granted to Participant the Target PSUs set forth in the Grant Notice.</w:t>
      </w:r>
    </w:p>
    <w:p>
      <w:pPr>
        <w:spacing w:after="0" w:line="14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ARTICLE I. GENERAL</w:t>
      </w:r>
    </w:p>
    <w:p>
      <w:pPr>
        <w:spacing w:after="0" w:line="26" w:lineRule="exact"/>
        <w:rPr>
          <w:sz w:val="20"/>
          <w:szCs w:val="20"/>
          <w:color w:val="auto"/>
        </w:rPr>
      </w:pPr>
    </w:p>
    <w:p>
      <w:pPr>
        <w:ind w:right="200" w:firstLine="749"/>
        <w:spacing w:after="0" w:line="246"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Plan or the Grant Notice.</w:t>
      </w:r>
    </w:p>
    <w:p>
      <w:pPr>
        <w:spacing w:after="0" w:line="209" w:lineRule="exact"/>
        <w:rPr>
          <w:sz w:val="20"/>
          <w:szCs w:val="20"/>
          <w:color w:val="auto"/>
        </w:rPr>
      </w:pPr>
    </w:p>
    <w:p>
      <w:pPr>
        <w:jc w:val="both"/>
        <w:ind w:right="180" w:firstLine="749"/>
        <w:spacing w:after="0" w:line="254"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PSUs and the shares of Common Stock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issued to Participant hereunder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are subject to the terms and conditions set forth in this Agreement and the Plan, which is incorporated herein by reference. In the event of any inconsistency between the Plan and this Agreement, the terms of the Plan shall control.</w:t>
      </w:r>
    </w:p>
    <w:p>
      <w:pPr>
        <w:spacing w:after="0" w:line="17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4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AWARD OF PERFORMANCE STOCK UNITS AND DIVIDEND EQUIVALENTS</w:t>
      </w:r>
    </w:p>
    <w:p>
      <w:pPr>
        <w:spacing w:after="0" w:line="200" w:lineRule="exact"/>
        <w:rPr>
          <w:sz w:val="20"/>
          <w:szCs w:val="20"/>
          <w:color w:val="auto"/>
        </w:rPr>
      </w:pPr>
    </w:p>
    <w:p>
      <w:pPr>
        <w:spacing w:after="0" w:line="249" w:lineRule="exact"/>
        <w:rPr>
          <w:sz w:val="20"/>
          <w:szCs w:val="20"/>
          <w:color w:val="auto"/>
        </w:rPr>
      </w:pPr>
    </w:p>
    <w:p>
      <w:pPr>
        <w:ind w:left="740"/>
        <w:spacing w:after="0"/>
        <w:tabs>
          <w:tab w:leader="none" w:pos="14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Award of PSUs and Dividend Equivalents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180" w:firstLine="1495"/>
        <w:spacing w:after="0" w:line="243" w:lineRule="auto"/>
        <w:tabs>
          <w:tab w:leader="none" w:pos="176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Participant’s past and/or continued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Participant the Target PSUs upon the terms and conditions set forth in the Grant Notice, the Plan and this Agreement, subject to adjustments as provided in Section 12.2 of the Plan. Each PSU represents the right to receive one Share or, at the option of the Company, an amount of cash as set forth in Section 2.3(b), in either case, at the times and subject to the conditions set forth herein. However, unless and until the PSUs have vested, Participant will have no right to the payment of any Shares subject thereto. Prior to the actual delivery of any Shares, the PSUs will represent an unsecured obligation of the Company, payable only from the general assets of the Company.</w:t>
      </w:r>
    </w:p>
    <w:p>
      <w:pPr>
        <w:spacing w:after="0" w:line="202" w:lineRule="exact"/>
        <w:rPr>
          <w:rFonts w:ascii="Times New Roman" w:cs="Times New Roman" w:eastAsia="Times New Roman" w:hAnsi="Times New Roman"/>
          <w:sz w:val="20"/>
          <w:szCs w:val="20"/>
          <w:color w:val="auto"/>
        </w:rPr>
      </w:pPr>
    </w:p>
    <w:p>
      <w:pPr>
        <w:jc w:val="both"/>
        <w:ind w:right="180" w:firstLine="1495"/>
        <w:spacing w:after="0" w:line="244" w:lineRule="auto"/>
        <w:tabs>
          <w:tab w:leader="none" w:pos="176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hereby grants to Participant an Award of Dividend Equivalents with respect to each PSU granted pursuant to the Grant Notice for all ordinary cash dividends which are paid to all or substantially all holders of the outstanding shares of Stock between the Grant Date and the date when the applicable PSU is distributed or paid to Participant or is forfeited or expires. The Dividend Equivalents for each PSU shall be equal to the amount of cash which is paid as a dividend on one share of Stock. All such Dividend Equivalents shall be credited to Participant and paid in cash at the same time as the distribution or payment is made on the PSUs to which such Dividend Equivalent relates in accordance with Section 2.3 below. Any Dividend Equivalents that relate to PSUs that are forfeited shall likewise be forfeited without consideration.</w:t>
      </w:r>
    </w:p>
    <w:p>
      <w:pPr>
        <w:spacing w:after="0" w:line="240" w:lineRule="exact"/>
        <w:rPr>
          <w:sz w:val="20"/>
          <w:szCs w:val="20"/>
          <w:color w:val="auto"/>
        </w:rPr>
      </w:pPr>
    </w:p>
    <w:p>
      <w:pPr>
        <w:ind w:left="740"/>
        <w:spacing w:after="0"/>
        <w:tabs>
          <w:tab w:leader="none" w:pos="14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Vesting of PSUs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1029970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1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80" w:firstLine="1495"/>
        <w:spacing w:after="0" w:line="256" w:lineRule="auto"/>
        <w:tabs>
          <w:tab w:leader="none" w:pos="176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TSR Vesting Schedule</w:t>
      </w:r>
      <w:r>
        <w:rPr>
          <w:rFonts w:ascii="Times New Roman" w:cs="Times New Roman" w:eastAsia="Times New Roman" w:hAnsi="Times New Roman"/>
          <w:sz w:val="20"/>
          <w:szCs w:val="20"/>
          <w:color w:val="auto"/>
        </w:rPr>
        <w:t>. Subject to Sections 2.2(b) and (c) below, the PSUs shall vest, if at all, in amounts up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200% of the Target PSUs (the “</w:t>
      </w:r>
      <w:r>
        <w:rPr>
          <w:rFonts w:ascii="Times New Roman" w:cs="Times New Roman" w:eastAsia="Times New Roman" w:hAnsi="Times New Roman"/>
          <w:sz w:val="20"/>
          <w:szCs w:val="20"/>
          <w:u w:val="single" w:color="auto"/>
          <w:color w:val="auto"/>
        </w:rPr>
        <w:t>Maximum PSUs</w:t>
      </w:r>
      <w:r>
        <w:rPr>
          <w:rFonts w:ascii="Times New Roman" w:cs="Times New Roman" w:eastAsia="Times New Roman" w:hAnsi="Times New Roman"/>
          <w:sz w:val="20"/>
          <w:szCs w:val="20"/>
          <w:color w:val="auto"/>
        </w:rPr>
        <w:t>”) on the Determination Date (or such earlier date specified in Section 2.2(b)(ii) or (c) below), as follows:</w:t>
      </w:r>
    </w:p>
    <w:p>
      <w:pPr>
        <w:spacing w:after="0" w:line="186" w:lineRule="exact"/>
        <w:rPr>
          <w:rFonts w:ascii="Times New Roman" w:cs="Times New Roman" w:eastAsia="Times New Roman" w:hAnsi="Times New Roman"/>
          <w:sz w:val="20"/>
          <w:szCs w:val="20"/>
          <w:color w:val="auto"/>
        </w:rPr>
      </w:pPr>
    </w:p>
    <w:p>
      <w:pPr>
        <w:ind w:right="180" w:firstLine="2243"/>
        <w:spacing w:after="0" w:line="269" w:lineRule="auto"/>
        <w:tabs>
          <w:tab w:leader="none" w:pos="2777"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achieves a TSR over the Performance Period that is below the 25</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xml:space="preserve"> percentile of the TSRs of the component members of the Company’s Peer Group over the Performance Period, none of the PSUs shall vest;</w:t>
      </w:r>
    </w:p>
    <w:p>
      <w:pPr>
        <w:spacing w:after="0" w:line="172" w:lineRule="exact"/>
        <w:rPr>
          <w:rFonts w:ascii="Times New Roman" w:cs="Times New Roman" w:eastAsia="Times New Roman" w:hAnsi="Times New Roman"/>
          <w:sz w:val="20"/>
          <w:szCs w:val="20"/>
          <w:color w:val="auto"/>
        </w:rPr>
      </w:pPr>
    </w:p>
    <w:p>
      <w:pPr>
        <w:jc w:val="both"/>
        <w:ind w:right="180" w:firstLine="2243"/>
        <w:spacing w:after="0" w:line="254" w:lineRule="auto"/>
        <w:tabs>
          <w:tab w:leader="none" w:pos="2777"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achieves a TSR over the Performance Period that is at the 25</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xml:space="preserve"> percentile of the TSRs of the component members of the Company’s Peer Group over the Performance Period, a number of PSUs equal to 50% (rounded up to the nearest whole Share) of the Target PSUs shall vest;</w:t>
      </w:r>
    </w:p>
    <w:p>
      <w:pPr>
        <w:spacing w:after="0" w:line="187" w:lineRule="exact"/>
        <w:rPr>
          <w:rFonts w:ascii="Times New Roman" w:cs="Times New Roman" w:eastAsia="Times New Roman" w:hAnsi="Times New Roman"/>
          <w:sz w:val="20"/>
          <w:szCs w:val="20"/>
          <w:color w:val="auto"/>
        </w:rPr>
      </w:pPr>
    </w:p>
    <w:p>
      <w:pPr>
        <w:jc w:val="both"/>
        <w:ind w:right="200" w:firstLine="2243"/>
        <w:spacing w:after="0" w:line="254" w:lineRule="auto"/>
        <w:tabs>
          <w:tab w:leader="none" w:pos="2776"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achieves a TSR over the Performance Period that is at the 50</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xml:space="preserve"> percentile of the TSRs of the component members of the Company’s Peer Group over the Performance Period, a number of PSUs equal to 100% (rounded up to the nearest whole Share) of the Target PSUs shall vest; or</w:t>
      </w:r>
    </w:p>
    <w:p>
      <w:pPr>
        <w:spacing w:after="0" w:line="187" w:lineRule="exact"/>
        <w:rPr>
          <w:rFonts w:ascii="Times New Roman" w:cs="Times New Roman" w:eastAsia="Times New Roman" w:hAnsi="Times New Roman"/>
          <w:sz w:val="20"/>
          <w:szCs w:val="20"/>
          <w:color w:val="auto"/>
        </w:rPr>
      </w:pPr>
    </w:p>
    <w:p>
      <w:pPr>
        <w:jc w:val="both"/>
        <w:ind w:right="180" w:firstLine="2243"/>
        <w:spacing w:after="0" w:line="254" w:lineRule="auto"/>
        <w:tabs>
          <w:tab w:leader="none" w:pos="2777"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achieves a TSR over the Performance Period that is at or above the 75</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xml:space="preserve"> percentile of the TSRs of the component members of the Company’s Peer Group over the Performance Period, a number of PSUs equal to the Maximum PSUs shall vest.</w:t>
      </w:r>
    </w:p>
    <w:p>
      <w:pPr>
        <w:spacing w:after="0" w:line="201" w:lineRule="exact"/>
        <w:rPr>
          <w:rFonts w:ascii="Times New Roman" w:cs="Times New Roman" w:eastAsia="Times New Roman" w:hAnsi="Times New Roman"/>
          <w:sz w:val="20"/>
          <w:szCs w:val="20"/>
          <w:color w:val="auto"/>
        </w:rPr>
      </w:pPr>
    </w:p>
    <w:p>
      <w:pPr>
        <w:jc w:val="both"/>
        <w:ind w:right="180" w:firstLine="2243"/>
        <w:spacing w:after="0" w:line="254" w:lineRule="auto"/>
        <w:tabs>
          <w:tab w:leader="none" w:pos="2777"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Company achieves a TSR over the Performance Period that is between two thresholds specified in this Section 2.2(a), the percentage of the PSUs that vest shall be determined by the use of straight-line interpolation and the remaining PSUs shall thereupon be forfeited.</w:t>
      </w:r>
    </w:p>
    <w:p>
      <w:pPr>
        <w:spacing w:after="0" w:line="278" w:lineRule="exact"/>
        <w:rPr>
          <w:rFonts w:ascii="Times New Roman" w:cs="Times New Roman" w:eastAsia="Times New Roman" w:hAnsi="Times New Roman"/>
          <w:sz w:val="20"/>
          <w:szCs w:val="20"/>
          <w:color w:val="auto"/>
        </w:rPr>
      </w:pPr>
    </w:p>
    <w:p>
      <w:pPr>
        <w:ind w:left="2240" w:hanging="745"/>
        <w:spacing w:after="0"/>
        <w:tabs>
          <w:tab w:leader="none" w:pos="22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Effect of Termination of Service</w:t>
      </w:r>
      <w:r>
        <w:rPr>
          <w:rFonts w:ascii="Times New Roman" w:cs="Times New Roman" w:eastAsia="Times New Roman" w:hAnsi="Times New Roman"/>
          <w:sz w:val="20"/>
          <w:szCs w:val="20"/>
          <w:color w:val="auto"/>
        </w:rPr>
        <w:t>.</w:t>
      </w:r>
    </w:p>
    <w:p>
      <w:pPr>
        <w:spacing w:after="0" w:line="260" w:lineRule="exact"/>
        <w:rPr>
          <w:rFonts w:ascii="Times New Roman" w:cs="Times New Roman" w:eastAsia="Times New Roman" w:hAnsi="Times New Roman"/>
          <w:sz w:val="20"/>
          <w:szCs w:val="20"/>
          <w:color w:val="auto"/>
        </w:rPr>
      </w:pPr>
    </w:p>
    <w:p>
      <w:pPr>
        <w:jc w:val="both"/>
        <w:ind w:right="180" w:firstLine="2243"/>
        <w:spacing w:after="0" w:line="249" w:lineRule="auto"/>
        <w:tabs>
          <w:tab w:leader="none" w:pos="2777"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contrary provision of this Agreement, upon Participant’s Termination of Service for any reason (other than due to Participant’s death, Disability or Retirement) prior to the Determination Date or the Change in Control Determination Date, as applicable, any and all PSUs and Dividend Equivalents shall immediately be forfeited and Participant’s rights with respect thereto shall lapse and expire.</w:t>
      </w:r>
    </w:p>
    <w:p>
      <w:pPr>
        <w:spacing w:after="0" w:line="233" w:lineRule="exact"/>
        <w:rPr>
          <w:rFonts w:ascii="Times New Roman" w:cs="Times New Roman" w:eastAsia="Times New Roman" w:hAnsi="Times New Roman"/>
          <w:sz w:val="20"/>
          <w:szCs w:val="20"/>
          <w:color w:val="auto"/>
        </w:rPr>
      </w:pPr>
    </w:p>
    <w:p>
      <w:pPr>
        <w:jc w:val="both"/>
        <w:ind w:right="180" w:firstLine="2243"/>
        <w:spacing w:after="0" w:line="257" w:lineRule="auto"/>
        <w:tabs>
          <w:tab w:leader="none" w:pos="2777"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Participant’s Termination of Service due to Participant’s death or Disability at any time prior to December 31, 20 or a Change in Control, Participant shall vest in a pro rata portion of the number of PSUs determined to vest in accordance with Section 2.2(a), which pro rata portion will be calculated by multiplying the total number of PSUs that vest based on actual performance for the period beginning on January 1, 20 and ending on the date of Participant’s Termination of Service, as determined by the Administrator, by a fraction, the numerator of which equals the number of days Participant was employed with or provided service to the Company or any Subsidiary during the Performance Period and the denominator of which is 1,096, effective as of the date of such Participant’s Termination of Service. In the event of Participant’s Termination of Service due to Participant’s death or Disability on or after December 31, 20 and prior to the Determination Date, Participant shall vest in the total number of PSUs that vest based on actual performance for the Performance Period, as determined by the Administrator in accordance with Section 2.2(a).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1133475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1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1" w:right="180" w:firstLine="2243"/>
        <w:spacing w:after="0" w:line="245" w:lineRule="auto"/>
        <w:tabs>
          <w:tab w:leader="none" w:pos="2778"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Participant’s Retirement at any time prior to December 31, 20 or a Change in Control, Participant shall vest on the Determination Date in a pro rata portion of the number of PSUs determined to vest in accordance with Section 2.2(a), which pro rata portion will be calculated by multiplying the total number of PSUs that vest based on actual performance for the Performance Period, as determined by the Administrator, by a fraction, the numerator of which equals the number of days Participant was employed with or provided service to the Company or any Subsidiary during the Performance Period and the denominator of which is 1,096.</w:t>
      </w:r>
    </w:p>
    <w:p>
      <w:pPr>
        <w:spacing w:after="0" w:line="288" w:lineRule="exact"/>
        <w:rPr>
          <w:rFonts w:ascii="Times New Roman" w:cs="Times New Roman" w:eastAsia="Times New Roman" w:hAnsi="Times New Roman"/>
          <w:sz w:val="20"/>
          <w:szCs w:val="20"/>
          <w:color w:val="auto"/>
        </w:rPr>
      </w:pPr>
    </w:p>
    <w:p>
      <w:pPr>
        <w:jc w:val="both"/>
        <w:ind w:left="1" w:right="120" w:firstLine="1495"/>
        <w:spacing w:after="0" w:line="243" w:lineRule="auto"/>
        <w:tabs>
          <w:tab w:leader="none" w:pos="176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Change in Control</w:t>
      </w:r>
      <w:r>
        <w:rPr>
          <w:rFonts w:ascii="Times New Roman" w:cs="Times New Roman" w:eastAsia="Times New Roman" w:hAnsi="Times New Roman"/>
          <w:sz w:val="20"/>
          <w:szCs w:val="20"/>
          <w:color w:val="auto"/>
        </w:rPr>
        <w:t>. Notwithstanding any contrary provision of this Agreement, in the event of a Change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Control at any time prior to December 31, 20 , the number of PSUs determined to vest pursuant to Section 2.2(a) hereof for the period beginning on January 1, 20 and ending on the Change in Control Determination Date shall vest on December 31, 20 , subject to the Participant not incurring a Termination of Service prior to December 31, 20 ; provided, that, such unvested PSUs shall immediately vest and no longer represent unvested PSUs (i) on the date of Participant’s Termination of Service, in the event of Participant’s Termination of Service by the Company without Cause, by Participant for Good Reason or due to Participant’s death or Disability, in each case, after the Change in Control and (ii) immediately prior to (and subject to the consummation of) the Change in Control in the event the successor corporation (or any of its parent entities) does not assume or substitute the PSUs for equivalent rights in connection with such Change in Control.</w:t>
      </w:r>
    </w:p>
    <w:p>
      <w:pPr>
        <w:spacing w:after="0" w:line="280" w:lineRule="exact"/>
        <w:rPr>
          <w:rFonts w:ascii="Times New Roman" w:cs="Times New Roman" w:eastAsia="Times New Roman" w:hAnsi="Times New Roman"/>
          <w:sz w:val="20"/>
          <w:szCs w:val="20"/>
          <w:color w:val="auto"/>
        </w:rPr>
      </w:pPr>
    </w:p>
    <w:p>
      <w:pPr>
        <w:ind w:left="2241" w:hanging="745"/>
        <w:spacing w:after="0"/>
        <w:tabs>
          <w:tab w:leader="none" w:pos="224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 For purposes of this Agreement, the following definitions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5969000</wp:posOffset>
            </wp:positionH>
            <wp:positionV relativeFrom="paragraph">
              <wp:posOffset>-2597150</wp:posOffset>
            </wp:positionV>
            <wp:extent cx="571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6075045</wp:posOffset>
            </wp:positionH>
            <wp:positionV relativeFrom="paragraph">
              <wp:posOffset>-1225550</wp:posOffset>
            </wp:positionV>
            <wp:extent cx="400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0005"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-1080135</wp:posOffset>
            </wp:positionV>
            <wp:extent cx="311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apply:</w:t>
      </w:r>
    </w:p>
    <w:p>
      <w:pPr>
        <w:spacing w:after="0" w:line="207" w:lineRule="exact"/>
        <w:rPr>
          <w:sz w:val="20"/>
          <w:szCs w:val="20"/>
          <w:color w:val="auto"/>
        </w:rPr>
      </w:pPr>
    </w:p>
    <w:p>
      <w:pPr>
        <w:jc w:val="both"/>
        <w:ind w:left="1" w:right="180" w:firstLine="2243"/>
        <w:spacing w:after="0" w:line="249" w:lineRule="auto"/>
        <w:tabs>
          <w:tab w:leader="none" w:pos="277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Average Market Value</w:t>
      </w:r>
      <w:r>
        <w:rPr>
          <w:rFonts w:ascii="Times New Roman" w:cs="Times New Roman" w:eastAsia="Times New Roman" w:hAnsi="Times New Roman"/>
          <w:sz w:val="20"/>
          <w:szCs w:val="20"/>
          <w:color w:val="auto"/>
        </w:rPr>
        <w:t>” of the Company or a member of the Peer Group, as applicable, means, as of any day, the average closing price per share of Common Stock (or per share of common stock of a member of the Peer Group, as applicable) over the 20-consecutive-trading days ending with and including that day (or, if there is no closing price on that day, the last trading day before that day).</w:t>
      </w:r>
    </w:p>
    <w:p>
      <w:pPr>
        <w:spacing w:after="0" w:line="206" w:lineRule="exact"/>
        <w:rPr>
          <w:rFonts w:ascii="Times New Roman" w:cs="Times New Roman" w:eastAsia="Times New Roman" w:hAnsi="Times New Roman"/>
          <w:sz w:val="20"/>
          <w:szCs w:val="20"/>
          <w:color w:val="auto"/>
        </w:rPr>
      </w:pPr>
    </w:p>
    <w:p>
      <w:pPr>
        <w:ind w:left="3001" w:hanging="756"/>
        <w:spacing w:after="0"/>
        <w:tabs>
          <w:tab w:leader="none" w:pos="300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Beginning Average Market Value</w:t>
      </w:r>
      <w:r>
        <w:rPr>
          <w:rFonts w:ascii="Times New Roman" w:cs="Times New Roman" w:eastAsia="Times New Roman" w:hAnsi="Times New Roman"/>
          <w:sz w:val="20"/>
          <w:szCs w:val="20"/>
          <w:color w:val="auto"/>
        </w:rPr>
        <w:t>” means the Average Market Value as</w:t>
      </w:r>
    </w:p>
    <w:p>
      <w:pPr>
        <w:spacing w:after="0" w:line="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of January 1, 20 .</w:t>
      </w:r>
    </w:p>
    <w:p>
      <w:pPr>
        <w:spacing w:after="0" w:line="207" w:lineRule="exact"/>
        <w:rPr>
          <w:sz w:val="20"/>
          <w:szCs w:val="20"/>
          <w:color w:val="auto"/>
        </w:rPr>
      </w:pPr>
    </w:p>
    <w:p>
      <w:pPr>
        <w:ind w:left="1" w:right="180" w:firstLine="2243"/>
        <w:spacing w:after="0" w:line="250" w:lineRule="auto"/>
        <w:tabs>
          <w:tab w:leader="none" w:pos="2778"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(a) the Board’s determination that Participant failed to substantially perform his or her duties (other than any such failure resulting from Participant’s Disability);</w:t>
      </w:r>
    </w:p>
    <w:p>
      <w:pPr>
        <w:spacing w:after="0" w:line="1" w:lineRule="exact"/>
        <w:rPr>
          <w:rFonts w:ascii="Times New Roman" w:cs="Times New Roman" w:eastAsia="Times New Roman" w:hAnsi="Times New Roman"/>
          <w:sz w:val="20"/>
          <w:szCs w:val="20"/>
          <w:color w:val="auto"/>
        </w:rPr>
      </w:pPr>
    </w:p>
    <w:p>
      <w:pPr>
        <w:jc w:val="both"/>
        <w:ind w:left="1" w:right="180" w:hanging="1"/>
        <w:spacing w:after="0"/>
        <w:tabs>
          <w:tab w:leader="none" w:pos="29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Board’s determination that Participant failed to carry out, or comply with any lawful and reasonable directive of the Board or Participant’s immediate supervisor; (c) Participant’s conviction, plea of no contest, plea of nolo contendere, or imposition of unadjudicated probation for any felony, indictable offense or crime involving moral turpitude; (d) Participant’s unlawful use (including being under the influence) or possession of illegal drugs on the Company’s (or any of its Subsidiaries’) premises or while performing Participant’s duties and responsibilities; or (e) Participant’s commission of an act of fraud, embezzlement, misappropriation, misconduct, or breach of fiduciary duty against the Company or any of its Subsidiaries. Notwithstanding the foregoing, if Participant is a party to a written employment or change in control severance agreement with the Company (or its Subsidiary) that contains a definition of Cause, then “Cause” shall be as such term is defined in the applicable written employment or change in control severance agreement.</w:t>
      </w:r>
    </w:p>
    <w:p>
      <w:pPr>
        <w:spacing w:after="0" w:line="203" w:lineRule="exact"/>
        <w:rPr>
          <w:sz w:val="20"/>
          <w:szCs w:val="20"/>
          <w:color w:val="auto"/>
        </w:rPr>
      </w:pPr>
    </w:p>
    <w:p>
      <w:pPr>
        <w:ind w:left="1" w:right="180" w:firstLine="2243"/>
        <w:spacing w:after="0" w:line="269" w:lineRule="auto"/>
        <w:tabs>
          <w:tab w:leader="none" w:pos="277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 Determination Date</w:t>
      </w:r>
      <w:r>
        <w:rPr>
          <w:rFonts w:ascii="Times New Roman" w:cs="Times New Roman" w:eastAsia="Times New Roman" w:hAnsi="Times New Roman"/>
          <w:sz w:val="20"/>
          <w:szCs w:val="20"/>
          <w:color w:val="auto"/>
        </w:rPr>
        <w:t>” means any date within thirty days prior to the date of a Change in Control, as determined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1260475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1"/>
          </w:cols>
          <w:pgMar w:left="599" w:top="11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120" w:firstLine="2243"/>
        <w:spacing w:after="0" w:line="264" w:lineRule="auto"/>
        <w:tabs>
          <w:tab w:leader="none" w:pos="278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Determination Date</w:t>
      </w:r>
      <w:r>
        <w:rPr>
          <w:rFonts w:ascii="Times New Roman" w:cs="Times New Roman" w:eastAsia="Times New Roman" w:hAnsi="Times New Roman"/>
          <w:sz w:val="19"/>
          <w:szCs w:val="19"/>
          <w:color w:val="auto"/>
        </w:rPr>
        <w:t>” means the date the Administrator determines the number of PSUs that shall vest pursuant to Section 2.2(a) based on the TSR of the Company and the Peer Group, which date shall be no later than February 28, 20</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w:t>
      </w:r>
    </w:p>
    <w:p>
      <w:pPr>
        <w:spacing w:after="0" w:line="220" w:lineRule="exact"/>
        <w:rPr>
          <w:rFonts w:ascii="Times New Roman" w:cs="Times New Roman" w:eastAsia="Times New Roman" w:hAnsi="Times New Roman"/>
          <w:sz w:val="19"/>
          <w:szCs w:val="19"/>
          <w:color w:val="auto"/>
        </w:rPr>
      </w:pPr>
    </w:p>
    <w:p>
      <w:pPr>
        <w:ind w:left="2780" w:hanging="537"/>
        <w:spacing w:after="0"/>
        <w:tabs>
          <w:tab w:leader="none" w:pos="27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Ending Average Market Value</w:t>
      </w:r>
      <w:r>
        <w:rPr>
          <w:rFonts w:ascii="Times New Roman" w:cs="Times New Roman" w:eastAsia="Times New Roman" w:hAnsi="Times New Roman"/>
          <w:sz w:val="20"/>
          <w:szCs w:val="20"/>
          <w:color w:val="auto"/>
        </w:rPr>
        <w:t>” means the Average Market Value as of December 31, 20 ;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-10795</wp:posOffset>
            </wp:positionV>
            <wp:extent cx="311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that, in the event a Change in Control occurs after calendar year 20 and prior to December 31, 20 , “Ending Average Market Value” means the Average Market Value as of the Change in Control Determination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-178435</wp:posOffset>
            </wp:positionV>
            <wp:extent cx="711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120" cy="8255"/>
                    </a:xfrm>
                    <a:prstGeom prst="rect">
                      <a:avLst/>
                    </a:prstGeom>
                    <a:noFill/>
                  </pic:spPr>
                </pic:pic>
              </a:graphicData>
            </a:graphic>
          </wp:anchor>
        </w:drawing>
        <w:drawing>
          <wp:anchor simplePos="0" relativeHeight="251657728" behindDoc="1" locked="0" layoutInCell="0" allowOverlap="1">
            <wp:simplePos x="0" y="0"/>
            <wp:positionH relativeFrom="column">
              <wp:posOffset>5083810</wp:posOffset>
            </wp:positionH>
            <wp:positionV relativeFrom="paragraph">
              <wp:posOffset>-178435</wp:posOffset>
            </wp:positionV>
            <wp:extent cx="400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189" w:lineRule="exact"/>
        <w:rPr>
          <w:sz w:val="20"/>
          <w:szCs w:val="20"/>
          <w:color w:val="auto"/>
        </w:rPr>
      </w:pPr>
    </w:p>
    <w:p>
      <w:pPr>
        <w:jc w:val="both"/>
        <w:ind w:right="180" w:firstLine="2243"/>
        <w:spacing w:after="0" w:line="241" w:lineRule="auto"/>
        <w:tabs>
          <w:tab w:leader="none" w:pos="277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the occurrence of any of the following events or conditions without Participant’s written consent (a) a material diminution in Participant’s authority, duties or responsibilities, other than as a result of a Change in Control where Participant remains in a position with the Company or its successor (or any other entity that owns substantially all of the Company’s business after such sale) that is substantially equivalent in duties, rank, reporting structure and authority with Participant’s position prior to such sale, solely as such duties, rank, reporting structure and authority relate to the Company’s business; (b) a material diminution in Participant’s base salary or target annual bonus level; or (c) a material change in the geographic location at which Participant must perform his or her duties, which shall not include a relocation of Participant’s principal place of employment to any location within a fifty (50) mile radius of the location from which Participant served the Company immediately prior to the relocation. Participant must provide written notice to the Company of the occurrence of any of the foregoing events or conditions without Participant’s written consent within ninety (90) days of the occurrence of such event or the date upon which Participant reasonably became aware that such an event or condition had occurred. The Company or any successor or affiliate shall have a period of thirty (30) days to cure such event or condition after receipt of written notice of such event from Participant. Any voluntary termination for “Good Reason” following such thirty (30) day cure period must occur no later than the date that is six (6) months following the date notice was provided by Participant. Notwithstanding the foregoing, if Participant is a party to a written employment agreement or change in control severance agreement with the Company (or its Subsidiary) that contains a definition of Good Reason, then “Good Reason” shall be as such term is defined in the applicable written employment or change in control severance agreement.</w:t>
      </w:r>
    </w:p>
    <w:p>
      <w:pPr>
        <w:spacing w:after="0" w:line="201" w:lineRule="exact"/>
        <w:rPr>
          <w:rFonts w:ascii="Times New Roman" w:cs="Times New Roman" w:eastAsia="Times New Roman" w:hAnsi="Times New Roman"/>
          <w:sz w:val="20"/>
          <w:szCs w:val="20"/>
          <w:color w:val="auto"/>
        </w:rPr>
      </w:pPr>
    </w:p>
    <w:p>
      <w:pPr>
        <w:jc w:val="both"/>
        <w:ind w:right="180" w:firstLine="2243"/>
        <w:spacing w:after="0" w:line="247" w:lineRule="auto"/>
        <w:tabs>
          <w:tab w:leader="none" w:pos="277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Peer Group</w:t>
      </w:r>
      <w:r>
        <w:rPr>
          <w:rFonts w:ascii="Times New Roman" w:cs="Times New Roman" w:eastAsia="Times New Roman" w:hAnsi="Times New Roman"/>
          <w:sz w:val="20"/>
          <w:szCs w:val="20"/>
          <w:color w:val="auto"/>
        </w:rPr>
        <w:t xml:space="preserve">” shall consist of the companies listed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if a member of the Peer Group ceases to be a Publicly Traded Company for any reason during the Performance Period or is acquired by another Publicly Traded Company (other than a transaction the principal purpose of which is to change the name, corporate form or jurisdiction of incorporation or formation of the Peer Group member), the member shall be automatically removed from and treated as never having been included in the Peer Group.</w:t>
      </w:r>
    </w:p>
    <w:p>
      <w:pPr>
        <w:spacing w:after="0" w:line="211" w:lineRule="exact"/>
        <w:rPr>
          <w:rFonts w:ascii="Times New Roman" w:cs="Times New Roman" w:eastAsia="Times New Roman" w:hAnsi="Times New Roman"/>
          <w:sz w:val="20"/>
          <w:szCs w:val="20"/>
          <w:color w:val="auto"/>
        </w:rPr>
      </w:pPr>
    </w:p>
    <w:p>
      <w:pPr>
        <w:ind w:left="2760" w:hanging="516"/>
        <w:spacing w:after="0"/>
        <w:tabs>
          <w:tab w:leader="none" w:pos="27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means the period beginning on January 1, 20 and ending on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5144770</wp:posOffset>
            </wp:positionH>
            <wp:positionV relativeFrom="paragraph">
              <wp:posOffset>-10795</wp:posOffset>
            </wp:positionV>
            <wp:extent cx="488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889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-24765</wp:posOffset>
            </wp:positionV>
            <wp:extent cx="311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87" w:lineRule="exact"/>
        <w:rPr>
          <w:sz w:val="20"/>
          <w:szCs w:val="20"/>
          <w:color w:val="auto"/>
        </w:rPr>
      </w:pPr>
    </w:p>
    <w:p>
      <w:pPr>
        <w:ind w:right="180" w:firstLine="2243"/>
        <w:spacing w:after="0" w:line="269" w:lineRule="auto"/>
        <w:tabs>
          <w:tab w:leader="none" w:pos="277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Publicly Traded Company</w:t>
      </w:r>
      <w:r>
        <w:rPr>
          <w:rFonts w:ascii="Times New Roman" w:cs="Times New Roman" w:eastAsia="Times New Roman" w:hAnsi="Times New Roman"/>
          <w:sz w:val="20"/>
          <w:szCs w:val="20"/>
          <w:color w:val="auto"/>
        </w:rPr>
        <w:t>” means a company whose shares are regularly quoted or traded on an active securities exchange, over-the-counter market or inter-dealer quotation system.</w:t>
      </w:r>
    </w:p>
    <w:p>
      <w:pPr>
        <w:spacing w:after="0" w:line="199" w:lineRule="exact"/>
        <w:rPr>
          <w:rFonts w:ascii="Times New Roman" w:cs="Times New Roman" w:eastAsia="Times New Roman" w:hAnsi="Times New Roman"/>
          <w:sz w:val="20"/>
          <w:szCs w:val="20"/>
          <w:color w:val="auto"/>
        </w:rPr>
      </w:pPr>
    </w:p>
    <w:p>
      <w:pPr>
        <w:ind w:right="180" w:firstLine="2243"/>
        <w:spacing w:after="0" w:line="269" w:lineRule="auto"/>
        <w:tabs>
          <w:tab w:leader="none" w:pos="277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Participant’s voluntary Termination of Service on or after the date on which Participant satisfies the definition of “Retirement” in the Company’s Retirement Policy applicable to Participant.</w:t>
      </w:r>
    </w:p>
    <w:p>
      <w:pPr>
        <w:spacing w:after="0" w:line="37" w:lineRule="exact"/>
        <w:rPr>
          <w:rFonts w:ascii="Times New Roman" w:cs="Times New Roman" w:eastAsia="Times New Roman" w:hAnsi="Times New Roman"/>
          <w:sz w:val="20"/>
          <w:szCs w:val="20"/>
          <w:color w:val="auto"/>
        </w:rPr>
      </w:pPr>
    </w:p>
    <w:p>
      <w:pPr>
        <w:jc w:val="both"/>
        <w:ind w:right="180" w:firstLine="2243"/>
        <w:spacing w:after="0" w:line="254" w:lineRule="auto"/>
        <w:tabs>
          <w:tab w:leader="none" w:pos="277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TSR</w:t>
      </w:r>
      <w:r>
        <w:rPr>
          <w:rFonts w:ascii="Times New Roman" w:cs="Times New Roman" w:eastAsia="Times New Roman" w:hAnsi="Times New Roman"/>
          <w:sz w:val="20"/>
          <w:szCs w:val="20"/>
          <w:color w:val="auto"/>
        </w:rPr>
        <w:t>” means the percentage appreciation (positive or negative) in the Common Stock price (or common stock price of a member of the Peer Group, as applicable) over the Performance Period, determined by dividing (i) the difference obtained by subtracting (A) the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909955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1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1" w:right="180"/>
        <w:spacing w:after="0" w:line="249" w:lineRule="auto"/>
        <w:rPr>
          <w:sz w:val="20"/>
          <w:szCs w:val="20"/>
          <w:color w:val="auto"/>
        </w:rPr>
      </w:pPr>
      <w:r>
        <w:rPr>
          <w:rFonts w:ascii="Times New Roman" w:cs="Times New Roman" w:eastAsia="Times New Roman" w:hAnsi="Times New Roman"/>
          <w:sz w:val="20"/>
          <w:szCs w:val="20"/>
          <w:color w:val="auto"/>
        </w:rPr>
        <w:t>Average Market Value, from (B) the Ending Average Market Value plus all cash dividends for the Performance Period, assuming same-day reinvestment into Common Stock (or common stock of the applicable member of the Peer Group) on the applicable ex-dividend date, by (ii) the Beginning Average Market Value. TSR shall be equitably adjusted to reflect stock dividends, stock-splits, spin-offs, and other corporate changes having similar effect.</w:t>
      </w:r>
    </w:p>
    <w:p>
      <w:pPr>
        <w:spacing w:after="0" w:line="203" w:lineRule="exact"/>
        <w:rPr>
          <w:sz w:val="20"/>
          <w:szCs w:val="20"/>
          <w:color w:val="auto"/>
        </w:rPr>
      </w:pPr>
    </w:p>
    <w:p>
      <w:pPr>
        <w:ind w:left="2241" w:hanging="745"/>
        <w:spacing w:after="0"/>
        <w:tabs>
          <w:tab w:leader="none" w:pos="224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Lapse of PSUs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jc w:val="both"/>
        <w:ind w:left="1" w:right="180" w:firstLine="2243"/>
        <w:spacing w:after="0" w:line="246" w:lineRule="auto"/>
        <w:tabs>
          <w:tab w:leader="none" w:pos="2778"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Participant’s Termination of Service, except as may be otherwise provided under Section 2.2(b)(ii), 2.2(b)(iii) or 2.2(c) above, by the Administrator or as set forth in a written agreement between Participant and the Company, Participant shall immediately forfeit any and all PSUs and Dividend Equivalents granted under this Agreement which have not vested or do not vest on or prior to the date on which such Termination of Service occurs, and Participant’s rights in any such PSUs and Dividend Equivalents which are not so vested shall lapse and expire.</w:t>
      </w:r>
    </w:p>
    <w:p>
      <w:pPr>
        <w:spacing w:after="0" w:line="211" w:lineRule="exact"/>
        <w:rPr>
          <w:rFonts w:ascii="Times New Roman" w:cs="Times New Roman" w:eastAsia="Times New Roman" w:hAnsi="Times New Roman"/>
          <w:sz w:val="20"/>
          <w:szCs w:val="20"/>
          <w:color w:val="auto"/>
        </w:rPr>
      </w:pPr>
    </w:p>
    <w:p>
      <w:pPr>
        <w:jc w:val="both"/>
        <w:ind w:left="1" w:right="180" w:firstLine="2243"/>
        <w:spacing w:after="0" w:line="254" w:lineRule="auto"/>
        <w:tabs>
          <w:tab w:leader="none" w:pos="2778"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Sections 2.2(b)(ii), 2.2(b)(iii) and 2 . 2 (c), in the event the PSUs do not vest at the maximum level in accordance with the provisions of Section 2.2(a), such PSUs that do not vest in accordance with the provisions of Section 2.2(a) shall be forfeited and Participant’s rights in any such PSUs and related Dividend Equivalents shall lapse and expire.</w:t>
      </w:r>
    </w:p>
    <w:p>
      <w:pPr>
        <w:spacing w:after="0" w:line="174" w:lineRule="exact"/>
        <w:rPr>
          <w:sz w:val="20"/>
          <w:szCs w:val="20"/>
          <w:color w:val="auto"/>
        </w:rPr>
      </w:pPr>
    </w:p>
    <w:p>
      <w:pPr>
        <w:ind w:left="741"/>
        <w:spacing w:after="0"/>
        <w:tabs>
          <w:tab w:leader="none" w:pos="1481"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Distribution or Payment of PSUs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1" w:right="180" w:firstLine="1495"/>
        <w:spacing w:after="0" w:line="243" w:lineRule="auto"/>
        <w:tabs>
          <w:tab w:leader="none" w:pos="176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Participant’s PSUs shall be distributed in Shares (either in book-entry form or otherwise) or, at the option of the Company, paid in an amount of cash as set forth in Section 2.3(b), in either case, as soon as administratively practicable following the vesting of the applicable PSU pursuant to Section 2.2(a), and, in any event, within sixty (60) days following such vesting and no later than March 15 of the calendar year following the calendar year in which the Performance Period ends. Notwithstanding the foregoing, the Company may delay a distribution or payment in settlement of PSUs if it reasonably determines that such payment or distribution will violate Federal securities laws or any other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no payment or distribution shall be delayed under this Section 2.3(a) if such delay will result in a violation of Section 409A of the Code.</w:t>
      </w:r>
    </w:p>
    <w:p>
      <w:pPr>
        <w:spacing w:after="0" w:line="199" w:lineRule="exact"/>
        <w:rPr>
          <w:rFonts w:ascii="Times New Roman" w:cs="Times New Roman" w:eastAsia="Times New Roman" w:hAnsi="Times New Roman"/>
          <w:sz w:val="20"/>
          <w:szCs w:val="20"/>
          <w:color w:val="auto"/>
        </w:rPr>
      </w:pPr>
    </w:p>
    <w:p>
      <w:pPr>
        <w:jc w:val="both"/>
        <w:ind w:left="1" w:right="180" w:firstLine="1495"/>
        <w:spacing w:after="0" w:line="246" w:lineRule="auto"/>
        <w:tabs>
          <w:tab w:leader="none" w:pos="176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 elects to make payment of Participant’s PSUs in cash, the amount of cash payable with respect to each PSU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98" w:lineRule="exact"/>
        <w:rPr>
          <w:sz w:val="20"/>
          <w:szCs w:val="20"/>
          <w:color w:val="auto"/>
        </w:rPr>
      </w:pPr>
    </w:p>
    <w:p>
      <w:pPr>
        <w:ind w:left="1" w:right="200" w:firstLine="749"/>
        <w:spacing w:after="0" w:line="250"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Conditions to Issuance of Certificates</w:t>
      </w:r>
      <w:r>
        <w:rPr>
          <w:rFonts w:ascii="Times New Roman" w:cs="Times New Roman" w:eastAsia="Times New Roman" w:hAnsi="Times New Roman"/>
          <w:sz w:val="20"/>
          <w:szCs w:val="20"/>
          <w:color w:val="auto"/>
        </w:rPr>
        <w:t>. The Company shall not be required to issue or deliver any certificate or certificates for any Shares prior to the fulfillment of all of the following conditions:</w:t>
      </w:r>
    </w:p>
    <w:p>
      <w:pPr>
        <w:spacing w:after="0" w:line="2" w:lineRule="exact"/>
        <w:rPr>
          <w:sz w:val="20"/>
          <w:szCs w:val="20"/>
          <w:color w:val="auto"/>
        </w:rPr>
      </w:pPr>
    </w:p>
    <w:p>
      <w:pPr>
        <w:jc w:val="both"/>
        <w:ind w:left="1" w:right="180" w:hanging="1"/>
        <w:spacing w:after="0" w:line="258" w:lineRule="auto"/>
        <w:tabs>
          <w:tab w:leader="none" w:pos="352"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874395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1"/>
          </w:cols>
          <w:pgMar w:left="599" w:top="11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Administrator shall, in its absolute discretion, determine to be necessary or advisable.</w:t>
      </w:r>
    </w:p>
    <w:p>
      <w:pPr>
        <w:spacing w:after="0" w:line="243" w:lineRule="exact"/>
        <w:rPr>
          <w:sz w:val="20"/>
          <w:szCs w:val="20"/>
          <w:color w:val="auto"/>
        </w:rPr>
      </w:pPr>
    </w:p>
    <w:p>
      <w:pPr>
        <w:ind w:left="740"/>
        <w:spacing w:after="0"/>
        <w:tabs>
          <w:tab w:leader="none" w:pos="14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310" w:lineRule="exact"/>
        <w:rPr>
          <w:sz w:val="20"/>
          <w:szCs w:val="20"/>
          <w:color w:val="auto"/>
        </w:rPr>
      </w:pPr>
    </w:p>
    <w:p>
      <w:pPr>
        <w:jc w:val="both"/>
        <w:ind w:right="160" w:firstLine="1495"/>
        <w:spacing w:after="0" w:line="246" w:lineRule="auto"/>
        <w:tabs>
          <w:tab w:leader="none" w:pos="1763"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the authority to deduct or withhold, or require Participant to remit to the Company or the applicable Subsidiary, an amount sufficient to satisfy applicable federal, state, local and foreign taxes (including the employee portion of any FICA obligation) required by law to be withheld with respect to any taxable event arising pursuant to this Agreement. The Company and its Subsidiaries may withhold or the Participant may make such payment in one or more of the forms specified below:</w:t>
      </w:r>
    </w:p>
    <w:p>
      <w:pPr>
        <w:spacing w:after="0" w:line="211" w:lineRule="exact"/>
        <w:rPr>
          <w:rFonts w:ascii="Times New Roman" w:cs="Times New Roman" w:eastAsia="Times New Roman" w:hAnsi="Times New Roman"/>
          <w:sz w:val="20"/>
          <w:szCs w:val="20"/>
          <w:color w:val="auto"/>
        </w:rPr>
      </w:pPr>
    </w:p>
    <w:p>
      <w:pPr>
        <w:ind w:left="2780" w:hanging="537"/>
        <w:spacing w:after="0"/>
        <w:tabs>
          <w:tab w:leader="none" w:pos="278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cash or check made payable to the Company or the Subsidiary with respect to which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obligation arises;</w:t>
      </w:r>
    </w:p>
    <w:p>
      <w:pPr>
        <w:spacing w:after="0" w:line="207" w:lineRule="exact"/>
        <w:rPr>
          <w:rFonts w:ascii="Times New Roman" w:cs="Times New Roman" w:eastAsia="Times New Roman" w:hAnsi="Times New Roman"/>
          <w:sz w:val="20"/>
          <w:szCs w:val="20"/>
          <w:color w:val="auto"/>
        </w:rPr>
      </w:pPr>
    </w:p>
    <w:p>
      <w:pPr>
        <w:ind w:left="3000" w:hanging="756"/>
        <w:spacing w:after="0"/>
        <w:tabs>
          <w:tab w:leader="none" w:pos="30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compensation payable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p>
    <w:p>
      <w:pPr>
        <w:spacing w:after="0" w:line="221" w:lineRule="exact"/>
        <w:rPr>
          <w:sz w:val="20"/>
          <w:szCs w:val="20"/>
          <w:color w:val="auto"/>
        </w:rPr>
      </w:pPr>
    </w:p>
    <w:p>
      <w:pPr>
        <w:jc w:val="both"/>
        <w:ind w:right="180" w:firstLine="2243"/>
        <w:spacing w:after="0" w:line="246" w:lineRule="auto"/>
        <w:tabs>
          <w:tab w:leader="none" w:pos="2777"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distribution of the PSUs, with the consent of the Administrator, by requesting that the Company and its Subsidiaries withhold a net number of vested Shares otherwise issuable pursuant to the PSUs having a then current Fair Market Value not exceeding the amount necessary to satisfy the withholding obligation of the Company and its Subsidiaries based on the applicable statutory withholding rates for federal, state, local and foreign income tax and payroll tax purposes;</w:t>
      </w:r>
    </w:p>
    <w:p>
      <w:pPr>
        <w:spacing w:after="0" w:line="198" w:lineRule="exact"/>
        <w:rPr>
          <w:rFonts w:ascii="Times New Roman" w:cs="Times New Roman" w:eastAsia="Times New Roman" w:hAnsi="Times New Roman"/>
          <w:sz w:val="20"/>
          <w:szCs w:val="20"/>
          <w:color w:val="auto"/>
        </w:rPr>
      </w:pPr>
    </w:p>
    <w:p>
      <w:pPr>
        <w:jc w:val="both"/>
        <w:ind w:right="180" w:firstLine="2243"/>
        <w:spacing w:after="0" w:line="249" w:lineRule="auto"/>
        <w:tabs>
          <w:tab w:leader="none" w:pos="2777"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distribution of the PSUs, with the consent of the Administrator, by tendering to the Company vested Shares having a then current Fair Market Value not exceeding the amount necessary to satisfy the withholding obligation of the Company and its Subsidiaries based on the applicable statutory withholding rates for federal, state, local and foreign income tax and payroll tax purposes;</w:t>
      </w:r>
    </w:p>
    <w:p>
      <w:pPr>
        <w:spacing w:after="0" w:line="193" w:lineRule="exact"/>
        <w:rPr>
          <w:rFonts w:ascii="Times New Roman" w:cs="Times New Roman" w:eastAsia="Times New Roman" w:hAnsi="Times New Roman"/>
          <w:sz w:val="20"/>
          <w:szCs w:val="20"/>
          <w:color w:val="auto"/>
        </w:rPr>
      </w:pPr>
    </w:p>
    <w:p>
      <w:pPr>
        <w:jc w:val="both"/>
        <w:ind w:right="180" w:firstLine="2243"/>
        <w:spacing w:after="0" w:line="245" w:lineRule="auto"/>
        <w:tabs>
          <w:tab w:leader="none" w:pos="2777"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withholding taxes arising in connection with the distribution of the PSUs, through the delivery of a notice that Participant has placed a market sell order with a broker acceptable to the Company with respect to Shares then issuable to Participant pursuant to the PSUs, and that the broker has been directed to pay a sufficient portion of the net proceeds of the sale to the Company or the Subsidiary with respect to which the withholding obligation arises in satisfaction of such withholding taxes;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211" w:lineRule="exact"/>
        <w:rPr>
          <w:rFonts w:ascii="Times New Roman" w:cs="Times New Roman" w:eastAsia="Times New Roman" w:hAnsi="Times New Roman"/>
          <w:sz w:val="20"/>
          <w:szCs w:val="20"/>
          <w:color w:val="auto"/>
        </w:rPr>
      </w:pPr>
    </w:p>
    <w:p>
      <w:pPr>
        <w:ind w:left="3000" w:hanging="756"/>
        <w:spacing w:after="0"/>
        <w:tabs>
          <w:tab w:leader="none" w:pos="30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combination of the foregoing.</w:t>
      </w:r>
    </w:p>
    <w:p>
      <w:pPr>
        <w:spacing w:after="0" w:line="229" w:lineRule="exact"/>
        <w:rPr>
          <w:rFonts w:ascii="Times New Roman" w:cs="Times New Roman" w:eastAsia="Times New Roman" w:hAnsi="Times New Roman"/>
          <w:sz w:val="20"/>
          <w:szCs w:val="20"/>
          <w:color w:val="auto"/>
        </w:rPr>
      </w:pPr>
    </w:p>
    <w:p>
      <w:pPr>
        <w:jc w:val="both"/>
        <w:ind w:right="180" w:firstLine="1495"/>
        <w:spacing w:after="0" w:line="244" w:lineRule="auto"/>
        <w:tabs>
          <w:tab w:leader="none" w:pos="176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PSUs,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 The Company shall not be obligated to deliver any certificate representing Shares issuable with respect to the PSUs to Participant or his or her legal representative unless and until Participant or his or her legal representative shall have paid or otherwise satisfied in full the amount of all federal, state,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1045845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1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and foreign taxes applicable with respect to the taxable income of Participant resulting from the vesting or settlement of the PSUs or any other taxable event related to the PSUs.</w:t>
      </w:r>
    </w:p>
    <w:p>
      <w:pPr>
        <w:spacing w:after="0" w:line="186" w:lineRule="exact"/>
        <w:rPr>
          <w:sz w:val="20"/>
          <w:szCs w:val="20"/>
          <w:color w:val="auto"/>
        </w:rPr>
      </w:pPr>
    </w:p>
    <w:p>
      <w:pPr>
        <w:jc w:val="both"/>
        <w:ind w:right="160" w:firstLine="1495"/>
        <w:spacing w:after="0" w:line="243" w:lineRule="auto"/>
        <w:tabs>
          <w:tab w:leader="none" w:pos="176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any tax withholding obligation arising in connection with the PSUs will be satisfied under Section 2.5(a)(iii), then the Company may elect to instruct any brokerage firm determined acceptable to the Company for such purpose to sell on Participant’s behalf a whole number of shares from those Shares then issuable to Participant pursuant to the PSUs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2.5(c), including the transactions described in the previous sentence, as applicable. The Company may refuse to issue any Shares in settlement of the PSUs to Participant until the foregoing tax withholding obligations are satisfied,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payment shall be delayed under this Section 2.5(c) if such delay will result in a violation of Section 409A of the Code.</w:t>
      </w:r>
    </w:p>
    <w:p>
      <w:pPr>
        <w:spacing w:after="0" w:line="199" w:lineRule="exact"/>
        <w:rPr>
          <w:rFonts w:ascii="Times New Roman" w:cs="Times New Roman" w:eastAsia="Times New Roman" w:hAnsi="Times New Roman"/>
          <w:sz w:val="20"/>
          <w:szCs w:val="20"/>
          <w:color w:val="auto"/>
        </w:rPr>
      </w:pPr>
    </w:p>
    <w:p>
      <w:pPr>
        <w:jc w:val="both"/>
        <w:ind w:right="180" w:firstLine="1495"/>
        <w:spacing w:after="0" w:line="246" w:lineRule="auto"/>
        <w:tabs>
          <w:tab w:leader="none" w:pos="176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PSUs, regardless of any action the Company or any Subsidiary takes with respect to any tax withholding obligations that arise in connection with the PSUs. Neither the Company nor any Subsidiary makes any representation or undertaking regarding the treatment of any tax withholding in connection with the awarding, vesting or payment of the PSUs or the subsequent sale of Shares. The Company and the Subsidiaries do not commit and are under no obligation to structure the PSUs to reduce or eliminate Participant’s tax liability.</w:t>
      </w:r>
    </w:p>
    <w:p>
      <w:pPr>
        <w:spacing w:after="0" w:line="198" w:lineRule="exact"/>
        <w:rPr>
          <w:sz w:val="20"/>
          <w:szCs w:val="20"/>
          <w:color w:val="auto"/>
        </w:rPr>
      </w:pPr>
    </w:p>
    <w:p>
      <w:pPr>
        <w:jc w:val="both"/>
        <w:ind w:right="180" w:firstLine="749"/>
        <w:spacing w:after="0" w:line="245"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Rights as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9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ARTICLE III. OTHER PROVISIONS</w:t>
      </w:r>
    </w:p>
    <w:p>
      <w:pPr>
        <w:spacing w:after="0" w:line="26" w:lineRule="exact"/>
        <w:rPr>
          <w:sz w:val="20"/>
          <w:szCs w:val="20"/>
          <w:color w:val="auto"/>
        </w:rPr>
      </w:pPr>
    </w:p>
    <w:p>
      <w:pPr>
        <w:jc w:val="both"/>
        <w:ind w:right="180" w:firstLine="749"/>
        <w:spacing w:after="0"/>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218" w:lineRule="exact"/>
        <w:rPr>
          <w:sz w:val="20"/>
          <w:szCs w:val="20"/>
          <w:color w:val="auto"/>
        </w:rPr>
      </w:pPr>
    </w:p>
    <w:p>
      <w:pPr>
        <w:jc w:val="both"/>
        <w:ind w:right="180" w:firstLine="749"/>
        <w:spacing w:after="0" w:line="24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PSUs Not Transferable</w:t>
      </w:r>
      <w:r>
        <w:rPr>
          <w:rFonts w:ascii="Times New Roman" w:cs="Times New Roman" w:eastAsia="Times New Roman" w:hAnsi="Times New Roman"/>
          <w:sz w:val="20"/>
          <w:szCs w:val="20"/>
          <w:color w:val="auto"/>
        </w:rPr>
        <w:t>. The PSUs may not be sold, pledged, assigned or transferred in any manner other than by will or the laws of descent and distribution, unless and until the Shares underlying the PSUs have been issued, and all restrictions applicable to such Shares have lapsed. No PSUs or any interest or right therein or part thereof shall be liable for the debts, contracts or engagements of Participant or his or her successors in interest or shall be subject to disposition by transfer, alienation, anticipation,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621665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1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0"/>
        <w:spacing w:after="0" w:line="249" w:lineRule="auto"/>
        <w:rPr>
          <w:sz w:val="20"/>
          <w:szCs w:val="20"/>
          <w:color w:val="auto"/>
        </w:rPr>
      </w:pPr>
      <w:r>
        <w:rPr>
          <w:rFonts w:ascii="Times New Roman" w:cs="Times New Roman" w:eastAsia="Times New Roman" w:hAnsi="Times New Roman"/>
          <w:sz w:val="20"/>
          <w:szCs w:val="20"/>
          <w:color w:val="auto"/>
        </w:rPr>
        <w:t>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207" w:lineRule="exact"/>
        <w:rPr>
          <w:sz w:val="20"/>
          <w:szCs w:val="20"/>
          <w:color w:val="auto"/>
        </w:rPr>
      </w:pPr>
    </w:p>
    <w:p>
      <w:pPr>
        <w:jc w:val="both"/>
        <w:ind w:right="200" w:firstLine="749"/>
        <w:spacing w:after="0" w:line="269"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PSUs and the Shares subject to the PSUs are subject to adjustment, modification and termination in certain events as provided in this Agreement and Section 12.2 of the Plan.</w:t>
      </w:r>
    </w:p>
    <w:p>
      <w:pPr>
        <w:spacing w:after="0" w:line="173" w:lineRule="exact"/>
        <w:rPr>
          <w:sz w:val="20"/>
          <w:szCs w:val="20"/>
          <w:color w:val="auto"/>
        </w:rPr>
      </w:pPr>
    </w:p>
    <w:p>
      <w:pPr>
        <w:jc w:val="both"/>
        <w:ind w:right="180" w:firstLine="749"/>
        <w:spacing w:after="0" w:line="245"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8" w:lineRule="exact"/>
        <w:rPr>
          <w:sz w:val="20"/>
          <w:szCs w:val="20"/>
          <w:color w:val="auto"/>
        </w:rPr>
      </w:pPr>
    </w:p>
    <w:p>
      <w:pPr>
        <w:jc w:val="both"/>
        <w:ind w:right="200" w:firstLine="749"/>
        <w:spacing w:after="0" w:line="269"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389" w:lineRule="exact"/>
        <w:rPr>
          <w:sz w:val="20"/>
          <w:szCs w:val="20"/>
          <w:color w:val="auto"/>
        </w:rPr>
      </w:pPr>
    </w:p>
    <w:p>
      <w:pPr>
        <w:jc w:val="both"/>
        <w:ind w:right="180" w:firstLine="749"/>
        <w:spacing w:after="0" w:line="269"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3" w:lineRule="exact"/>
        <w:rPr>
          <w:sz w:val="20"/>
          <w:szCs w:val="20"/>
          <w:color w:val="auto"/>
        </w:rPr>
      </w:pPr>
    </w:p>
    <w:p>
      <w:pPr>
        <w:jc w:val="both"/>
        <w:ind w:right="160" w:firstLine="749"/>
        <w:spacing w:after="0" w:line="245"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PSUs are granted, only in such a manner as to conform to Applicable Law. To the extent permitted by Applicable Law, the Plan and this Agreement shall be deemed amended to the extent necessary to conform to Applicable Law.</w:t>
      </w:r>
    </w:p>
    <w:p>
      <w:pPr>
        <w:spacing w:after="0" w:line="211" w:lineRule="exact"/>
        <w:rPr>
          <w:sz w:val="20"/>
          <w:szCs w:val="20"/>
          <w:color w:val="auto"/>
        </w:rPr>
      </w:pPr>
    </w:p>
    <w:p>
      <w:pPr>
        <w:jc w:val="both"/>
        <w:ind w:right="180" w:firstLine="749"/>
        <w:spacing w:after="0" w:line="249"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Amendment, Suspension and Termination</w:t>
      </w:r>
      <w:r>
        <w:rPr>
          <w:rFonts w:ascii="Times New Roman" w:cs="Times New Roman" w:eastAsia="Times New Roman" w:hAnsi="Times New Roman"/>
          <w:sz w:val="20"/>
          <w:szCs w:val="20"/>
          <w:color w:val="auto"/>
        </w:rPr>
        <w:t>. To the extent permitted by the Plan, this Agreement may be wholly or partially amended or otherwise modified, suspended or terminated at any time or from time to time by the Administrator or the Board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except as may otherwise be provided by the Plan, no amendment, modification, suspension or termination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shall adversely affect the PSUs in any material way without the prior written consent of Participant.</w:t>
      </w:r>
    </w:p>
    <w:p>
      <w:pPr>
        <w:spacing w:after="0" w:line="193" w:lineRule="exact"/>
        <w:rPr>
          <w:sz w:val="20"/>
          <w:szCs w:val="20"/>
          <w:color w:val="auto"/>
        </w:rPr>
      </w:pPr>
    </w:p>
    <w:p>
      <w:pPr>
        <w:jc w:val="both"/>
        <w:ind w:right="180" w:firstLine="749"/>
        <w:spacing w:after="0" w:line="249"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Plan, this Agreement shall be binding upon and inure to the benefit of the heirs, legatees, legal representatives, successors and assigns of the parties hereto.</w:t>
      </w:r>
    </w:p>
    <w:p>
      <w:pPr>
        <w:spacing w:after="0" w:line="207" w:lineRule="exact"/>
        <w:rPr>
          <w:sz w:val="20"/>
          <w:szCs w:val="20"/>
          <w:color w:val="auto"/>
        </w:rPr>
      </w:pPr>
    </w:p>
    <w:p>
      <w:pPr>
        <w:jc w:val="both"/>
        <w:ind w:right="180" w:firstLine="749"/>
        <w:spacing w:after="0" w:line="254"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PSUs, the Dividend Equivalents, the Grant Notice and this Agreement shall be subject to any additional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961390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1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0"/>
        <w:spacing w:after="0" w:line="254" w:lineRule="auto"/>
        <w:rPr>
          <w:sz w:val="20"/>
          <w:szCs w:val="20"/>
          <w:color w:val="auto"/>
        </w:rPr>
      </w:pPr>
      <w:r>
        <w:rPr>
          <w:rFonts w:ascii="Times New Roman" w:cs="Times New Roman" w:eastAsia="Times New Roman" w:hAnsi="Times New Roman"/>
          <w:sz w:val="20"/>
          <w:szCs w:val="20"/>
          <w:color w:val="auto"/>
        </w:rPr>
        <w:t>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201" w:lineRule="exact"/>
        <w:rPr>
          <w:sz w:val="20"/>
          <w:szCs w:val="20"/>
          <w:color w:val="auto"/>
        </w:rPr>
      </w:pPr>
    </w:p>
    <w:p>
      <w:pPr>
        <w:jc w:val="both"/>
        <w:ind w:right="200" w:firstLine="749"/>
        <w:spacing w:after="0" w:line="246"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98" w:lineRule="exact"/>
        <w:rPr>
          <w:sz w:val="20"/>
          <w:szCs w:val="20"/>
          <w:color w:val="auto"/>
        </w:rPr>
      </w:pPr>
    </w:p>
    <w:p>
      <w:pPr>
        <w:jc w:val="both"/>
        <w:ind w:right="180" w:firstLine="749"/>
        <w:spacing w:after="0" w:line="254"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269" w:lineRule="exact"/>
        <w:rPr>
          <w:sz w:val="20"/>
          <w:szCs w:val="20"/>
          <w:color w:val="auto"/>
        </w:rPr>
      </w:pPr>
    </w:p>
    <w:p>
      <w:pPr>
        <w:jc w:val="both"/>
        <w:ind w:right="180" w:firstLine="749"/>
        <w:spacing w:after="0" w:line="243" w:lineRule="auto"/>
        <w:rPr>
          <w:sz w:val="20"/>
          <w:szCs w:val="20"/>
          <w:color w:val="auto"/>
        </w:rPr>
      </w:pPr>
      <w:r>
        <w:rPr>
          <w:rFonts w:ascii="Times New Roman" w:cs="Times New Roman" w:eastAsia="Times New Roman" w:hAnsi="Times New Roman"/>
          <w:sz w:val="20"/>
          <w:szCs w:val="20"/>
          <w:color w:val="auto"/>
        </w:rPr>
        <w:t xml:space="preserve">3.13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99" w:lineRule="exact"/>
        <w:rPr>
          <w:sz w:val="20"/>
          <w:szCs w:val="20"/>
          <w:color w:val="auto"/>
        </w:rPr>
      </w:pPr>
    </w:p>
    <w:p>
      <w:pPr>
        <w:jc w:val="both"/>
        <w:ind w:right="180" w:firstLine="749"/>
        <w:spacing w:after="0" w:line="254" w:lineRule="auto"/>
        <w:rPr>
          <w:sz w:val="20"/>
          <w:szCs w:val="20"/>
          <w:color w:val="auto"/>
        </w:rPr>
      </w:pPr>
      <w:r>
        <w:rPr>
          <w:rFonts w:ascii="Times New Roman" w:cs="Times New Roman" w:eastAsia="Times New Roman" w:hAnsi="Times New Roman"/>
          <w:sz w:val="20"/>
          <w:szCs w:val="20"/>
          <w:color w:val="auto"/>
        </w:rPr>
        <w:t xml:space="preserve">3.14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8" w:lineRule="exact"/>
        <w:rPr>
          <w:sz w:val="20"/>
          <w:szCs w:val="20"/>
          <w:color w:val="auto"/>
        </w:rPr>
      </w:pPr>
    </w:p>
    <w:p>
      <w:pPr>
        <w:jc w:val="both"/>
        <w:ind w:right="180" w:firstLine="749"/>
        <w:spacing w:after="0" w:line="246" w:lineRule="auto"/>
        <w:rPr>
          <w:sz w:val="20"/>
          <w:szCs w:val="20"/>
          <w:color w:val="auto"/>
        </w:rPr>
      </w:pPr>
      <w:r>
        <w:rPr>
          <w:rFonts w:ascii="Times New Roman" w:cs="Times New Roman" w:eastAsia="Times New Roman" w:hAnsi="Times New Roman"/>
          <w:sz w:val="20"/>
          <w:szCs w:val="20"/>
          <w:color w:val="auto"/>
        </w:rPr>
        <w:t xml:space="preserve">3.15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PSUs and Dividend Equivalents.</w:t>
      </w:r>
    </w:p>
    <w:p>
      <w:pPr>
        <w:spacing w:after="0" w:line="212" w:lineRule="exact"/>
        <w:rPr>
          <w:sz w:val="20"/>
          <w:szCs w:val="20"/>
          <w:color w:val="auto"/>
        </w:rPr>
      </w:pPr>
    </w:p>
    <w:p>
      <w:pPr>
        <w:jc w:val="both"/>
        <w:ind w:right="180" w:firstLine="749"/>
        <w:spacing w:after="0" w:line="254" w:lineRule="auto"/>
        <w:rPr>
          <w:sz w:val="20"/>
          <w:szCs w:val="20"/>
          <w:color w:val="auto"/>
        </w:rPr>
      </w:pPr>
      <w:r>
        <w:rPr>
          <w:rFonts w:ascii="Times New Roman" w:cs="Times New Roman" w:eastAsia="Times New Roman" w:hAnsi="Times New Roman"/>
          <w:sz w:val="20"/>
          <w:szCs w:val="20"/>
          <w:color w:val="auto"/>
        </w:rPr>
        <w:t xml:space="preserve">3.16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88" w:lineRule="exact"/>
        <w:rPr>
          <w:sz w:val="20"/>
          <w:szCs w:val="20"/>
          <w:color w:val="auto"/>
        </w:rPr>
      </w:pPr>
    </w:p>
    <w:p>
      <w:pPr>
        <w:jc w:val="both"/>
        <w:ind w:right="180" w:firstLine="749"/>
        <w:spacing w:after="0" w:line="249" w:lineRule="auto"/>
        <w:rPr>
          <w:sz w:val="20"/>
          <w:szCs w:val="20"/>
          <w:color w:val="auto"/>
        </w:rPr>
      </w:pPr>
      <w:r>
        <w:rPr>
          <w:rFonts w:ascii="Times New Roman" w:cs="Times New Roman" w:eastAsia="Times New Roman" w:hAnsi="Times New Roman"/>
          <w:sz w:val="20"/>
          <w:szCs w:val="20"/>
          <w:color w:val="auto"/>
        </w:rPr>
        <w:t xml:space="preserve">3.17 </w:t>
      </w: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color w:val="auto"/>
        </w:rPr>
        <w:t>. In the event of any broker-assisted sale of Shares in connection with the payment of withholding taxes as provided in Section 2.5(a)(iii) or Section 2.5(a)(v): (A) any Shares to be sold through a broker-assisted sale will be sold on the day the tax withholding obligation arises or as soon thereafter as practicable; (B) such Shares may be sold as part of a block trade with other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1050290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1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180"/>
        <w:spacing w:after="0" w:line="243" w:lineRule="auto"/>
        <w:rPr>
          <w:sz w:val="20"/>
          <w:szCs w:val="20"/>
          <w:color w:val="auto"/>
        </w:rPr>
      </w:pPr>
      <w:r>
        <w:rPr>
          <w:rFonts w:ascii="Times New Roman" w:cs="Times New Roman" w:eastAsia="Times New Roman" w:hAnsi="Times New Roman"/>
          <w:sz w:val="20"/>
          <w:szCs w:val="20"/>
          <w:color w:val="auto"/>
        </w:rPr>
        <w:t>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213" w:lineRule="exact"/>
        <w:rPr>
          <w:sz w:val="20"/>
          <w:szCs w:val="20"/>
          <w:color w:val="auto"/>
        </w:rPr>
      </w:pPr>
    </w:p>
    <w:p>
      <w:pPr>
        <w:jc w:val="center"/>
        <w:ind w:right="180"/>
        <w:spacing w:after="0"/>
        <w:tabs>
          <w:tab w:leader="none" w:pos="280" w:val="left"/>
          <w:tab w:leader="none" w:pos="260" w:val="left"/>
        </w:tabs>
        <w:rPr>
          <w:sz w:val="20"/>
          <w:szCs w:val="20"/>
          <w:color w:val="auto"/>
        </w:rPr>
      </w:pPr>
      <w:r>
        <w:rPr>
          <w:rFonts w:ascii="Times New Roman" w:cs="Times New Roman" w:eastAsia="Times New Roman" w:hAnsi="Times New Roman"/>
          <w:sz w:val="20"/>
          <w:szCs w:val="20"/>
          <w:color w:val="auto"/>
        </w:rPr>
        <w:t>*</w:t>
        <w:tab/>
        <w:t>*</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5925185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1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TO PERFORMANCE STOCK UNIT AGREEMENT PEER GROUP</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BorgWarner Inc. Crane 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Cummins Inc.</w:t>
      </w:r>
    </w:p>
    <w:p>
      <w:pPr>
        <w:spacing w:after="0"/>
        <w:rPr>
          <w:sz w:val="20"/>
          <w:szCs w:val="20"/>
          <w:color w:val="auto"/>
        </w:rPr>
      </w:pPr>
      <w:r>
        <w:rPr>
          <w:rFonts w:ascii="Times New Roman" w:cs="Times New Roman" w:eastAsia="Times New Roman" w:hAnsi="Times New Roman"/>
          <w:sz w:val="20"/>
          <w:szCs w:val="20"/>
          <w:color w:val="auto"/>
        </w:rPr>
        <w:t>Curtiss-Wright Corporation Donaldson</w:t>
      </w:r>
    </w:p>
    <w:p>
      <w:pPr>
        <w:spacing w:after="0"/>
        <w:rPr>
          <w:sz w:val="20"/>
          <w:szCs w:val="20"/>
          <w:color w:val="auto"/>
        </w:rPr>
      </w:pPr>
      <w:r>
        <w:rPr>
          <w:rFonts w:ascii="Times New Roman" w:cs="Times New Roman" w:eastAsia="Times New Roman" w:hAnsi="Times New Roman"/>
          <w:sz w:val="20"/>
          <w:szCs w:val="20"/>
          <w:color w:val="auto"/>
        </w:rPr>
        <w:t>Company, Inc. Eaton Corporation plc</w:t>
      </w:r>
    </w:p>
    <w:p>
      <w:pPr>
        <w:spacing w:after="0"/>
        <w:rPr>
          <w:sz w:val="20"/>
          <w:szCs w:val="20"/>
          <w:color w:val="auto"/>
        </w:rPr>
      </w:pPr>
      <w:r>
        <w:rPr>
          <w:rFonts w:ascii="Times New Roman" w:cs="Times New Roman" w:eastAsia="Times New Roman" w:hAnsi="Times New Roman"/>
          <w:sz w:val="20"/>
          <w:szCs w:val="20"/>
          <w:color w:val="auto"/>
        </w:rPr>
        <w:t>Flowserve Corporation</w:t>
      </w:r>
    </w:p>
    <w:p>
      <w:pPr>
        <w:spacing w:after="0"/>
        <w:rPr>
          <w:sz w:val="20"/>
          <w:szCs w:val="20"/>
          <w:color w:val="auto"/>
        </w:rPr>
      </w:pPr>
      <w:r>
        <w:rPr>
          <w:rFonts w:ascii="Times New Roman" w:cs="Times New Roman" w:eastAsia="Times New Roman" w:hAnsi="Times New Roman"/>
          <w:sz w:val="20"/>
          <w:szCs w:val="20"/>
          <w:color w:val="auto"/>
        </w:rPr>
        <w:t>Gates Industrial Corporation plc Gentex</w:t>
      </w:r>
    </w:p>
    <w:p>
      <w:pPr>
        <w:spacing w:after="0"/>
        <w:rPr>
          <w:sz w:val="20"/>
          <w:szCs w:val="20"/>
          <w:color w:val="auto"/>
        </w:rPr>
      </w:pPr>
      <w:r>
        <w:rPr>
          <w:rFonts w:ascii="Times New Roman" w:cs="Times New Roman" w:eastAsia="Times New Roman" w:hAnsi="Times New Roman"/>
          <w:sz w:val="20"/>
          <w:szCs w:val="20"/>
          <w:color w:val="auto"/>
        </w:rPr>
        <w:t>Corporation</w:t>
      </w:r>
    </w:p>
    <w:p>
      <w:pPr>
        <w:spacing w:after="0"/>
        <w:rPr>
          <w:sz w:val="20"/>
          <w:szCs w:val="20"/>
          <w:color w:val="auto"/>
        </w:rPr>
      </w:pPr>
      <w:r>
        <w:rPr>
          <w:rFonts w:ascii="Times New Roman" w:cs="Times New Roman" w:eastAsia="Times New Roman" w:hAnsi="Times New Roman"/>
          <w:sz w:val="20"/>
          <w:szCs w:val="20"/>
          <w:color w:val="auto"/>
        </w:rPr>
        <w:t>Graco Inc.</w:t>
      </w:r>
    </w:p>
    <w:p>
      <w:pPr>
        <w:spacing w:after="0"/>
        <w:rPr>
          <w:sz w:val="20"/>
          <w:szCs w:val="20"/>
          <w:color w:val="auto"/>
        </w:rPr>
      </w:pPr>
      <w:r>
        <w:rPr>
          <w:rFonts w:ascii="Times New Roman" w:cs="Times New Roman" w:eastAsia="Times New Roman" w:hAnsi="Times New Roman"/>
          <w:sz w:val="20"/>
          <w:szCs w:val="20"/>
          <w:color w:val="auto"/>
        </w:rPr>
        <w:t>IDEX Corporation ITT Inc.</w:t>
      </w:r>
    </w:p>
    <w:p>
      <w:pPr>
        <w:spacing w:after="0"/>
        <w:rPr>
          <w:sz w:val="20"/>
          <w:szCs w:val="20"/>
          <w:color w:val="auto"/>
        </w:rPr>
      </w:pPr>
      <w:r>
        <w:rPr>
          <w:rFonts w:ascii="Times New Roman" w:cs="Times New Roman" w:eastAsia="Times New Roman" w:hAnsi="Times New Roman"/>
          <w:sz w:val="20"/>
          <w:szCs w:val="20"/>
          <w:color w:val="auto"/>
        </w:rPr>
        <w:t>Lincoln Electric Holdings, Inc. Middleby</w:t>
      </w:r>
    </w:p>
    <w:p>
      <w:pPr>
        <w:spacing w:after="0"/>
        <w:rPr>
          <w:sz w:val="20"/>
          <w:szCs w:val="20"/>
          <w:color w:val="auto"/>
        </w:rPr>
      </w:pPr>
      <w:r>
        <w:rPr>
          <w:rFonts w:ascii="Times New Roman" w:cs="Times New Roman" w:eastAsia="Times New Roman" w:hAnsi="Times New Roman"/>
          <w:sz w:val="20"/>
          <w:szCs w:val="20"/>
          <w:color w:val="auto"/>
        </w:rPr>
        <w:t>Corporation Nordson Corporation</w:t>
      </w:r>
    </w:p>
    <w:p>
      <w:pPr>
        <w:spacing w:after="0"/>
        <w:rPr>
          <w:sz w:val="20"/>
          <w:szCs w:val="20"/>
          <w:color w:val="auto"/>
        </w:rPr>
      </w:pPr>
      <w:r>
        <w:rPr>
          <w:rFonts w:ascii="Times New Roman" w:cs="Times New Roman" w:eastAsia="Times New Roman" w:hAnsi="Times New Roman"/>
          <w:sz w:val="20"/>
          <w:szCs w:val="20"/>
          <w:color w:val="auto"/>
        </w:rPr>
        <w:t>Parker-Hannifin Corporation Roper</w:t>
      </w:r>
    </w:p>
    <w:p>
      <w:pPr>
        <w:spacing w:after="0"/>
        <w:rPr>
          <w:sz w:val="20"/>
          <w:szCs w:val="20"/>
          <w:color w:val="auto"/>
        </w:rPr>
      </w:pPr>
      <w:r>
        <w:rPr>
          <w:rFonts w:ascii="Times New Roman" w:cs="Times New Roman" w:eastAsia="Times New Roman" w:hAnsi="Times New Roman"/>
          <w:sz w:val="20"/>
          <w:szCs w:val="20"/>
          <w:color w:val="auto"/>
        </w:rPr>
        <w:t>Technologies, Inc.</w:t>
      </w:r>
    </w:p>
    <w:p>
      <w:pPr>
        <w:spacing w:after="0"/>
        <w:rPr>
          <w:sz w:val="20"/>
          <w:szCs w:val="20"/>
          <w:color w:val="auto"/>
        </w:rPr>
      </w:pPr>
      <w:r>
        <w:rPr>
          <w:rFonts w:ascii="Times New Roman" w:cs="Times New Roman" w:eastAsia="Times New Roman" w:hAnsi="Times New Roman"/>
          <w:sz w:val="20"/>
          <w:szCs w:val="20"/>
          <w:color w:val="auto"/>
        </w:rPr>
        <w:t>Sensata Technologies Holding The Timken</w:t>
      </w:r>
    </w:p>
    <w:p>
      <w:pPr>
        <w:spacing w:after="0"/>
        <w:rPr>
          <w:sz w:val="20"/>
          <w:szCs w:val="20"/>
          <w:color w:val="auto"/>
        </w:rPr>
      </w:pPr>
      <w:r>
        <w:rPr>
          <w:rFonts w:ascii="Times New Roman" w:cs="Times New Roman" w:eastAsia="Times New Roman" w:hAnsi="Times New Roman"/>
          <w:sz w:val="20"/>
          <w:szCs w:val="20"/>
          <w:color w:val="auto"/>
        </w:rPr>
        <w:t>Company TransDigm Group Incorporated</w:t>
      </w:r>
    </w:p>
    <w:p>
      <w:pPr>
        <w:spacing w:after="0"/>
        <w:rPr>
          <w:sz w:val="20"/>
          <w:szCs w:val="20"/>
          <w:color w:val="auto"/>
        </w:rPr>
      </w:pPr>
      <w:r>
        <w:rPr>
          <w:rFonts w:ascii="Times New Roman" w:cs="Times New Roman" w:eastAsia="Times New Roman" w:hAnsi="Times New Roman"/>
          <w:sz w:val="20"/>
          <w:szCs w:val="20"/>
          <w:color w:val="auto"/>
        </w:rPr>
        <w:t>Woodward, Inc.</w:t>
      </w:r>
    </w:p>
    <w:p>
      <w:pPr>
        <w:spacing w:after="0"/>
        <w:rPr>
          <w:sz w:val="20"/>
          <w:szCs w:val="20"/>
          <w:color w:val="auto"/>
        </w:rPr>
      </w:pPr>
      <w:r>
        <w:rPr>
          <w:rFonts w:ascii="Times New Roman" w:cs="Times New Roman" w:eastAsia="Times New Roman" w:hAnsi="Times New Roman"/>
          <w:sz w:val="20"/>
          <w:szCs w:val="20"/>
          <w:color w:val="auto"/>
        </w:rPr>
        <w:t>Zurn Elkay Water Solutions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3270885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14"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Graziosi, certify that:</w:t>
      </w:r>
    </w:p>
    <w:p>
      <w:pPr>
        <w:spacing w:after="0" w:line="225" w:lineRule="exact"/>
        <w:rPr>
          <w:sz w:val="20"/>
          <w:szCs w:val="20"/>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225"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743"/>
        <w:spacing w:after="0" w:line="266"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40" w:hanging="743"/>
        <w:spacing w:after="0" w:line="266"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20" w:hanging="743"/>
        <w:spacing w:after="0" w:line="266"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60" w:hanging="752"/>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300" w:hanging="743"/>
        <w:spacing w:after="0" w:line="282"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80" w:hanging="743"/>
        <w:spacing w:after="0" w:line="282"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Frederick Bohley, certify that:</w:t>
      </w:r>
    </w:p>
    <w:p>
      <w:pPr>
        <w:spacing w:after="0" w:line="225" w:lineRule="exact"/>
        <w:rPr>
          <w:sz w:val="20"/>
          <w:szCs w:val="20"/>
          <w:color w:val="auto"/>
        </w:rPr>
      </w:pPr>
    </w:p>
    <w:p>
      <w:pPr>
        <w:ind w:left="760" w:hanging="75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225"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743"/>
        <w:spacing w:after="0" w:line="266" w:lineRule="auto"/>
        <w:tabs>
          <w:tab w:leader="none" w:pos="15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40" w:hanging="743"/>
        <w:spacing w:after="0" w:line="266" w:lineRule="auto"/>
        <w:tabs>
          <w:tab w:leader="none" w:pos="15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20" w:hanging="743"/>
        <w:spacing w:after="0" w:line="266" w:lineRule="auto"/>
        <w:tabs>
          <w:tab w:leader="none" w:pos="15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60" w:hanging="752"/>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300" w:hanging="743"/>
        <w:spacing w:after="0" w:line="282" w:lineRule="auto"/>
        <w:tabs>
          <w:tab w:leader="none" w:pos="15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80" w:hanging="743"/>
        <w:spacing w:after="0" w:line="282" w:lineRule="auto"/>
        <w:tabs>
          <w:tab w:leader="none" w:pos="15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5460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460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 Frederick Bohley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Allison Transmission Holdings, Inc. (the “Company”) on Form 10-Q for the quarter ending March 31, 2025 as filed with the Securities and Exchange Commission on the date hereof (the “Report”), we, David S. Graziosi, Chair, President and Chief Executive Officer of the Company, and G. Frederick Bohley, Chief Operating Officer of the Company, certify, pursuant to 18 U.S.C. § 1350 as adopted pursuant to § 906 of the Sarbanes-Oxley Act of 2002, that:</w:t>
      </w:r>
    </w:p>
    <w:p>
      <w:pPr>
        <w:spacing w:after="0" w:line="180" w:lineRule="exact"/>
        <w:rPr>
          <w:sz w:val="20"/>
          <w:szCs w:val="20"/>
          <w:color w:val="auto"/>
        </w:rPr>
      </w:pPr>
    </w:p>
    <w:p>
      <w:pPr>
        <w:ind w:left="760" w:hanging="75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575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 Graziosi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575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Frederick Bohley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04"/>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lowerLetter"/>
      <w:start w:val="1"/>
    </w:lvl>
    <w:lvl w:ilvl="1">
      <w:lvlJc w:val="left"/>
      <w:lvlText w:val="(%2)"/>
      <w:numFmt w:val="lowerRoman"/>
      <w:start w:val="1"/>
    </w:lvl>
  </w:abstractNum>
  <w:abstractNum w:abstractNumId="12">
    <w:nsid w:val="721DA317"/>
    <w:multiLevelType w:val="hybridMultilevel"/>
    <w:lvl w:ilvl="0">
      <w:lvlJc w:val="left"/>
      <w:lvlText w:val="%1"/>
      <w:numFmt w:val="lowerLetter"/>
      <w:start w:val="1"/>
    </w:lvl>
    <w:lvl w:ilvl="1">
      <w:lvlJc w:val="left"/>
      <w:lvlText w:val="(%2)"/>
      <w:numFmt w:val="lowerLetter"/>
      <w:start w:val="61"/>
    </w:lvl>
  </w:abstractNum>
  <w:abstractNum w:abstractNumId="13">
    <w:nsid w:val="2443A858"/>
    <w:multiLevelType w:val="hybridMultilevel"/>
    <w:lvl w:ilvl="0">
      <w:lvlJc w:val="left"/>
      <w:lvlText w:val="(%1)"/>
      <w:numFmt w:val="lowerLetter"/>
      <w:start w:val="3"/>
    </w:lvl>
    <w:lvl w:ilvl="1">
      <w:lvlJc w:val="left"/>
      <w:lvlText w:val="%2"/>
      <w:numFmt w:val="lowerLetter"/>
      <w:start w:val="1"/>
    </w:lvl>
  </w:abstractNum>
  <w:abstractNum w:abstractNumId="14">
    <w:nsid w:val="2D1D5AE9"/>
    <w:multiLevelType w:val="hybridMultilevel"/>
    <w:lvl w:ilvl="0">
      <w:lvlJc w:val="left"/>
      <w:lvlText w:val="(%1)"/>
      <w:numFmt w:val="lowerRoman"/>
      <w:start w:val="1"/>
    </w:lvl>
  </w:abstractNum>
  <w:abstractNum w:abstractNumId="15">
    <w:nsid w:val="6763845E"/>
    <w:multiLevelType w:val="hybridMultilevel"/>
    <w:lvl w:ilvl="0">
      <w:lvlJc w:val="left"/>
      <w:lvlText w:val="%1"/>
      <w:numFmt w:val="lowerLetter"/>
      <w:start w:val="1"/>
    </w:lvl>
    <w:lvl w:ilvl="1">
      <w:lvlJc w:val="left"/>
      <w:lvlText w:val="(%2)"/>
      <w:numFmt w:val="lowerLetter"/>
      <w:start w:val="61"/>
    </w:lvl>
  </w:abstractNum>
  <w:abstractNum w:abstractNumId="16">
    <w:nsid w:val="75A2A8D4"/>
    <w:multiLevelType w:val="hybridMultilevel"/>
    <w:lvl w:ilvl="0">
      <w:lvlJc w:val="left"/>
      <w:lvlText w:val="(%1)"/>
      <w:numFmt w:val="lowerLetter"/>
      <w:start w:val="2"/>
    </w:lvl>
    <w:lvl w:ilvl="1">
      <w:lvlJc w:val="left"/>
      <w:lvlText w:val="%2"/>
      <w:numFmt w:val="lowerLetter"/>
      <w:start w:val="1"/>
    </w:lvl>
  </w:abstractNum>
  <w:abstractNum w:abstractNumId="17">
    <w:nsid w:val="8EDBDAB"/>
    <w:multiLevelType w:val="hybridMultilevel"/>
    <w:lvl w:ilvl="0">
      <w:lvlJc w:val="left"/>
      <w:lvlText w:val="(%1)"/>
      <w:numFmt w:val="lowerRoman"/>
      <w:start w:val="4"/>
    </w:lvl>
  </w:abstractNum>
  <w:abstractNum w:abstractNumId="18">
    <w:nsid w:val="79838CB2"/>
    <w:multiLevelType w:val="hybridMultilevel"/>
    <w:lvl w:ilvl="0">
      <w:lvlJc w:val="left"/>
      <w:lvlText w:val="(%1)"/>
      <w:numFmt w:val="lowerRoman"/>
      <w:start w:val="5"/>
    </w:lvl>
  </w:abstractNum>
  <w:abstractNum w:abstractNumId="19">
    <w:nsid w:val="4353D0CD"/>
    <w:multiLevelType w:val="hybridMultilevel"/>
    <w:lvl w:ilvl="0">
      <w:lvlJc w:val="left"/>
      <w:lvlText w:val="(%1)"/>
      <w:numFmt w:val="lowerRoman"/>
      <w:start w:val="7"/>
    </w:lvl>
  </w:abstractNum>
  <w:abstractNum w:abstractNumId="20">
    <w:nsid w:val="B03E0C6"/>
    <w:multiLevelType w:val="hybridMultilevel"/>
    <w:lvl w:ilvl="0">
      <w:lvlJc w:val="left"/>
      <w:lvlText w:val="(%1)"/>
      <w:numFmt w:val="lowerRoman"/>
      <w:start w:val="10"/>
    </w:lvl>
  </w:abstractNum>
  <w:abstractNum w:abstractNumId="21">
    <w:nsid w:val="189A769B"/>
    <w:multiLevelType w:val="hybridMultilevel"/>
    <w:lvl w:ilvl="0">
      <w:lvlJc w:val="left"/>
      <w:lvlText w:val="(%1)"/>
      <w:numFmt w:val="lowerLetter"/>
      <w:start w:val="5"/>
    </w:lvl>
    <w:lvl w:ilvl="1">
      <w:lvlJc w:val="left"/>
      <w:lvlText w:val="(%2)"/>
      <w:numFmt w:val="lowerRoman"/>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upperLetter"/>
      <w:start w:val="1"/>
    </w:lvl>
  </w:abstractNum>
  <w:abstractNum w:abstractNumId="24">
    <w:nsid w:val="2CA88611"/>
    <w:multiLevelType w:val="hybridMultilevel"/>
    <w:lvl w:ilvl="0">
      <w:lvlJc w:val="left"/>
      <w:lvlText w:val="(%1)"/>
      <w:numFmt w:val="lowerLetter"/>
      <w:start w:val="1"/>
    </w:lvl>
    <w:lvl w:ilvl="1">
      <w:lvlJc w:val="left"/>
      <w:lvlText w:val="(%2)"/>
      <w:numFmt w:val="lowerRoman"/>
      <w:start w:val="1"/>
    </w:lvl>
  </w:abstractNum>
  <w:abstractNum w:abstractNumId="25">
    <w:nsid w:val="836C40E"/>
    <w:multiLevelType w:val="hybridMultilevel"/>
    <w:lvl w:ilvl="0">
      <w:lvlJc w:val="left"/>
      <w:lvlText w:val="%1"/>
      <w:numFmt w:val="lowerLetter"/>
      <w:start w:val="1"/>
    </w:lvl>
    <w:lvl w:ilvl="1">
      <w:lvlJc w:val="left"/>
      <w:lvlText w:val="(%2)"/>
      <w:numFmt w:val="lowerRoman"/>
      <w:start w:val="3"/>
    </w:lvl>
  </w:abstractNum>
  <w:abstractNum w:abstractNumId="26">
    <w:nsid w:val="2901D82"/>
    <w:multiLevelType w:val="hybridMultilevel"/>
    <w:lvl w:ilvl="0">
      <w:lvlJc w:val="left"/>
      <w:lvlText w:val="(%1)"/>
      <w:numFmt w:val="lowerLetter"/>
      <w:start w:val="2"/>
    </w:lvl>
    <w:lvl w:ilvl="1">
      <w:lvlJc w:val="left"/>
      <w:lvlText w:val="%2"/>
      <w:numFmt w:val="lowerRoman"/>
      <w:start w:val="1"/>
    </w:lvl>
  </w:abstractNum>
  <w:abstractNum w:abstractNumId="27">
    <w:nsid w:val="3A95F874"/>
    <w:multiLevelType w:val="hybridMultilevel"/>
    <w:lvl w:ilvl="0">
      <w:lvlJc w:val="left"/>
      <w:lvlText w:val="(%1)"/>
      <w:numFmt w:val="lowerLetter"/>
      <w:start w:val="3"/>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2025-05-02T08:04:32Z</dcterms:created>
  <dcterms:modified xsi:type="dcterms:W3CDTF">2025-05-02T08:04:32Z</dcterms:modified>
</cp:coreProperties>
</file>