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alsn-20250630.htm"/>
        <w:bookmarkStart w:id="1" w:name="ksalsn202506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spacing w:before="60" w:after="283"/>
        <w:jc w:val="center"/>
        <w:rPr>
          <w:rFonts w:ascii="Arial" w:hAnsi="Arial"/>
          <w:b/>
          <w:color w:val="000000"/>
          <w:sz w:val="36"/>
        </w:rPr>
      </w:pPr>
      <w:r>
        <w:rPr>
          <w:rFonts w:ascii="Arial" w:hAnsi="Arial"/>
          <w:b/>
          <w:color w:val="000000"/>
          <w:sz w:val="36"/>
        </w:rPr>
        <w:t>SECURITIES AND EXCHANGE COMMISSION</w:t>
      </w:r>
    </w:p>
    <w:p>
      <w:pPr>
        <w:pStyle w:val="TextBody"/>
        <w:bidi w:val="0"/>
        <w:spacing w:before="60" w:after="283"/>
        <w:jc w:val="center"/>
        <w:rPr>
          <w:rFonts w:ascii="Arial" w:hAnsi="Arial"/>
          <w:b/>
          <w:color w:val="000000"/>
          <w:sz w:val="24"/>
        </w:rPr>
      </w:pPr>
      <w:r>
        <w:rPr>
          <w:rFonts w:ascii="Arial" w:hAnsi="Arial"/>
          <w:b/>
          <w:color w:val="000000"/>
          <w:sz w:val="24"/>
        </w:rPr>
        <w:t>WASHINGTON, D.C. 20549</w:t>
      </w:r>
    </w:p>
    <w:p>
      <w:pPr>
        <w:pStyle w:val="TextBody"/>
        <w:bidi w:val="0"/>
        <w:spacing w:before="60" w:after="283"/>
        <w:jc w:val="center"/>
        <w:rPr>
          <w:rFonts w:ascii="Arial" w:hAnsi="Arial"/>
          <w:b/>
          <w:color w:val="000000"/>
          <w:sz w:val="36"/>
        </w:rPr>
      </w:pPr>
      <w:r>
        <w:rPr>
          <w:rFonts w:ascii="Arial" w:hAnsi="Arial"/>
          <w:b/>
          <w:color w:val="000000"/>
          <w:sz w:val="36"/>
        </w:rPr>
        <w:t>FORM 10-Q</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Arial" w:hAnsi="Arial"/>
                <w:b/>
                <w:color w:val="000000"/>
                <w:sz w:val="24"/>
              </w:rPr>
            </w:pPr>
            <w:r>
              <w:rPr>
                <w:rFonts w:ascii="Arial" w:hAnsi="Arial"/>
                <w:b/>
                <w:color w:val="000000"/>
                <w:sz w:val="24"/>
              </w:rPr>
              <w:t>QUARTERLY REPORT PURSUANT TO SECTION 13 OR 15(d) OF THE SECURITIES EXCHANGE ACT OF 1934</w:t>
            </w:r>
          </w:p>
        </w:tc>
      </w:tr>
    </w:tbl>
    <w:p>
      <w:pPr>
        <w:pStyle w:val="TextBody"/>
        <w:bidi w:val="0"/>
        <w:spacing w:before="60" w:after="283"/>
        <w:jc w:val="center"/>
        <w:rPr>
          <w:rFonts w:ascii="Arial" w:hAnsi="Arial"/>
          <w:b/>
          <w:color w:val="000000"/>
          <w:sz w:val="20"/>
        </w:rPr>
      </w:pPr>
      <w:r>
        <w:rPr>
          <w:rFonts w:ascii="Arial" w:hAnsi="Arial"/>
          <w:b/>
          <w:color w:val="000000"/>
          <w:sz w:val="20"/>
        </w:rPr>
        <w:t>For the quarterly period ended June 30, 2025</w:t>
      </w:r>
    </w:p>
    <w:p>
      <w:pPr>
        <w:pStyle w:val="TextBody"/>
        <w:bidi w:val="0"/>
        <w:spacing w:before="6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Arial" w:hAnsi="Arial"/>
                <w:b/>
                <w:color w:val="000000"/>
                <w:sz w:val="24"/>
              </w:rPr>
            </w:pPr>
            <w:r>
              <w:rPr>
                <w:rFonts w:ascii="Arial" w:hAnsi="Arial"/>
                <w:b/>
                <w:color w:val="000000"/>
                <w:sz w:val="24"/>
              </w:rPr>
              <w:t>TRANSITION REPORT PURSUANT TO SECTION 13 OR 15(d) OF THE SECURITIES EXCHANGE ACT OF 1934</w:t>
            </w:r>
          </w:p>
        </w:tc>
      </w:tr>
    </w:tbl>
    <w:p>
      <w:pPr>
        <w:pStyle w:val="TextBody"/>
        <w:bidi w:val="0"/>
        <w:spacing w:before="60" w:after="283"/>
        <w:jc w:val="center"/>
        <w:rPr>
          <w:rFonts w:ascii="Arial" w:hAnsi="Arial"/>
          <w:b/>
          <w:color w:val="000000"/>
          <w:sz w:val="20"/>
        </w:rPr>
      </w:pPr>
      <w:r>
        <w:rPr>
          <w:rFonts w:ascii="Arial" w:hAnsi="Arial"/>
          <w:b/>
          <w:color w:val="000000"/>
          <w:sz w:val="20"/>
        </w:rPr>
        <w:t>Commission File Number 001-35456</w:t>
      </w:r>
    </w:p>
    <w:p>
      <w:pPr>
        <w:pStyle w:val="TextBody"/>
        <w:bidi w:val="0"/>
        <w:spacing w:before="60" w:after="283"/>
        <w:jc w:val="center"/>
        <w:rPr>
          <w:rFonts w:ascii="Arial" w:hAnsi="Arial"/>
          <w:b/>
          <w:color w:val="000000"/>
          <w:sz w:val="48"/>
        </w:rPr>
      </w:pPr>
      <w:r>
        <w:rPr>
          <w:rFonts w:ascii="Arial" w:hAnsi="Arial"/>
          <w:b/>
          <w:color w:val="000000"/>
          <w:sz w:val="48"/>
        </w:rPr>
        <w:t>ALLISON TRANSMISSION HOLDINGS, INC.</w:t>
      </w:r>
    </w:p>
    <w:p>
      <w:pPr>
        <w:pStyle w:val="TextBody"/>
        <w:bidi w:val="0"/>
        <w:spacing w:before="60" w:after="283"/>
        <w:jc w:val="center"/>
        <w:rPr>
          <w:rFonts w:ascii="Arial" w:hAnsi="Arial"/>
          <w:color w:val="000000"/>
          <w:sz w:val="20"/>
        </w:rPr>
      </w:pPr>
      <w:r>
        <w:rPr>
          <w:rFonts w:ascii="Arial" w:hAnsi="Arial"/>
          <w:color w:val="000000"/>
          <w:sz w:val="20"/>
        </w:rPr>
        <w:t>(Exact name of registrant as specified in its charter)</w:t>
      </w:r>
    </w:p>
    <w:p>
      <w:pPr>
        <w:pStyle w:val="TextBody"/>
        <w:bidi w:val="0"/>
        <w:jc w:val="center"/>
        <w:rPr/>
      </w:pPr>
      <w:r>
        <w:rPr/>
        <w:t> </w:t>
      </w:r>
    </w:p>
    <w:p>
      <w:pPr>
        <w:pStyle w:val="TextBody"/>
        <w:bidi w:val="0"/>
        <w:jc w:val="center"/>
        <w:rPr/>
      </w:pPr>
      <w:r>
        <w:rPr/>
        <w:drawing>
          <wp:inline distT="0" distB="0" distL="0" distR="0">
            <wp:extent cx="19240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581025"/>
                    </a:xfrm>
                    <a:prstGeom prst="rect">
                      <a:avLst/>
                    </a:prstGeom>
                  </pic:spPr>
                </pic:pic>
              </a:graphicData>
            </a:graphic>
          </wp:inline>
        </w:drawing>
      </w:r>
    </w:p>
    <w:p>
      <w:pPr>
        <w:pStyle w:val="TextBody"/>
        <w:bidi w:val="0"/>
        <w:jc w:val="left"/>
        <w:rPr/>
      </w:pPr>
      <w:r>
        <w:rPr/>
        <w:t> </w:t>
      </w:r>
    </w:p>
    <w:tbl>
      <w:tblPr>
        <w:tblW w:w="5087" w:type="dxa"/>
        <w:jc w:val="left"/>
        <w:tblInd w:w="0" w:type="dxa"/>
        <w:tblLayout w:type="fixed"/>
        <w:tblCellMar>
          <w:top w:w="28" w:type="dxa"/>
          <w:left w:w="28" w:type="dxa"/>
          <w:bottom w:w="28" w:type="dxa"/>
          <w:right w:w="28" w:type="dxa"/>
        </w:tblCellMar>
      </w:tblPr>
      <w:tblGrid>
        <w:gridCol w:w="3346"/>
        <w:gridCol w:w="1741"/>
      </w:tblGrid>
      <w:tr>
        <w:trPr/>
        <w:tc>
          <w:tcPr>
            <w:tcW w:w="33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3346"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rPr>
            </w:pPr>
            <w:r>
              <w:rPr>
                <w:rFonts w:ascii="Arial" w:hAnsi="Arial"/>
                <w:b/>
                <w:color w:val="000000"/>
                <w:sz w:val="20"/>
              </w:rPr>
              <w:t>Delaware</w:t>
            </w:r>
          </w:p>
        </w:tc>
        <w:tc>
          <w:tcPr>
            <w:tcW w:w="1741"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rPr>
            </w:pPr>
            <w:r>
              <w:rPr>
                <w:rFonts w:ascii="Arial" w:hAnsi="Arial"/>
                <w:b/>
                <w:color w:val="000000"/>
                <w:sz w:val="20"/>
              </w:rPr>
              <w:t>26-0414014</w:t>
            </w:r>
          </w:p>
        </w:tc>
      </w:tr>
      <w:tr>
        <w:trPr/>
        <w:tc>
          <w:tcPr>
            <w:tcW w:w="334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6"/>
              </w:rPr>
            </w:pPr>
            <w:r>
              <w:rPr>
                <w:rFonts w:ascii="Arial" w:hAnsi="Arial"/>
                <w:color w:val="000000"/>
                <w:sz w:val="16"/>
              </w:rPr>
              <w:t>(State or other jurisdiction of incorporation or</w:t>
            </w:r>
          </w:p>
          <w:p>
            <w:pPr>
              <w:pStyle w:val="TableContents"/>
              <w:bidi w:val="0"/>
              <w:spacing w:before="0" w:after="40"/>
              <w:jc w:val="center"/>
              <w:rPr>
                <w:rFonts w:ascii="Arial" w:hAnsi="Arial"/>
                <w:color w:val="000000"/>
                <w:sz w:val="16"/>
              </w:rPr>
            </w:pPr>
            <w:r>
              <w:rPr>
                <w:rFonts w:ascii="Arial" w:hAnsi="Arial"/>
                <w:color w:val="000000"/>
                <w:sz w:val="16"/>
              </w:rPr>
              <w:t>organization)</w:t>
            </w:r>
          </w:p>
        </w:tc>
        <w:tc>
          <w:tcPr>
            <w:tcW w:w="174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6"/>
              </w:rPr>
            </w:pPr>
            <w:r>
              <w:rPr>
                <w:rFonts w:ascii="Arial" w:hAnsi="Arial"/>
                <w:color w:val="000000"/>
                <w:sz w:val="16"/>
              </w:rPr>
              <w:t>(I.R.S. Employer</w:t>
            </w:r>
          </w:p>
          <w:p>
            <w:pPr>
              <w:pStyle w:val="TableContents"/>
              <w:bidi w:val="0"/>
              <w:spacing w:before="0" w:after="40"/>
              <w:jc w:val="center"/>
              <w:rPr>
                <w:rFonts w:ascii="Arial" w:hAnsi="Arial"/>
                <w:color w:val="000000"/>
                <w:sz w:val="16"/>
              </w:rPr>
            </w:pPr>
            <w:r>
              <w:rPr>
                <w:rFonts w:ascii="Arial" w:hAnsi="Arial"/>
                <w:color w:val="000000"/>
                <w:sz w:val="16"/>
              </w:rPr>
              <w:t>Identification Number)</w:t>
            </w:r>
          </w:p>
        </w:tc>
      </w:tr>
      <w:tr>
        <w:trPr/>
        <w:tc>
          <w:tcPr>
            <w:tcW w:w="3346"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rPr>
            </w:pPr>
            <w:r>
              <w:rPr>
                <w:rFonts w:ascii="Arial" w:hAnsi="Arial"/>
                <w:b/>
                <w:color w:val="000000"/>
                <w:sz w:val="20"/>
              </w:rPr>
              <w:t>One Allison Way</w:t>
            </w:r>
          </w:p>
        </w:tc>
        <w:tc>
          <w:tcPr>
            <w:tcW w:w="1741"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3346"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rPr>
            </w:pPr>
            <w:r>
              <w:rPr>
                <w:rFonts w:ascii="Arial" w:hAnsi="Arial"/>
                <w:b/>
                <w:color w:val="000000"/>
                <w:sz w:val="20"/>
              </w:rPr>
              <w:t>Indianapolis, IN</w:t>
            </w:r>
          </w:p>
        </w:tc>
        <w:tc>
          <w:tcPr>
            <w:tcW w:w="1741"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rPr>
            </w:pPr>
            <w:r>
              <w:rPr>
                <w:rFonts w:ascii="Arial" w:hAnsi="Arial"/>
                <w:b/>
                <w:color w:val="000000"/>
                <w:sz w:val="20"/>
              </w:rPr>
              <w:t>46222</w:t>
            </w:r>
          </w:p>
        </w:tc>
      </w:tr>
      <w:tr>
        <w:trPr/>
        <w:tc>
          <w:tcPr>
            <w:tcW w:w="334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6"/>
              </w:rPr>
            </w:pPr>
            <w:r>
              <w:rPr>
                <w:rFonts w:ascii="Arial" w:hAnsi="Arial"/>
                <w:color w:val="000000"/>
                <w:sz w:val="16"/>
              </w:rPr>
              <w:t>(Address of principal executive offices)</w:t>
            </w:r>
          </w:p>
        </w:tc>
        <w:tc>
          <w:tcPr>
            <w:tcW w:w="174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6"/>
              </w:rPr>
            </w:pPr>
            <w:r>
              <w:rPr>
                <w:rFonts w:ascii="Arial" w:hAnsi="Arial"/>
                <w:color w:val="000000"/>
                <w:sz w:val="16"/>
              </w:rPr>
              <w:t>(Zip Code)</w:t>
            </w:r>
          </w:p>
        </w:tc>
      </w:tr>
    </w:tbl>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(317) 242-5000</w:t>
      </w:r>
    </w:p>
    <w:p>
      <w:pPr>
        <w:pStyle w:val="TextBody"/>
        <w:bidi w:val="0"/>
        <w:spacing w:before="40" w:after="283"/>
        <w:jc w:val="center"/>
        <w:rPr>
          <w:rFonts w:ascii="Arial" w:hAnsi="Arial"/>
          <w:color w:val="000000"/>
          <w:sz w:val="16"/>
        </w:rPr>
      </w:pPr>
      <w:r>
        <w:rPr>
          <w:rFonts w:ascii="Arial" w:hAnsi="Arial"/>
          <w:color w:val="000000"/>
          <w:sz w:val="16"/>
        </w:rPr>
        <w:t>(Registrant’s telephone number, including area code)</w:t>
      </w:r>
    </w:p>
    <w:p>
      <w:pPr>
        <w:pStyle w:val="TextBody"/>
        <w:bidi w:val="0"/>
        <w:spacing w:before="120" w:after="283"/>
        <w:jc w:val="center"/>
        <w:rPr>
          <w:rFonts w:ascii="Arial" w:hAnsi="Arial"/>
          <w:color w:val="000000"/>
          <w:sz w:val="20"/>
        </w:rPr>
      </w:pPr>
      <w:r>
        <w:rPr>
          <w:rFonts w:ascii="Arial" w:hAnsi="Arial"/>
          <w:color w:val="000000"/>
          <w:sz w:val="20"/>
        </w:rPr>
        <w:t>Securities registered pursuant to Section 12(b) of the Act:</w:t>
      </w:r>
    </w:p>
    <w:tbl>
      <w:tblPr>
        <w:tblW w:w="8140" w:type="dxa"/>
        <w:jc w:val="left"/>
        <w:tblInd w:w="0" w:type="dxa"/>
        <w:tblLayout w:type="fixed"/>
        <w:tblCellMar>
          <w:top w:w="28" w:type="dxa"/>
          <w:left w:w="28" w:type="dxa"/>
          <w:bottom w:w="28" w:type="dxa"/>
          <w:right w:w="28" w:type="dxa"/>
        </w:tblCellMar>
      </w:tblPr>
      <w:tblGrid>
        <w:gridCol w:w="2611"/>
        <w:gridCol w:w="146"/>
        <w:gridCol w:w="1576"/>
        <w:gridCol w:w="146"/>
        <w:gridCol w:w="366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Name of each exchange on which registered</w:t>
            </w:r>
          </w:p>
        </w:tc>
      </w:tr>
      <w:tr>
        <w:trPr/>
        <w:tc>
          <w:tcPr>
            <w:tcW w:w="2611" w:type="dxa"/>
            <w:tcBorders/>
            <w:tcMar>
              <w:top w:w="0" w:type="dxa"/>
              <w:left w:w="0" w:type="dxa"/>
              <w:bottom w:w="0" w:type="dxa"/>
              <w:right w:w="0" w:type="dxa"/>
            </w:tcMar>
            <w:vAlign w:val="center"/>
          </w:tcPr>
          <w:p>
            <w:pPr>
              <w:pStyle w:val="TableContents"/>
              <w:bidi w:val="0"/>
              <w:spacing w:before="40" w:after="283"/>
              <w:jc w:val="center"/>
              <w:rPr>
                <w:rFonts w:ascii="Arial" w:hAnsi="Arial"/>
                <w:b/>
                <w:color w:val="000000"/>
                <w:sz w:val="17"/>
              </w:rPr>
            </w:pPr>
            <w:r>
              <w:rPr>
                <w:rFonts w:ascii="Arial" w:hAnsi="Arial"/>
                <w:b/>
                <w:color w:val="000000"/>
                <w:sz w:val="17"/>
              </w:rPr>
              <w:t>Common Stock, $0.01 par value</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576" w:type="dxa"/>
            <w:tcBorders/>
            <w:tcMar>
              <w:top w:w="0" w:type="dxa"/>
              <w:left w:w="0" w:type="dxa"/>
              <w:bottom w:w="0" w:type="dxa"/>
              <w:right w:w="0" w:type="dxa"/>
            </w:tcMar>
            <w:vAlign w:val="center"/>
          </w:tcPr>
          <w:p>
            <w:pPr>
              <w:pStyle w:val="TableContents"/>
              <w:bidi w:val="0"/>
              <w:spacing w:before="40" w:after="283"/>
              <w:jc w:val="center"/>
              <w:rPr>
                <w:rFonts w:ascii="Arial" w:hAnsi="Arial"/>
                <w:b/>
                <w:color w:val="000000"/>
                <w:sz w:val="17"/>
              </w:rPr>
            </w:pPr>
            <w:r>
              <w:rPr>
                <w:rFonts w:ascii="Arial" w:hAnsi="Arial"/>
                <w:b/>
                <w:color w:val="000000"/>
                <w:sz w:val="17"/>
              </w:rPr>
              <w:t>ALSN</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40" w:after="283"/>
              <w:jc w:val="center"/>
              <w:rPr>
                <w:rFonts w:ascii="Arial" w:hAnsi="Arial"/>
                <w:b/>
                <w:color w:val="000000"/>
                <w:sz w:val="17"/>
              </w:rPr>
            </w:pPr>
            <w:r>
              <w:rPr>
                <w:rFonts w:ascii="Arial" w:hAnsi="Arial"/>
                <w:b/>
                <w:color w:val="000000"/>
                <w:sz w:val="17"/>
              </w:rPr>
              <w:t>New York Stock Exchange</w:t>
            </w:r>
          </w:p>
        </w:tc>
      </w:tr>
    </w:tbl>
    <w:p>
      <w:pPr>
        <w:pStyle w:val="TextBody"/>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No</w:t>
      </w:r>
      <w:r>
        <w:rPr>
          <w:rFonts w:ascii="Times New Roman" w:hAnsi="Times New Roman"/>
          <w:color w:val="000000"/>
          <w:sz w:val="20"/>
        </w:rPr>
        <w:t xml:space="preserve"> ☐</w:t>
      </w:r>
    </w:p>
    <w:p>
      <w:pPr>
        <w:pStyle w:val="TextBody"/>
        <w:bidi w:val="0"/>
        <w:spacing w:before="60" w:after="283"/>
        <w:jc w:val="left"/>
        <w:rPr>
          <w:rFonts w:ascii="Arial" w:hAnsi="Arial"/>
          <w:color w:val="000000"/>
          <w:sz w:val="20"/>
        </w:rPr>
      </w:pPr>
      <w:r>
        <w:rPr>
          <w:rFonts w:ascii="Arial" w:hAnsi="Arial"/>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60" w:after="283"/>
        <w:jc w:val="left"/>
        <w:rPr/>
      </w:pPr>
      <w:r>
        <w:rPr/>
        <w:t> </w:t>
      </w:r>
    </w:p>
    <w:tbl>
      <w:tblPr>
        <w:tblW w:w="5295" w:type="dxa"/>
        <w:jc w:val="left"/>
        <w:tblInd w:w="0" w:type="dxa"/>
        <w:tblLayout w:type="fixed"/>
        <w:tblCellMar>
          <w:top w:w="28" w:type="dxa"/>
          <w:left w:w="28" w:type="dxa"/>
          <w:bottom w:w="28" w:type="dxa"/>
          <w:right w:w="28" w:type="dxa"/>
        </w:tblCellMar>
      </w:tblPr>
      <w:tblGrid>
        <w:gridCol w:w="2041"/>
        <w:gridCol w:w="316"/>
        <w:gridCol w:w="146"/>
        <w:gridCol w:w="243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Arial" w:hAnsi="Arial"/>
          <w:color w:val="000000"/>
          <w:sz w:val="20"/>
        </w:rPr>
        <w:t>Indicate by check mark whether the registrant is a shell company (as defined in Rule 12b-2 of the Exchange Act). Yes</w:t>
      </w:r>
      <w:r>
        <w:rPr>
          <w:rFonts w:ascii="Times New Roman" w:hAnsi="Times New Roman"/>
          <w:color w:val="000000"/>
          <w:sz w:val="20"/>
        </w:rPr>
        <w:t xml:space="preserve"> ☐ </w:t>
      </w:r>
      <w:r>
        <w:rPr>
          <w:rFonts w:ascii="Arial" w:hAnsi="Arial"/>
          <w:color w:val="000000"/>
          <w:sz w:val="20"/>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20"/>
        </w:rPr>
        <w:t>As of July 22, 2025, there were 83,616,722</w:t>
      </w:r>
      <w:r>
        <w:rPr>
          <w:rFonts w:ascii="Times New Roman" w:hAnsi="Times New Roman"/>
          <w:color w:val="000000"/>
          <w:sz w:val="20"/>
        </w:rPr>
        <w:t xml:space="preserve"> </w:t>
      </w:r>
      <w:r>
        <w:rPr>
          <w:rFonts w:ascii="Arial" w:hAnsi="Arial"/>
          <w:color w:val="000000"/>
          <w:sz w:val="20"/>
        </w:rPr>
        <w:t>shares of Common Stock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2" w:name="toc_page"/>
      <w:bookmarkStart w:id="3" w:name="table_of_contents"/>
      <w:bookmarkEnd w:id="2"/>
      <w:bookmarkEnd w:id="3"/>
      <w:r>
        <w:rPr>
          <w:rFonts w:ascii="Arial" w:hAnsi="Arial"/>
          <w:b/>
          <w:color w:val="000000"/>
          <w:sz w:val="20"/>
        </w:rPr>
        <w:t>TABLE OF CONTENTS</w:t>
      </w:r>
    </w:p>
    <w:p>
      <w:pPr>
        <w:pStyle w:val="TextBody"/>
        <w:bidi w:val="0"/>
        <w:spacing w:before="0" w:after="140"/>
        <w:jc w:val="left"/>
        <w:rPr/>
      </w:pPr>
      <w:r>
        <w:rPr/>
        <w:t> </w:t>
      </w:r>
    </w:p>
    <w:tbl>
      <w:tblPr>
        <w:tblW w:w="9318" w:type="dxa"/>
        <w:jc w:val="left"/>
        <w:tblInd w:w="0" w:type="dxa"/>
        <w:tblLayout w:type="fixed"/>
        <w:tblCellMar>
          <w:top w:w="28" w:type="dxa"/>
          <w:left w:w="28" w:type="dxa"/>
          <w:bottom w:w="28" w:type="dxa"/>
          <w:right w:w="28" w:type="dxa"/>
        </w:tblCellMar>
      </w:tblPr>
      <w:tblGrid>
        <w:gridCol w:w="871"/>
        <w:gridCol w:w="7846"/>
        <w:gridCol w:w="601"/>
      </w:tblGrid>
      <w:tr>
        <w:trPr/>
        <w:tc>
          <w:tcPr>
            <w:tcW w:w="871"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Arial" w:hAnsi="Arial"/>
                  <w:b/>
                  <w:color w:val="0000FF"/>
                  <w:sz w:val="20"/>
                  <w:u w:val="single"/>
                </w:rPr>
                <w:t>PART I. FINANCIAL INFORMATION</w:t>
              </w:r>
            </w:hyperlink>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Item 1.</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item_1_financial_statements">
              <w:r>
                <w:rPr>
                  <w:rStyle w:val="InternetLink"/>
                  <w:rFonts w:ascii="Arial" w:hAnsi="Arial"/>
                  <w:color w:val="0000FF"/>
                  <w:sz w:val="20"/>
                  <w:u w:val="single"/>
                </w:rPr>
                <w:t>3</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condensed_consolidated_balance_sheets">
              <w:r>
                <w:rPr>
                  <w:rStyle w:val="InternetLink"/>
                  <w:rFonts w:ascii="Arial" w:hAnsi="Arial"/>
                  <w:color w:val="0000FF"/>
                  <w:sz w:val="20"/>
                  <w:u w:val="single"/>
                </w:rPr>
                <w:t>3</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Arial" w:hAnsi="Arial"/>
                  <w:color w:val="0000FF"/>
                  <w:sz w:val="20"/>
                  <w:u w:val="single"/>
                </w:rPr>
                <w:t>Condensed Consolidated Statements of Comprehensive Income</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condensed_consolidated_statements_compre">
              <w:r>
                <w:rPr>
                  <w:rStyle w:val="InternetLink"/>
                  <w:rFonts w:ascii="Arial" w:hAnsi="Arial"/>
                  <w:color w:val="0000FF"/>
                  <w:sz w:val="20"/>
                  <w:u w:val="single"/>
                </w:rPr>
                <w:t>4</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condensed_consolidated_statements_cash_f">
              <w:r>
                <w:rPr>
                  <w:rStyle w:val="InternetLink"/>
                  <w:rFonts w:ascii="Arial" w:hAnsi="Arial"/>
                  <w:color w:val="0000FF"/>
                  <w:sz w:val="20"/>
                  <w:u w:val="single"/>
                </w:rPr>
                <w:t>5</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equity">
              <w:r>
                <w:rPr>
                  <w:rStyle w:val="InternetLink"/>
                  <w:rFonts w:ascii="Arial" w:hAnsi="Arial"/>
                  <w:color w:val="0000FF"/>
                  <w:sz w:val="20"/>
                  <w:u w:val="single"/>
                </w:rPr>
                <w:t>Condensed Consolidated Statements of Stockholders’ Equity</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condensed_consolidated_statements_equity">
              <w:r>
                <w:rPr>
                  <w:rStyle w:val="InternetLink"/>
                  <w:rFonts w:ascii="Arial" w:hAnsi="Arial"/>
                  <w:color w:val="0000FF"/>
                  <w:sz w:val="20"/>
                  <w:u w:val="single"/>
                </w:rPr>
                <w:t>6</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Arial" w:hAnsi="Arial"/>
                  <w:color w:val="0000FF"/>
                  <w:sz w:val="20"/>
                  <w:u w:val="single"/>
                </w:rPr>
                <w:t>Notes to Condensed Consolidated Financial Statements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notes_to_condensed_consolidated_financia">
              <w:r>
                <w:rPr>
                  <w:rStyle w:val="InternetLink"/>
                  <w:rFonts w:ascii="Arial" w:hAnsi="Arial"/>
                  <w:color w:val="0000FF"/>
                  <w:sz w:val="20"/>
                  <w:u w:val="single"/>
                </w:rPr>
                <w:t>8</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managements_discussion_analysis_financia">
              <w:r>
                <w:rPr>
                  <w:rStyle w:val="InternetLink"/>
                  <w:rFonts w:ascii="Arial" w:hAnsi="Arial"/>
                  <w:color w:val="0000FF"/>
                  <w:sz w:val="20"/>
                  <w:u w:val="single"/>
                </w:rPr>
                <w:t>Item 2.</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managements_discussion_analysis_financia">
              <w:r>
                <w:rPr>
                  <w:rStyle w:val="InternetLink"/>
                  <w:rFonts w:ascii="Arial" w:hAnsi="Arial"/>
                  <w:color w:val="0000FF"/>
                  <w:sz w:val="20"/>
                  <w:u w:val="single"/>
                </w:rPr>
                <w:t>Management’s Discussion and Analysis of Financial Condition and Results of Operations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managements_discussion_analysis_financia">
              <w:r>
                <w:rPr>
                  <w:rStyle w:val="InternetLink"/>
                  <w:rFonts w:ascii="Arial" w:hAnsi="Arial"/>
                  <w:color w:val="0000FF"/>
                  <w:sz w:val="20"/>
                  <w:u w:val="single"/>
                </w:rPr>
                <w:t>25</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quantitativeandqualitativedisclosures">
              <w:r>
                <w:rPr>
                  <w:rStyle w:val="InternetLink"/>
                  <w:rFonts w:ascii="Arial" w:hAnsi="Arial"/>
                  <w:color w:val="0000FF"/>
                  <w:sz w:val="20"/>
                  <w:u w:val="single"/>
                </w:rPr>
                <w:t>Item 3.</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quantitativeandqualitativedisclosures">
              <w:r>
                <w:rPr>
                  <w:rStyle w:val="InternetLink"/>
                  <w:rFonts w:ascii="Arial" w:hAnsi="Arial"/>
                  <w:color w:val="0000FF"/>
                  <w:sz w:val="20"/>
                  <w:u w:val="single"/>
                </w:rPr>
                <w:t>Quantitative and Qualitative Disclosures About Market Risk</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quantitativeandqualitativedisclosures">
              <w:r>
                <w:rPr>
                  <w:rStyle w:val="InternetLink"/>
                  <w:rFonts w:ascii="Arial" w:hAnsi="Arial"/>
                  <w:color w:val="0000FF"/>
                  <w:sz w:val="20"/>
                  <w:u w:val="single"/>
                </w:rPr>
                <w:t>41</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controlsandprocedures">
              <w:r>
                <w:rPr>
                  <w:rStyle w:val="InternetLink"/>
                  <w:rFonts w:ascii="Arial" w:hAnsi="Arial"/>
                  <w:color w:val="0000FF"/>
                  <w:sz w:val="20"/>
                  <w:u w:val="single"/>
                </w:rPr>
                <w:t>Item 4.</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trolsandprocedures">
              <w:r>
                <w:rPr>
                  <w:rStyle w:val="InternetLink"/>
                  <w:rFonts w:ascii="Arial" w:hAnsi="Arial"/>
                  <w:color w:val="0000FF"/>
                  <w:sz w:val="20"/>
                  <w:u w:val="single"/>
                </w:rPr>
                <w:t>Controls and Procedures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controlsandprocedures">
              <w:r>
                <w:rPr>
                  <w:rStyle w:val="InternetLink"/>
                  <w:rFonts w:ascii="Arial" w:hAnsi="Arial"/>
                  <w:color w:val="0000FF"/>
                  <w:sz w:val="20"/>
                  <w:u w:val="single"/>
                </w:rPr>
                <w:t>42</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center"/>
              <w:rPr/>
            </w:pPr>
            <w:hyperlink w:anchor="part_ii_or_information">
              <w:r>
                <w:rPr>
                  <w:rStyle w:val="InternetLink"/>
                  <w:rFonts w:ascii="Arial" w:hAnsi="Arial"/>
                  <w:b/>
                  <w:color w:val="0000FF"/>
                  <w:sz w:val="20"/>
                  <w:u w:val="single"/>
                </w:rPr>
                <w:t>PART II. OTHER INFORMATION</w:t>
              </w:r>
            </w:hyperlink>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Item 1.</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item_1_legal_proceedings">
              <w:r>
                <w:rPr>
                  <w:rStyle w:val="InternetLink"/>
                  <w:rFonts w:ascii="Arial" w:hAnsi="Arial"/>
                  <w:color w:val="0000FF"/>
                  <w:sz w:val="20"/>
                  <w:u w:val="single"/>
                </w:rPr>
                <w:t>43</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Item 1A.</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item_1a_risk_factors">
              <w:r>
                <w:rPr>
                  <w:rStyle w:val="InternetLink"/>
                  <w:rFonts w:ascii="Arial" w:hAnsi="Arial"/>
                  <w:color w:val="0000FF"/>
                  <w:sz w:val="20"/>
                  <w:u w:val="single"/>
                </w:rPr>
                <w:t>43</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Item 2.</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and Use of Proceeds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item_2_unregistered_sales_equity_securit">
              <w:r>
                <w:rPr>
                  <w:rStyle w:val="InternetLink"/>
                  <w:rFonts w:ascii="Arial" w:hAnsi="Arial"/>
                  <w:color w:val="0000FF"/>
                  <w:sz w:val="20"/>
                  <w:u w:val="single"/>
                </w:rPr>
                <w:t>46</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item_5_other_info">
              <w:r>
                <w:rPr>
                  <w:rStyle w:val="InternetLink"/>
                  <w:rFonts w:ascii="Arial" w:hAnsi="Arial"/>
                  <w:color w:val="0000FF"/>
                  <w:sz w:val="20"/>
                  <w:u w:val="single"/>
                </w:rPr>
                <w:t>Item 5.</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5_other_info">
              <w:r>
                <w:rPr>
                  <w:rStyle w:val="InternetLink"/>
                  <w:rFonts w:ascii="Arial" w:hAnsi="Arial"/>
                  <w:color w:val="0000FF"/>
                  <w:sz w:val="20"/>
                  <w:u w:val="single"/>
                </w:rPr>
                <w:t>Other Information</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item_5_other_info">
              <w:r>
                <w:rPr>
                  <w:rStyle w:val="InternetLink"/>
                  <w:rFonts w:ascii="Arial" w:hAnsi="Arial"/>
                  <w:color w:val="0000FF"/>
                  <w:sz w:val="20"/>
                  <w:u w:val="single"/>
                </w:rPr>
                <w:t>47</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Arial" w:hAnsi="Arial"/>
                  <w:color w:val="0000FF"/>
                  <w:sz w:val="20"/>
                  <w:u w:val="single"/>
                </w:rPr>
                <w:t>Item 6.</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Arial" w:hAnsi="Arial"/>
                  <w:color w:val="0000FF"/>
                  <w:sz w:val="20"/>
                  <w:u w:val="single"/>
                </w:rPr>
                <w:t>Exhibits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exhibits">
              <w:r>
                <w:rPr>
                  <w:rStyle w:val="InternetLink"/>
                  <w:rFonts w:ascii="Arial" w:hAnsi="Arial"/>
                  <w:color w:val="0000FF"/>
                  <w:sz w:val="20"/>
                  <w:u w:val="single"/>
                </w:rPr>
                <w:t>48</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signatures">
              <w:r>
                <w:rPr>
                  <w:rStyle w:val="InternetLink"/>
                  <w:rFonts w:ascii="Arial" w:hAnsi="Arial"/>
                  <w:color w:val="0000FF"/>
                  <w:sz w:val="20"/>
                  <w:u w:val="single"/>
                </w:rPr>
                <w:t>49</w:t>
              </w:r>
            </w:hyperlink>
          </w:p>
        </w:tc>
      </w:tr>
    </w:tbl>
    <w:p>
      <w:pPr>
        <w:pStyle w:val="TextBody"/>
        <w:bidi w:val="0"/>
        <w:spacing w:before="40" w:after="283"/>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left"/>
              <w:rPr>
                <w:sz w:val="4"/>
                <w:szCs w:val="4"/>
              </w:rPr>
            </w:pPr>
            <w:r>
              <w:rPr>
                <w:sz w:val="4"/>
                <w:szCs w:val="4"/>
              </w:rPr>
            </w:r>
          </w:p>
        </w:tc>
      </w:tr>
      <w:tr>
        <w:trPr/>
        <w:tc>
          <w:tcPr>
            <w:tcW w:w="339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20"/>
              </w:rPr>
            </w:pPr>
            <w:bookmarkStart w:id="4" w:name="part_i_financial_information"/>
            <w:bookmarkEnd w:id="4"/>
            <w:r>
              <w:rPr>
                <w:rFonts w:ascii="Arial" w:hAnsi="Arial"/>
                <w:b/>
                <w:color w:val="000000"/>
                <w:sz w:val="20"/>
              </w:rPr>
              <w:t>PART I. FINANCIAL INFORMATION</w:t>
            </w:r>
          </w:p>
        </w:tc>
      </w:tr>
    </w:tbl>
    <w:p>
      <w:pPr>
        <w:pStyle w:val="TextBody"/>
        <w:bidi w:val="0"/>
        <w:spacing w:before="200" w:after="283"/>
        <w:jc w:val="left"/>
        <w:rPr>
          <w:rFonts w:ascii="Arial" w:hAnsi="Arial"/>
          <w:b/>
          <w:color w:val="000000"/>
          <w:sz w:val="20"/>
        </w:rPr>
      </w:pPr>
      <w:bookmarkStart w:id="5" w:name="item_1_financial_statements"/>
      <w:bookmarkEnd w:id="5"/>
      <w:r>
        <w:rPr>
          <w:rFonts w:ascii="Arial" w:hAnsi="Arial"/>
          <w:b/>
          <w:color w:val="000000"/>
          <w:sz w:val="20"/>
        </w:rPr>
        <w:t>ITEM 1. Financial Statements</w:t>
      </w:r>
    </w:p>
    <w:p>
      <w:pPr>
        <w:pStyle w:val="TextBody"/>
        <w:bidi w:val="0"/>
        <w:spacing w:before="240" w:after="283"/>
        <w:jc w:val="center"/>
        <w:rPr>
          <w:rFonts w:ascii="Arial" w:hAnsi="Arial"/>
          <w:b/>
          <w:color w:val="000000"/>
          <w:sz w:val="20"/>
        </w:rPr>
      </w:pPr>
      <w:r>
        <w:rPr>
          <w:rFonts w:ascii="Arial" w:hAnsi="Arial"/>
          <w:b/>
          <w:color w:val="000000"/>
          <w:sz w:val="20"/>
        </w:rPr>
        <w:t>Allison Transmission Holdings, Inc.</w:t>
      </w:r>
    </w:p>
    <w:p>
      <w:pPr>
        <w:pStyle w:val="TextBody"/>
        <w:bidi w:val="0"/>
        <w:jc w:val="center"/>
        <w:rPr>
          <w:rFonts w:ascii="Arial" w:hAnsi="Arial"/>
          <w:b/>
          <w:color w:val="000000"/>
          <w:sz w:val="20"/>
        </w:rPr>
      </w:pPr>
      <w:bookmarkStart w:id="6" w:name="condensed_consolidated_balance_sheets"/>
      <w:bookmarkEnd w:id="6"/>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(unaudited, dollars in millions,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46"/>
        <w:gridCol w:w="146"/>
        <w:gridCol w:w="211"/>
        <w:gridCol w:w="586"/>
        <w:gridCol w:w="166"/>
        <w:gridCol w:w="146"/>
        <w:gridCol w:w="267"/>
        <w:gridCol w:w="745"/>
        <w:gridCol w:w="492"/>
      </w:tblGrid>
      <w:tr>
        <w:trPr/>
        <w:tc>
          <w:tcPr>
            <w:tcW w:w="7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781</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receivable – net of allowance for doubtful accounts of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1,538</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822</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2,075</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5,336</w:t>
            </w:r>
          </w:p>
        </w:tc>
        <w:tc>
          <w:tcPr>
            <w:tcW w:w="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 warranty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warranty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2,395</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3,685</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Commitments and contingencies</w:t>
            </w:r>
            <w:r>
              <w:rPr>
                <w:rFonts w:ascii="Times New Roman" w:hAnsi="Times New Roman"/>
                <w:color w:val="000000"/>
                <w:sz w:val="20"/>
              </w:rPr>
              <w:t> </w:t>
            </w:r>
            <w:r>
              <w:rPr>
                <w:rFonts w:ascii="Arial" w:hAnsi="Arial"/>
                <w:color w:val="000000"/>
                <w:sz w:val="20"/>
              </w:rPr>
              <w:t>(see Note 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Common stock, $0.01</w:t>
            </w:r>
            <w:r>
              <w:rPr>
                <w:rFonts w:ascii="Times New Roman" w:hAnsi="Times New Roman"/>
                <w:color w:val="000000"/>
                <w:sz w:val="20"/>
              </w:rPr>
              <w:t> </w:t>
            </w:r>
            <w:r>
              <w:rPr>
                <w:rFonts w:ascii="Arial" w:hAnsi="Arial"/>
                <w:color w:val="000000"/>
                <w:sz w:val="20"/>
              </w:rPr>
              <w:t>par value, 1,880,000,000</w:t>
            </w:r>
            <w:r>
              <w:rPr>
                <w:rFonts w:ascii="Times New Roman" w:hAnsi="Times New Roman"/>
                <w:color w:val="000000"/>
                <w:sz w:val="20"/>
              </w:rPr>
              <w:t> </w:t>
            </w:r>
            <w:r>
              <w:rPr>
                <w:rFonts w:ascii="Arial" w:hAnsi="Arial"/>
                <w:color w:val="000000"/>
                <w:sz w:val="20"/>
              </w:rPr>
              <w:t>shares authorized, 83,624,506</w:t>
            </w:r>
            <w:r>
              <w:rPr>
                <w:rFonts w:ascii="Times New Roman" w:hAnsi="Times New Roman"/>
                <w:color w:val="000000"/>
                <w:sz w:val="20"/>
              </w:rPr>
              <w:t> </w:t>
            </w:r>
            <w:r>
              <w:rPr>
                <w:rFonts w:ascii="Arial" w:hAnsi="Arial"/>
                <w:color w:val="000000"/>
                <w:sz w:val="20"/>
              </w:rPr>
              <w:t>shares issued and outstanding and 85,776,801</w:t>
            </w:r>
            <w:r>
              <w:rPr>
                <w:rFonts w:ascii="Times New Roman" w:hAnsi="Times New Roman"/>
                <w:color w:val="000000"/>
                <w:sz w:val="20"/>
              </w:rPr>
              <w:t> </w:t>
            </w:r>
            <w:r>
              <w:rPr>
                <w:rFonts w:ascii="Arial" w:hAnsi="Arial"/>
                <w:color w:val="000000"/>
                <w:sz w:val="20"/>
              </w:rPr>
              <w:t>shares issued and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Non-voting common stock, $0.01</w:t>
            </w:r>
            <w:r>
              <w:rPr>
                <w:rFonts w:ascii="Times New Roman" w:hAnsi="Times New Roman"/>
                <w:color w:val="000000"/>
                <w:sz w:val="20"/>
              </w:rPr>
              <w:t> </w:t>
            </w:r>
            <w:r>
              <w:rPr>
                <w:rFonts w:ascii="Arial" w:hAnsi="Arial"/>
                <w:color w:val="000000"/>
                <w:sz w:val="20"/>
              </w:rPr>
              <w:t>par value, 20,000,000</w:t>
            </w:r>
            <w:r>
              <w:rPr>
                <w:rFonts w:ascii="Times New Roman" w:hAnsi="Times New Roman"/>
                <w:color w:val="000000"/>
                <w:sz w:val="20"/>
              </w:rPr>
              <w:t> </w:t>
            </w:r>
            <w:r>
              <w:rPr>
                <w:rFonts w:ascii="Arial" w:hAnsi="Arial"/>
                <w:color w:val="000000"/>
                <w:sz w:val="20"/>
              </w:rPr>
              <w:t>shares authorized, none</w:t>
            </w:r>
            <w:r>
              <w:rPr>
                <w:rFonts w:ascii="Times New Roman" w:hAnsi="Times New Roman"/>
                <w:color w:val="000000"/>
                <w:sz w:val="20"/>
              </w:rPr>
              <w:t> </w:t>
            </w:r>
            <w:r>
              <w:rPr>
                <w:rFonts w:ascii="Arial" w:hAnsi="Arial"/>
                <w:color w:val="000000"/>
                <w:sz w:val="20"/>
              </w:rPr>
              <w:t>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Preferred stock, $0.01</w:t>
            </w:r>
            <w:r>
              <w:rPr>
                <w:rFonts w:ascii="Times New Roman" w:hAnsi="Times New Roman"/>
                <w:color w:val="000000"/>
                <w:sz w:val="20"/>
              </w:rPr>
              <w:t> </w:t>
            </w:r>
            <w:r>
              <w:rPr>
                <w:rFonts w:ascii="Arial" w:hAnsi="Arial"/>
                <w:color w:val="000000"/>
                <w:sz w:val="20"/>
              </w:rPr>
              <w:t>par value, 100,000,000</w:t>
            </w:r>
            <w:r>
              <w:rPr>
                <w:rFonts w:ascii="Times New Roman" w:hAnsi="Times New Roman"/>
                <w:color w:val="000000"/>
                <w:sz w:val="20"/>
              </w:rPr>
              <w:t> </w:t>
            </w:r>
            <w:r>
              <w:rPr>
                <w:rFonts w:ascii="Arial" w:hAnsi="Arial"/>
                <w:color w:val="000000"/>
                <w:sz w:val="20"/>
              </w:rPr>
              <w:t>shares authorized, none</w:t>
            </w:r>
            <w:r>
              <w:rPr>
                <w:rFonts w:ascii="Times New Roman" w:hAnsi="Times New Roman"/>
                <w:color w:val="000000"/>
                <w:sz w:val="20"/>
              </w:rPr>
              <w:t> </w:t>
            </w:r>
            <w:r>
              <w:rPr>
                <w:rFonts w:ascii="Arial" w:hAnsi="Arial"/>
                <w:color w:val="000000"/>
                <w:sz w:val="20"/>
              </w:rPr>
              <w:t>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Paid 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1,940</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4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1,651</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&amp;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5,336</w:t>
            </w:r>
          </w:p>
        </w:tc>
        <w:tc>
          <w:tcPr>
            <w:tcW w:w="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The accompanying notes are an integral part of the condensed consolidated financial statements.</w:t>
      </w:r>
    </w:p>
    <w:p>
      <w:pPr>
        <w:pStyle w:val="TextBody"/>
        <w:bidi w:val="0"/>
        <w:spacing w:before="18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Allison Transmission Holdings, Inc.</w:t>
      </w:r>
    </w:p>
    <w:p>
      <w:pPr>
        <w:pStyle w:val="TextBody"/>
        <w:bidi w:val="0"/>
        <w:jc w:val="center"/>
        <w:rPr>
          <w:rFonts w:ascii="Arial" w:hAnsi="Arial"/>
          <w:b/>
          <w:color w:val="000000"/>
          <w:sz w:val="20"/>
        </w:rPr>
      </w:pPr>
      <w:bookmarkStart w:id="7" w:name="condensed_consolidated_statements_compre"/>
      <w:bookmarkEnd w:id="7"/>
      <w:r>
        <w:rPr>
          <w:rFonts w:ascii="Arial" w:hAnsi="Arial"/>
          <w:b/>
          <w:color w:val="000000"/>
          <w:sz w:val="20"/>
        </w:rPr>
        <w:t>Condensed Consolidated Statements of Comprehensive Income</w:t>
      </w:r>
    </w:p>
    <w:p>
      <w:pPr>
        <w:pStyle w:val="TextBody"/>
        <w:bidi w:val="0"/>
        <w:jc w:val="center"/>
        <w:rPr>
          <w:rFonts w:ascii="Arial" w:hAnsi="Arial"/>
          <w:b/>
          <w:color w:val="000000"/>
          <w:sz w:val="20"/>
        </w:rPr>
      </w:pPr>
      <w:r>
        <w:rPr>
          <w:rFonts w:ascii="Arial" w:hAnsi="Arial"/>
          <w:b/>
          <w:color w:val="000000"/>
          <w:sz w:val="20"/>
        </w:rPr>
        <w:t>(unaudited, dollars in millions,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74"/>
        <w:gridCol w:w="146"/>
        <w:gridCol w:w="284"/>
        <w:gridCol w:w="648"/>
        <w:gridCol w:w="223"/>
        <w:gridCol w:w="196"/>
        <w:gridCol w:w="284"/>
        <w:gridCol w:w="648"/>
        <w:gridCol w:w="166"/>
        <w:gridCol w:w="146"/>
        <w:gridCol w:w="240"/>
        <w:gridCol w:w="668"/>
        <w:gridCol w:w="189"/>
        <w:gridCol w:w="166"/>
        <w:gridCol w:w="240"/>
        <w:gridCol w:w="668"/>
        <w:gridCol w:w="219"/>
      </w:tblGrid>
      <w:tr>
        <w:trPr/>
        <w:tc>
          <w:tcPr>
            <w:tcW w:w="5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814</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1,605</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412</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800</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402</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760</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Engineering —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242</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(88</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195</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387</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Basic earnings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2.32</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4.55</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earnings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2.29</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4.50</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401</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The accompanying notes are an integral part of the condensed consolidated financial statements.</w:t>
      </w:r>
    </w:p>
    <w:p>
      <w:pPr>
        <w:pStyle w:val="TextBody"/>
        <w:bidi w:val="0"/>
        <w:spacing w:before="18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Allison Transmission Holdings, Inc.</w:t>
      </w:r>
    </w:p>
    <w:p>
      <w:pPr>
        <w:pStyle w:val="TextBody"/>
        <w:bidi w:val="0"/>
        <w:jc w:val="center"/>
        <w:rPr>
          <w:rFonts w:ascii="Arial" w:hAnsi="Arial"/>
          <w:b/>
          <w:color w:val="000000"/>
          <w:sz w:val="20"/>
        </w:rPr>
      </w:pPr>
      <w:bookmarkStart w:id="8" w:name="condensed_consolidated_statements_cash_f"/>
      <w:bookmarkEnd w:id="8"/>
      <w:r>
        <w:rPr>
          <w:rFonts w:ascii="Arial" w:hAnsi="Arial"/>
          <w:b/>
          <w:color w:val="000000"/>
          <w:sz w:val="20"/>
        </w:rPr>
        <w:t>Condensed Consolidated Statements of Cash Flows</w:t>
      </w:r>
    </w:p>
    <w:p>
      <w:pPr>
        <w:pStyle w:val="TextBody"/>
        <w:bidi w:val="0"/>
        <w:jc w:val="center"/>
        <w:rPr>
          <w:rFonts w:ascii="Arial" w:hAnsi="Arial"/>
          <w:b/>
          <w:color w:val="000000"/>
          <w:sz w:val="20"/>
        </w:rPr>
      </w:pPr>
      <w:r>
        <w:rPr>
          <w:rFonts w:ascii="Arial" w:hAnsi="Arial"/>
          <w:b/>
          <w:color w:val="000000"/>
          <w:sz w:val="20"/>
        </w:rPr>
        <w:t>(unaudited, dollars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0"/>
        <w:gridCol w:w="146"/>
        <w:gridCol w:w="278"/>
        <w:gridCol w:w="634"/>
        <w:gridCol w:w="218"/>
        <w:gridCol w:w="192"/>
        <w:gridCol w:w="278"/>
        <w:gridCol w:w="634"/>
        <w:gridCol w:w="775"/>
      </w:tblGrid>
      <w:tr>
        <w:trPr/>
        <w:tc>
          <w:tcPr>
            <w:tcW w:w="7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(gain)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Pension settlement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Technology-related investments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365</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Additions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Investment in equity method investee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used for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Dividend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Taxes paid related to net share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Debt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Payments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used for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781</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778</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Income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Interest received from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Non-cash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Capital expenditures in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The accompanying notes are an integral part of the condensed consolidated financial statements.</w:t>
      </w:r>
    </w:p>
    <w:p>
      <w:pPr>
        <w:pStyle w:val="TextBody"/>
        <w:bidi w:val="0"/>
        <w:spacing w:before="18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9" w:name="condensed_consolidated_statements_equity"/>
      <w:bookmarkEnd w:id="9"/>
      <w:r>
        <w:rPr>
          <w:rFonts w:ascii="Arial" w:hAnsi="Arial"/>
          <w:b/>
          <w:color w:val="000000"/>
          <w:sz w:val="20"/>
        </w:rPr>
        <w:t>Allison Transmission Holdings, Inc.</w:t>
      </w:r>
    </w:p>
    <w:p>
      <w:pPr>
        <w:pStyle w:val="TextBody"/>
        <w:bidi w:val="0"/>
        <w:jc w:val="center"/>
        <w:rPr>
          <w:rFonts w:ascii="Arial" w:hAnsi="Arial"/>
          <w:b/>
          <w:color w:val="000000"/>
          <w:sz w:val="20"/>
        </w:rPr>
      </w:pPr>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(unaudited, dollars in millions)</w:t>
      </w:r>
    </w:p>
    <w:p>
      <w:pPr>
        <w:pStyle w:val="TextBody"/>
        <w:bidi w:val="0"/>
        <w:jc w:val="left"/>
        <w:rPr/>
      </w:pPr>
      <w:r>
        <w:rPr/>
        <w:t> </w:t>
      </w:r>
    </w:p>
    <w:tbl>
      <w:tblPr>
        <w:tblW w:w="11223" w:type="dxa"/>
        <w:jc w:val="left"/>
        <w:tblInd w:w="0" w:type="dxa"/>
        <w:tblLayout w:type="fixed"/>
        <w:tblCellMar>
          <w:top w:w="28" w:type="dxa"/>
          <w:left w:w="28" w:type="dxa"/>
          <w:bottom w:w="28" w:type="dxa"/>
          <w:right w:w="28" w:type="dxa"/>
        </w:tblCellMar>
      </w:tblPr>
      <w:tblGrid>
        <w:gridCol w:w="1616"/>
        <w:gridCol w:w="146"/>
        <w:gridCol w:w="318"/>
        <w:gridCol w:w="523"/>
        <w:gridCol w:w="146"/>
        <w:gridCol w:w="146"/>
        <w:gridCol w:w="381"/>
        <w:gridCol w:w="625"/>
        <w:gridCol w:w="146"/>
        <w:gridCol w:w="146"/>
        <w:gridCol w:w="312"/>
        <w:gridCol w:w="514"/>
        <w:gridCol w:w="146"/>
        <w:gridCol w:w="146"/>
        <w:gridCol w:w="211"/>
        <w:gridCol w:w="586"/>
        <w:gridCol w:w="146"/>
        <w:gridCol w:w="146"/>
        <w:gridCol w:w="352"/>
        <w:gridCol w:w="804"/>
        <w:gridCol w:w="166"/>
        <w:gridCol w:w="146"/>
        <w:gridCol w:w="485"/>
        <w:gridCol w:w="866"/>
        <w:gridCol w:w="166"/>
        <w:gridCol w:w="146"/>
        <w:gridCol w:w="317"/>
        <w:gridCol w:w="884"/>
        <w:gridCol w:w="491"/>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(Deficit)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Other Comprehensive (Loss) Income, 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 Equity</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Pension and OPEB liability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Dividends on common stock ($0.25</w:t>
            </w:r>
            <w:r>
              <w:rPr>
                <w:rFonts w:ascii="Times New Roman" w:hAnsi="Times New Roman"/>
                <w:color w:val="000000"/>
                <w:sz w:val="20"/>
              </w:rPr>
              <w:t> </w:t>
            </w:r>
            <w:r>
              <w:rPr>
                <w:rFonts w:ascii="Arial" w:hAnsi="Arial"/>
                <w:color w:val="000000"/>
                <w:sz w:val="20"/>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Pension and OPEB liability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Dividends on common stock ($0.27</w:t>
            </w:r>
            <w:r>
              <w:rPr>
                <w:rFonts w:ascii="Times New Roman" w:hAnsi="Times New Roman"/>
                <w:color w:val="000000"/>
                <w:sz w:val="20"/>
              </w:rPr>
              <w:t> </w:t>
            </w:r>
            <w:r>
              <w:rPr>
                <w:rFonts w:ascii="Arial" w:hAnsi="Arial"/>
                <w:color w:val="000000"/>
                <w:sz w:val="20"/>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1,753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rFonts w:ascii="Arial" w:hAnsi="Arial"/>
          <w:color w:val="000000"/>
          <w:sz w:val="20"/>
        </w:rPr>
      </w:pPr>
      <w:r>
        <w:rPr>
          <w:rFonts w:ascii="Arial" w:hAnsi="Arial"/>
          <w:color w:val="000000"/>
          <w:sz w:val="20"/>
        </w:rPr>
        <w:t>The accompanying notes are an integral part of the condensed consolidated financial statements.</w:t>
      </w:r>
    </w:p>
    <w:p>
      <w:pPr>
        <w:pStyle w:val="TextBody"/>
        <w:bidi w:val="0"/>
        <w:spacing w:before="18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1243" w:type="dxa"/>
        <w:jc w:val="left"/>
        <w:tblInd w:w="0" w:type="dxa"/>
        <w:tblLayout w:type="fixed"/>
        <w:tblCellMar>
          <w:top w:w="28" w:type="dxa"/>
          <w:left w:w="28" w:type="dxa"/>
          <w:bottom w:w="28" w:type="dxa"/>
          <w:right w:w="28" w:type="dxa"/>
        </w:tblCellMar>
      </w:tblPr>
      <w:tblGrid>
        <w:gridCol w:w="1616"/>
        <w:gridCol w:w="146"/>
        <w:gridCol w:w="318"/>
        <w:gridCol w:w="523"/>
        <w:gridCol w:w="146"/>
        <w:gridCol w:w="146"/>
        <w:gridCol w:w="381"/>
        <w:gridCol w:w="625"/>
        <w:gridCol w:w="146"/>
        <w:gridCol w:w="146"/>
        <w:gridCol w:w="312"/>
        <w:gridCol w:w="514"/>
        <w:gridCol w:w="146"/>
        <w:gridCol w:w="146"/>
        <w:gridCol w:w="211"/>
        <w:gridCol w:w="586"/>
        <w:gridCol w:w="166"/>
        <w:gridCol w:w="146"/>
        <w:gridCol w:w="352"/>
        <w:gridCol w:w="804"/>
        <w:gridCol w:w="166"/>
        <w:gridCol w:w="146"/>
        <w:gridCol w:w="485"/>
        <w:gridCol w:w="866"/>
        <w:gridCol w:w="166"/>
        <w:gridCol w:w="146"/>
        <w:gridCol w:w="317"/>
        <w:gridCol w:w="884"/>
        <w:gridCol w:w="491"/>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(Deficit)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Other Comprehensive (Loss) Income, 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 Equity</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Pension and OPEB liability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Dividends on common stock ($0.50</w:t>
            </w:r>
            <w:r>
              <w:rPr>
                <w:rFonts w:ascii="Times New Roman" w:hAnsi="Times New Roman"/>
                <w:color w:val="000000"/>
                <w:sz w:val="20"/>
              </w:rPr>
              <w:t> </w:t>
            </w:r>
            <w:r>
              <w:rPr>
                <w:rFonts w:ascii="Arial" w:hAnsi="Arial"/>
                <w:color w:val="000000"/>
                <w:sz w:val="20"/>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Pension and OPEB liability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Dividends on common stock ($0.54</w:t>
            </w:r>
            <w:r>
              <w:rPr>
                <w:rFonts w:ascii="Times New Roman" w:hAnsi="Times New Roman"/>
                <w:color w:val="000000"/>
                <w:sz w:val="20"/>
              </w:rPr>
              <w:t> </w:t>
            </w:r>
            <w:r>
              <w:rPr>
                <w:rFonts w:ascii="Arial" w:hAnsi="Arial"/>
                <w:color w:val="000000"/>
                <w:sz w:val="20"/>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1,753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The accompanying notes are an integral part of the condensed consolidated financial statements.</w:t>
      </w:r>
    </w:p>
    <w:p>
      <w:pPr>
        <w:pStyle w:val="TextBody"/>
        <w:bidi w:val="0"/>
        <w:spacing w:before="18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10" w:name="notes_to_condensed_consolidated_financia"/>
      <w:bookmarkEnd w:id="10"/>
      <w:r>
        <w:rPr>
          <w:rFonts w:ascii="Arial" w:hAnsi="Arial"/>
          <w:b/>
          <w:color w:val="000000"/>
          <w:sz w:val="20"/>
        </w:rPr>
        <w:t>Allison Transmission Holdings, Inc.</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spacing w:before="360" w:after="283"/>
        <w:jc w:val="left"/>
        <w:rPr>
          <w:rFonts w:ascii="Arial" w:hAnsi="Arial"/>
          <w:b/>
          <w:color w:val="000000"/>
          <w:sz w:val="20"/>
        </w:rPr>
      </w:pPr>
      <w:r>
        <w:rPr>
          <w:rFonts w:ascii="Arial" w:hAnsi="Arial"/>
          <w:b/>
          <w:color w:val="000000"/>
          <w:sz w:val="20"/>
        </w:rPr>
        <w:t>NOTE A. OVERVIEW</w:t>
      </w:r>
    </w:p>
    <w:p>
      <w:pPr>
        <w:pStyle w:val="TextBody"/>
        <w:bidi w:val="0"/>
        <w:spacing w:before="120" w:after="283"/>
        <w:jc w:val="left"/>
        <w:rPr>
          <w:rFonts w:ascii="Arial" w:hAnsi="Arial"/>
          <w:b/>
          <w:i/>
          <w:color w:val="000000"/>
          <w:sz w:val="20"/>
        </w:rPr>
      </w:pPr>
      <w:r>
        <w:rPr>
          <w:rFonts w:ascii="Arial" w:hAnsi="Arial"/>
          <w:b/>
          <w:i/>
          <w:color w:val="000000"/>
          <w:sz w:val="20"/>
        </w:rPr>
        <w:t>Overview</w:t>
      </w:r>
    </w:p>
    <w:p>
      <w:pPr>
        <w:pStyle w:val="TextBody"/>
        <w:bidi w:val="0"/>
        <w:spacing w:before="120" w:after="283"/>
        <w:jc w:val="left"/>
        <w:rPr>
          <w:rFonts w:ascii="Arial" w:hAnsi="Arial"/>
          <w:color w:val="000000"/>
          <w:sz w:val="20"/>
        </w:rPr>
      </w:pPr>
      <w:r>
        <w:rPr>
          <w:rFonts w:ascii="Arial" w:hAnsi="Arial"/>
          <w:color w:val="000000"/>
          <w:sz w:val="20"/>
        </w:rPr>
        <w:t>Allison Transmission Holdings, Inc. and its subsidiaries (“Allison” or the “Company”) is a leading designer and manufacturer of propulsion solutions for commercial and defense vehicles and the largest global manufacturer of medium- and heavy-duty fully automatic transmissions. The business was founded in 1915 and has been headquartered in Indianapolis, Indiana since inception. Allison is traded on the New York Stock Exchange under the symbol “ALSN”.</w:t>
      </w:r>
    </w:p>
    <w:p>
      <w:pPr>
        <w:pStyle w:val="TextBody"/>
        <w:bidi w:val="0"/>
        <w:spacing w:before="120" w:after="283"/>
        <w:jc w:val="left"/>
        <w:rPr>
          <w:rFonts w:ascii="Times New Roman" w:hAnsi="Times New Roman"/>
          <w:sz w:val="20"/>
        </w:rPr>
      </w:pPr>
      <w:r>
        <w:rPr>
          <w:rFonts w:ascii="Arial" w:hAnsi="Arial"/>
          <w:color w:val="000000"/>
          <w:sz w:val="20"/>
        </w:rPr>
        <w:t>The Company has a global presence by serving customers in North America, Asia, Europe, South America, and Africa, with approximately 77% of its revenues being generated in North America in 2024. The Company serves customers through an independent network of approximately 1,600</w:t>
      </w:r>
      <w:r>
        <w:rPr>
          <w:rFonts w:ascii="Times New Roman" w:hAnsi="Times New Roman"/>
          <w:color w:val="000000"/>
          <w:sz w:val="20"/>
        </w:rPr>
        <w:t xml:space="preserve"> </w:t>
      </w:r>
      <w:r>
        <w:rPr>
          <w:rFonts w:ascii="Arial" w:hAnsi="Arial"/>
          <w:color w:val="000000"/>
          <w:sz w:val="20"/>
        </w:rPr>
        <w:t>independent distributor and dealer locations worldwide.</w:t>
      </w:r>
    </w:p>
    <w:p>
      <w:pPr>
        <w:pStyle w:val="TextBody"/>
        <w:bidi w:val="0"/>
        <w:spacing w:before="360" w:after="283"/>
        <w:jc w:val="left"/>
        <w:rPr>
          <w:rFonts w:ascii="Arial" w:hAnsi="Arial"/>
          <w:b/>
          <w:color w:val="000000"/>
          <w:sz w:val="20"/>
        </w:rPr>
      </w:pPr>
      <w:r>
        <w:rPr>
          <w:rFonts w:ascii="Arial" w:hAnsi="Arial"/>
          <w:b/>
          <w:color w:val="000000"/>
          <w:sz w:val="20"/>
        </w:rPr>
        <w:t>NOTE B. SUMMARY OF SIGNIFICANT ACCOUNTING POLICIES</w:t>
      </w:r>
    </w:p>
    <w:p>
      <w:pPr>
        <w:pStyle w:val="TextBody"/>
        <w:bidi w:val="0"/>
        <w:spacing w:before="120" w:after="283"/>
        <w:jc w:val="left"/>
        <w:rPr>
          <w:rFonts w:ascii="Arial" w:hAnsi="Arial"/>
          <w:b/>
          <w:i/>
          <w:color w:val="000000"/>
          <w:sz w:val="20"/>
        </w:rPr>
      </w:pPr>
      <w:r>
        <w:rPr>
          <w:rFonts w:ascii="Arial" w:hAnsi="Arial"/>
          <w:b/>
          <w:i/>
          <w:color w:val="000000"/>
          <w:sz w:val="20"/>
        </w:rPr>
        <w:t>Basis of Presentation and Principles of Consolidation</w:t>
      </w:r>
    </w:p>
    <w:p>
      <w:pPr>
        <w:pStyle w:val="TextBody"/>
        <w:bidi w:val="0"/>
        <w:spacing w:before="120" w:after="283"/>
        <w:jc w:val="left"/>
        <w:rPr>
          <w:rFonts w:ascii="Arial" w:hAnsi="Arial"/>
          <w:color w:val="000000"/>
          <w:sz w:val="20"/>
        </w:rPr>
      </w:pPr>
      <w:r>
        <w:rPr>
          <w:rFonts w:ascii="Arial" w:hAnsi="Arial"/>
          <w:color w:val="000000"/>
          <w:sz w:val="20"/>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pStyle w:val="TextBody"/>
        <w:bidi w:val="0"/>
        <w:spacing w:before="120" w:after="283"/>
        <w:jc w:val="left"/>
        <w:rPr>
          <w:rFonts w:ascii="Arial" w:hAnsi="Arial"/>
          <w:color w:val="000000"/>
          <w:sz w:val="20"/>
        </w:rPr>
      </w:pPr>
      <w:r>
        <w:rPr>
          <w:rFonts w:ascii="Arial" w:hAnsi="Arial"/>
          <w:color w:val="000000"/>
          <w:sz w:val="20"/>
        </w:rPr>
        <w:t>These condensed consolidated financial statements present the financial position, results of comprehensive income, cash flows and statements of stockholders’ equity of the Company. Certain immaterial reclassifications have been made in the condensed consolidated financial statements of prior periods to conform to the current period presentation. These reclassifications had no impact on previously reported net income, total stockholders’ equity or cash flows. The condensed consolidated financial statements should be read in conjunction with the audited consolidated financial statements included in our Annual Report on Form 10-K for the year ended December 31, 2024 as filed with the Securities and Exchange Commission on February 13, 2025. The interim period financial results for the three- and six-month periods presented are not necessarily indicative of results to be expected for any other interim period or for the entire year.</w:t>
      </w:r>
    </w:p>
    <w:p>
      <w:pPr>
        <w:pStyle w:val="TextBody"/>
        <w:bidi w:val="0"/>
        <w:spacing w:before="18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Use of Estimates</w:t>
      </w:r>
    </w:p>
    <w:p>
      <w:pPr>
        <w:pStyle w:val="TextBody"/>
        <w:bidi w:val="0"/>
        <w:spacing w:before="120" w:after="283"/>
        <w:jc w:val="left"/>
        <w:rPr>
          <w:rFonts w:ascii="Arial" w:hAnsi="Arial"/>
          <w:color w:val="000000"/>
          <w:sz w:val="20"/>
        </w:rPr>
      </w:pPr>
      <w:r>
        <w:rPr>
          <w:rFonts w:ascii="Arial" w:hAnsi="Arial"/>
          <w:color w:val="000000"/>
          <w:sz w:val="20"/>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incentives, government price adjustments, fair market values and future cash flows associated with goodwill, indefinite-lived intangibles, definite-lived intangibles, long-lived asset impairment tests, useful lives for depreciation and amortization, warranty liabilities, core deposit liabilities, determination of discount rate and other assumptions for pension and other post-retirement benefit ("OPEB") expense,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Actual results could differ materially from these estimates and from the assumptions used in the preparation of the Company's financial statements. Changes in estimates are recorded in results of operations in the period that the events or circumstances giving rise to such changes occur.</w:t>
      </w:r>
    </w:p>
    <w:p>
      <w:pPr>
        <w:pStyle w:val="TextBody"/>
        <w:bidi w:val="0"/>
        <w:spacing w:before="120" w:after="283"/>
        <w:jc w:val="left"/>
        <w:rPr>
          <w:rFonts w:ascii="Arial" w:hAnsi="Arial"/>
          <w:b/>
          <w:i/>
          <w:color w:val="000000"/>
          <w:sz w:val="20"/>
        </w:rPr>
      </w:pPr>
      <w:r>
        <w:rPr>
          <w:rFonts w:ascii="Arial" w:hAnsi="Arial"/>
          <w:b/>
          <w:i/>
          <w:color w:val="000000"/>
          <w:sz w:val="20"/>
        </w:rPr>
        <w:t>Recently Issued Accounting Pronouncements</w:t>
      </w:r>
    </w:p>
    <w:p>
      <w:pPr>
        <w:pStyle w:val="TextBody"/>
        <w:bidi w:val="0"/>
        <w:spacing w:before="120" w:after="283"/>
        <w:jc w:val="left"/>
        <w:rPr>
          <w:rFonts w:ascii="Times New Roman" w:hAnsi="Times New Roman"/>
          <w:sz w:val="20"/>
        </w:rPr>
      </w:pPr>
      <w:r>
        <w:rPr>
          <w:rFonts w:ascii="Arial" w:hAnsi="Arial"/>
          <w:color w:val="000000"/>
          <w:sz w:val="20"/>
        </w:rPr>
        <w:t>In December 2023, the Financial Accounting Standards Board ("FASB") issued authoritative accounting guidance to improve income tax disclosures by requiring disaggregated information about a reporting entity's effective tax rate reconciliation and information on income taxes paid. The guidance will become effective for the Company beginning with its fiscal year ending December 31, 2025. The guidance may be applied prospectively with the option to apply it retrospectively. The adoption of this guidance is not expected to have an impact on the Company's consolidated financial statements but will result in additional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 November 2024, the FASB issued authoritative accounting guidance, which was subsequently amended, requiring additional disaggregation of certain expense and cost line items presented in the financial statements and in the notes to the financial statements. The guidance will become effective for the Company beginning with the fiscal year ending December 31, 2027 and the subsequent interim periods. Early adoption is permitted. Upon adoption, the guidance may be applied prospectively or retrospectively. Management is currently evaluating the impact of this guidance on the Company's consolidated financial statements.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All other recently issued accounting pronouncements were assessed as either not applicable to the Company or were not expected to have a material impact on the Company's condensed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20" w:after="283"/>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NOTE C. REVENUE</w:t>
      </w:r>
    </w:p>
    <w:p>
      <w:pPr>
        <w:pStyle w:val="TextBody"/>
        <w:bidi w:val="0"/>
        <w:spacing w:before="120" w:after="283"/>
        <w:jc w:val="left"/>
        <w:rPr>
          <w:rFonts w:ascii="Arial" w:hAnsi="Arial"/>
          <w:color w:val="000000"/>
          <w:sz w:val="20"/>
        </w:rPr>
      </w:pPr>
      <w:r>
        <w:rPr>
          <w:rFonts w:ascii="Arial" w:hAnsi="Arial"/>
          <w:color w:val="000000"/>
          <w:sz w:val="20"/>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pStyle w:val="TextBody"/>
        <w:bidi w:val="0"/>
        <w:spacing w:before="120" w:after="283"/>
        <w:jc w:val="left"/>
        <w:rPr>
          <w:rFonts w:ascii="Arial" w:hAnsi="Arial"/>
          <w:color w:val="000000"/>
          <w:sz w:val="20"/>
        </w:rPr>
      </w:pPr>
      <w:r>
        <w:rPr>
          <w:rFonts w:ascii="Arial" w:hAnsi="Arial"/>
          <w:color w:val="000000"/>
          <w:sz w:val="20"/>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pStyle w:val="TextBody"/>
        <w:bidi w:val="0"/>
        <w:spacing w:before="120" w:after="283"/>
        <w:jc w:val="left"/>
        <w:rPr>
          <w:rFonts w:ascii="Times New Roman" w:hAnsi="Times New Roman"/>
          <w:sz w:val="20"/>
        </w:rPr>
      </w:pPr>
      <w:r>
        <w:rPr>
          <w:rFonts w:ascii="Arial" w:hAnsi="Arial"/>
          <w:color w:val="000000"/>
          <w:sz w:val="20"/>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The Company estimates the impact of all other incentives based on the related sales and market conditions in the end market vocation. The Company recorded no</w:t>
      </w:r>
      <w:r>
        <w:rPr>
          <w:rFonts w:ascii="Times New Roman" w:hAnsi="Times New Roman"/>
          <w:color w:val="000000"/>
          <w:sz w:val="20"/>
        </w:rPr>
        <w:t xml:space="preserve"> </w:t>
      </w:r>
      <w:r>
        <w:rPr>
          <w:rFonts w:ascii="Arial" w:hAnsi="Arial"/>
          <w:color w:val="000000"/>
          <w:sz w:val="20"/>
        </w:rPr>
        <w:t>material adjustments based on variable consideration during any of the three or six months ended June 30, 2025 or 2024.</w:t>
      </w:r>
    </w:p>
    <w:p>
      <w:pPr>
        <w:pStyle w:val="TextBody"/>
        <w:bidi w:val="0"/>
        <w:spacing w:before="120" w:after="283"/>
        <w:jc w:val="left"/>
        <w:rPr>
          <w:rFonts w:ascii="Times New Roman" w:hAnsi="Times New Roman"/>
          <w:sz w:val="20"/>
        </w:rPr>
      </w:pPr>
      <w:r>
        <w:rPr>
          <w:rFonts w:ascii="Arial" w:hAnsi="Arial"/>
          <w:color w:val="000000"/>
          <w:sz w:val="20"/>
        </w:rPr>
        <w:t>Net sales are made on credit terms, generally 30</w:t>
      </w:r>
      <w:r>
        <w:rPr>
          <w:rFonts w:ascii="Times New Roman" w:hAnsi="Times New Roman"/>
          <w:color w:val="000000"/>
          <w:sz w:val="20"/>
        </w:rPr>
        <w:t xml:space="preserve"> </w:t>
      </w:r>
      <w:r>
        <w:rPr>
          <w:rFonts w:ascii="Arial" w:hAnsi="Arial"/>
          <w:color w:val="000000"/>
          <w:sz w:val="20"/>
        </w:rPr>
        <w:t>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June 30, 2025 and December 31, 2024. See "Note J. Deferred Revenue” for more information, including the amount of revenue earned during each of the three and six months ended June 30, 2025 and 2024 that had been previously deferred. The Company had no</w:t>
      </w:r>
      <w:r>
        <w:rPr>
          <w:rFonts w:ascii="Times New Roman" w:hAnsi="Times New Roman"/>
          <w:color w:val="000000"/>
          <w:sz w:val="20"/>
        </w:rPr>
        <w:t xml:space="preserve"> </w:t>
      </w:r>
      <w:r>
        <w:rPr>
          <w:rFonts w:ascii="Arial" w:hAnsi="Arial"/>
          <w:color w:val="000000"/>
          <w:sz w:val="20"/>
        </w:rPr>
        <w:t>material contract assets as of either June 30, 2025 or December 31, 2024.</w:t>
      </w:r>
    </w:p>
    <w:p>
      <w:pPr>
        <w:pStyle w:val="TextBody"/>
        <w:bidi w:val="0"/>
        <w:spacing w:before="120" w:after="283"/>
        <w:jc w:val="left"/>
        <w:rPr>
          <w:rFonts w:ascii="Times New Roman" w:hAnsi="Times New Roman"/>
          <w:sz w:val="20"/>
        </w:rPr>
      </w:pPr>
      <w:r>
        <w:rPr>
          <w:rFonts w:ascii="Arial" w:hAnsi="Arial"/>
          <w:color w:val="000000"/>
          <w:sz w:val="20"/>
        </w:rPr>
        <w:t>The Company has one</w:t>
      </w:r>
      <w:r>
        <w:rPr>
          <w:rFonts w:ascii="Times New Roman" w:hAnsi="Times New Roman"/>
          <w:color w:val="000000"/>
          <w:sz w:val="20"/>
        </w:rPr>
        <w:t xml:space="preserve"> </w:t>
      </w:r>
      <w:r>
        <w:rPr>
          <w:rFonts w:ascii="Arial" w:hAnsi="Arial"/>
          <w:color w:val="000000"/>
          <w:sz w:val="20"/>
        </w:rPr>
        <w:t>operating segment and reportable segment. The Company is in one</w:t>
      </w:r>
      <w:r>
        <w:rPr>
          <w:rFonts w:ascii="Times New Roman" w:hAnsi="Times New Roman"/>
          <w:color w:val="000000"/>
          <w:sz w:val="20"/>
        </w:rPr>
        <w:t xml:space="preserve"> </w:t>
      </w:r>
      <w:r>
        <w:rPr>
          <w:rFonts w:ascii="Arial" w:hAnsi="Arial"/>
          <w:color w:val="000000"/>
          <w:sz w:val="20"/>
        </w:rPr>
        <w:t>line of business, which is the design, manufacture and distribution of vehicle propulsion solutions. The following presents disaggregated revenue by categories that best depict how the nature, amount, timing and uncertainty of revenue and cash flows are affected by economic factors (dollars in millions):</w:t>
      </w:r>
    </w:p>
    <w:p>
      <w:pPr>
        <w:pStyle w:val="TextBody"/>
        <w:bidi w:val="0"/>
        <w:jc w:val="left"/>
        <w:rPr/>
      </w:pPr>
      <w:r>
        <w:rPr/>
        <w:t> </w:t>
      </w:r>
    </w:p>
    <w:tbl>
      <w:tblPr>
        <w:tblW w:w="8275" w:type="dxa"/>
        <w:jc w:val="left"/>
        <w:tblInd w:w="0" w:type="dxa"/>
        <w:tblLayout w:type="fixed"/>
        <w:tblCellMar>
          <w:top w:w="28" w:type="dxa"/>
          <w:left w:w="28" w:type="dxa"/>
          <w:bottom w:w="28" w:type="dxa"/>
          <w:right w:w="28" w:type="dxa"/>
        </w:tblCellMar>
      </w:tblPr>
      <w:tblGrid>
        <w:gridCol w:w="4006"/>
        <w:gridCol w:w="146"/>
        <w:gridCol w:w="238"/>
        <w:gridCol w:w="475"/>
        <w:gridCol w:w="164"/>
        <w:gridCol w:w="164"/>
        <w:gridCol w:w="238"/>
        <w:gridCol w:w="475"/>
        <w:gridCol w:w="146"/>
        <w:gridCol w:w="146"/>
        <w:gridCol w:w="211"/>
        <w:gridCol w:w="586"/>
        <w:gridCol w:w="146"/>
        <w:gridCol w:w="146"/>
        <w:gridCol w:w="211"/>
        <w:gridCol w:w="586"/>
        <w:gridCol w:w="1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America On-Highway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417</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Outside North America On-Highway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Global Off-Highway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Parts, Support Equipment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176</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814</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NOTE D. INVENTORIES</w:t>
      </w:r>
    </w:p>
    <w:p>
      <w:pPr>
        <w:pStyle w:val="TextBody"/>
        <w:bidi w:val="0"/>
        <w:spacing w:before="120" w:after="283"/>
        <w:jc w:val="left"/>
        <w:rPr>
          <w:rFonts w:ascii="Arial" w:hAnsi="Arial"/>
          <w:color w:val="000000"/>
          <w:sz w:val="20"/>
        </w:rPr>
      </w:pPr>
      <w:r>
        <w:rPr>
          <w:rFonts w:ascii="Arial" w:hAnsi="Arial"/>
          <w:color w:val="000000"/>
          <w:sz w:val="20"/>
        </w:rPr>
        <w:t>Inventories consisted of the following components (dollars in millions):</w:t>
      </w:r>
    </w:p>
    <w:p>
      <w:pPr>
        <w:pStyle w:val="TextBody"/>
        <w:bidi w:val="0"/>
        <w:jc w:val="left"/>
        <w:rPr/>
      </w:pPr>
      <w:r>
        <w:rPr/>
        <w:t> </w:t>
      </w:r>
    </w:p>
    <w:tbl>
      <w:tblPr>
        <w:tblW w:w="5980" w:type="dxa"/>
        <w:jc w:val="left"/>
        <w:tblInd w:w="0" w:type="dxa"/>
        <w:tblLayout w:type="fixed"/>
        <w:tblCellMar>
          <w:top w:w="28" w:type="dxa"/>
          <w:left w:w="28" w:type="dxa"/>
          <w:bottom w:w="28" w:type="dxa"/>
          <w:right w:w="28" w:type="dxa"/>
        </w:tblCellMar>
      </w:tblPr>
      <w:tblGrid>
        <w:gridCol w:w="3136"/>
        <w:gridCol w:w="146"/>
        <w:gridCol w:w="255"/>
        <w:gridCol w:w="510"/>
        <w:gridCol w:w="146"/>
        <w:gridCol w:w="146"/>
        <w:gridCol w:w="389"/>
        <w:gridCol w:w="781"/>
        <w:gridCol w:w="47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Purchased parts and 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parts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pStyle w:val="TextBody"/>
        <w:bidi w:val="0"/>
        <w:spacing w:before="360" w:after="283"/>
        <w:jc w:val="left"/>
        <w:rPr>
          <w:rFonts w:ascii="Arial" w:hAnsi="Arial"/>
          <w:b/>
          <w:color w:val="000000"/>
          <w:sz w:val="20"/>
        </w:rPr>
      </w:pPr>
      <w:r>
        <w:rPr>
          <w:rFonts w:ascii="Arial" w:hAnsi="Arial"/>
          <w:b/>
          <w:color w:val="000000"/>
          <w:sz w:val="20"/>
        </w:rPr>
        <w:t>NOTE E. GOODWILL AND OTHER INTANGIBLE ASSETS</w:t>
      </w:r>
    </w:p>
    <w:p>
      <w:pPr>
        <w:pStyle w:val="TextBody"/>
        <w:bidi w:val="0"/>
        <w:spacing w:before="120" w:after="283"/>
        <w:jc w:val="left"/>
        <w:rPr>
          <w:rFonts w:ascii="Times New Roman" w:hAnsi="Times New Roman"/>
          <w:sz w:val="20"/>
        </w:rPr>
      </w:pPr>
      <w:r>
        <w:rPr>
          <w:rFonts w:ascii="Arial" w:hAnsi="Arial"/>
          <w:color w:val="000000"/>
          <w:sz w:val="20"/>
        </w:rPr>
        <w:t>As of June 30, 2025 and December 31, 2024, the carrying value of the Company’s Goodwill was $2,076</w:t>
      </w:r>
      <w:r>
        <w:rPr>
          <w:rFonts w:ascii="Times New Roman" w:hAnsi="Times New Roman"/>
          <w:color w:val="000000"/>
          <w:sz w:val="20"/>
        </w:rPr>
        <w:t xml:space="preserve"> </w:t>
      </w:r>
      <w:r>
        <w:rPr>
          <w:rFonts w:ascii="Arial" w:hAnsi="Arial"/>
          <w:color w:val="000000"/>
          <w:sz w:val="20"/>
        </w:rPr>
        <w:t>million and $2,075</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20" w:after="283"/>
        <w:jc w:val="left"/>
        <w:rPr>
          <w:rFonts w:ascii="Arial" w:hAnsi="Arial"/>
          <w:color w:val="000000"/>
          <w:sz w:val="20"/>
        </w:rPr>
      </w:pPr>
      <w:r>
        <w:rPr>
          <w:rFonts w:ascii="Arial" w:hAnsi="Arial"/>
          <w:color w:val="000000"/>
          <w:sz w:val="20"/>
        </w:rPr>
        <w:t>The following presents a summary of other intangible assets (dollars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87"/>
        <w:gridCol w:w="146"/>
        <w:gridCol w:w="257"/>
        <w:gridCol w:w="718"/>
        <w:gridCol w:w="146"/>
        <w:gridCol w:w="146"/>
        <w:gridCol w:w="284"/>
        <w:gridCol w:w="872"/>
        <w:gridCol w:w="166"/>
        <w:gridCol w:w="146"/>
        <w:gridCol w:w="305"/>
        <w:gridCol w:w="612"/>
        <w:gridCol w:w="146"/>
        <w:gridCol w:w="146"/>
        <w:gridCol w:w="257"/>
        <w:gridCol w:w="718"/>
        <w:gridCol w:w="146"/>
        <w:gridCol w:w="146"/>
        <w:gridCol w:w="284"/>
        <w:gridCol w:w="872"/>
        <w:gridCol w:w="166"/>
        <w:gridCol w:w="146"/>
        <w:gridCol w:w="305"/>
        <w:gridCol w:w="612"/>
        <w:gridCol w:w="476"/>
      </w:tblGrid>
      <w:tr>
        <w:trPr/>
        <w:tc>
          <w:tcPr>
            <w:tcW w:w="1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Intangible</w:t>
              <w:br/>
              <w:t>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Intangible</w:t>
              <w:br/>
              <w:t>assets,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Intangible</w:t>
              <w:br/>
              <w:t>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Intangible</w:t>
              <w:br/>
              <w:t>assets, net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791</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 — commercial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Proprietary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 — defense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Non-compete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822</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Amortization expense related to other intangible assets for the next five fiscal years is expected to be (dollars in millions):</w:t>
      </w:r>
    </w:p>
    <w:p>
      <w:pPr>
        <w:pStyle w:val="TextBody"/>
        <w:bidi w:val="0"/>
        <w:jc w:val="left"/>
        <w:rPr/>
      </w:pPr>
      <w:r>
        <w:rPr/>
        <w:t> </w:t>
      </w:r>
    </w:p>
    <w:tbl>
      <w:tblPr>
        <w:tblW w:w="5846" w:type="dxa"/>
        <w:jc w:val="left"/>
        <w:tblInd w:w="0" w:type="dxa"/>
        <w:tblLayout w:type="fixed"/>
        <w:tblCellMar>
          <w:top w:w="28" w:type="dxa"/>
          <w:left w:w="28" w:type="dxa"/>
          <w:bottom w:w="28" w:type="dxa"/>
          <w:right w:w="28" w:type="dxa"/>
        </w:tblCellMar>
      </w:tblPr>
      <w:tblGrid>
        <w:gridCol w:w="2011"/>
        <w:gridCol w:w="146"/>
        <w:gridCol w:w="233"/>
        <w:gridCol w:w="233"/>
        <w:gridCol w:w="146"/>
        <w:gridCol w:w="146"/>
        <w:gridCol w:w="233"/>
        <w:gridCol w:w="233"/>
        <w:gridCol w:w="146"/>
        <w:gridCol w:w="146"/>
        <w:gridCol w:w="233"/>
        <w:gridCol w:w="233"/>
        <w:gridCol w:w="146"/>
        <w:gridCol w:w="146"/>
        <w:gridCol w:w="233"/>
        <w:gridCol w:w="233"/>
        <w:gridCol w:w="146"/>
        <w:gridCol w:w="146"/>
        <w:gridCol w:w="233"/>
        <w:gridCol w:w="233"/>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NOTE F. FAIR VALUE OF FINANCIAL INSTRUMENTS</w:t>
      </w:r>
    </w:p>
    <w:p>
      <w:pPr>
        <w:pStyle w:val="TextBody"/>
        <w:bidi w:val="0"/>
        <w:spacing w:before="180" w:after="283"/>
        <w:jc w:val="left"/>
        <w:rPr>
          <w:rFonts w:ascii="Arial" w:hAnsi="Arial"/>
          <w:color w:val="000000"/>
          <w:sz w:val="20"/>
        </w:rPr>
      </w:pPr>
      <w:r>
        <w:rPr>
          <w:rFonts w:ascii="Arial" w:hAnsi="Arial"/>
          <w:color w:val="000000"/>
          <w:sz w:val="20"/>
        </w:rPr>
        <w:t>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pStyle w:val="TextBody"/>
        <w:bidi w:val="0"/>
        <w:spacing w:before="180" w:after="283"/>
        <w:jc w:val="left"/>
        <w:rPr>
          <w:rFonts w:ascii="Times New Roman" w:hAnsi="Times New Roman"/>
          <w:sz w:val="20"/>
        </w:rPr>
      </w:pPr>
      <w:r>
        <w:rPr>
          <w:rFonts w:ascii="Arial" w:hAnsi="Arial"/>
          <w:color w:val="000000"/>
          <w:sz w:val="20"/>
        </w:rPr>
        <w:t>Level 1 — Quoted prices are available in active markets for identical assets or liabilities as of the reporting date.</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Level 2 —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in which all significant value-drivers are observable in active markets or are supported by observable levels at which transactions are executed in the marketplace.</w:t>
      </w:r>
    </w:p>
    <w:p>
      <w:pPr>
        <w:pStyle w:val="TextBody"/>
        <w:bidi w:val="0"/>
        <w:spacing w:before="120" w:after="283"/>
        <w:jc w:val="left"/>
        <w:rPr>
          <w:rFonts w:ascii="Arial" w:hAnsi="Arial"/>
          <w:color w:val="000000"/>
          <w:sz w:val="20"/>
        </w:rPr>
      </w:pPr>
      <w:r>
        <w:rPr>
          <w:rFonts w:ascii="Arial" w:hAnsi="Arial"/>
          <w:color w:val="000000"/>
          <w:sz w:val="20"/>
        </w:rPr>
        <w:t>Level 3 — Certain inputs are unobservable or have little or no market data available.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June 30, 2025 and December 31, 2024, the Company did not have any Level 3 financial assets or liabilities.</w:t>
      </w:r>
    </w:p>
    <w:p>
      <w:pPr>
        <w:pStyle w:val="TextBody"/>
        <w:bidi w:val="0"/>
        <w:spacing w:before="120" w:after="283"/>
        <w:jc w:val="left"/>
        <w:rPr>
          <w:rFonts w:ascii="Arial" w:hAnsi="Arial"/>
          <w:color w:val="000000"/>
          <w:sz w:val="20"/>
        </w:rPr>
      </w:pPr>
      <w:r>
        <w:rPr>
          <w:rFonts w:ascii="Arial" w:hAnsi="Arial"/>
          <w:color w:val="000000"/>
          <w:sz w:val="20"/>
        </w:rPr>
        <w:t>The following table summarizes the Company’s financial assets and (liabilities) measured at fair value as of June 30, 2025 and December 31, 2024 (dollars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35"/>
        <w:gridCol w:w="146"/>
        <w:gridCol w:w="248"/>
        <w:gridCol w:w="495"/>
        <w:gridCol w:w="195"/>
        <w:gridCol w:w="171"/>
        <w:gridCol w:w="363"/>
        <w:gridCol w:w="729"/>
        <w:gridCol w:w="166"/>
        <w:gridCol w:w="146"/>
        <w:gridCol w:w="267"/>
        <w:gridCol w:w="438"/>
        <w:gridCol w:w="157"/>
        <w:gridCol w:w="157"/>
        <w:gridCol w:w="413"/>
        <w:gridCol w:w="679"/>
        <w:gridCol w:w="146"/>
        <w:gridCol w:w="146"/>
        <w:gridCol w:w="242"/>
        <w:gridCol w:w="484"/>
        <w:gridCol w:w="166"/>
        <w:gridCol w:w="146"/>
        <w:gridCol w:w="363"/>
        <w:gridCol w:w="729"/>
        <w:gridCol w:w="478"/>
      </w:tblGrid>
      <w:tr>
        <w:trPr/>
        <w:tc>
          <w:tcPr>
            <w:tcW w:w="2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Measurements Using</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Quoted Prices in Active</w:t>
              <w:br/>
              <w:t>Markets for Identical</w:t>
              <w:br/>
              <w:t>Assets (Level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Significant Other</w:t>
              <w:br/>
              <w:t>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664</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Rabbi trust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compensation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Derivative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5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593</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valuation techniques used to calculate the fair value of cash equivalents, marketable securities, assets held in the rabbi trust and the deferred compensation obligation represent a market approach in active markets for identical assets that qualify as Level 1 in the fair value hierarchy. A description of the Company’s Level 1 assets is as follows:</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20"/>
        </w:rPr>
      </w:pPr>
      <w:r>
        <w:rPr>
          <w:rFonts w:ascii="Arial" w:hAnsi="Arial"/>
          <w:color w:val="000000"/>
          <w:sz w:val="20"/>
        </w:rPr>
        <w:t>Cash equivalents consist primarily of short-term U.S. government backed securities and time deposits.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Marketable securities consist of publicly traded stock of Jing-Jin Electric Technologies Co. Ltd., which has a readily determinable fair value.</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Rabbi trust assets consist principally of publicly available mutual funds and target date retirement funds.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Deferred compensation obligation is directly related to the fair value of assets held in the rabbi trust.</w:t>
      </w:r>
    </w:p>
    <w:p>
      <w:pPr>
        <w:pStyle w:val="TextBody"/>
        <w:bidi w:val="0"/>
        <w:spacing w:before="18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Company’s valuation techniques used to calculate the fair value of derivative instruments represent a market approach with observable inputs that qualify as Level 2 in the fair value hierarchy. The Company uses valuations from the issuing financial institutions for the fair value measurement of interest rate swaps. The floating-to-fixed interest rate swaps are based on the Secured Overnight Financing Rate ("SOFR"), which is observable at commonly quoted intervals. The fair values are included in other current assets in the Condensed Consolidated Balance Sheets. See "Note H. Derivatives” for more information regarding the Company's interest rate swaps.</w:t>
      </w:r>
    </w:p>
    <w:p>
      <w:pPr>
        <w:pStyle w:val="TextBody"/>
        <w:bidi w:val="0"/>
        <w:spacing w:before="120" w:after="283"/>
        <w:jc w:val="left"/>
        <w:rPr>
          <w:rFonts w:ascii="Times New Roman" w:hAnsi="Times New Roman"/>
          <w:sz w:val="20"/>
        </w:rPr>
      </w:pPr>
      <w:r>
        <w:rPr>
          <w:rFonts w:ascii="Arial" w:hAnsi="Arial"/>
          <w:color w:val="000000"/>
          <w:sz w:val="20"/>
        </w:rPr>
        <w:t>The Company holds equity securities in unconsolidated entities without a readily determinable fair value. Each of these investments represents a less than 20% ownership interest in the respective privately-held entity, and the Company does not maintain significant influence over or control of any of the entities. The Company has elected the measurement alternative and measures the investments at cost, less any impairment, plus or minus adjustments related to observable price changes in orderly transactions for identical or similar investments of the same issuer. These equity investments are recorded in Other non-current assets in the Condensed Consolidated Balance Sheets, with changes in the value recorded in Other income (expense), net in the Condensed Consolidated Statements of Comprehensive Income. As of both June 30, 2025 and December 31, 2024, the Company held equity securities without a readily determinable fair value of $7</w:t>
      </w:r>
      <w:r>
        <w:rPr>
          <w:rFonts w:ascii="Times New Roman" w:hAnsi="Times New Roman"/>
          <w:color w:val="000000"/>
          <w:sz w:val="20"/>
        </w:rPr>
        <w:t xml:space="preserve"> </w:t>
      </w:r>
      <w:r>
        <w:rPr>
          <w:rFonts w:ascii="Arial" w:hAnsi="Arial"/>
          <w:color w:val="000000"/>
          <w:sz w:val="20"/>
        </w:rPr>
        <w:t>million. During the three and six months ended June 30, 2025, no</w:t>
      </w:r>
      <w:r>
        <w:rPr>
          <w:rFonts w:ascii="Times New Roman" w:hAnsi="Times New Roman"/>
          <w:color w:val="000000"/>
          <w:sz w:val="20"/>
        </w:rPr>
        <w:t xml:space="preserve"> </w:t>
      </w:r>
      <w:r>
        <w:rPr>
          <w:rFonts w:ascii="Arial" w:hAnsi="Arial"/>
          <w:color w:val="000000"/>
          <w:sz w:val="20"/>
        </w:rPr>
        <w:t>impairment charges or adjustments resulting from observable price changes in orderly transactions for identical or similar investments of the same issuer occurred for any of these investments.</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NOTE G. DEBT</w:t>
      </w:r>
    </w:p>
    <w:p>
      <w:pPr>
        <w:pStyle w:val="TextBody"/>
        <w:bidi w:val="0"/>
        <w:spacing w:before="120" w:after="283"/>
        <w:jc w:val="left"/>
        <w:rPr>
          <w:rFonts w:ascii="Arial" w:hAnsi="Arial"/>
          <w:color w:val="000000"/>
          <w:sz w:val="20"/>
        </w:rPr>
      </w:pPr>
      <w:r>
        <w:rPr>
          <w:rFonts w:ascii="Arial" w:hAnsi="Arial"/>
          <w:color w:val="000000"/>
          <w:sz w:val="20"/>
        </w:rPr>
        <w:t>Long-term debt and maturities are as follows (dollars in millions):</w:t>
      </w:r>
    </w:p>
    <w:p>
      <w:pPr>
        <w:pStyle w:val="TextBody"/>
        <w:bidi w:val="0"/>
        <w:jc w:val="left"/>
        <w:rPr/>
      </w:pPr>
      <w:r>
        <w:rPr/>
        <w:t> </w:t>
      </w:r>
    </w:p>
    <w:tbl>
      <w:tblPr>
        <w:tblW w:w="8572" w:type="dxa"/>
        <w:jc w:val="left"/>
        <w:tblInd w:w="0" w:type="dxa"/>
        <w:tblLayout w:type="fixed"/>
        <w:tblCellMar>
          <w:top w:w="28" w:type="dxa"/>
          <w:left w:w="28" w:type="dxa"/>
          <w:bottom w:w="28" w:type="dxa"/>
          <w:right w:w="28" w:type="dxa"/>
        </w:tblCellMar>
      </w:tblPr>
      <w:tblGrid>
        <w:gridCol w:w="5416"/>
        <w:gridCol w:w="146"/>
        <w:gridCol w:w="211"/>
        <w:gridCol w:w="586"/>
        <w:gridCol w:w="146"/>
        <w:gridCol w:w="146"/>
        <w:gridCol w:w="309"/>
        <w:gridCol w:w="861"/>
        <w:gridCol w:w="75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Notes, fixed 4.75%,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Notes, fixed 5.875%, due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Notes, fixed 3.75%,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Secured Credit Facility Term Loan, variable,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deferred financing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2,395</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2025, the Company had $2,412</w:t>
      </w:r>
      <w:r>
        <w:rPr>
          <w:rFonts w:ascii="Times New Roman" w:hAnsi="Times New Roman"/>
          <w:color w:val="000000"/>
          <w:sz w:val="20"/>
        </w:rPr>
        <w:t xml:space="preserve"> </w:t>
      </w:r>
      <w:r>
        <w:rPr>
          <w:rFonts w:ascii="Arial" w:hAnsi="Arial"/>
          <w:color w:val="000000"/>
          <w:sz w:val="20"/>
        </w:rPr>
        <w:t>million of indebtedness associated with Allison Transmission, Inc.’s (“ATI”), the Company’s wholly-owned subsidiary, 4.75% Senior Notes due October 2027</w:t>
      </w:r>
      <w:r>
        <w:rPr>
          <w:rFonts w:ascii="Times New Roman" w:hAnsi="Times New Roman"/>
          <w:color w:val="000000"/>
          <w:sz w:val="20"/>
        </w:rPr>
        <w:t xml:space="preserve"> </w:t>
      </w:r>
      <w:r>
        <w:rPr>
          <w:rFonts w:ascii="Arial" w:hAnsi="Arial"/>
          <w:color w:val="000000"/>
          <w:sz w:val="20"/>
        </w:rPr>
        <w:t>(“4.75% Senior Notes”), ATI’s 5.875% Senior Notes due June 2029</w:t>
      </w:r>
      <w:r>
        <w:rPr>
          <w:rFonts w:ascii="Times New Roman" w:hAnsi="Times New Roman"/>
          <w:color w:val="000000"/>
          <w:sz w:val="20"/>
        </w:rPr>
        <w:t xml:space="preserve"> </w:t>
      </w:r>
      <w:r>
        <w:rPr>
          <w:rFonts w:ascii="Arial" w:hAnsi="Arial"/>
          <w:color w:val="000000"/>
          <w:sz w:val="20"/>
        </w:rPr>
        <w:t>(“5.875% Senior Notes”), ATI’s 3.75% Senior Notes due January 2031</w:t>
      </w:r>
      <w:r>
        <w:rPr>
          <w:rFonts w:ascii="Times New Roman" w:hAnsi="Times New Roman"/>
          <w:color w:val="000000"/>
          <w:sz w:val="20"/>
        </w:rPr>
        <w:t xml:space="preserve"> </w:t>
      </w:r>
      <w:r>
        <w:rPr>
          <w:rFonts w:ascii="Arial" w:hAnsi="Arial"/>
          <w:color w:val="000000"/>
          <w:sz w:val="20"/>
        </w:rPr>
        <w:t>(“3.75% Senior Notes” and, together with the 4.75% Senior Notes and 5.875% Senior Notes, the “Senior Notes”) and the Second Amended and Restated Credit Agreement dated as of March 29, 2019, as amended (the “Credit Agreement”), governing ATI’s term loan facility in the amount of $512</w:t>
      </w:r>
      <w:r>
        <w:rPr>
          <w:rFonts w:ascii="Times New Roman" w:hAnsi="Times New Roman"/>
          <w:color w:val="000000"/>
          <w:sz w:val="20"/>
        </w:rPr>
        <w:t xml:space="preserve"> </w:t>
      </w:r>
      <w:r>
        <w:rPr>
          <w:rFonts w:ascii="Arial" w:hAnsi="Arial"/>
          <w:color w:val="000000"/>
          <w:sz w:val="20"/>
        </w:rPr>
        <w:t>million due March 2031</w:t>
      </w:r>
      <w:r>
        <w:rPr>
          <w:rFonts w:ascii="Times New Roman" w:hAnsi="Times New Roman"/>
          <w:color w:val="000000"/>
          <w:sz w:val="20"/>
        </w:rPr>
        <w:t xml:space="preserve"> </w:t>
      </w:r>
      <w:r>
        <w:rPr>
          <w:rFonts w:ascii="Arial" w:hAnsi="Arial"/>
          <w:color w:val="000000"/>
          <w:sz w:val="20"/>
        </w:rPr>
        <w:t>(“Term Loan”) and ATI’s revolving credit facility with commitments in the amount of $750</w:t>
      </w:r>
      <w:r>
        <w:rPr>
          <w:rFonts w:ascii="Times New Roman" w:hAnsi="Times New Roman"/>
          <w:color w:val="000000"/>
          <w:sz w:val="20"/>
        </w:rPr>
        <w:t xml:space="preserve"> </w:t>
      </w:r>
      <w:r>
        <w:rPr>
          <w:rFonts w:ascii="Arial" w:hAnsi="Arial"/>
          <w:color w:val="000000"/>
          <w:sz w:val="20"/>
        </w:rPr>
        <w:t>million due March 2029</w:t>
      </w:r>
      <w:r>
        <w:rPr>
          <w:rFonts w:ascii="Times New Roman" w:hAnsi="Times New Roman"/>
          <w:color w:val="000000"/>
          <w:sz w:val="20"/>
        </w:rPr>
        <w:t xml:space="preserve"> </w:t>
      </w:r>
      <w:r>
        <w:rPr>
          <w:rFonts w:ascii="Arial" w:hAnsi="Arial"/>
          <w:color w:val="000000"/>
          <w:sz w:val="20"/>
        </w:rPr>
        <w:t>(“Revolving Credit Facility” and, together with the Term Loan, the “Senior Secured Credit Facility”).</w:t>
      </w:r>
    </w:p>
    <w:p>
      <w:pPr>
        <w:pStyle w:val="TextBody"/>
        <w:bidi w:val="0"/>
        <w:spacing w:before="120" w:after="283"/>
        <w:jc w:val="left"/>
        <w:rPr>
          <w:rFonts w:ascii="Times New Roman" w:hAnsi="Times New Roman"/>
          <w:sz w:val="20"/>
        </w:rPr>
      </w:pPr>
      <w:r>
        <w:rPr>
          <w:rFonts w:ascii="Arial" w:hAnsi="Arial"/>
          <w:color w:val="000000"/>
          <w:sz w:val="20"/>
        </w:rPr>
        <w:t>The fair value of the Company’s long-term debt obligations as of June 30, 2025</w:t>
      </w:r>
      <w:r>
        <w:rPr>
          <w:rFonts w:ascii="Times New Roman" w:hAnsi="Times New Roman"/>
          <w:color w:val="000000"/>
          <w:sz w:val="20"/>
        </w:rPr>
        <w:t xml:space="preserve"> </w:t>
      </w:r>
      <w:r>
        <w:rPr>
          <w:rFonts w:ascii="Arial" w:hAnsi="Arial"/>
          <w:color w:val="000000"/>
          <w:sz w:val="20"/>
        </w:rPr>
        <w:t>was $2,327</w:t>
      </w:r>
      <w:r>
        <w:rPr>
          <w:rFonts w:ascii="Times New Roman" w:hAnsi="Times New Roman"/>
          <w:color w:val="000000"/>
          <w:sz w:val="20"/>
        </w:rPr>
        <w:t xml:space="preserve"> </w:t>
      </w:r>
      <w:r>
        <w:rPr>
          <w:rFonts w:ascii="Arial" w:hAnsi="Arial"/>
          <w:color w:val="000000"/>
          <w:sz w:val="20"/>
        </w:rPr>
        <w:t>million. The fair value is based on quoted Level 2 market prices of the Company’s debt as of June 30, 2025. The difference between the fair value and carrying value of the long-term debt is driven primarily by trends in the financial markets.</w:t>
      </w:r>
    </w:p>
    <w:p>
      <w:pPr>
        <w:pStyle w:val="TextBody"/>
        <w:bidi w:val="0"/>
        <w:spacing w:before="120" w:after="283"/>
        <w:jc w:val="left"/>
        <w:rPr>
          <w:rFonts w:ascii="Arial" w:hAnsi="Arial"/>
          <w:b/>
          <w:i/>
          <w:color w:val="000000"/>
          <w:sz w:val="20"/>
        </w:rPr>
      </w:pPr>
      <w:r>
        <w:rPr>
          <w:rFonts w:ascii="Arial" w:hAnsi="Arial"/>
          <w:b/>
          <w:i/>
          <w:color w:val="000000"/>
          <w:sz w:val="20"/>
        </w:rPr>
        <w:t>Senior Secured Credit Facility</w:t>
      </w:r>
    </w:p>
    <w:p>
      <w:pPr>
        <w:pStyle w:val="TextBody"/>
        <w:bidi w:val="0"/>
        <w:spacing w:before="120" w:after="283"/>
        <w:jc w:val="left"/>
        <w:rPr>
          <w:rFonts w:ascii="Times New Roman" w:hAnsi="Times New Roman"/>
          <w:sz w:val="20"/>
        </w:rPr>
      </w:pPr>
      <w:r>
        <w:rPr>
          <w:rFonts w:ascii="Arial" w:hAnsi="Arial"/>
          <w:color w:val="000000"/>
          <w:sz w:val="20"/>
        </w:rPr>
        <w:t>The borrowings under the Senior Secured Credit Facility are collateralized by a lien on substantially all assets of the Company, ATI and certain existing and future U.S. subsidiary guarantors, as provided in the Credit Agreement. Interest on the Term Loan, as of June 30, 2025, is either (a) 1.75% over a SOFR rate on deposits in U.S. dollars for one-, three- or six-month periods (or a twelve-month period if, at the time of the borrowing, consented to by all relevant lenders and the administrative agent) ("Term SOFR"), or (b) 0.75% over the greater of the prime lending rate as quoted by the administrative agent, the Term SOFR rate for an interest period of one month plus 1.00% and the federal funds effective rate published by the Federal Reserve Bank of New York plus 0.50%, subject to a 1.00% floor (the "Base Rate"). As of June 30, 2025, the Company elected to pay the lowest all-in rate of Term SOFR plus the applicable margin, or 6.06%, on</w:t>
      </w:r>
      <w:r>
        <w:rPr>
          <w:rFonts w:ascii="Times New Roman" w:hAnsi="Times New Roman"/>
          <w:color w:val="000000"/>
          <w:sz w:val="20"/>
        </w:rPr>
        <w:t xml:space="preserve"> </w:t>
      </w:r>
      <w:r>
        <w:rPr>
          <w:rFonts w:ascii="Arial" w:hAnsi="Arial"/>
          <w:color w:val="000000"/>
          <w:sz w:val="20"/>
        </w:rPr>
        <w:t>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2031</w:t>
      </w:r>
      <w:r>
        <w:rPr>
          <w:rFonts w:ascii="Times New Roman" w:hAnsi="Times New Roman"/>
          <w:color w:val="000000"/>
          <w:sz w:val="20"/>
        </w:rPr>
        <w:t xml:space="preserve"> </w:t>
      </w:r>
      <w:r>
        <w:rPr>
          <w:rFonts w:ascii="Arial" w:hAnsi="Arial"/>
          <w:color w:val="000000"/>
          <w:sz w:val="20"/>
        </w:rPr>
        <w:t>is $1</w:t>
      </w:r>
      <w:r>
        <w:rPr>
          <w:rFonts w:ascii="Times New Roman" w:hAnsi="Times New Roman"/>
          <w:color w:val="000000"/>
          <w:sz w:val="20"/>
        </w:rPr>
        <w:t xml:space="preserve"> </w:t>
      </w:r>
      <w:r>
        <w:rPr>
          <w:rFonts w:ascii="Arial" w:hAnsi="Arial"/>
          <w:color w:val="000000"/>
          <w:sz w:val="20"/>
        </w:rPr>
        <w:t>million. As of June 30, 2025, there had been no payments required for certain net cash proceeds of non-ordinary course asset sales and casualty and condemnation events. The remaining principal balance is due upon maturity.</w:t>
      </w:r>
    </w:p>
    <w:p>
      <w:pPr>
        <w:pStyle w:val="TextBody"/>
        <w:bidi w:val="0"/>
        <w:spacing w:before="120" w:after="283"/>
        <w:jc w:val="left"/>
        <w:rPr>
          <w:rFonts w:ascii="Times New Roman" w:hAnsi="Times New Roman"/>
          <w:sz w:val="20"/>
        </w:rPr>
      </w:pPr>
      <w:r>
        <w:rPr>
          <w:rFonts w:ascii="Arial" w:hAnsi="Arial"/>
          <w:color w:val="000000"/>
          <w:sz w:val="20"/>
        </w:rPr>
        <w:t>The Senior</w:t>
      </w:r>
      <w:r>
        <w:rPr>
          <w:rFonts w:ascii="Times New Roman" w:hAnsi="Times New Roman"/>
          <w:color w:val="000000"/>
          <w:sz w:val="20"/>
        </w:rPr>
        <w:t xml:space="preserve"> </w:t>
      </w:r>
      <w:r>
        <w:rPr>
          <w:rFonts w:ascii="Arial" w:hAnsi="Arial"/>
          <w:color w:val="000000"/>
          <w:sz w:val="20"/>
        </w:rPr>
        <w:t>Secured Credit Facility also provides a Revolving Credit Facility, net of an allowance for up to $75</w:t>
      </w:r>
      <w:r>
        <w:rPr>
          <w:rFonts w:ascii="Times New Roman" w:hAnsi="Times New Roman"/>
          <w:color w:val="000000"/>
          <w:sz w:val="20"/>
        </w:rPr>
        <w:t xml:space="preserve"> </w:t>
      </w:r>
      <w:r>
        <w:rPr>
          <w:rFonts w:ascii="Arial" w:hAnsi="Arial"/>
          <w:color w:val="000000"/>
          <w:sz w:val="20"/>
        </w:rPr>
        <w:t>million in outstanding letters of credit commitments. During the six months ended June 30, 2025, the Company made no</w:t>
      </w:r>
      <w:r>
        <w:rPr>
          <w:rFonts w:ascii="Times New Roman" w:hAnsi="Times New Roman"/>
          <w:color w:val="000000"/>
          <w:sz w:val="20"/>
        </w:rPr>
        <w:t xml:space="preserve"> </w:t>
      </w:r>
      <w:r>
        <w:rPr>
          <w:rFonts w:ascii="Arial" w:hAnsi="Arial"/>
          <w:color w:val="000000"/>
          <w:sz w:val="20"/>
        </w:rPr>
        <w:t>withdrawals on the Revolving Credit Facility. As of June 30, 2025, the Company had $745</w:t>
      </w:r>
      <w:r>
        <w:rPr>
          <w:rFonts w:ascii="Times New Roman" w:hAnsi="Times New Roman"/>
          <w:color w:val="000000"/>
          <w:sz w:val="20"/>
        </w:rPr>
        <w:t xml:space="preserve"> </w:t>
      </w:r>
      <w:r>
        <w:rPr>
          <w:rFonts w:ascii="Arial" w:hAnsi="Arial"/>
          <w:color w:val="000000"/>
          <w:sz w:val="20"/>
        </w:rPr>
        <w:t>million available under the Revolving Credit Facility, net of $5</w:t>
      </w:r>
      <w:r>
        <w:rPr>
          <w:rFonts w:ascii="Times New Roman" w:hAnsi="Times New Roman"/>
          <w:color w:val="000000"/>
          <w:sz w:val="20"/>
        </w:rPr>
        <w:t xml:space="preserve"> </w:t>
      </w:r>
      <w:r>
        <w:rPr>
          <w:rFonts w:ascii="Arial" w:hAnsi="Arial"/>
          <w:color w:val="000000"/>
          <w:sz w:val="20"/>
        </w:rPr>
        <w:t>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Facility is (a) 0.75% over the Base Rate or (b) 1.75% over the Term SOFR rate; when the Company’s first lien net leverage ratio is equal to or less than 4.00x and above 3.50x, interest on the Revolving Credit Facility is (i) 0.50% over the Base Rate or (ii) 1.50% over the Term SOFR rate; and when the Company’s first lien net leverage ratio is equal to or below 3.50x, interest on the Revolving Credit Facility is (y) 0.25% over the Base Rate or (z) 1.25% over the Term SOFR rate. As of June 30, 2025, the applicable margin for the Revolving Credit Facility was 1.25%. In addition, there is an annual commitment fee, based on the Company’s first lien net leverage ratio, on the average unused revolving credit borrowings available under the Revolving Credit Facility. As of June 30, 2025, the commitment fee was 0.25%. Borrowings under the Revolving Credit Facility are payable at the option of the Company throughout the term of the Revolving Credit Facility with the balance due in March 2029.</w:t>
      </w:r>
    </w:p>
    <w:p>
      <w:pPr>
        <w:pStyle w:val="TextBody"/>
        <w:bidi w:val="0"/>
        <w:spacing w:before="120" w:after="283"/>
        <w:jc w:val="left"/>
        <w:rPr>
          <w:rFonts w:ascii="Times New Roman" w:hAnsi="Times New Roman"/>
          <w:sz w:val="20"/>
        </w:rPr>
      </w:pPr>
      <w:r>
        <w:rPr>
          <w:rFonts w:ascii="Arial" w:hAnsi="Arial"/>
          <w:color w:val="000000"/>
          <w:sz w:val="20"/>
        </w:rPr>
        <w:t>The Senior Secured Credit Facility requires the Company to maintain a specified maximum first lien net leverage ratio of 5.50x when revolving loan commitments remain outstanding on the Revolving Credit Facility at the end of a fiscal quarter. As of June 30, 2025, the Company had no</w:t>
      </w:r>
      <w:r>
        <w:rPr>
          <w:rFonts w:ascii="Times New Roman" w:hAnsi="Times New Roman"/>
          <w:color w:val="000000"/>
          <w:sz w:val="20"/>
        </w:rPr>
        <w:t xml:space="preserve"> </w:t>
      </w:r>
      <w:r>
        <w:rPr>
          <w:rFonts w:ascii="Arial" w:hAnsi="Arial"/>
          <w:color w:val="000000"/>
          <w:sz w:val="20"/>
        </w:rPr>
        <w:t>amounts outstanding under the Revolving Credit Facility; however, the Company would have been in compliance with the maximum first lien net leverage ratio, achieving a (0.22x)</w:t>
      </w:r>
      <w:r>
        <w:rPr>
          <w:rFonts w:ascii="Times New Roman" w:hAnsi="Times New Roman"/>
          <w:color w:val="000000"/>
          <w:sz w:val="20"/>
        </w:rPr>
        <w:t xml:space="preserve"> </w:t>
      </w:r>
      <w:r>
        <w:rPr>
          <w:rFonts w:ascii="Arial" w:hAnsi="Arial"/>
          <w:color w:val="000000"/>
          <w:sz w:val="20"/>
        </w:rPr>
        <w:t>ratio. Additionally, within the terms of the Senior Secured Credit Facility, a first lien net leverage ratio at or below 4.00x results in the elimination of excess cash flow payments on the Senior Secured Credit Facility for the applicable year.</w:t>
      </w:r>
    </w:p>
    <w:p>
      <w:pPr>
        <w:pStyle w:val="TextBody"/>
        <w:bidi w:val="0"/>
        <w:spacing w:before="120" w:after="283"/>
        <w:jc w:val="left"/>
        <w:rPr>
          <w:rFonts w:ascii="Arial" w:hAnsi="Arial"/>
          <w:color w:val="000000"/>
          <w:sz w:val="20"/>
        </w:rPr>
      </w:pPr>
      <w:r>
        <w:rPr>
          <w:rFonts w:ascii="Arial" w:hAnsi="Arial"/>
          <w:color w:val="000000"/>
          <w:sz w:val="20"/>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June 30, 2025, the Company was in compliance with all covenants under the Credit Agreement.</w:t>
      </w:r>
    </w:p>
    <w:p>
      <w:pPr>
        <w:pStyle w:val="TextBody"/>
        <w:bidi w:val="0"/>
        <w:spacing w:before="120" w:after="283"/>
        <w:jc w:val="left"/>
        <w:rPr>
          <w:rFonts w:ascii="Arial" w:hAnsi="Arial"/>
          <w:b/>
          <w:i/>
          <w:color w:val="000000"/>
          <w:sz w:val="20"/>
        </w:rPr>
      </w:pPr>
      <w:r>
        <w:rPr>
          <w:rFonts w:ascii="Arial" w:hAnsi="Arial"/>
          <w:b/>
          <w:i/>
          <w:color w:val="000000"/>
          <w:sz w:val="20"/>
        </w:rPr>
        <w:t>Senior Notes</w:t>
      </w:r>
    </w:p>
    <w:p>
      <w:pPr>
        <w:pStyle w:val="TextBody"/>
        <w:bidi w:val="0"/>
        <w:spacing w:before="120" w:after="283"/>
        <w:jc w:val="left"/>
        <w:rPr>
          <w:rFonts w:ascii="Arial" w:hAnsi="Arial"/>
          <w:color w:val="000000"/>
          <w:sz w:val="20"/>
        </w:rPr>
      </w:pPr>
      <w:r>
        <w:rPr>
          <w:rFonts w:ascii="Arial" w:hAnsi="Arial"/>
          <w:color w:val="000000"/>
          <w:sz w:val="20"/>
        </w:rPr>
        <w:t>Each series of the Senior Notes is unsecured and is guaranteed by each of ATI’s domestic subsidiaries that is a borrower under or guarantees the Senior Secured Credit Facility and is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June 30, 2025, the Company was in compliance with all covenants under the indentures governing the Senior Notes.</w:t>
      </w:r>
    </w:p>
    <w:p>
      <w:pPr>
        <w:pStyle w:val="TextBody"/>
        <w:bidi w:val="0"/>
        <w:spacing w:before="120" w:after="283"/>
        <w:jc w:val="left"/>
        <w:rPr>
          <w:rFonts w:ascii="Arial" w:hAnsi="Arial"/>
          <w:color w:val="000000"/>
          <w:sz w:val="20"/>
        </w:rPr>
      </w:pPr>
      <w:r>
        <w:rPr>
          <w:rFonts w:ascii="Arial" w:hAnsi="Arial"/>
          <w:color w:val="000000"/>
          <w:sz w:val="20"/>
        </w:rPr>
        <w:t>ATI may from time to time seek to retire its Senior Notes through cash purchases, exchanges for equity securities, open market purchases, privately negotiated transactions, contractual redemptions or otherwise. Such repurchases or exchanges, if any, will depend on prevailing market conditions, liquidity requirements, contractual restrictions and other factors and will be in accordance with the respective indenture governing such notes. The amounts involved may be material. Some or all of the 4.75% Senior Notes and the 5.875% Senior Notes may be redeemed at any time at redemption prices specified in the indentures governing such notes. Prior to January 30, 2026, ATI may redeem some or all of the 3.75% Senior Notes by paying a price equal to 100.00% of the principal amount being redeemed, plus an “applicable premium”. At any time on or after January 30, 2026, ATI may redeem some or all of the 3.75% Senior Notes at redemption prices specified in the indenture governing such notes.</w:t>
      </w:r>
    </w:p>
    <w:p>
      <w:pPr>
        <w:pStyle w:val="TextBody"/>
        <w:bidi w:val="0"/>
        <w:spacing w:before="18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NOTE H. DERIVATIVES</w:t>
      </w:r>
    </w:p>
    <w:p>
      <w:pPr>
        <w:pStyle w:val="TextBody"/>
        <w:bidi w:val="0"/>
        <w:spacing w:before="120" w:after="283"/>
        <w:jc w:val="left"/>
        <w:rPr>
          <w:rFonts w:ascii="Arial" w:hAnsi="Arial"/>
          <w:color w:val="000000"/>
          <w:sz w:val="20"/>
        </w:rPr>
      </w:pPr>
      <w:r>
        <w:rPr>
          <w:rFonts w:ascii="Arial" w:hAnsi="Arial"/>
          <w:color w:val="000000"/>
          <w:sz w:val="20"/>
        </w:rPr>
        <w:t xml:space="preserve">The Company is subject to interest rate risk related to the Senior Secured Credit Facility and entered into interest rate swaps to manage a portion of this exposure. The interest rate swaps are designated as cash flow hedges that qualify for hedge accounting under the hypothetical derivative method. </w:t>
      </w:r>
    </w:p>
    <w:p>
      <w:pPr>
        <w:pStyle w:val="TextBody"/>
        <w:bidi w:val="0"/>
        <w:spacing w:before="120" w:after="283"/>
        <w:jc w:val="left"/>
        <w:rPr>
          <w:rFonts w:ascii="Times New Roman" w:hAnsi="Times New Roman"/>
          <w:sz w:val="20"/>
        </w:rPr>
      </w:pPr>
      <w:r>
        <w:rPr>
          <w:rFonts w:ascii="Arial" w:hAnsi="Arial"/>
          <w:color w:val="000000"/>
          <w:sz w:val="20"/>
        </w:rPr>
        <w:t>As of June 30, 2025, the Company held interest rate swap contracts that, in the aggregate, effectively hedge $500</w:t>
      </w:r>
      <w:r>
        <w:rPr>
          <w:rFonts w:ascii="Times New Roman" w:hAnsi="Times New Roman"/>
          <w:color w:val="000000"/>
          <w:sz w:val="20"/>
        </w:rPr>
        <w:t xml:space="preserve"> </w:t>
      </w:r>
      <w:r>
        <w:rPr>
          <w:rFonts w:ascii="Arial" w:hAnsi="Arial"/>
          <w:color w:val="000000"/>
          <w:sz w:val="20"/>
        </w:rPr>
        <w:t>million of the variable rate debt associated with the Term Loan at the Term SOFR</w:t>
      </w:r>
      <w:r>
        <w:rPr>
          <w:rFonts w:ascii="Times New Roman" w:hAnsi="Times New Roman"/>
          <w:color w:val="000000"/>
          <w:sz w:val="20"/>
        </w:rPr>
        <w:t xml:space="preserve"> </w:t>
      </w:r>
      <w:r>
        <w:rPr>
          <w:rFonts w:ascii="Arial" w:hAnsi="Arial"/>
          <w:color w:val="000000"/>
          <w:sz w:val="20"/>
        </w:rPr>
        <w:t>weighted average fixed rate of 2.81% through September 2025.</w:t>
      </w:r>
    </w:p>
    <w:p>
      <w:pPr>
        <w:pStyle w:val="TextBody"/>
        <w:bidi w:val="0"/>
        <w:spacing w:before="120" w:after="283"/>
        <w:jc w:val="left"/>
        <w:rPr>
          <w:rFonts w:ascii="Arial" w:hAnsi="Arial"/>
          <w:color w:val="000000"/>
          <w:sz w:val="20"/>
        </w:rPr>
      </w:pPr>
      <w:r>
        <w:rPr>
          <w:rFonts w:ascii="Arial" w:hAnsi="Arial"/>
          <w:color w:val="000000"/>
          <w:sz w:val="20"/>
        </w:rPr>
        <w:t>Fair value adjustments are recorded as a component of Accumulated other comprehensive loss, net of tax (“AOCL”) in the Condensed Consolidated Balance Sheets. Balances in AOCL are reclassified to earnings when transactions related to the underlying risk are settled. See "Note F. Fair Value of Financial Instruments” for information regarding the fair value of the Company’s interest rate swaps.</w:t>
      </w:r>
    </w:p>
    <w:p>
      <w:pPr>
        <w:pStyle w:val="TextBody"/>
        <w:bidi w:val="0"/>
        <w:spacing w:before="120" w:after="283"/>
        <w:jc w:val="left"/>
        <w:rPr>
          <w:rFonts w:ascii="Arial" w:hAnsi="Arial"/>
          <w:color w:val="000000"/>
          <w:sz w:val="20"/>
        </w:rPr>
      </w:pPr>
      <w:r>
        <w:rPr>
          <w:rFonts w:ascii="Arial" w:hAnsi="Arial"/>
          <w:color w:val="000000"/>
          <w:sz w:val="20"/>
        </w:rPr>
        <w:t>The following tabular disclosures further describe the Company’s interest rate derivatives qualifying and designated for hedge accounting and their impact on the financial condition of the Company (dollars in millions):</w:t>
      </w:r>
    </w:p>
    <w:p>
      <w:pPr>
        <w:pStyle w:val="TextBody"/>
        <w:bidi w:val="0"/>
        <w:jc w:val="left"/>
        <w:rPr/>
      </w:pPr>
      <w:r>
        <w:rPr/>
        <w:t> </w:t>
      </w:r>
    </w:p>
    <w:tbl>
      <w:tblPr>
        <w:tblW w:w="7353" w:type="dxa"/>
        <w:jc w:val="left"/>
        <w:tblInd w:w="0" w:type="dxa"/>
        <w:tblLayout w:type="fixed"/>
        <w:tblCellMar>
          <w:top w:w="28" w:type="dxa"/>
          <w:left w:w="28" w:type="dxa"/>
          <w:bottom w:w="28" w:type="dxa"/>
          <w:right w:w="28" w:type="dxa"/>
        </w:tblCellMar>
      </w:tblPr>
      <w:tblGrid>
        <w:gridCol w:w="2381"/>
        <w:gridCol w:w="146"/>
        <w:gridCol w:w="1981"/>
        <w:gridCol w:w="146"/>
        <w:gridCol w:w="383"/>
        <w:gridCol w:w="383"/>
        <w:gridCol w:w="146"/>
        <w:gridCol w:w="146"/>
        <w:gridCol w:w="584"/>
        <w:gridCol w:w="586"/>
        <w:gridCol w:w="471"/>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Derivative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derivative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8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4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balance of net derivative gains recorded in AOCL as of June 30, 2025 and December 31, 2024 was $2</w:t>
      </w:r>
      <w:r>
        <w:rPr>
          <w:rFonts w:ascii="Times New Roman" w:hAnsi="Times New Roman"/>
          <w:color w:val="000000"/>
          <w:sz w:val="20"/>
        </w:rPr>
        <w:t xml:space="preserve"> </w:t>
      </w:r>
      <w:r>
        <w:rPr>
          <w:rFonts w:ascii="Arial" w:hAnsi="Arial"/>
          <w:color w:val="000000"/>
          <w:sz w:val="20"/>
        </w:rPr>
        <w:t>million and $5</w:t>
      </w:r>
      <w:r>
        <w:rPr>
          <w:rFonts w:ascii="Times New Roman" w:hAnsi="Times New Roman"/>
          <w:color w:val="000000"/>
          <w:sz w:val="20"/>
        </w:rPr>
        <w:t xml:space="preserve"> </w:t>
      </w:r>
      <w:r>
        <w:rPr>
          <w:rFonts w:ascii="Arial" w:hAnsi="Arial"/>
          <w:color w:val="000000"/>
          <w:sz w:val="20"/>
        </w:rPr>
        <w:t>million, respectively. See "Note O. Accumulated Other Comprehensive Loss” for information regarding activity recorded as a component of AOCL during the three and six months ended June 30, 2025 and 2024. As of June 30, 2025, all</w:t>
      </w:r>
      <w:r>
        <w:rPr>
          <w:rFonts w:ascii="Times New Roman" w:hAnsi="Times New Roman"/>
          <w:color w:val="000000"/>
          <w:sz w:val="20"/>
        </w:rPr>
        <w:t xml:space="preserve"> </w:t>
      </w:r>
      <w:r>
        <w:rPr>
          <w:rFonts w:ascii="Arial" w:hAnsi="Arial"/>
          <w:color w:val="000000"/>
          <w:sz w:val="20"/>
        </w:rPr>
        <w:t>derivative gains recorded in AOCL will be reclassified to earnings before the interest rate swaps terminate in September 2025.</w:t>
      </w:r>
    </w:p>
    <w:p>
      <w:pPr>
        <w:pStyle w:val="TextBody"/>
        <w:bidi w:val="0"/>
        <w:spacing w:before="18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NOTE I. PRODUCT WARRANTY LIABILITIES</w:t>
      </w:r>
    </w:p>
    <w:p>
      <w:pPr>
        <w:pStyle w:val="TextBody"/>
        <w:bidi w:val="0"/>
        <w:spacing w:before="120" w:after="283"/>
        <w:jc w:val="left"/>
        <w:rPr>
          <w:rFonts w:ascii="Times New Roman" w:hAnsi="Times New Roman"/>
          <w:sz w:val="20"/>
        </w:rPr>
      </w:pPr>
      <w:r>
        <w:rPr>
          <w:rFonts w:ascii="Arial" w:hAnsi="Arial"/>
          <w:color w:val="000000"/>
          <w:sz w:val="20"/>
        </w:rPr>
        <w:t>As of June 30, 2025, current and non-current product warranty liabilities were $32</w:t>
      </w:r>
      <w:r>
        <w:rPr>
          <w:rFonts w:ascii="Times New Roman" w:hAnsi="Times New Roman"/>
          <w:color w:val="000000"/>
          <w:sz w:val="20"/>
        </w:rPr>
        <w:t xml:space="preserve"> </w:t>
      </w:r>
      <w:r>
        <w:rPr>
          <w:rFonts w:ascii="Arial" w:hAnsi="Arial"/>
          <w:color w:val="000000"/>
          <w:sz w:val="20"/>
        </w:rPr>
        <w:t>million and $47</w:t>
      </w:r>
      <w:r>
        <w:rPr>
          <w:rFonts w:ascii="Times New Roman" w:hAnsi="Times New Roman"/>
          <w:color w:val="000000"/>
          <w:sz w:val="20"/>
        </w:rPr>
        <w:t xml:space="preserve"> </w:t>
      </w:r>
      <w:r>
        <w:rPr>
          <w:rFonts w:ascii="Arial" w:hAnsi="Arial"/>
          <w:color w:val="000000"/>
          <w:sz w:val="20"/>
        </w:rPr>
        <w:t>million, respectively. As of June 30, 2024, current and non-current product warranty liabilities were $32</w:t>
      </w:r>
      <w:r>
        <w:rPr>
          <w:rFonts w:ascii="Times New Roman" w:hAnsi="Times New Roman"/>
          <w:color w:val="000000"/>
          <w:sz w:val="20"/>
        </w:rPr>
        <w:t xml:space="preserve"> </w:t>
      </w:r>
      <w:r>
        <w:rPr>
          <w:rFonts w:ascii="Arial" w:hAnsi="Arial"/>
          <w:color w:val="000000"/>
          <w:sz w:val="20"/>
        </w:rPr>
        <w:t>million and $27</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20" w:after="283"/>
        <w:jc w:val="left"/>
        <w:rPr>
          <w:rFonts w:ascii="Arial" w:hAnsi="Arial"/>
          <w:color w:val="000000"/>
          <w:sz w:val="20"/>
        </w:rPr>
      </w:pPr>
      <w:r>
        <w:rPr>
          <w:rFonts w:ascii="Arial" w:hAnsi="Arial"/>
          <w:color w:val="000000"/>
          <w:sz w:val="20"/>
        </w:rPr>
        <w:t>Product warranty liability activities consisted of the following (dollars in millions):</w:t>
      </w:r>
    </w:p>
    <w:p>
      <w:pPr>
        <w:pStyle w:val="TextBody"/>
        <w:bidi w:val="0"/>
        <w:jc w:val="left"/>
        <w:rPr/>
      </w:pPr>
      <w:r>
        <w:rPr/>
        <w:t> </w:t>
      </w:r>
    </w:p>
    <w:tbl>
      <w:tblPr>
        <w:tblW w:w="8421" w:type="dxa"/>
        <w:jc w:val="left"/>
        <w:tblInd w:w="0" w:type="dxa"/>
        <w:tblLayout w:type="fixed"/>
        <w:tblCellMar>
          <w:top w:w="28" w:type="dxa"/>
          <w:left w:w="28" w:type="dxa"/>
          <w:bottom w:w="28" w:type="dxa"/>
          <w:right w:w="28" w:type="dxa"/>
        </w:tblCellMar>
      </w:tblPr>
      <w:tblGrid>
        <w:gridCol w:w="4456"/>
        <w:gridCol w:w="146"/>
        <w:gridCol w:w="259"/>
        <w:gridCol w:w="389"/>
        <w:gridCol w:w="204"/>
        <w:gridCol w:w="179"/>
        <w:gridCol w:w="259"/>
        <w:gridCol w:w="463"/>
        <w:gridCol w:w="166"/>
        <w:gridCol w:w="146"/>
        <w:gridCol w:w="219"/>
        <w:gridCol w:w="391"/>
        <w:gridCol w:w="172"/>
        <w:gridCol w:w="151"/>
        <w:gridCol w:w="219"/>
        <w:gridCol w:w="391"/>
        <w:gridCol w:w="2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Increase in liability (warranty issued during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adjustments to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NOTE J. DEFERRED REVENUE</w:t>
      </w:r>
    </w:p>
    <w:p>
      <w:pPr>
        <w:pStyle w:val="TextBody"/>
        <w:bidi w:val="0"/>
        <w:spacing w:before="120" w:after="283"/>
        <w:jc w:val="left"/>
        <w:rPr>
          <w:rFonts w:ascii="Times New Roman" w:hAnsi="Times New Roman"/>
          <w:sz w:val="20"/>
        </w:rPr>
      </w:pPr>
      <w:r>
        <w:rPr>
          <w:rFonts w:ascii="Arial" w:hAnsi="Arial"/>
          <w:color w:val="000000"/>
          <w:sz w:val="20"/>
        </w:rPr>
        <w:t>As of June 30, 2025, current and non-current deferred revenue were $36</w:t>
      </w:r>
      <w:r>
        <w:rPr>
          <w:rFonts w:ascii="Times New Roman" w:hAnsi="Times New Roman"/>
          <w:color w:val="000000"/>
          <w:sz w:val="20"/>
        </w:rPr>
        <w:t xml:space="preserve"> </w:t>
      </w:r>
      <w:r>
        <w:rPr>
          <w:rFonts w:ascii="Arial" w:hAnsi="Arial"/>
          <w:color w:val="000000"/>
          <w:sz w:val="20"/>
        </w:rPr>
        <w:t>million and $100</w:t>
      </w:r>
      <w:r>
        <w:rPr>
          <w:rFonts w:ascii="Times New Roman" w:hAnsi="Times New Roman"/>
          <w:color w:val="000000"/>
          <w:sz w:val="20"/>
        </w:rPr>
        <w:t xml:space="preserve"> </w:t>
      </w:r>
      <w:r>
        <w:rPr>
          <w:rFonts w:ascii="Arial" w:hAnsi="Arial"/>
          <w:color w:val="000000"/>
          <w:sz w:val="20"/>
        </w:rPr>
        <w:t>million, respectively. As of June 30, 2024, current and non-current deferred revenue were $44</w:t>
      </w:r>
      <w:r>
        <w:rPr>
          <w:rFonts w:ascii="Times New Roman" w:hAnsi="Times New Roman"/>
          <w:color w:val="000000"/>
          <w:sz w:val="20"/>
        </w:rPr>
        <w:t xml:space="preserve"> </w:t>
      </w:r>
      <w:r>
        <w:rPr>
          <w:rFonts w:ascii="Arial" w:hAnsi="Arial"/>
          <w:color w:val="000000"/>
          <w:sz w:val="20"/>
        </w:rPr>
        <w:t>million and $92</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20" w:after="283"/>
        <w:jc w:val="left"/>
        <w:rPr>
          <w:rFonts w:ascii="Arial" w:hAnsi="Arial"/>
          <w:color w:val="000000"/>
          <w:sz w:val="20"/>
        </w:rPr>
      </w:pPr>
      <w:r>
        <w:rPr>
          <w:rFonts w:ascii="Arial" w:hAnsi="Arial"/>
          <w:color w:val="000000"/>
          <w:sz w:val="20"/>
        </w:rPr>
        <w:t>Deferred revenue activity consisted of the following (dollars in millions):</w:t>
      </w:r>
    </w:p>
    <w:p>
      <w:pPr>
        <w:pStyle w:val="TextBody"/>
        <w:bidi w:val="0"/>
        <w:jc w:val="left"/>
        <w:rPr/>
      </w:pPr>
      <w:r>
        <w:rPr/>
        <w:t> </w:t>
      </w:r>
    </w:p>
    <w:tbl>
      <w:tblPr>
        <w:tblW w:w="5710" w:type="dxa"/>
        <w:jc w:val="left"/>
        <w:tblInd w:w="0" w:type="dxa"/>
        <w:tblLayout w:type="fixed"/>
        <w:tblCellMar>
          <w:top w:w="28" w:type="dxa"/>
          <w:left w:w="28" w:type="dxa"/>
          <w:bottom w:w="28" w:type="dxa"/>
          <w:right w:w="28" w:type="dxa"/>
        </w:tblCellMar>
      </w:tblPr>
      <w:tblGrid>
        <w:gridCol w:w="1711"/>
        <w:gridCol w:w="146"/>
        <w:gridCol w:w="235"/>
        <w:gridCol w:w="469"/>
        <w:gridCol w:w="184"/>
        <w:gridCol w:w="162"/>
        <w:gridCol w:w="235"/>
        <w:gridCol w:w="469"/>
        <w:gridCol w:w="166"/>
        <w:gridCol w:w="146"/>
        <w:gridCol w:w="211"/>
        <w:gridCol w:w="421"/>
        <w:gridCol w:w="166"/>
        <w:gridCol w:w="146"/>
        <w:gridCol w:w="211"/>
        <w:gridCol w:w="421"/>
        <w:gridCol w:w="2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136</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136</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Deferred revenue recorded in current and non-current liabilities related to ETC as of June 30, 2025 was $29</w:t>
      </w:r>
      <w:r>
        <w:rPr>
          <w:rFonts w:ascii="Times New Roman" w:hAnsi="Times New Roman"/>
          <w:color w:val="000000"/>
          <w:sz w:val="20"/>
        </w:rPr>
        <w:t xml:space="preserve"> </w:t>
      </w:r>
      <w:r>
        <w:rPr>
          <w:rFonts w:ascii="Arial" w:hAnsi="Arial"/>
          <w:color w:val="000000"/>
          <w:sz w:val="20"/>
        </w:rPr>
        <w:t>million and $100</w:t>
      </w:r>
      <w:r>
        <w:rPr>
          <w:rFonts w:ascii="Times New Roman" w:hAnsi="Times New Roman"/>
          <w:color w:val="000000"/>
          <w:sz w:val="20"/>
        </w:rPr>
        <w:t xml:space="preserve"> </w:t>
      </w:r>
      <w:r>
        <w:rPr>
          <w:rFonts w:ascii="Arial" w:hAnsi="Arial"/>
          <w:color w:val="000000"/>
          <w:sz w:val="20"/>
        </w:rPr>
        <w:t>million, respectively. Deferred revenue recorded in current and non-current liabilities related to ETC as of June 30, 2024 was $30</w:t>
      </w:r>
      <w:r>
        <w:rPr>
          <w:rFonts w:ascii="Times New Roman" w:hAnsi="Times New Roman"/>
          <w:color w:val="000000"/>
          <w:sz w:val="20"/>
        </w:rPr>
        <w:t xml:space="preserve"> </w:t>
      </w:r>
      <w:r>
        <w:rPr>
          <w:rFonts w:ascii="Arial" w:hAnsi="Arial"/>
          <w:color w:val="000000"/>
          <w:sz w:val="20"/>
        </w:rPr>
        <w:t>million and $91</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8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NOTE K. LEASES</w:t>
      </w:r>
    </w:p>
    <w:p>
      <w:pPr>
        <w:pStyle w:val="TextBody"/>
        <w:bidi w:val="0"/>
        <w:spacing w:before="120" w:after="283"/>
        <w:jc w:val="left"/>
        <w:rPr>
          <w:rFonts w:ascii="Arial" w:hAnsi="Arial"/>
          <w:color w:val="000000"/>
          <w:sz w:val="20"/>
        </w:rPr>
      </w:pPr>
      <w:r>
        <w:rPr>
          <w:rFonts w:ascii="Arial" w:hAnsi="Arial"/>
          <w:color w:val="000000"/>
          <w:sz w:val="20"/>
        </w:rPr>
        <w:t>Contracts are assessed by the Company to determine if the contract conveys the right to control an identified asset in exchange for consideration during a period of time. The Company classifies all identified leases as either operating or finance leases. The Company's operating leases consist of real estate, vehicles and IT equipment. As of both June 30, 2025 and December 31, 2024,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pStyle w:val="TextBody"/>
        <w:bidi w:val="0"/>
        <w:spacing w:before="120" w:after="283"/>
        <w:jc w:val="left"/>
        <w:rPr>
          <w:rFonts w:ascii="Arial" w:hAnsi="Arial"/>
          <w:color w:val="000000"/>
          <w:sz w:val="20"/>
        </w:rPr>
      </w:pPr>
      <w:r>
        <w:rPr>
          <w:rFonts w:ascii="Arial" w:hAnsi="Arial"/>
          <w:color w:val="000000"/>
          <w:sz w:val="20"/>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pStyle w:val="TextBody"/>
        <w:bidi w:val="0"/>
        <w:spacing w:before="120" w:after="283"/>
        <w:jc w:val="left"/>
        <w:rPr>
          <w:rFonts w:ascii="Times New Roman" w:hAnsi="Times New Roman"/>
          <w:sz w:val="20"/>
        </w:rPr>
      </w:pPr>
      <w:r>
        <w:rPr>
          <w:rFonts w:ascii="Arial" w:hAnsi="Arial"/>
          <w:color w:val="000000"/>
          <w:sz w:val="20"/>
        </w:rPr>
        <w:t>ROU assets are calculated as the related lease liability adjusted for lease incentives, any initial direct costs, prepayments and the effect of escalating lease payments on period expense. As of June 30, 2025 and December 31, 2024, total ROU assets</w:t>
      </w:r>
      <w:r>
        <w:rPr>
          <w:rFonts w:ascii="Times New Roman" w:hAnsi="Times New Roman"/>
          <w:color w:val="000000"/>
          <w:sz w:val="20"/>
        </w:rPr>
        <w:t xml:space="preserve"> </w:t>
      </w:r>
      <w:r>
        <w:rPr>
          <w:rFonts w:ascii="Arial" w:hAnsi="Arial"/>
          <w:color w:val="000000"/>
          <w:sz w:val="20"/>
        </w:rPr>
        <w:t>were $19</w:t>
      </w:r>
      <w:r>
        <w:rPr>
          <w:rFonts w:ascii="Times New Roman" w:hAnsi="Times New Roman"/>
          <w:color w:val="000000"/>
          <w:sz w:val="20"/>
        </w:rPr>
        <w:t xml:space="preserve"> </w:t>
      </w:r>
      <w:r>
        <w:rPr>
          <w:rFonts w:ascii="Arial" w:hAnsi="Arial"/>
          <w:color w:val="000000"/>
          <w:sz w:val="20"/>
        </w:rPr>
        <w:t>million and $20</w:t>
      </w:r>
      <w:r>
        <w:rPr>
          <w:rFonts w:ascii="Times New Roman" w:hAnsi="Times New Roman"/>
          <w:color w:val="000000"/>
          <w:sz w:val="20"/>
        </w:rPr>
        <w:t xml:space="preserve"> </w:t>
      </w:r>
      <w:r>
        <w:rPr>
          <w:rFonts w:ascii="Arial" w:hAnsi="Arial"/>
          <w:color w:val="000000"/>
          <w:sz w:val="20"/>
        </w:rPr>
        <w:t>million, respectively, and were recorded in Other non-current assets in the Condensed Consolidated Balance Sheets. During the six months ended June 30, 2025 and 2024, the Company recorded $1</w:t>
      </w:r>
      <w:r>
        <w:rPr>
          <w:rFonts w:ascii="Times New Roman" w:hAnsi="Times New Roman"/>
          <w:color w:val="000000"/>
          <w:sz w:val="20"/>
        </w:rPr>
        <w:t xml:space="preserve"> </w:t>
      </w:r>
      <w:r>
        <w:rPr>
          <w:rFonts w:ascii="Arial" w:hAnsi="Arial"/>
          <w:color w:val="000000"/>
          <w:sz w:val="20"/>
        </w:rPr>
        <w:t>million and $4</w:t>
      </w:r>
      <w:r>
        <w:rPr>
          <w:rFonts w:ascii="Times New Roman" w:hAnsi="Times New Roman"/>
          <w:color w:val="000000"/>
          <w:sz w:val="20"/>
        </w:rPr>
        <w:t xml:space="preserve"> </w:t>
      </w:r>
      <w:r>
        <w:rPr>
          <w:rFonts w:ascii="Arial" w:hAnsi="Arial"/>
          <w:color w:val="000000"/>
          <w:sz w:val="20"/>
        </w:rPr>
        <w:t>million, respectively, of new ROU assets obtained in exchange for lease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Company's lease liability is determined by discounting the future cash flows over the lease period. The Company determines its discount rates utilizing current secured financing rates based on the length of the lease period plus the Company's margin over Term SOFR on the Term Loan. The Company believes this rate effectively represents a borrowing rate the Company could obtain on a debt instrument possessing similar terms as the lease. Lease liabilities are classified between current and non-current liabilities based on the terms of the underlying leases.</w:t>
      </w:r>
      <w:r>
        <w:rPr>
          <w:rFonts w:ascii="Times New Roman" w:hAnsi="Times New Roman"/>
          <w:color w:val="000000"/>
          <w:sz w:val="20"/>
        </w:rPr>
        <w:t xml:space="preserve"> </w:t>
      </w:r>
      <w:r>
        <w:rPr>
          <w:rFonts w:ascii="Arial" w:hAnsi="Arial"/>
          <w:color w:val="000000"/>
          <w:sz w:val="20"/>
        </w:rPr>
        <w:t>The weighted average discount rate on operating leases as of June 30, 2025 and December 31, 2024 was 4.83% and 4.84%, respectively.</w:t>
      </w:r>
    </w:p>
    <w:p>
      <w:pPr>
        <w:pStyle w:val="TextBody"/>
        <w:bidi w:val="0"/>
        <w:spacing w:before="120" w:after="283"/>
        <w:jc w:val="left"/>
        <w:rPr>
          <w:rFonts w:ascii="Times New Roman" w:hAnsi="Times New Roman"/>
          <w:sz w:val="20"/>
        </w:rPr>
      </w:pPr>
      <w:r>
        <w:rPr>
          <w:rFonts w:ascii="Arial" w:hAnsi="Arial"/>
          <w:color w:val="000000"/>
          <w:sz w:val="20"/>
        </w:rPr>
        <w:t>As of June 30, 2025, the Company recorded current and non-current</w:t>
      </w:r>
      <w:r>
        <w:rPr>
          <w:rFonts w:ascii="Times New Roman" w:hAnsi="Times New Roman"/>
          <w:color w:val="000000"/>
          <w:sz w:val="20"/>
        </w:rPr>
        <w:t xml:space="preserve"> </w:t>
      </w:r>
      <w:r>
        <w:rPr>
          <w:rFonts w:ascii="Arial" w:hAnsi="Arial"/>
          <w:color w:val="000000"/>
          <w:sz w:val="20"/>
        </w:rPr>
        <w:t>operating lease liabilities of $5</w:t>
      </w:r>
      <w:r>
        <w:rPr>
          <w:rFonts w:ascii="Times New Roman" w:hAnsi="Times New Roman"/>
          <w:color w:val="000000"/>
          <w:sz w:val="20"/>
        </w:rPr>
        <w:t xml:space="preserve"> </w:t>
      </w:r>
      <w:r>
        <w:rPr>
          <w:rFonts w:ascii="Arial" w:hAnsi="Arial"/>
          <w:color w:val="000000"/>
          <w:sz w:val="20"/>
        </w:rPr>
        <w:t>million and $14</w:t>
      </w:r>
      <w:r>
        <w:rPr>
          <w:rFonts w:ascii="Times New Roman" w:hAnsi="Times New Roman"/>
          <w:color w:val="000000"/>
          <w:sz w:val="20"/>
        </w:rPr>
        <w:t xml:space="preserve"> </w:t>
      </w:r>
      <w:r>
        <w:rPr>
          <w:rFonts w:ascii="Arial" w:hAnsi="Arial"/>
          <w:color w:val="000000"/>
          <w:sz w:val="20"/>
        </w:rPr>
        <w:t>million, respectively. As of December 31, 2024, the Company recorded current and non-current</w:t>
      </w:r>
      <w:r>
        <w:rPr>
          <w:rFonts w:ascii="Times New Roman" w:hAnsi="Times New Roman"/>
          <w:color w:val="000000"/>
          <w:sz w:val="20"/>
        </w:rPr>
        <w:t xml:space="preserve"> </w:t>
      </w:r>
      <w:r>
        <w:rPr>
          <w:rFonts w:ascii="Arial" w:hAnsi="Arial"/>
          <w:color w:val="000000"/>
          <w:sz w:val="20"/>
        </w:rPr>
        <w:t>operating lease liabilities of $6</w:t>
      </w:r>
      <w:r>
        <w:rPr>
          <w:rFonts w:ascii="Times New Roman" w:hAnsi="Times New Roman"/>
          <w:color w:val="000000"/>
          <w:sz w:val="20"/>
        </w:rPr>
        <w:t xml:space="preserve"> </w:t>
      </w:r>
      <w:r>
        <w:rPr>
          <w:rFonts w:ascii="Arial" w:hAnsi="Arial"/>
          <w:color w:val="000000"/>
          <w:sz w:val="20"/>
        </w:rPr>
        <w:t>million and $14</w:t>
      </w:r>
      <w:r>
        <w:rPr>
          <w:rFonts w:ascii="Times New Roman" w:hAnsi="Times New Roman"/>
          <w:color w:val="000000"/>
          <w:sz w:val="20"/>
        </w:rPr>
        <w:t xml:space="preserve"> </w:t>
      </w:r>
      <w:r>
        <w:rPr>
          <w:rFonts w:ascii="Arial" w:hAnsi="Arial"/>
          <w:color w:val="000000"/>
          <w:sz w:val="20"/>
        </w:rPr>
        <w:t>million, respectively. The Company's current and non-current operating lease liabilities are recorded in Other current liabilities and Other non-current liabilities, respectively, in the Condensed Consolidated Balance Sheets. The following table reconciles future undiscounted cash flows for operating leases to total operating lease liabilities as of June 30, 2025 (dollars in millions):</w:t>
      </w:r>
    </w:p>
    <w:p>
      <w:pPr>
        <w:pStyle w:val="TextBody"/>
        <w:bidi w:val="0"/>
        <w:jc w:val="left"/>
        <w:rPr/>
      </w:pPr>
      <w:r>
        <w:rPr/>
        <w:t> </w:t>
      </w:r>
    </w:p>
    <w:tbl>
      <w:tblPr>
        <w:tblW w:w="5678" w:type="dxa"/>
        <w:jc w:val="left"/>
        <w:tblInd w:w="0" w:type="dxa"/>
        <w:tblLayout w:type="fixed"/>
        <w:tblCellMar>
          <w:top w:w="28" w:type="dxa"/>
          <w:left w:w="28" w:type="dxa"/>
          <w:bottom w:w="28" w:type="dxa"/>
          <w:right w:w="28" w:type="dxa"/>
        </w:tblCellMar>
      </w:tblPr>
      <w:tblGrid>
        <w:gridCol w:w="4016"/>
        <w:gridCol w:w="146"/>
        <w:gridCol w:w="306"/>
        <w:gridCol w:w="459"/>
        <w:gridCol w:w="751"/>
      </w:tblGrid>
      <w:tr>
        <w:trPr/>
        <w:tc>
          <w:tcPr>
            <w:tcW w:w="4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 the 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The weighted average remaining lease term as of June 30, 2025 and June 30, 2024 was 4.9</w:t>
      </w:r>
      <w:r>
        <w:rPr>
          <w:rFonts w:ascii="Times New Roman" w:hAnsi="Times New Roman"/>
          <w:color w:val="000000"/>
          <w:sz w:val="20"/>
        </w:rPr>
        <w:t xml:space="preserve"> </w:t>
      </w:r>
      <w:r>
        <w:rPr>
          <w:rFonts w:ascii="Arial" w:hAnsi="Arial"/>
          <w:color w:val="000000"/>
          <w:sz w:val="20"/>
        </w:rPr>
        <w:t>years</w:t>
      </w:r>
      <w:r>
        <w:rPr>
          <w:rFonts w:ascii="Times New Roman" w:hAnsi="Times New Roman"/>
          <w:color w:val="000000"/>
          <w:sz w:val="20"/>
        </w:rPr>
        <w:t xml:space="preserve"> </w:t>
      </w:r>
      <w:r>
        <w:rPr>
          <w:rFonts w:ascii="Arial" w:hAnsi="Arial"/>
          <w:color w:val="000000"/>
          <w:sz w:val="20"/>
        </w:rPr>
        <w:t>and 5.6</w:t>
      </w:r>
      <w:r>
        <w:rPr>
          <w:rFonts w:ascii="Times New Roman" w:hAnsi="Times New Roman"/>
          <w:color w:val="000000"/>
          <w:sz w:val="20"/>
        </w:rPr>
        <w:t xml:space="preserve"> </w:t>
      </w:r>
      <w:r>
        <w:rPr>
          <w:rFonts w:ascii="Arial" w:hAnsi="Arial"/>
          <w:color w:val="000000"/>
          <w:sz w:val="20"/>
        </w:rPr>
        <w:t>years, respectively.</w:t>
      </w:r>
    </w:p>
    <w:p>
      <w:pPr>
        <w:pStyle w:val="TextBody"/>
        <w:bidi w:val="0"/>
        <w:spacing w:before="120" w:after="283"/>
        <w:jc w:val="left"/>
        <w:rPr>
          <w:rFonts w:ascii="Times New Roman" w:hAnsi="Times New Roman"/>
          <w:sz w:val="20"/>
        </w:rPr>
      </w:pPr>
      <w:r>
        <w:rPr>
          <w:rFonts w:ascii="Arial" w:hAnsi="Arial"/>
          <w:color w:val="000000"/>
          <w:sz w:val="20"/>
        </w:rPr>
        <w:t>Operating lease expense was $1</w:t>
      </w:r>
      <w:r>
        <w:rPr>
          <w:rFonts w:ascii="Times New Roman" w:hAnsi="Times New Roman"/>
          <w:color w:val="000000"/>
          <w:sz w:val="20"/>
        </w:rPr>
        <w:t xml:space="preserve"> </w:t>
      </w:r>
      <w:r>
        <w:rPr>
          <w:rFonts w:ascii="Arial" w:hAnsi="Arial"/>
          <w:color w:val="000000"/>
          <w:sz w:val="20"/>
        </w:rPr>
        <w:t>million for each of the three months ended June 30, 2025 and 2024, and $3</w:t>
      </w:r>
      <w:r>
        <w:rPr>
          <w:rFonts w:ascii="Times New Roman" w:hAnsi="Times New Roman"/>
          <w:color w:val="000000"/>
          <w:sz w:val="20"/>
        </w:rPr>
        <w:t xml:space="preserve"> </w:t>
      </w:r>
      <w:r>
        <w:rPr>
          <w:rFonts w:ascii="Arial" w:hAnsi="Arial"/>
          <w:color w:val="000000"/>
          <w:sz w:val="20"/>
        </w:rPr>
        <w:t>million for each of the six months ended June 30, 2025 and 2024, and was recorded within Selling, general and administrative and Engineering — research and development on the Company's Condensed Consolidated Statements of Comprehensive Income. There was no</w:t>
      </w:r>
      <w:r>
        <w:rPr>
          <w:rFonts w:ascii="Times New Roman" w:hAnsi="Times New Roman"/>
          <w:color w:val="000000"/>
          <w:sz w:val="20"/>
        </w:rPr>
        <w:t xml:space="preserve"> </w:t>
      </w:r>
      <w:r>
        <w:rPr>
          <w:rFonts w:ascii="Arial" w:hAnsi="Arial"/>
          <w:color w:val="000000"/>
          <w:sz w:val="20"/>
        </w:rPr>
        <w:t>material short-term operating lease expense for any of the three or six months ended June 30, 2025 or 2024.</w:t>
      </w:r>
    </w:p>
    <w:p>
      <w:pPr>
        <w:pStyle w:val="TextBody"/>
        <w:bidi w:val="0"/>
        <w:spacing w:before="360" w:after="283"/>
        <w:jc w:val="left"/>
        <w:rPr>
          <w:rFonts w:ascii="Arial" w:hAnsi="Arial"/>
          <w:b/>
          <w:color w:val="000000"/>
          <w:sz w:val="20"/>
        </w:rPr>
      </w:pPr>
      <w:r>
        <w:rPr>
          <w:rFonts w:ascii="Arial" w:hAnsi="Arial"/>
          <w:b/>
          <w:color w:val="000000"/>
          <w:sz w:val="20"/>
        </w:rPr>
        <w:t>NOTE L. OTHER CURRENT LIABILITIES</w:t>
      </w:r>
    </w:p>
    <w:p>
      <w:pPr>
        <w:pStyle w:val="TextBody"/>
        <w:bidi w:val="0"/>
        <w:spacing w:before="120" w:after="283"/>
        <w:jc w:val="left"/>
        <w:rPr>
          <w:rFonts w:ascii="Arial" w:hAnsi="Arial"/>
          <w:color w:val="000000"/>
          <w:sz w:val="20"/>
        </w:rPr>
      </w:pPr>
      <w:r>
        <w:rPr>
          <w:rFonts w:ascii="Arial" w:hAnsi="Arial"/>
          <w:color w:val="000000"/>
          <w:sz w:val="20"/>
        </w:rPr>
        <w:t>Other current liabilities consisted of the following (dollars in millions):</w:t>
      </w:r>
    </w:p>
    <w:p>
      <w:pPr>
        <w:pStyle w:val="TextBody"/>
        <w:bidi w:val="0"/>
        <w:jc w:val="left"/>
        <w:rPr/>
      </w:pPr>
      <w:r>
        <w:rPr/>
        <w:t> </w:t>
      </w:r>
    </w:p>
    <w:tbl>
      <w:tblPr>
        <w:tblW w:w="5260" w:type="dxa"/>
        <w:jc w:val="left"/>
        <w:tblInd w:w="0" w:type="dxa"/>
        <w:tblLayout w:type="fixed"/>
        <w:tblCellMar>
          <w:top w:w="28" w:type="dxa"/>
          <w:left w:w="28" w:type="dxa"/>
          <w:bottom w:w="28" w:type="dxa"/>
          <w:right w:w="28" w:type="dxa"/>
        </w:tblCellMar>
      </w:tblPr>
      <w:tblGrid>
        <w:gridCol w:w="2416"/>
        <w:gridCol w:w="146"/>
        <w:gridCol w:w="255"/>
        <w:gridCol w:w="510"/>
        <w:gridCol w:w="146"/>
        <w:gridCol w:w="146"/>
        <w:gridCol w:w="389"/>
        <w:gridCol w:w="781"/>
        <w:gridCol w:w="47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Sales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Payroll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Vendor buyback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M. EMPLOYEE BENEFIT PLANS</w:t>
      </w:r>
    </w:p>
    <w:p>
      <w:pPr>
        <w:pStyle w:val="TextBody"/>
        <w:bidi w:val="0"/>
        <w:spacing w:before="120" w:after="283"/>
        <w:jc w:val="left"/>
        <w:rPr>
          <w:rFonts w:ascii="Arial" w:hAnsi="Arial"/>
          <w:color w:val="000000"/>
          <w:sz w:val="20"/>
        </w:rPr>
      </w:pPr>
      <w:r>
        <w:rPr>
          <w:rFonts w:ascii="Arial" w:hAnsi="Arial"/>
          <w:color w:val="000000"/>
          <w:sz w:val="20"/>
        </w:rPr>
        <w:t>Components of net periodic benefit cost (credit) consisted of the following (dollars in millions):</w:t>
      </w:r>
    </w:p>
    <w:p>
      <w:pPr>
        <w:pStyle w:val="TextBody"/>
        <w:bidi w:val="0"/>
        <w:jc w:val="left"/>
        <w:rPr/>
      </w:pPr>
      <w:r>
        <w:rPr/>
        <w:t> </w:t>
      </w:r>
    </w:p>
    <w:tbl>
      <w:tblPr>
        <w:tblW w:w="7415" w:type="dxa"/>
        <w:jc w:val="left"/>
        <w:tblInd w:w="0" w:type="dxa"/>
        <w:tblLayout w:type="fixed"/>
        <w:tblCellMar>
          <w:top w:w="28" w:type="dxa"/>
          <w:left w:w="28" w:type="dxa"/>
          <w:bottom w:w="28" w:type="dxa"/>
          <w:right w:w="28" w:type="dxa"/>
        </w:tblCellMar>
      </w:tblPr>
      <w:tblGrid>
        <w:gridCol w:w="2956"/>
        <w:gridCol w:w="146"/>
        <w:gridCol w:w="259"/>
        <w:gridCol w:w="426"/>
        <w:gridCol w:w="204"/>
        <w:gridCol w:w="179"/>
        <w:gridCol w:w="259"/>
        <w:gridCol w:w="426"/>
        <w:gridCol w:w="166"/>
        <w:gridCol w:w="146"/>
        <w:gridCol w:w="301"/>
        <w:gridCol w:w="495"/>
        <w:gridCol w:w="237"/>
        <w:gridCol w:w="208"/>
        <w:gridCol w:w="301"/>
        <w:gridCol w:w="495"/>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Pension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Post-retirement Benefits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periodic benefit cost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return on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Settlement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Prior service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Recognized actuarial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periodic benefit cost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tbl>
      <w:tblPr>
        <w:tblW w:w="7205" w:type="dxa"/>
        <w:jc w:val="left"/>
        <w:tblInd w:w="0" w:type="dxa"/>
        <w:tblLayout w:type="fixed"/>
        <w:tblCellMar>
          <w:top w:w="28" w:type="dxa"/>
          <w:left w:w="28" w:type="dxa"/>
          <w:bottom w:w="28" w:type="dxa"/>
          <w:right w:w="28" w:type="dxa"/>
        </w:tblCellMar>
      </w:tblPr>
      <w:tblGrid>
        <w:gridCol w:w="2956"/>
        <w:gridCol w:w="146"/>
        <w:gridCol w:w="228"/>
        <w:gridCol w:w="375"/>
        <w:gridCol w:w="179"/>
        <w:gridCol w:w="158"/>
        <w:gridCol w:w="228"/>
        <w:gridCol w:w="375"/>
        <w:gridCol w:w="166"/>
        <w:gridCol w:w="146"/>
        <w:gridCol w:w="301"/>
        <w:gridCol w:w="495"/>
        <w:gridCol w:w="237"/>
        <w:gridCol w:w="208"/>
        <w:gridCol w:w="301"/>
        <w:gridCol w:w="495"/>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Pension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Post-retirement Benefits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periodic benefit cost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return on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Settlement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Prior service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Recognized actuarial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periodic benefit cost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left"/>
        <w:rPr>
          <w:rFonts w:ascii="Arial" w:hAnsi="Arial"/>
          <w:color w:val="000000"/>
          <w:sz w:val="20"/>
        </w:rPr>
      </w:pPr>
      <w:r>
        <w:rPr>
          <w:rFonts w:ascii="Arial" w:hAnsi="Arial"/>
          <w:color w:val="000000"/>
          <w:sz w:val="20"/>
        </w:rPr>
        <w:t>The components of net periodic benefit cost (credit) other than the service cost component are included in Other income (expense), net in the Condensed Consolidated Statements of Comprehensive Income.</w:t>
      </w:r>
    </w:p>
    <w:p>
      <w:pPr>
        <w:pStyle w:val="TextBody"/>
        <w:bidi w:val="0"/>
        <w:spacing w:before="18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In June 2024, the Company completed a pension risk transfer to a third-party insurance company of a portion of its salaried defined benefit pension plan's obligations for certain participants and their beneficiaries. The Company agreed to an annuity contract that was purchased using pension plan assets, resulting in the transfer of $30</w:t>
      </w:r>
      <w:r>
        <w:rPr>
          <w:rFonts w:ascii="Times New Roman" w:hAnsi="Times New Roman"/>
          <w:color w:val="000000"/>
          <w:sz w:val="20"/>
        </w:rPr>
        <w:t xml:space="preserve"> </w:t>
      </w:r>
      <w:r>
        <w:rPr>
          <w:rFonts w:ascii="Arial" w:hAnsi="Arial"/>
          <w:color w:val="000000"/>
          <w:sz w:val="20"/>
        </w:rPr>
        <w:t>million of pension plan assets and $30</w:t>
      </w:r>
      <w:r>
        <w:rPr>
          <w:rFonts w:ascii="Times New Roman" w:hAnsi="Times New Roman"/>
          <w:color w:val="000000"/>
          <w:sz w:val="20"/>
        </w:rPr>
        <w:t xml:space="preserve"> </w:t>
      </w:r>
      <w:r>
        <w:rPr>
          <w:rFonts w:ascii="Arial" w:hAnsi="Arial"/>
          <w:color w:val="000000"/>
          <w:sz w:val="20"/>
        </w:rPr>
        <w:t>million of pension plan benefit obligations to the insurance company. As a result of this transaction, in the second quarter of 2024, the Company recognized a non-recurring, non-cash $4</w:t>
      </w:r>
      <w:r>
        <w:rPr>
          <w:rFonts w:ascii="Times New Roman" w:hAnsi="Times New Roman"/>
          <w:color w:val="000000"/>
          <w:sz w:val="20"/>
        </w:rPr>
        <w:t xml:space="preserve"> </w:t>
      </w:r>
      <w:r>
        <w:rPr>
          <w:rFonts w:ascii="Arial" w:hAnsi="Arial"/>
          <w:color w:val="000000"/>
          <w:sz w:val="20"/>
        </w:rPr>
        <w:t>million settlement charge for a pro rata portion of previously unrecognized pension plan actuarial net losses, which was recorded in Other income (expense), net in the Condensed Consolidated Statements of Comprehensive Income for the three and six months ended June 30, 2024.</w:t>
      </w:r>
    </w:p>
    <w:p>
      <w:pPr>
        <w:pStyle w:val="TextBody"/>
        <w:bidi w:val="0"/>
        <w:spacing w:before="360" w:after="283"/>
        <w:jc w:val="left"/>
        <w:rPr>
          <w:rFonts w:ascii="Arial" w:hAnsi="Arial"/>
          <w:b/>
          <w:color w:val="000000"/>
          <w:sz w:val="20"/>
        </w:rPr>
      </w:pPr>
      <w:r>
        <w:rPr>
          <w:rFonts w:ascii="Arial" w:hAnsi="Arial"/>
          <w:b/>
          <w:color w:val="000000"/>
          <w:sz w:val="20"/>
        </w:rPr>
        <w:t>NOTE N. INCOME TAXES</w:t>
      </w:r>
    </w:p>
    <w:p>
      <w:pPr>
        <w:pStyle w:val="TextBody"/>
        <w:bidi w:val="0"/>
        <w:spacing w:before="120" w:after="283"/>
        <w:jc w:val="left"/>
        <w:rPr>
          <w:rFonts w:ascii="Times New Roman" w:hAnsi="Times New Roman"/>
          <w:sz w:val="20"/>
        </w:rPr>
      </w:pPr>
      <w:r>
        <w:rPr>
          <w:rFonts w:ascii="Arial" w:hAnsi="Arial"/>
          <w:color w:val="000000"/>
          <w:sz w:val="20"/>
        </w:rPr>
        <w:t>For the three and six months ended June 30, 2025, the Company recorded total income tax expense of $47</w:t>
      </w:r>
      <w:r>
        <w:rPr>
          <w:rFonts w:ascii="Times New Roman" w:hAnsi="Times New Roman"/>
          <w:color w:val="000000"/>
          <w:sz w:val="20"/>
        </w:rPr>
        <w:t xml:space="preserve"> </w:t>
      </w:r>
      <w:r>
        <w:rPr>
          <w:rFonts w:ascii="Arial" w:hAnsi="Arial"/>
          <w:color w:val="000000"/>
          <w:sz w:val="20"/>
        </w:rPr>
        <w:t>million and $88</w:t>
      </w:r>
      <w:r>
        <w:rPr>
          <w:rFonts w:ascii="Times New Roman" w:hAnsi="Times New Roman"/>
          <w:color w:val="000000"/>
          <w:sz w:val="20"/>
        </w:rPr>
        <w:t xml:space="preserve"> </w:t>
      </w:r>
      <w:r>
        <w:rPr>
          <w:rFonts w:ascii="Arial" w:hAnsi="Arial"/>
          <w:color w:val="000000"/>
          <w:sz w:val="20"/>
        </w:rPr>
        <w:t>million, respectively. The effective tax rate for each of the three and six months ended June 30, 2025 was 19%. For the three and six months ended June 30, 2024, the Company recorded total income tax expense of $47</w:t>
      </w:r>
      <w:r>
        <w:rPr>
          <w:rFonts w:ascii="Times New Roman" w:hAnsi="Times New Roman"/>
          <w:color w:val="000000"/>
          <w:sz w:val="20"/>
        </w:rPr>
        <w:t xml:space="preserve"> </w:t>
      </w:r>
      <w:r>
        <w:rPr>
          <w:rFonts w:ascii="Arial" w:hAnsi="Arial"/>
          <w:color w:val="000000"/>
          <w:sz w:val="20"/>
        </w:rPr>
        <w:t>million and $82</w:t>
      </w:r>
      <w:r>
        <w:rPr>
          <w:rFonts w:ascii="Times New Roman" w:hAnsi="Times New Roman"/>
          <w:color w:val="000000"/>
          <w:sz w:val="20"/>
        </w:rPr>
        <w:t xml:space="preserve"> </w:t>
      </w:r>
      <w:r>
        <w:rPr>
          <w:rFonts w:ascii="Arial" w:hAnsi="Arial"/>
          <w:color w:val="000000"/>
          <w:sz w:val="20"/>
        </w:rPr>
        <w:t>million, respectively. The effective tax rate for the three and six months ended June 30, 2024 was 20% and 19%, respectively.</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 </w:t>
      </w:r>
    </w:p>
    <w:p>
      <w:pPr>
        <w:pStyle w:val="TextBody"/>
        <w:bidi w:val="0"/>
        <w:spacing w:before="120" w:after="283"/>
        <w:jc w:val="left"/>
        <w:rPr>
          <w:rFonts w:ascii="Times New Roman" w:hAnsi="Times New Roman"/>
          <w:sz w:val="20"/>
        </w:rPr>
      </w:pPr>
      <w:r>
        <w:rPr>
          <w:rFonts w:ascii="Arial" w:hAnsi="Arial"/>
          <w:color w:val="000000"/>
          <w:sz w:val="20"/>
        </w:rPr>
        <w:t>Management has determined, based on an evaluation of available objective and subjective evidence, that it is more likely than not that certain federal and state deferred tax assets will not be realized; therefore, these deferred tax assets are offset with a valuation allowance.</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r>
        <w:rPr>
          <w:rFonts w:ascii="Arial" w:hAnsi="Arial"/>
          <w:b/>
          <w:color w:val="000000"/>
          <w:sz w:val="20"/>
        </w:rPr>
        <w:t>NOTE O. ACCUMULATED OTHER COMPREHENSIVE LOSS</w:t>
      </w:r>
    </w:p>
    <w:p>
      <w:pPr>
        <w:pStyle w:val="TextBody"/>
        <w:bidi w:val="0"/>
        <w:spacing w:before="120" w:after="283"/>
        <w:jc w:val="left"/>
        <w:rPr>
          <w:rFonts w:ascii="Arial" w:hAnsi="Arial"/>
          <w:color w:val="000000"/>
          <w:sz w:val="20"/>
        </w:rPr>
      </w:pPr>
      <w:r>
        <w:rPr>
          <w:rFonts w:ascii="Arial" w:hAnsi="Arial"/>
          <w:color w:val="000000"/>
          <w:sz w:val="20"/>
        </w:rPr>
        <w:t>The following tables reconcile changes in AOCL by component (net of tax, dollars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79"/>
        <w:gridCol w:w="146"/>
        <w:gridCol w:w="415"/>
        <w:gridCol w:w="681"/>
        <w:gridCol w:w="166"/>
        <w:gridCol w:w="146"/>
        <w:gridCol w:w="372"/>
        <w:gridCol w:w="561"/>
        <w:gridCol w:w="166"/>
        <w:gridCol w:w="146"/>
        <w:gridCol w:w="300"/>
        <w:gridCol w:w="535"/>
        <w:gridCol w:w="166"/>
        <w:gridCol w:w="146"/>
        <w:gridCol w:w="211"/>
        <w:gridCol w:w="376"/>
        <w:gridCol w:w="493"/>
      </w:tblGrid>
      <w:tr>
        <w:trPr/>
        <w:tc>
          <w:tcPr>
            <w:tcW w:w="5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Pension</w:t>
              <w:br/>
              <w:t>and OPEB</w:t>
              <w:br/>
              <w:t xml:space="preserve">liability </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Interest </w:t>
              <w:br/>
              <w:t>rate swaps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Foreign </w:t>
              <w:br/>
              <w:t xml:space="preserve">currency </w:t>
              <w:br/>
              <w:t>items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Amounts reclassified from AOCL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comprehensive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Amounts reclassified from AOCL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79"/>
        <w:gridCol w:w="146"/>
        <w:gridCol w:w="415"/>
        <w:gridCol w:w="681"/>
        <w:gridCol w:w="166"/>
        <w:gridCol w:w="146"/>
        <w:gridCol w:w="353"/>
        <w:gridCol w:w="580"/>
        <w:gridCol w:w="166"/>
        <w:gridCol w:w="146"/>
        <w:gridCol w:w="300"/>
        <w:gridCol w:w="535"/>
        <w:gridCol w:w="166"/>
        <w:gridCol w:w="146"/>
        <w:gridCol w:w="211"/>
        <w:gridCol w:w="376"/>
        <w:gridCol w:w="493"/>
      </w:tblGrid>
      <w:tr>
        <w:trPr/>
        <w:tc>
          <w:tcPr>
            <w:tcW w:w="5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Pension</w:t>
              <w:br/>
              <w:t>and OPEB</w:t>
              <w:br/>
              <w:t xml:space="preserve">liability </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Interest </w:t>
              <w:br/>
              <w:t>rate swaps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Foreign </w:t>
              <w:br/>
              <w:t xml:space="preserve">currency </w:t>
              <w:br/>
              <w:t>items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Amounts reclassified from AOCL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5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4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comprehensive income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Amounts reclassified from AOCL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14"/>
        <w:gridCol w:w="146"/>
        <w:gridCol w:w="637"/>
        <w:gridCol w:w="1009"/>
        <w:gridCol w:w="311"/>
        <w:gridCol w:w="273"/>
        <w:gridCol w:w="736"/>
        <w:gridCol w:w="910"/>
        <w:gridCol w:w="166"/>
        <w:gridCol w:w="146"/>
        <w:gridCol w:w="3057"/>
      </w:tblGrid>
      <w:tr>
        <w:trPr/>
        <w:tc>
          <w:tcPr>
            <w:tcW w:w="2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r>
      <w:tr>
        <w:trPr/>
        <w:tc>
          <w:tcPr>
            <w:tcW w:w="2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Amounts reclassified from AOCL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AOCL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Three months ended </w:t>
              <w:br/>
              <w:t>June 30,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Three months ended </w:t>
              <w:b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rFonts w:ascii="Arial" w:hAnsi="Arial"/>
                <w:b/>
                <w:color w:val="000000"/>
                <w:sz w:val="16"/>
              </w:rPr>
            </w:pPr>
            <w:r>
              <w:rPr>
                <w:rFonts w:ascii="Arial" w:hAnsi="Arial"/>
                <w:b/>
                <w:color w:val="000000"/>
                <w:sz w:val="16"/>
              </w:rPr>
              <w:t>Affected line item in the Condensed</w:t>
              <w:br/>
              <w:t>Consolidated Statements of</w:t>
              <w:br/>
              <w:t>Comprehensive Income</w:t>
            </w:r>
          </w:p>
        </w:tc>
      </w:tr>
      <w:tr>
        <w:trPr/>
        <w:tc>
          <w:tcPr>
            <w:tcW w:w="28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net</w:t>
            </w:r>
          </w:p>
        </w:tc>
      </w:tr>
      <w:tr>
        <w:trPr/>
        <w:tc>
          <w:tcPr>
            <w:tcW w:w="28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Prior service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(expense), net</w:t>
            </w:r>
          </w:p>
        </w:tc>
      </w:tr>
      <w:tr>
        <w:trPr/>
        <w:tc>
          <w:tcPr>
            <w:tcW w:w="28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Recognized actuarial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(expense), net</w:t>
            </w:r>
          </w:p>
        </w:tc>
      </w:tr>
      <w:tr>
        <w:trPr/>
        <w:tc>
          <w:tcPr>
            <w:tcW w:w="28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Pension settlement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r>
      <w:tr>
        <w:trPr/>
        <w:tc>
          <w:tcPr>
            <w:tcW w:w="28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reclassifications,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before income taxes</w:t>
            </w:r>
          </w:p>
        </w:tc>
      </w:tr>
      <w:tr>
        <w:trPr/>
        <w:tc>
          <w:tcPr>
            <w:tcW w:w="2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r>
      <w:tr>
        <w:trPr/>
        <w:tc>
          <w:tcPr>
            <w:tcW w:w="28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reclassifications,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38"/>
        <w:gridCol w:w="146"/>
        <w:gridCol w:w="573"/>
        <w:gridCol w:w="926"/>
        <w:gridCol w:w="325"/>
        <w:gridCol w:w="286"/>
        <w:gridCol w:w="662"/>
        <w:gridCol w:w="837"/>
        <w:gridCol w:w="166"/>
        <w:gridCol w:w="146"/>
        <w:gridCol w:w="3200"/>
      </w:tblGrid>
      <w:tr>
        <w:trPr/>
        <w:tc>
          <w:tcPr>
            <w:tcW w:w="2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0" w:type="dxa"/>
            <w:tcBorders/>
            <w:vAlign w:val="center"/>
          </w:tcPr>
          <w:p>
            <w:pPr>
              <w:pStyle w:val="TableContents"/>
              <w:bidi w:val="0"/>
              <w:spacing w:before="0" w:after="283"/>
              <w:jc w:val="left"/>
              <w:rPr>
                <w:sz w:val="4"/>
                <w:szCs w:val="4"/>
              </w:rPr>
            </w:pPr>
            <w:r>
              <w:rPr>
                <w:sz w:val="4"/>
                <w:szCs w:val="4"/>
              </w:rPr>
            </w:r>
          </w:p>
        </w:tc>
      </w:tr>
      <w:tr>
        <w:trPr/>
        <w:tc>
          <w:tcPr>
            <w:tcW w:w="2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Amounts reclassified from AOCL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AOCL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 2025</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rFonts w:ascii="Arial" w:hAnsi="Arial"/>
                <w:b/>
                <w:color w:val="000000"/>
                <w:sz w:val="16"/>
              </w:rPr>
            </w:pPr>
            <w:r>
              <w:rPr>
                <w:rFonts w:ascii="Arial" w:hAnsi="Arial"/>
                <w:b/>
                <w:color w:val="000000"/>
                <w:sz w:val="16"/>
              </w:rPr>
              <w:t>Affected line item in the Condensed</w:t>
              <w:br/>
              <w:t xml:space="preserve">Consolidated Statements of </w:t>
              <w:br/>
              <w:t>Comprehensive Income</w:t>
            </w:r>
          </w:p>
        </w:tc>
      </w:tr>
      <w:tr>
        <w:trPr/>
        <w:tc>
          <w:tcPr>
            <w:tcW w:w="29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net</w:t>
            </w:r>
          </w:p>
        </w:tc>
      </w:tr>
      <w:tr>
        <w:trPr/>
        <w:tc>
          <w:tcPr>
            <w:tcW w:w="29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Prior service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(expense), net</w:t>
            </w:r>
          </w:p>
        </w:tc>
      </w:tr>
      <w:tr>
        <w:trPr/>
        <w:tc>
          <w:tcPr>
            <w:tcW w:w="29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Recognized actuarial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(expense), net</w:t>
            </w:r>
          </w:p>
        </w:tc>
      </w:tr>
      <w:tr>
        <w:trPr/>
        <w:tc>
          <w:tcPr>
            <w:tcW w:w="29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Pension settlement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r>
      <w:tr>
        <w:trPr/>
        <w:tc>
          <w:tcPr>
            <w:tcW w:w="29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reclassifications,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before income taxes</w:t>
            </w:r>
          </w:p>
        </w:tc>
      </w:tr>
      <w:tr>
        <w:trPr/>
        <w:tc>
          <w:tcPr>
            <w:tcW w:w="29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r>
      <w:tr>
        <w:trPr/>
        <w:tc>
          <w:tcPr>
            <w:tcW w:w="29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reclassifications,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Prior service credits and actuarial gains are included in the computation of the Company’s net periodic benefit cost (credit). See "Note M. Employee Benefit Plans” for additional details.</w:t>
      </w:r>
    </w:p>
    <w:p>
      <w:pPr>
        <w:pStyle w:val="TextBody"/>
        <w:bidi w:val="0"/>
        <w:spacing w:before="360" w:after="283"/>
        <w:jc w:val="left"/>
        <w:rPr>
          <w:rFonts w:ascii="Arial" w:hAnsi="Arial"/>
          <w:b/>
          <w:color w:val="000000"/>
          <w:sz w:val="20"/>
        </w:rPr>
      </w:pPr>
      <w:r>
        <w:rPr>
          <w:rFonts w:ascii="Arial" w:hAnsi="Arial"/>
          <w:b/>
          <w:color w:val="000000"/>
          <w:sz w:val="20"/>
        </w:rPr>
        <w:t>NOTE P. COMMITMENTS AND CONTINGENCIES</w:t>
      </w:r>
    </w:p>
    <w:p>
      <w:pPr>
        <w:pStyle w:val="TextBody"/>
        <w:bidi w:val="0"/>
        <w:spacing w:before="120" w:after="283"/>
        <w:jc w:val="left"/>
        <w:rPr>
          <w:rFonts w:ascii="Arial" w:hAnsi="Arial"/>
          <w:color w:val="000000"/>
          <w:sz w:val="20"/>
        </w:rPr>
      </w:pPr>
      <w:r>
        <w:rPr>
          <w:rFonts w:ascii="Arial" w:hAnsi="Arial"/>
          <w:color w:val="000000"/>
          <w:sz w:val="20"/>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pStyle w:val="TextBody"/>
        <w:bidi w:val="0"/>
        <w:spacing w:before="18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Q. EARNINGS PER SHARE</w:t>
      </w:r>
    </w:p>
    <w:p>
      <w:pPr>
        <w:pStyle w:val="TextBody"/>
        <w:bidi w:val="0"/>
        <w:spacing w:before="120" w:after="283"/>
        <w:jc w:val="left"/>
        <w:rPr>
          <w:rFonts w:ascii="Arial" w:hAnsi="Arial"/>
          <w:color w:val="000000"/>
          <w:sz w:val="20"/>
        </w:rPr>
      </w:pPr>
      <w:r>
        <w:rPr>
          <w:rFonts w:ascii="Arial" w:hAnsi="Arial"/>
          <w:color w:val="000000"/>
          <w:sz w:val="20"/>
        </w:rPr>
        <w:t>The following table reconciles the numerators and denominators used to calculate basic EPS and diluted EPS (in millions,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8"/>
        <w:gridCol w:w="146"/>
        <w:gridCol w:w="220"/>
        <w:gridCol w:w="502"/>
        <w:gridCol w:w="151"/>
        <w:gridCol w:w="151"/>
        <w:gridCol w:w="220"/>
        <w:gridCol w:w="502"/>
        <w:gridCol w:w="146"/>
        <w:gridCol w:w="146"/>
        <w:gridCol w:w="211"/>
        <w:gridCol w:w="481"/>
        <w:gridCol w:w="146"/>
        <w:gridCol w:w="146"/>
        <w:gridCol w:w="211"/>
        <w:gridCol w:w="481"/>
        <w:gridCol w:w="477"/>
      </w:tblGrid>
      <w:tr>
        <w:trPr/>
        <w:tc>
          <w:tcPr>
            <w:tcW w:w="5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Dilutive effect of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 weighted average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 earnings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 earnings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20"/>
        </w:rPr>
        <w:t>The dilutive impact of stock-based compensation is calculated using the treasury stock method. The treasury stock method assumes that the Company uses the proceeds from the exercise of awards to repurchase common stock at the average market price during the period. For each of the three and six months ended June 30, 2025 and 2024, there were no</w:t>
      </w:r>
      <w:r>
        <w:rPr>
          <w:rFonts w:ascii="Times New Roman" w:hAnsi="Times New Roman"/>
          <w:color w:val="000000"/>
          <w:sz w:val="20"/>
        </w:rPr>
        <w:t xml:space="preserve"> </w:t>
      </w:r>
      <w:r>
        <w:rPr>
          <w:rFonts w:ascii="Arial" w:hAnsi="Arial"/>
          <w:color w:val="000000"/>
          <w:sz w:val="20"/>
        </w:rPr>
        <w:t>outstanding stock options that were anti-dilutive and excluded from the diluted EPS calculation. Basic and diluted EPS for the full-year are calculated using the weighted average shares of common stock outstanding during the year while quarterly basic and diluted EPS are calculated using the weighted average shares of common stock outstanding during the quarter; therefore, the sum of each quarter's EPS may not equal full-year EPS.</w:t>
      </w:r>
    </w:p>
    <w:p>
      <w:pPr>
        <w:pStyle w:val="TextBody"/>
        <w:bidi w:val="0"/>
        <w:spacing w:before="240" w:after="283"/>
        <w:jc w:val="left"/>
        <w:rPr>
          <w:rFonts w:ascii="Arial" w:hAnsi="Arial"/>
          <w:b/>
          <w:color w:val="000000"/>
          <w:sz w:val="20"/>
        </w:rPr>
      </w:pPr>
      <w:r>
        <w:rPr>
          <w:rFonts w:ascii="Arial" w:hAnsi="Arial"/>
          <w:b/>
          <w:color w:val="000000"/>
          <w:sz w:val="20"/>
        </w:rPr>
        <w:t>NOTE R. COMMON STOCK</w:t>
      </w:r>
    </w:p>
    <w:p>
      <w:pPr>
        <w:pStyle w:val="TextBody"/>
        <w:bidi w:val="0"/>
        <w:spacing w:before="120" w:after="283"/>
        <w:jc w:val="left"/>
        <w:rPr>
          <w:rFonts w:ascii="Times New Roman" w:hAnsi="Times New Roman"/>
          <w:sz w:val="20"/>
        </w:rPr>
      </w:pPr>
      <w:r>
        <w:rPr>
          <w:rFonts w:ascii="Arial" w:hAnsi="Arial"/>
          <w:color w:val="000000"/>
          <w:sz w:val="20"/>
        </w:rPr>
        <w:t>On February 20, 2025, the Board of Directors authorized the Company to repurchase an additional $1,000</w:t>
      </w:r>
      <w:r>
        <w:rPr>
          <w:rFonts w:ascii="Times New Roman" w:hAnsi="Times New Roman"/>
          <w:color w:val="000000"/>
          <w:sz w:val="20"/>
        </w:rPr>
        <w:t xml:space="preserve"> </w:t>
      </w:r>
      <w:r>
        <w:rPr>
          <w:rFonts w:ascii="Arial" w:hAnsi="Arial"/>
          <w:color w:val="000000"/>
          <w:sz w:val="20"/>
        </w:rPr>
        <w:t>million of its common stock pursuant to the Company's stock repurchase program (the "Repurchase Program"), bringing the total amount authorized pursuant to the Repurchase Program to $5,000</w:t>
      </w:r>
      <w:r>
        <w:rPr>
          <w:rFonts w:ascii="Times New Roman" w:hAnsi="Times New Roman"/>
          <w:color w:val="000000"/>
          <w:sz w:val="20"/>
        </w:rPr>
        <w:t xml:space="preserve"> </w:t>
      </w:r>
      <w:r>
        <w:rPr>
          <w:rFonts w:ascii="Arial" w:hAnsi="Arial"/>
          <w:color w:val="000000"/>
          <w:sz w:val="20"/>
        </w:rPr>
        <w:t>million.</w:t>
      </w:r>
    </w:p>
    <w:p>
      <w:pPr>
        <w:pStyle w:val="TextBody"/>
        <w:bidi w:val="0"/>
        <w:spacing w:before="120" w:after="283"/>
        <w:jc w:val="left"/>
        <w:rPr>
          <w:rFonts w:ascii="Times New Roman" w:hAnsi="Times New Roman"/>
          <w:sz w:val="20"/>
        </w:rPr>
      </w:pPr>
      <w:bookmarkStart w:id="11" w:name="end_of_notes_to_financial_statements"/>
      <w:bookmarkEnd w:id="11"/>
      <w:r>
        <w:rPr>
          <w:rFonts w:ascii="Arial" w:hAnsi="Arial"/>
          <w:color w:val="000000"/>
          <w:sz w:val="20"/>
        </w:rPr>
        <w:t>During the three and six months ended June 30, 2025, the Company repurchased approximately $102</w:t>
      </w:r>
      <w:r>
        <w:rPr>
          <w:rFonts w:ascii="Times New Roman" w:hAnsi="Times New Roman"/>
          <w:color w:val="000000"/>
          <w:sz w:val="20"/>
        </w:rPr>
        <w:t xml:space="preserve"> </w:t>
      </w:r>
      <w:r>
        <w:rPr>
          <w:rFonts w:ascii="Arial" w:hAnsi="Arial"/>
          <w:color w:val="000000"/>
          <w:sz w:val="20"/>
        </w:rPr>
        <w:t>million and $256</w:t>
      </w:r>
      <w:r>
        <w:rPr>
          <w:rFonts w:ascii="Times New Roman" w:hAnsi="Times New Roman"/>
          <w:color w:val="000000"/>
          <w:sz w:val="20"/>
        </w:rPr>
        <w:t xml:space="preserve"> </w:t>
      </w:r>
      <w:r>
        <w:rPr>
          <w:rFonts w:ascii="Arial" w:hAnsi="Arial"/>
          <w:color w:val="000000"/>
          <w:sz w:val="20"/>
        </w:rPr>
        <w:t>million, respectively, of its common stock under the Repurchase Program, leaving $1,263</w:t>
      </w:r>
      <w:r>
        <w:rPr>
          <w:rFonts w:ascii="Times New Roman" w:hAnsi="Times New Roman"/>
          <w:color w:val="000000"/>
          <w:sz w:val="20"/>
        </w:rPr>
        <w:t xml:space="preserve"> </w:t>
      </w:r>
      <w:r>
        <w:rPr>
          <w:rFonts w:ascii="Arial" w:hAnsi="Arial"/>
          <w:color w:val="000000"/>
          <w:sz w:val="20"/>
        </w:rPr>
        <w:t>million of authorized repurchases remaining under the Repurchase Program as of June 30, 2025.</w:t>
      </w:r>
      <w:r>
        <w:rPr>
          <w:rFonts w:ascii="Times New Roman" w:hAnsi="Times New Roman"/>
          <w:color w:val="000000"/>
          <w:sz w:val="20"/>
        </w:rPr>
        <w:t xml:space="preserve"> </w:t>
      </w:r>
      <w:r>
        <w:rPr>
          <w:rFonts w:ascii="Arial" w:hAnsi="Arial"/>
          <w:color w:val="000000"/>
          <w:sz w:val="20"/>
        </w:rPr>
        <w:t>The Repurchase Program has no termination date, and the</w:t>
      </w:r>
      <w:r>
        <w:rPr>
          <w:rFonts w:ascii="Times New Roman" w:hAnsi="Times New Roman"/>
          <w:color w:val="000000"/>
          <w:sz w:val="20"/>
        </w:rPr>
        <w:t xml:space="preserve"> </w:t>
      </w:r>
      <w:r>
        <w:rPr>
          <w:rFonts w:ascii="Arial" w:hAnsi="Arial"/>
          <w:color w:val="000000"/>
          <w:sz w:val="20"/>
        </w:rPr>
        <w:t>timing and amount of stock purchases are subject to market conditions and corporate needs. The Repurchase Program may be modified, suspended or discontinued at any time at the Company’s discretion.</w:t>
      </w:r>
    </w:p>
    <w:p>
      <w:pPr>
        <w:pStyle w:val="TextBody"/>
        <w:bidi w:val="0"/>
        <w:spacing w:before="240" w:after="283"/>
        <w:jc w:val="left"/>
        <w:rPr>
          <w:rFonts w:ascii="Times New Roman" w:hAnsi="Times New Roman"/>
          <w:sz w:val="20"/>
        </w:rPr>
      </w:pPr>
      <w:r>
        <w:rPr>
          <w:rFonts w:ascii="Arial" w:hAnsi="Arial"/>
          <w:b/>
          <w:color w:val="000000"/>
          <w:sz w:val="20"/>
        </w:rPr>
        <w:t>NOTE S.</w:t>
      </w:r>
      <w:r>
        <w:rPr>
          <w:rFonts w:ascii="Times New Roman" w:hAnsi="Times New Roman"/>
          <w:color w:val="000000"/>
          <w:sz w:val="20"/>
        </w:rPr>
        <w:t xml:space="preserve"> </w:t>
      </w:r>
      <w:r>
        <w:rPr>
          <w:rFonts w:ascii="Arial" w:hAnsi="Arial"/>
          <w:b/>
          <w:color w:val="000000"/>
          <w:sz w:val="20"/>
        </w:rPr>
        <w:t>SEGMENT INFORMATION</w:t>
      </w:r>
    </w:p>
    <w:p>
      <w:pPr>
        <w:pStyle w:val="TextBody"/>
        <w:bidi w:val="0"/>
        <w:spacing w:before="120" w:after="283"/>
        <w:jc w:val="left"/>
        <w:rPr>
          <w:rFonts w:ascii="Times New Roman" w:hAnsi="Times New Roman"/>
          <w:sz w:val="20"/>
        </w:rPr>
      </w:pPr>
      <w:r>
        <w:rPr>
          <w:rFonts w:ascii="Arial" w:hAnsi="Arial"/>
          <w:color w:val="000000"/>
          <w:sz w:val="20"/>
        </w:rPr>
        <w:t>In accordance with the FASB’s authoritative accounting guidance on segment reporting, the Company has one</w:t>
      </w:r>
      <w:r>
        <w:rPr>
          <w:rFonts w:ascii="Times New Roman" w:hAnsi="Times New Roman"/>
          <w:color w:val="000000"/>
          <w:sz w:val="20"/>
        </w:rPr>
        <w:t xml:space="preserve"> </w:t>
      </w:r>
      <w:r>
        <w:rPr>
          <w:rFonts w:ascii="Arial" w:hAnsi="Arial"/>
          <w:color w:val="000000"/>
          <w:sz w:val="20"/>
        </w:rPr>
        <w:t>operating segment and reportable segment. The Company is managed by the Chief Operating Decision Maker ("CODM") based on its one line of business, the design, manufacture and distribution of vehicle propulsion solutions.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Company’s CODM is its Chair, President and Chief Executive Officer. The CODM evaluates Company performance and makes decisions on the allocation of resources based on Net income, a GAAP measure, and Adjusted Earnings before Interest, Taxes, Depreciation, and Amortization (“EBITDA”), a non-GAAP measure. The most directly comparable GAAP measure to Adjusted EBITDA is Net income. The Company believes that Net income and Adjusted EBITDA provide management, investors and creditors with useful measures of the operational results of its business and increase the period-to-period comparability of the Company's operating profitability and comparability with other companies.</w:t>
      </w:r>
    </w:p>
    <w:p>
      <w:pPr>
        <w:pStyle w:val="TextBody"/>
        <w:bidi w:val="0"/>
        <w:spacing w:before="18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 xml:space="preserve">The CODM assesses Company performance utilizing Net income and Adjusted EBITDA by comparing budget versus actual and year-over-year variances. Certain variances identified in the analysis of Net income and Adjusted EBITDA are evaluated to assist the CODM in assessing Company performance and making decisions on the allocation of Company resources. The following expenses included in Net income and Adjusted EBITDA are identified as significant expenses regularly provided to the CODM: Cost of sales, Selling, general and administrative, and Engineering </w:t>
      </w:r>
      <w:r>
        <w:rPr>
          <w:rFonts w:ascii="Times New Roman" w:hAnsi="Times New Roman"/>
          <w:color w:val="000000"/>
          <w:sz w:val="20"/>
        </w:rPr>
        <w:t xml:space="preserve">— </w:t>
      </w:r>
      <w:r>
        <w:rPr>
          <w:rFonts w:ascii="Arial" w:hAnsi="Arial"/>
          <w:color w:val="000000"/>
          <w:sz w:val="20"/>
        </w:rPr>
        <w:t>research and development.</w:t>
      </w:r>
    </w:p>
    <w:p>
      <w:pPr>
        <w:pStyle w:val="TextBody"/>
        <w:bidi w:val="0"/>
        <w:spacing w:before="120" w:after="283"/>
        <w:jc w:val="left"/>
        <w:rPr>
          <w:rFonts w:ascii="Times New Roman" w:hAnsi="Times New Roman"/>
          <w:sz w:val="20"/>
        </w:rPr>
      </w:pPr>
      <w:r>
        <w:rPr>
          <w:rFonts w:ascii="Arial" w:hAnsi="Arial"/>
          <w:color w:val="000000"/>
          <w:sz w:val="20"/>
        </w:rPr>
        <w:t>The Company’s one</w:t>
      </w:r>
      <w:r>
        <w:rPr>
          <w:rFonts w:ascii="Times New Roman" w:hAnsi="Times New Roman"/>
          <w:color w:val="000000"/>
          <w:sz w:val="20"/>
        </w:rPr>
        <w:t xml:space="preserve"> </w:t>
      </w:r>
      <w:r>
        <w:rPr>
          <w:rFonts w:ascii="Arial" w:hAnsi="Arial"/>
          <w:color w:val="000000"/>
          <w:sz w:val="20"/>
        </w:rPr>
        <w:t>reportable segment is the same as its consolidated financial results; therefore, segment information for additions of long-lived assets and asset information can be found in the Company’s Condensed Consolidated Statements of Cash Flows and Condensed Consolidated Balance Sheets, respectively.</w:t>
      </w:r>
    </w:p>
    <w:p>
      <w:pPr>
        <w:pStyle w:val="TextBody"/>
        <w:bidi w:val="0"/>
        <w:spacing w:before="120" w:after="283"/>
        <w:jc w:val="left"/>
        <w:rPr>
          <w:rFonts w:ascii="Arial" w:hAnsi="Arial"/>
          <w:color w:val="000000"/>
          <w:sz w:val="20"/>
        </w:rPr>
      </w:pPr>
      <w:r>
        <w:rPr>
          <w:rFonts w:ascii="Arial" w:hAnsi="Arial"/>
          <w:color w:val="000000"/>
          <w:sz w:val="20"/>
        </w:rPr>
        <w:t>The following presents a financial summary of the Company’s one reportable segment (dollars in millions):</w:t>
      </w:r>
    </w:p>
    <w:p>
      <w:pPr>
        <w:pStyle w:val="TextBody"/>
        <w:bidi w:val="0"/>
        <w:spacing w:before="120" w:after="283"/>
        <w:jc w:val="left"/>
        <w:rPr/>
      </w:pPr>
      <w:r>
        <w:rPr/>
        <w:t> </w:t>
      </w:r>
    </w:p>
    <w:tbl>
      <w:tblPr>
        <w:tblW w:w="8881" w:type="dxa"/>
        <w:jc w:val="left"/>
        <w:tblInd w:w="0" w:type="dxa"/>
        <w:tblLayout w:type="fixed"/>
        <w:tblCellMar>
          <w:top w:w="28" w:type="dxa"/>
          <w:left w:w="28" w:type="dxa"/>
          <w:bottom w:w="28" w:type="dxa"/>
          <w:right w:w="28" w:type="dxa"/>
        </w:tblCellMar>
      </w:tblPr>
      <w:tblGrid>
        <w:gridCol w:w="4346"/>
        <w:gridCol w:w="211"/>
        <w:gridCol w:w="586"/>
        <w:gridCol w:w="146"/>
        <w:gridCol w:w="146"/>
        <w:gridCol w:w="211"/>
        <w:gridCol w:w="586"/>
        <w:gridCol w:w="146"/>
        <w:gridCol w:w="146"/>
        <w:gridCol w:w="211"/>
        <w:gridCol w:w="586"/>
        <w:gridCol w:w="146"/>
        <w:gridCol w:w="146"/>
        <w:gridCol w:w="211"/>
        <w:gridCol w:w="586"/>
        <w:gridCol w:w="471"/>
      </w:tblGrid>
      <w:tr>
        <w:trPr/>
        <w:tc>
          <w:tcPr>
            <w:tcW w:w="4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Engineering — 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segment items (a)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(GAAP)</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plus:</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of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intangible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adjustments (b)</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 (Non-GAAP)</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spacing w:before="0" w:after="0"/>
        <w:jc w:val="left"/>
        <w:rPr>
          <w:rFonts w:ascii="Arial" w:hAnsi="Arial"/>
          <w:color w:val="000000"/>
          <w:sz w:val="20"/>
        </w:rPr>
      </w:pPr>
      <w:r>
        <w:rPr>
          <w:rFonts w:ascii="Arial" w:hAnsi="Arial"/>
          <w:color w:val="000000"/>
          <w:sz w:val="20"/>
        </w:rPr>
        <w:t>Represents other segment items included in Net income including Income tax expense, Interest expense, net and Other income (expense), net.</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Represents other reconciling items between Net income and Adjusted EBITDA.</w:t>
      </w:r>
    </w:p>
    <w:p>
      <w:pPr>
        <w:pStyle w:val="TextBody"/>
        <w:bidi w:val="0"/>
        <w:spacing w:before="240" w:after="283"/>
        <w:jc w:val="left"/>
        <w:rPr>
          <w:rFonts w:ascii="Times New Roman" w:hAnsi="Times New Roman"/>
          <w:sz w:val="20"/>
        </w:rPr>
      </w:pPr>
      <w:r>
        <w:rPr>
          <w:rFonts w:ascii="Arial" w:hAnsi="Arial"/>
          <w:b/>
          <w:color w:val="000000"/>
          <w:sz w:val="20"/>
        </w:rPr>
        <w:t>NOTE T.</w:t>
      </w:r>
      <w:r>
        <w:rPr>
          <w:rFonts w:ascii="Times New Roman" w:hAnsi="Times New Roman"/>
          <w:color w:val="000000"/>
          <w:sz w:val="20"/>
        </w:rPr>
        <w:t xml:space="preserve"> </w:t>
      </w:r>
      <w:r>
        <w:rPr>
          <w:rFonts w:ascii="Arial" w:hAnsi="Arial"/>
          <w:b/>
          <w:color w:val="000000"/>
          <w:sz w:val="20"/>
        </w:rPr>
        <w:t>ACQUISITIONS</w:t>
      </w:r>
    </w:p>
    <w:p>
      <w:pPr>
        <w:pStyle w:val="TextBody"/>
        <w:bidi w:val="0"/>
        <w:spacing w:before="120" w:after="283"/>
        <w:jc w:val="left"/>
        <w:rPr>
          <w:rFonts w:ascii="Times New Roman" w:hAnsi="Times New Roman"/>
          <w:sz w:val="20"/>
        </w:rPr>
      </w:pPr>
      <w:r>
        <w:rPr>
          <w:rFonts w:ascii="Arial" w:hAnsi="Arial"/>
          <w:color w:val="000000"/>
          <w:sz w:val="20"/>
        </w:rPr>
        <w:t>On June 11, 2025, the Company entered into a Stock Purchase Agreement (the “Purchase Agreement”) with Dana Incorporated</w:t>
      </w:r>
      <w:r>
        <w:rPr>
          <w:rFonts w:ascii="Times New Roman" w:hAnsi="Times New Roman"/>
          <w:color w:val="000000"/>
          <w:sz w:val="20"/>
        </w:rPr>
        <w:t xml:space="preserve"> </w:t>
      </w:r>
      <w:r>
        <w:rPr>
          <w:rFonts w:ascii="Arial" w:hAnsi="Arial"/>
          <w:color w:val="000000"/>
          <w:sz w:val="20"/>
        </w:rPr>
        <w:t>(“Dana”) to acquire the off-highway business of Dana. Pursuant to the Purchase Agreement, the Company plans to acquire Dana's off-highway business for a purchase price of approximately $2,732</w:t>
      </w:r>
      <w:r>
        <w:rPr>
          <w:rFonts w:ascii="Times New Roman" w:hAnsi="Times New Roman"/>
          <w:color w:val="000000"/>
          <w:sz w:val="20"/>
        </w:rPr>
        <w:t xml:space="preserve"> </w:t>
      </w:r>
      <w:r>
        <w:rPr>
          <w:rFonts w:ascii="Arial" w:hAnsi="Arial"/>
          <w:color w:val="000000"/>
          <w:sz w:val="20"/>
        </w:rPr>
        <w:t>million, subject to certain adjustments, using a combination of cash on hand and debt. The closing of the transaction is not subject to a financing condition or to the approval of Dana’s or Allison’s stockholders and is projected to occur late in the fourth quarter of 2025, pending customary regulatory approvals. The Company will be required to pay Dana a termination fee of $120</w:t>
      </w:r>
      <w:r>
        <w:rPr>
          <w:rFonts w:ascii="Times New Roman" w:hAnsi="Times New Roman"/>
          <w:color w:val="000000"/>
          <w:sz w:val="20"/>
        </w:rPr>
        <w:t xml:space="preserve"> </w:t>
      </w:r>
      <w:r>
        <w:rPr>
          <w:rFonts w:ascii="Arial" w:hAnsi="Arial"/>
          <w:color w:val="000000"/>
          <w:sz w:val="20"/>
        </w:rPr>
        <w:t>million if the Purchase Agreement is terminated due to the failure of the transactions contemplated by the Purchase Agreement to be completed by a specified outside date as a result of the failure to obtain required approvals or clearances under, or as a result of an injunction or order relating to, competition and foreign investment laws.</w:t>
      </w:r>
    </w:p>
    <w:p>
      <w:pPr>
        <w:pStyle w:val="TextBody"/>
        <w:bidi w:val="0"/>
        <w:spacing w:before="120" w:after="283"/>
        <w:jc w:val="left"/>
        <w:rPr>
          <w:rFonts w:ascii="Times New Roman" w:hAnsi="Times New Roman"/>
          <w:sz w:val="20"/>
        </w:rPr>
      </w:pPr>
      <w:r>
        <w:rPr>
          <w:rFonts w:ascii="Arial" w:hAnsi="Arial"/>
          <w:color w:val="000000"/>
          <w:sz w:val="20"/>
        </w:rPr>
        <w:t>Also on June 11, 2025, in connection with the entry into the Purchase Agreement, the Company entered into a commitment letter (the “Commitment Letter”) with a group of lenders (the "Lenders"), pursuant to which the Lenders have committed to provide a 364-day senior unsecured bridge term loan facility (the “Bridge Facility”), in an aggregate principal amount of up to $2,000</w:t>
      </w:r>
      <w:r>
        <w:rPr>
          <w:rFonts w:ascii="Times New Roman" w:hAnsi="Times New Roman"/>
          <w:color w:val="000000"/>
          <w:sz w:val="20"/>
        </w:rPr>
        <w:t xml:space="preserve"> </w:t>
      </w:r>
      <w:r>
        <w:rPr>
          <w:rFonts w:ascii="Arial" w:hAnsi="Arial"/>
          <w:color w:val="000000"/>
          <w:sz w:val="20"/>
        </w:rPr>
        <w:t>million, subject to customary conditions, including the execution and</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delivery of definitive documentation with respect to the Bridge Facility in accordance with the terms set forth in the Commitment Letter. The proceeds of the Bridge Facility may be used to finance a portion of the purchase price under the Purchase Agreement and to pay costs, fees and expenses in connection with the Bridge Facility and the transactions contemplated thereby. The Company expects to replace the Bridge Facility prior to the closing of the transaction with permanent financing, which may include the issuance of debt securities.</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NOTE U. SUBSEQUENT EVENT</w:t>
      </w:r>
    </w:p>
    <w:p>
      <w:pPr>
        <w:pStyle w:val="TextBody"/>
        <w:bidi w:val="0"/>
        <w:spacing w:before="120" w:after="283"/>
        <w:jc w:val="left"/>
        <w:rPr>
          <w:rFonts w:ascii="Arial" w:hAnsi="Arial"/>
          <w:color w:val="000000"/>
          <w:sz w:val="20"/>
        </w:rPr>
      </w:pPr>
      <w:r>
        <w:rPr>
          <w:rFonts w:ascii="Arial" w:hAnsi="Arial"/>
          <w:color w:val="000000"/>
          <w:sz w:val="20"/>
        </w:rPr>
        <w:t>On July 4, 2025, the One Big Beautiful Bill Act ("OBBBA") was enacted into law. The OBBBA made a number of changes to U.S. federal income tax law that will impact the Company, including: allowing immediate deduction of the full cost of qualified capital investments, suspending the requirement to capitalize and amortize research and development expenditures, and modifying the applicable rules for global intangible low-taxed income and foreign derived intangible income. Management is currently evaluating the impact the OBBBA will have on the Company's consolidated financial statements.</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9287" w:type="dxa"/>
        <w:jc w:val="left"/>
        <w:tblInd w:w="0" w:type="dxa"/>
        <w:tblLayout w:type="fixed"/>
        <w:tblCellMar>
          <w:top w:w="28" w:type="dxa"/>
          <w:left w:w="28" w:type="dxa"/>
          <w:bottom w:w="28" w:type="dxa"/>
          <w:right w:w="28" w:type="dxa"/>
        </w:tblCellMar>
      </w:tblPr>
      <w:tblGrid>
        <w:gridCol w:w="826"/>
        <w:gridCol w:w="8461"/>
      </w:tblGrid>
      <w:tr>
        <w:trPr/>
        <w:tc>
          <w:tcPr>
            <w:tcW w:w="826" w:type="dxa"/>
            <w:tcBorders/>
            <w:vAlign w:val="center"/>
          </w:tcPr>
          <w:p>
            <w:pPr>
              <w:pStyle w:val="TableContents"/>
              <w:bidi w:val="0"/>
              <w:spacing w:before="0" w:after="283"/>
              <w:jc w:val="left"/>
              <w:rPr>
                <w:sz w:val="4"/>
                <w:szCs w:val="4"/>
              </w:rPr>
            </w:pPr>
            <w:r>
              <w:rPr>
                <w:sz w:val="4"/>
                <w:szCs w:val="4"/>
              </w:rPr>
            </w:r>
          </w:p>
        </w:tc>
        <w:tc>
          <w:tcPr>
            <w:tcW w:w="8461"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2.</w:t>
            </w:r>
          </w:p>
        </w:tc>
        <w:tc>
          <w:tcPr>
            <w:tcW w:w="84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bookmarkStart w:id="12" w:name="managements_discussion_analysis_financia"/>
            <w:bookmarkEnd w:id="12"/>
            <w:r>
              <w:rPr>
                <w:rFonts w:ascii="Arial" w:hAnsi="Arial"/>
                <w:b/>
                <w:color w:val="000000"/>
                <w:sz w:val="20"/>
              </w:rPr>
              <w:t>Management’s Discussion and Analysis of Financial Condition and Results of Operations</w:t>
            </w:r>
          </w:p>
        </w:tc>
      </w:tr>
    </w:tbl>
    <w:p>
      <w:pPr>
        <w:pStyle w:val="TextBody"/>
        <w:bidi w:val="0"/>
        <w:spacing w:before="120" w:after="283"/>
        <w:jc w:val="left"/>
        <w:rPr>
          <w:rFonts w:ascii="Arial" w:hAnsi="Arial"/>
          <w:i/>
          <w:color w:val="000000"/>
          <w:sz w:val="20"/>
        </w:rPr>
      </w:pPr>
      <w:r>
        <w:rPr>
          <w:rFonts w:ascii="Arial" w:hAnsi="Arial"/>
          <w:i/>
          <w:color w:val="000000"/>
          <w:sz w:val="20"/>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pStyle w:val="TextBody"/>
        <w:bidi w:val="0"/>
        <w:spacing w:before="120" w:after="283"/>
        <w:jc w:val="left"/>
        <w:rPr>
          <w:rFonts w:ascii="Arial" w:hAnsi="Arial"/>
          <w:i/>
          <w:color w:val="000000"/>
          <w:sz w:val="20"/>
        </w:rPr>
      </w:pPr>
      <w:r>
        <w:rPr>
          <w:rFonts w:ascii="Arial" w:hAnsi="Arial"/>
          <w:i/>
          <w:color w:val="000000"/>
          <w:sz w:val="20"/>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2024 as filed with the Securities and Exchange Commission on February 13, 2025. Our actual results may differ materially from those contained in or implied by any forward-looking statements.</w:t>
      </w:r>
    </w:p>
    <w:p>
      <w:pPr>
        <w:pStyle w:val="TextBody"/>
        <w:bidi w:val="0"/>
        <w:spacing w:before="120" w:after="283"/>
        <w:jc w:val="left"/>
        <w:rPr>
          <w:rFonts w:ascii="Arial" w:hAnsi="Arial"/>
          <w:b/>
          <w:color w:val="000000"/>
          <w:sz w:val="20"/>
        </w:rPr>
      </w:pPr>
      <w:r>
        <w:rPr>
          <w:rFonts w:ascii="Arial" w:hAnsi="Arial"/>
          <w:b/>
          <w:color w:val="000000"/>
          <w:sz w:val="20"/>
        </w:rPr>
        <w:t>Overview</w:t>
      </w:r>
    </w:p>
    <w:p>
      <w:pPr>
        <w:pStyle w:val="TextBody"/>
        <w:bidi w:val="0"/>
        <w:spacing w:before="180" w:after="283"/>
        <w:jc w:val="left"/>
        <w:rPr>
          <w:rFonts w:ascii="Arial" w:hAnsi="Arial"/>
          <w:color w:val="000000"/>
          <w:sz w:val="20"/>
        </w:rPr>
      </w:pPr>
      <w:r>
        <w:rPr>
          <w:rFonts w:ascii="Arial" w:hAnsi="Arial"/>
          <w:color w:val="000000"/>
          <w:sz w:val="20"/>
        </w:rPr>
        <w:t>Allison Transmission Holdings, Inc. and its subsidiaries (“Allison,” the “Company,” “we,” “us” or “our”) is a leading designer and manufacturer of propulsion solutions for commercial and defense vehicles and the largest global manufacturer of medium- and heavy-duty fully automatic transmissions. The business was founded in 1915 and has been headquartered in Indianapolis, Indiana since inception. Allison is traded on the New York Stock Exchange under the symbol “ALSN”.</w:t>
      </w:r>
    </w:p>
    <w:p>
      <w:pPr>
        <w:pStyle w:val="TextBody"/>
        <w:bidi w:val="0"/>
        <w:spacing w:before="120" w:after="283"/>
        <w:jc w:val="left"/>
        <w:rPr>
          <w:rFonts w:ascii="Arial" w:hAnsi="Arial"/>
          <w:color w:val="000000"/>
          <w:sz w:val="20"/>
        </w:rPr>
      </w:pPr>
      <w:r>
        <w:rPr>
          <w:rFonts w:ascii="Arial" w:hAnsi="Arial"/>
          <w:color w:val="000000"/>
          <w:sz w:val="20"/>
        </w:rPr>
        <w:t>We have a global presence by serving customers in North America, Asia, Europe, South America, and Africa, with approximately 77% of our revenues being generated in North America in 2024. We serve customers through an independent network of approximately 1,600 independent distributor and dealer locations worldwide.</w:t>
      </w:r>
    </w:p>
    <w:p>
      <w:pPr>
        <w:pStyle w:val="TextBody"/>
        <w:bidi w:val="0"/>
        <w:spacing w:before="120" w:after="283"/>
        <w:jc w:val="left"/>
        <w:rPr>
          <w:rFonts w:ascii="Arial" w:hAnsi="Arial"/>
          <w:b/>
          <w:color w:val="000000"/>
          <w:sz w:val="20"/>
        </w:rPr>
      </w:pPr>
      <w:r>
        <w:rPr>
          <w:rFonts w:ascii="Arial" w:hAnsi="Arial"/>
          <w:b/>
          <w:color w:val="000000"/>
          <w:sz w:val="20"/>
        </w:rPr>
        <w:t>Recent Developments</w:t>
      </w:r>
    </w:p>
    <w:p>
      <w:pPr>
        <w:pStyle w:val="TextBody"/>
        <w:bidi w:val="0"/>
        <w:spacing w:before="120" w:after="283"/>
        <w:jc w:val="left"/>
        <w:rPr>
          <w:rFonts w:ascii="Arial" w:hAnsi="Arial"/>
          <w:color w:val="000000"/>
          <w:sz w:val="20"/>
        </w:rPr>
      </w:pPr>
      <w:r>
        <w:rPr>
          <w:rFonts w:ascii="Arial" w:hAnsi="Arial"/>
          <w:color w:val="000000"/>
          <w:sz w:val="20"/>
        </w:rPr>
        <w:t>On July 4, 2025, the One Big Beautiful Bill Act ("OBBBA") was enacted into law. The OBBBA made a number of changes to U.S. federal income tax law that will impact us, including: allowing immediate deduction of the full cost of qualified capital investments, suspending the requirement to capitalize and amortize research and development expenditures, and modifying the applicable rules for global intangible low-taxed income and foreign derived intangible income. We are continuing to evaluate the impact that the OBBBA will have on our business and our results of operations.</w:t>
      </w:r>
    </w:p>
    <w:p>
      <w:pPr>
        <w:pStyle w:val="TextBody"/>
        <w:bidi w:val="0"/>
        <w:spacing w:before="120" w:after="283"/>
        <w:jc w:val="left"/>
        <w:rPr>
          <w:rFonts w:ascii="Arial" w:hAnsi="Arial"/>
          <w:color w:val="000000"/>
          <w:sz w:val="20"/>
        </w:rPr>
      </w:pPr>
      <w:r>
        <w:rPr>
          <w:rFonts w:ascii="Arial" w:hAnsi="Arial"/>
          <w:color w:val="000000"/>
          <w:sz w:val="20"/>
        </w:rPr>
        <w:t>On June 11, 2025, we entered into a Stock Purchase Agreement (the “Purchase Agreement”) with Dana Incorporated (“Dana”) to acquire the off-highway business of Dana (the "Acquisition"). Pursuant to the Purchase Agreement, we plan to acquire Dana's off-highway business for a purchase price of approximately $2,732 million, subject to certain adjustments, using a combination of cash on hand and debt. The closing of the transaction is not subject to a financing condition or to the approval of Dana’s or Allison’s stockholders and is projected to occur late in the fourth quarter of 2025, pending customary regulatory approvals. We will be required to pay Dana a termination fee of $120 million if the Purchase Agreement is terminated due to the failure of the transactions contemplated by the Purchase Agreement to be completed by a specified outside date as a result of the failure to obtain required approvals or clearances under, or as a result of an injunction or order relating to, competition and foreign investment laws.</w:t>
      </w:r>
    </w:p>
    <w:p>
      <w:pPr>
        <w:pStyle w:val="TextBody"/>
        <w:bidi w:val="0"/>
        <w:spacing w:before="120" w:after="283"/>
        <w:jc w:val="left"/>
        <w:rPr>
          <w:rFonts w:ascii="Times New Roman" w:hAnsi="Times New Roman"/>
          <w:sz w:val="20"/>
        </w:rPr>
      </w:pPr>
      <w:r>
        <w:rPr>
          <w:rFonts w:ascii="Arial" w:hAnsi="Arial"/>
          <w:color w:val="000000"/>
          <w:sz w:val="20"/>
        </w:rPr>
        <w:t>Also on June 11, 2025, in connection with the entry into the Purchase Agreement, we entered into a commitment letter (the “Commitment Letter”) with a group of lenders (the "Lenders"), pursuant to which the Lenders have committed to provide a 364-day senior unsecured bridge term loan facility (the “Bridge Facility”), in an aggregate principal amount of up to $2,000 million, subject to customary conditions, including the execution and delivery of definitive documentation with respect to the Bridge Facility in accordance with the terms set forth in the</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Commitment Letter. The proceeds of the Bridge Facility may be used to finance a portion of the purchase price under the Purchase Agreement and to pay costs, fees and expenses in connection with the Bridge Facility and the transactions contemplated thereby. We expect to replace the Bridge Facility prior to the closing of the transaction with permanent financing, which may include the issuance of debt securities.</w:t>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Trends Impacting Our Business</w:t>
      </w:r>
    </w:p>
    <w:p>
      <w:pPr>
        <w:pStyle w:val="TextBody"/>
        <w:bidi w:val="0"/>
        <w:spacing w:before="120" w:after="283"/>
        <w:jc w:val="left"/>
        <w:rPr>
          <w:rFonts w:ascii="Arial" w:hAnsi="Arial"/>
          <w:color w:val="000000"/>
          <w:sz w:val="20"/>
        </w:rPr>
      </w:pPr>
      <w:r>
        <w:rPr>
          <w:rFonts w:ascii="Arial" w:hAnsi="Arial"/>
          <w:color w:val="000000"/>
          <w:sz w:val="20"/>
        </w:rPr>
        <w:t>In 2025, we expect decreased net sales in our North America On-Highway end market, partially offset by price increases on certain products and increased demand for Tracked vehicle applications in our Defense end market.</w:t>
      </w:r>
    </w:p>
    <w:p>
      <w:pPr>
        <w:pStyle w:val="TextBody"/>
        <w:bidi w:val="0"/>
        <w:spacing w:before="18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80" w:after="283"/>
        <w:jc w:val="left"/>
        <w:rPr>
          <w:rFonts w:ascii="Arial" w:hAnsi="Arial"/>
          <w:b/>
          <w:i/>
          <w:color w:val="000000"/>
          <w:sz w:val="20"/>
        </w:rPr>
      </w:pPr>
      <w:r>
        <w:rPr>
          <w:rFonts w:ascii="Arial" w:hAnsi="Arial"/>
          <w:b/>
          <w:i/>
          <w:color w:val="000000"/>
          <w:sz w:val="20"/>
        </w:rPr>
        <w:t>Second Quarter Net Sales by End Market (dollars in millions)</w:t>
      </w:r>
    </w:p>
    <w:p>
      <w:pPr>
        <w:pStyle w:val="TextBody"/>
        <w:bidi w:val="0"/>
        <w:jc w:val="left"/>
        <w:rPr/>
      </w:pPr>
      <w:r>
        <w:rPr/>
        <w:t> </w:t>
      </w:r>
    </w:p>
    <w:tbl>
      <w:tblPr>
        <w:tblW w:w="8885" w:type="dxa"/>
        <w:jc w:val="left"/>
        <w:tblInd w:w="0" w:type="dxa"/>
        <w:tblLayout w:type="fixed"/>
        <w:tblCellMar>
          <w:top w:w="28" w:type="dxa"/>
          <w:left w:w="28" w:type="dxa"/>
          <w:bottom w:w="28" w:type="dxa"/>
          <w:right w:w="28" w:type="dxa"/>
        </w:tblCellMar>
      </w:tblPr>
      <w:tblGrid>
        <w:gridCol w:w="4006"/>
        <w:gridCol w:w="146"/>
        <w:gridCol w:w="417"/>
        <w:gridCol w:w="832"/>
        <w:gridCol w:w="288"/>
        <w:gridCol w:w="288"/>
        <w:gridCol w:w="417"/>
        <w:gridCol w:w="832"/>
        <w:gridCol w:w="146"/>
        <w:gridCol w:w="146"/>
        <w:gridCol w:w="272"/>
        <w:gridCol w:w="704"/>
        <w:gridCol w:w="3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End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Variance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America On-Highway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417</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Outside North America On-Highway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142</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Global Off-Highway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Parts, Support Equipment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176</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814</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North America On-Highway end market net sales were down 9% for the second quarter 2025 compared to the second quarter 2024, principally driven by lower demand for medium-duty trucks, partially offset by price increases on certain products and increased demand for hybrid transit buses.</w:t>
      </w:r>
    </w:p>
    <w:p>
      <w:pPr>
        <w:pStyle w:val="TextBody"/>
        <w:bidi w:val="0"/>
        <w:spacing w:before="120" w:after="283"/>
        <w:jc w:val="left"/>
        <w:rPr>
          <w:rFonts w:ascii="Arial" w:hAnsi="Arial"/>
          <w:color w:val="000000"/>
          <w:sz w:val="20"/>
        </w:rPr>
      </w:pPr>
      <w:r>
        <w:rPr>
          <w:rFonts w:ascii="Arial" w:hAnsi="Arial"/>
          <w:color w:val="000000"/>
          <w:sz w:val="20"/>
        </w:rPr>
        <w:t>Outside North America On-Highway end market net sales were up 11% for the second quarter 2025 compared to the second quarter 2024, principally driven by higher demand in South America and Europe.</w:t>
      </w:r>
    </w:p>
    <w:p>
      <w:pPr>
        <w:pStyle w:val="TextBody"/>
        <w:bidi w:val="0"/>
        <w:spacing w:before="120" w:after="283"/>
        <w:jc w:val="left"/>
        <w:rPr>
          <w:rFonts w:ascii="Times New Roman" w:hAnsi="Times New Roman"/>
          <w:sz w:val="20"/>
        </w:rPr>
      </w:pPr>
      <w:r>
        <w:rPr>
          <w:rFonts w:ascii="Arial" w:hAnsi="Arial"/>
          <w:color w:val="000000"/>
          <w:sz w:val="20"/>
        </w:rPr>
        <w:t>Global Off-Highway net sales were down $7 million for the second quarter 2025 compared to the second quarter 2024, principally driven by lower demand from the energy, mining and construction sectors outside of North America.</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Defense end market net sales were up 47% for the second quarter 2025 compared to the second quarter 2024, principally driven by increased demand for Tracked vehicle applications, price increases on certain products and the continued execution of our growth initiatives.</w:t>
      </w:r>
    </w:p>
    <w:p>
      <w:pPr>
        <w:pStyle w:val="TextBody"/>
        <w:bidi w:val="0"/>
        <w:spacing w:before="120" w:after="283"/>
        <w:jc w:val="left"/>
        <w:rPr>
          <w:rFonts w:ascii="Arial" w:hAnsi="Arial"/>
          <w:color w:val="000000"/>
          <w:sz w:val="20"/>
        </w:rPr>
      </w:pPr>
      <w:r>
        <w:rPr>
          <w:rFonts w:ascii="Arial" w:hAnsi="Arial"/>
          <w:color w:val="000000"/>
          <w:sz w:val="20"/>
        </w:rPr>
        <w:t>Service Parts, Support Equipment and Other end market net sales were up 6% for the second quarter 2025 compared to the second quarter 2024, principally driven by higher demand for service parts and price increases on certain products, partially offset by lower demand for aluminum die cast components.</w:t>
      </w:r>
    </w:p>
    <w:p>
      <w:pPr>
        <w:pStyle w:val="TextBody"/>
        <w:bidi w:val="0"/>
        <w:spacing w:before="18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Key Components of our Results of Operations</w:t>
      </w:r>
    </w:p>
    <w:p>
      <w:pPr>
        <w:pStyle w:val="TextBody"/>
        <w:bidi w:val="0"/>
        <w:spacing w:before="120" w:after="283"/>
        <w:jc w:val="left"/>
        <w:rPr>
          <w:rFonts w:ascii="Arial" w:hAnsi="Arial"/>
          <w:b/>
          <w:i/>
          <w:color w:val="000000"/>
          <w:sz w:val="20"/>
        </w:rPr>
      </w:pPr>
      <w:r>
        <w:rPr>
          <w:rFonts w:ascii="Arial" w:hAnsi="Arial"/>
          <w:b/>
          <w:i/>
          <w:color w:val="000000"/>
          <w:sz w:val="20"/>
        </w:rPr>
        <w:t>Net sales</w:t>
      </w:r>
    </w:p>
    <w:p>
      <w:pPr>
        <w:pStyle w:val="TextBody"/>
        <w:bidi w:val="0"/>
        <w:spacing w:before="120" w:after="283"/>
        <w:jc w:val="left"/>
        <w:rPr>
          <w:rFonts w:ascii="Arial" w:hAnsi="Arial"/>
          <w:color w:val="000000"/>
          <w:sz w:val="20"/>
        </w:rPr>
      </w:pPr>
      <w:r>
        <w:rPr>
          <w:rFonts w:ascii="Arial" w:hAnsi="Arial"/>
          <w:color w:val="000000"/>
          <w:sz w:val="20"/>
        </w:rPr>
        <w:t>We generate our net sales primarily from the sale of vehicle propulsion solutions, service and component parts, support equipment, defense kits, engineering services, royalties and extended transmission coverage to a wide array of original equipment manufacturers, distributors and the U.S. government. Sales are recorded in accordance with the terms of the contract, net of provisions for customer incentives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pStyle w:val="TextBody"/>
        <w:bidi w:val="0"/>
        <w:spacing w:before="120" w:after="283"/>
        <w:jc w:val="left"/>
        <w:rPr>
          <w:rFonts w:ascii="Arial" w:hAnsi="Arial"/>
          <w:b/>
          <w:i/>
          <w:color w:val="000000"/>
          <w:sz w:val="20"/>
        </w:rPr>
      </w:pPr>
      <w:r>
        <w:rPr>
          <w:rFonts w:ascii="Arial" w:hAnsi="Arial"/>
          <w:b/>
          <w:i/>
          <w:color w:val="000000"/>
          <w:sz w:val="20"/>
        </w:rPr>
        <w:t>Cost of sales</w:t>
      </w:r>
    </w:p>
    <w:p>
      <w:pPr>
        <w:pStyle w:val="TextBody"/>
        <w:bidi w:val="0"/>
        <w:spacing w:before="120" w:after="283"/>
        <w:jc w:val="left"/>
        <w:rPr>
          <w:rFonts w:ascii="Arial" w:hAnsi="Arial"/>
          <w:color w:val="000000"/>
          <w:sz w:val="20"/>
        </w:rPr>
      </w:pPr>
      <w:r>
        <w:rPr>
          <w:rFonts w:ascii="Arial" w:hAnsi="Arial"/>
          <w:color w:val="000000"/>
          <w:sz w:val="20"/>
        </w:rPr>
        <w:t>Our primary components of cost of sales are purchased parts, the overhead expense related to our manufacturing operations and direct labor associated with the manufacture and assembly of vehicle propulsion solutions and parts. For the six months ended June 30, 2025, direct material costs were approximately 66%, overhead costs were approximately 26%, and direct labor costs were approximately 8% of cost of sales. We are subject to changes in our cost of sales caused by movements in underlying commodity prices. We seek to hedge against this risk by using long-term agreements (“LTAs”), as appropriate. See Part I, Item 3, “Quantitative and Qualitative Disclosures about Market Risk—Commodity Price Risk” included below.</w:t>
      </w:r>
    </w:p>
    <w:p>
      <w:pPr>
        <w:pStyle w:val="TextBody"/>
        <w:bidi w:val="0"/>
        <w:spacing w:before="120" w:after="283"/>
        <w:jc w:val="left"/>
        <w:rPr>
          <w:rFonts w:ascii="Arial" w:hAnsi="Arial"/>
          <w:b/>
          <w:i/>
          <w:color w:val="000000"/>
          <w:sz w:val="20"/>
        </w:rPr>
      </w:pPr>
      <w:r>
        <w:rPr>
          <w:rFonts w:ascii="Arial" w:hAnsi="Arial"/>
          <w:b/>
          <w:i/>
          <w:color w:val="000000"/>
          <w:sz w:val="20"/>
        </w:rPr>
        <w:t>Selling, general and administrative</w:t>
      </w:r>
    </w:p>
    <w:p>
      <w:pPr>
        <w:pStyle w:val="TextBody"/>
        <w:bidi w:val="0"/>
        <w:spacing w:before="120" w:after="283"/>
        <w:jc w:val="left"/>
        <w:rPr>
          <w:rFonts w:ascii="Arial" w:hAnsi="Arial"/>
          <w:color w:val="000000"/>
          <w:sz w:val="20"/>
        </w:rPr>
      </w:pPr>
      <w:r>
        <w:rPr>
          <w:rFonts w:ascii="Arial" w:hAnsi="Arial"/>
          <w:color w:val="000000"/>
          <w:sz w:val="20"/>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pStyle w:val="TextBody"/>
        <w:bidi w:val="0"/>
        <w:spacing w:before="120" w:after="283"/>
        <w:jc w:val="left"/>
        <w:rPr>
          <w:rFonts w:ascii="Arial" w:hAnsi="Arial"/>
          <w:b/>
          <w:i/>
          <w:color w:val="000000"/>
          <w:sz w:val="20"/>
        </w:rPr>
      </w:pPr>
      <w:r>
        <w:rPr>
          <w:rFonts w:ascii="Arial" w:hAnsi="Arial"/>
          <w:b/>
          <w:i/>
          <w:color w:val="000000"/>
          <w:sz w:val="20"/>
        </w:rPr>
        <w:t>Engineering — research and development</w:t>
      </w:r>
    </w:p>
    <w:p>
      <w:pPr>
        <w:pStyle w:val="TextBody"/>
        <w:bidi w:val="0"/>
        <w:spacing w:before="120" w:after="283"/>
        <w:jc w:val="left"/>
        <w:rPr>
          <w:rFonts w:ascii="Arial" w:hAnsi="Arial"/>
          <w:color w:val="000000"/>
          <w:sz w:val="20"/>
        </w:rPr>
      </w:pPr>
      <w:r>
        <w:rPr>
          <w:rFonts w:ascii="Arial" w:hAnsi="Arial"/>
          <w:color w:val="000000"/>
          <w:sz w:val="20"/>
        </w:rPr>
        <w:t>We incur costs in connection with research and development programs that are expected to contribute to future earnings. Such costs are expensed as incurred.</w:t>
      </w:r>
    </w:p>
    <w:p>
      <w:pPr>
        <w:pStyle w:val="TextBody"/>
        <w:bidi w:val="0"/>
        <w:spacing w:before="18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Non-GAAP Financial Measures</w:t>
      </w:r>
    </w:p>
    <w:p>
      <w:pPr>
        <w:pStyle w:val="TextBody"/>
        <w:bidi w:val="0"/>
        <w:spacing w:before="180" w:after="283"/>
        <w:jc w:val="left"/>
        <w:rPr>
          <w:rFonts w:ascii="Arial" w:hAnsi="Arial"/>
          <w:color w:val="000000"/>
          <w:sz w:val="20"/>
        </w:rPr>
      </w:pPr>
      <w:r>
        <w:rPr>
          <w:rFonts w:ascii="Arial" w:hAnsi="Arial"/>
          <w:color w:val="000000"/>
          <w:sz w:val="20"/>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Allison Transmission, Inc.’s (“ATI”), our wholly-owned subsidiary, term loan facility in the amount of $512 million due March 2031 (“Term Loan”) and ATI’s revolving credit facility with commitments in the amount of $750 million due March 2029 ("Revolving Credit Facility" and, together with the Term Loan, the "Senior Secured Credit Facility"). Adjusted EBITDA as a percent of net sales is calculated as Adjusted EBITDA divided by net sales.</w:t>
      </w:r>
    </w:p>
    <w:p>
      <w:pPr>
        <w:pStyle w:val="TextBody"/>
        <w:bidi w:val="0"/>
        <w:spacing w:before="180" w:after="283"/>
        <w:jc w:val="left"/>
        <w:rPr>
          <w:rFonts w:ascii="Arial" w:hAnsi="Arial"/>
          <w:color w:val="000000"/>
          <w:sz w:val="20"/>
        </w:rPr>
      </w:pPr>
      <w:r>
        <w:rPr>
          <w:rFonts w:ascii="Arial" w:hAnsi="Arial"/>
          <w:color w:val="000000"/>
          <w:sz w:val="20"/>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pStyle w:val="TextBody"/>
        <w:bidi w:val="0"/>
        <w:spacing w:before="18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following is a reconciliation of Net income and Net income as a percent of net sales to Adjusted EBITDA and Adjusted EBITDA as a percent of net sales and a reconciliation of Net cash provided by operating activities to Adjusted free cash flow:</w:t>
      </w:r>
    </w:p>
    <w:tbl>
      <w:tblPr>
        <w:tblW w:w="10112" w:type="dxa"/>
        <w:jc w:val="left"/>
        <w:tblInd w:w="0" w:type="dxa"/>
        <w:tblLayout w:type="fixed"/>
        <w:tblCellMar>
          <w:top w:w="28" w:type="dxa"/>
          <w:left w:w="28" w:type="dxa"/>
          <w:bottom w:w="28" w:type="dxa"/>
          <w:right w:w="28" w:type="dxa"/>
        </w:tblCellMar>
      </w:tblPr>
      <w:tblGrid>
        <w:gridCol w:w="5221"/>
        <w:gridCol w:w="146"/>
        <w:gridCol w:w="211"/>
        <w:gridCol w:w="481"/>
        <w:gridCol w:w="286"/>
        <w:gridCol w:w="146"/>
        <w:gridCol w:w="211"/>
        <w:gridCol w:w="481"/>
        <w:gridCol w:w="286"/>
        <w:gridCol w:w="146"/>
        <w:gridCol w:w="211"/>
        <w:gridCol w:w="586"/>
        <w:gridCol w:w="286"/>
        <w:gridCol w:w="146"/>
        <w:gridCol w:w="211"/>
        <w:gridCol w:w="586"/>
        <w:gridCol w:w="47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Acquisition-related expenses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 expense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(gain) loss on marketable securities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UAW Local 933 contract signing incentives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Pension plan settlement loss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313</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609</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sales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as a percent of Net sales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 as a percent of Net sales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cash provided by operating activities (GAAP) (g)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Deductions to reconcile to Adjusted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Additions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free cash flow (Non-GAAP) (g)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spacing w:before="0" w:after="0"/>
        <w:jc w:val="left"/>
        <w:rPr>
          <w:rFonts w:ascii="Arial" w:hAnsi="Arial"/>
          <w:color w:val="000000"/>
          <w:sz w:val="20"/>
        </w:rPr>
      </w:pPr>
      <w:r>
        <w:rPr>
          <w:rFonts w:ascii="Arial" w:hAnsi="Arial"/>
          <w:color w:val="000000"/>
          <w:sz w:val="20"/>
        </w:rPr>
        <w:t xml:space="preserve">Represents acquisition-related expenses (recorded in Selling, general and administrative), primarily consulting and legal fees, related to our pending Acquisition.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spacing w:before="0" w:after="0"/>
        <w:jc w:val="left"/>
        <w:rPr>
          <w:rFonts w:ascii="Arial" w:hAnsi="Arial"/>
          <w:color w:val="000000"/>
          <w:sz w:val="20"/>
        </w:rPr>
      </w:pPr>
      <w:r>
        <w:rPr>
          <w:rFonts w:ascii="Arial" w:hAnsi="Arial"/>
          <w:color w:val="000000"/>
          <w:sz w:val="20"/>
        </w:rPr>
        <w:t>Represents stock-based compensation expense (recorded in Cost of sales, Selling, general and administrative, and Engineering — research and development).</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spacing w:before="0" w:after="0"/>
        <w:jc w:val="left"/>
        <w:rPr>
          <w:rFonts w:ascii="Arial" w:hAnsi="Arial"/>
          <w:color w:val="000000"/>
          <w:sz w:val="20"/>
        </w:rPr>
      </w:pPr>
      <w:r>
        <w:rPr>
          <w:rFonts w:ascii="Arial" w:hAnsi="Arial"/>
          <w:color w:val="000000"/>
          <w:sz w:val="20"/>
        </w:rPr>
        <w:t>Represents unrealized (gains) losses (recorded in Other income (expense), net) related to an investment in the common stock of Jing-Jin Electric Technologies Co. Ltd.</w:t>
      </w:r>
    </w:p>
    <w:p>
      <w:pPr>
        <w:pStyle w:val="TextBody"/>
        <w:bidi w:val="0"/>
        <w:spacing w:before="0" w:after="0"/>
        <w:jc w:val="left"/>
        <w:rPr>
          <w:rFonts w:ascii="Arial" w:hAnsi="Arial"/>
          <w:color w:val="000000"/>
          <w:sz w:val="20"/>
        </w:rPr>
      </w:pPr>
      <w:r>
        <w:rPr>
          <w:rFonts w:ascii="Arial" w:hAnsi="Arial"/>
          <w:color w:val="000000"/>
          <w:sz w:val="20"/>
        </w:rPr>
        <w:t>(d)</w:t>
      </w:r>
    </w:p>
    <w:p>
      <w:pPr>
        <w:pStyle w:val="TextBody"/>
        <w:bidi w:val="0"/>
        <w:spacing w:before="0" w:after="0"/>
        <w:jc w:val="left"/>
        <w:rPr>
          <w:rFonts w:ascii="Arial" w:hAnsi="Arial"/>
          <w:color w:val="000000"/>
          <w:sz w:val="20"/>
        </w:rPr>
      </w:pPr>
      <w:r>
        <w:rPr>
          <w:rFonts w:ascii="Arial" w:hAnsi="Arial"/>
          <w:color w:val="000000"/>
          <w:sz w:val="20"/>
        </w:rPr>
        <w:t>Represents non-recurring incentives (recorded in Cost of sales, Selling, general and administrative, and Engineering - research and development) to eligible employees as a result of the International Union, United Automobile, Aerospace and Agricultural Implement Workers of America ("UAW") Local 933 represented employees ratifying a four-year collective bargaining agreement effective through November 2027.</w:t>
      </w:r>
    </w:p>
    <w:p>
      <w:pPr>
        <w:pStyle w:val="TextBody"/>
        <w:bidi w:val="0"/>
        <w:spacing w:before="0" w:after="0"/>
        <w:jc w:val="left"/>
        <w:rPr>
          <w:rFonts w:ascii="Arial" w:hAnsi="Arial"/>
          <w:color w:val="000000"/>
          <w:sz w:val="20"/>
        </w:rPr>
      </w:pPr>
      <w:r>
        <w:rPr>
          <w:rFonts w:ascii="Arial" w:hAnsi="Arial"/>
          <w:color w:val="000000"/>
          <w:sz w:val="20"/>
        </w:rPr>
        <w:t>(e)</w:t>
      </w:r>
    </w:p>
    <w:p>
      <w:pPr>
        <w:pStyle w:val="TextBody"/>
        <w:bidi w:val="0"/>
        <w:spacing w:before="0" w:after="0"/>
        <w:jc w:val="left"/>
        <w:rPr>
          <w:rFonts w:ascii="Arial" w:hAnsi="Arial"/>
          <w:color w:val="000000"/>
          <w:sz w:val="20"/>
        </w:rPr>
      </w:pPr>
      <w:r>
        <w:rPr>
          <w:rFonts w:ascii="Arial" w:hAnsi="Arial"/>
          <w:color w:val="000000"/>
          <w:sz w:val="20"/>
        </w:rPr>
        <w:t>Represents a non-cash settlement charge (recorded in Other income (expense), net) for a pro rata portion of previously unrecognized pension plan actuarial net losses associated with the pension risk transfer of a portion of our salaried defined benefit pension plan obligations to a third-party insurance company.</w:t>
      </w:r>
    </w:p>
    <w:p>
      <w:pPr>
        <w:pStyle w:val="TextBody"/>
        <w:bidi w:val="0"/>
        <w:spacing w:before="0" w:after="0"/>
        <w:jc w:val="left"/>
        <w:rPr>
          <w:rFonts w:ascii="Arial" w:hAnsi="Arial"/>
          <w:color w:val="000000"/>
          <w:sz w:val="20"/>
        </w:rPr>
      </w:pPr>
      <w:r>
        <w:rPr>
          <w:rFonts w:ascii="Arial" w:hAnsi="Arial"/>
          <w:color w:val="000000"/>
          <w:sz w:val="20"/>
        </w:rPr>
        <w:t>(f)</w:t>
      </w:r>
    </w:p>
    <w:p>
      <w:pPr>
        <w:pStyle w:val="TextBody"/>
        <w:bidi w:val="0"/>
        <w:spacing w:before="0" w:after="0"/>
        <w:jc w:val="left"/>
        <w:rPr>
          <w:rFonts w:ascii="Arial" w:hAnsi="Arial"/>
          <w:color w:val="000000"/>
          <w:sz w:val="20"/>
        </w:rPr>
      </w:pPr>
      <w:r>
        <w:rPr>
          <w:rFonts w:ascii="Arial" w:hAnsi="Arial"/>
          <w:color w:val="000000"/>
          <w:sz w:val="20"/>
        </w:rPr>
        <w:t xml:space="preserve">Represents other adjustments as defined by the Credit Agreement. </w:t>
      </w:r>
    </w:p>
    <w:p>
      <w:pPr>
        <w:pStyle w:val="TextBody"/>
        <w:bidi w:val="0"/>
        <w:spacing w:before="0" w:after="0"/>
        <w:jc w:val="left"/>
        <w:rPr>
          <w:rFonts w:ascii="Arial" w:hAnsi="Arial"/>
          <w:color w:val="000000"/>
          <w:sz w:val="20"/>
        </w:rPr>
      </w:pPr>
      <w:r>
        <w:rPr>
          <w:rFonts w:ascii="Arial" w:hAnsi="Arial"/>
          <w:color w:val="000000"/>
          <w:sz w:val="20"/>
        </w:rPr>
        <w:t>(g)</w:t>
      </w:r>
    </w:p>
    <w:p>
      <w:pPr>
        <w:pStyle w:val="TextBody"/>
        <w:bidi w:val="0"/>
        <w:jc w:val="left"/>
        <w:rPr>
          <w:rFonts w:ascii="Arial" w:hAnsi="Arial"/>
          <w:color w:val="000000"/>
          <w:sz w:val="20"/>
        </w:rPr>
      </w:pPr>
      <w:r>
        <w:rPr>
          <w:rFonts w:ascii="Arial" w:hAnsi="Arial"/>
          <w:color w:val="000000"/>
          <w:sz w:val="20"/>
        </w:rPr>
        <w:t>Net cash provided by operating activities (GAAP) and Adjusted free cash flow (Non-GAAP) include $14 million and $17 million of payments for expenses related to the Acquisition for the three and six months ended June 30, 2025, respectively. There were no payments for expenses related to the Acquisition in either of the three or six months ended June 30, 2024.</w:t>
      </w:r>
    </w:p>
    <w:p>
      <w:pPr>
        <w:pStyle w:val="TextBody"/>
        <w:bidi w:val="0"/>
        <w:spacing w:before="18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Results of Operations</w:t>
      </w:r>
    </w:p>
    <w:p>
      <w:pPr>
        <w:pStyle w:val="TextBody"/>
        <w:bidi w:val="0"/>
        <w:spacing w:before="120" w:after="283"/>
        <w:jc w:val="left"/>
        <w:rPr>
          <w:rFonts w:ascii="Arial" w:hAnsi="Arial"/>
          <w:b/>
          <w:i/>
          <w:color w:val="000000"/>
          <w:sz w:val="20"/>
        </w:rPr>
      </w:pPr>
      <w:r>
        <w:rPr>
          <w:rFonts w:ascii="Arial" w:hAnsi="Arial"/>
          <w:b/>
          <w:i/>
          <w:color w:val="000000"/>
          <w:sz w:val="20"/>
        </w:rPr>
        <w:t>Comparison of three months ended June 30, 2025 and 2024</w:t>
      </w:r>
    </w:p>
    <w:p>
      <w:pPr>
        <w:pStyle w:val="TextBody"/>
        <w:bidi w:val="0"/>
        <w:spacing w:before="120" w:after="283"/>
        <w:jc w:val="left"/>
        <w:rPr>
          <w:rFonts w:ascii="Arial" w:hAnsi="Arial"/>
          <w:color w:val="000000"/>
          <w:sz w:val="20"/>
        </w:rPr>
      </w:pPr>
      <w:r>
        <w:rPr>
          <w:rFonts w:ascii="Arial" w:hAnsi="Arial"/>
          <w:color w:val="000000"/>
          <w:sz w:val="20"/>
        </w:rPr>
        <w:t>The following table sets forth certain financial information for the three months ended June 30, 2025 and 2024. The following table and discussion should be read in conjunction with the information contained in our condensed consolidated financial statements and the notes thereto included in Part I, Item 1 of this Quarterly Report on Form 10-Q.</w:t>
      </w:r>
    </w:p>
    <w:p>
      <w:pPr>
        <w:pStyle w:val="TextBody"/>
        <w:bidi w:val="0"/>
        <w:jc w:val="left"/>
        <w:rPr/>
      </w:pPr>
      <w:r>
        <w:rPr/>
        <w:t> </w:t>
      </w:r>
    </w:p>
    <w:tbl>
      <w:tblPr>
        <w:tblW w:w="9288" w:type="dxa"/>
        <w:jc w:val="left"/>
        <w:tblInd w:w="0" w:type="dxa"/>
        <w:tblLayout w:type="fixed"/>
        <w:tblCellMar>
          <w:top w:w="28" w:type="dxa"/>
          <w:left w:w="28" w:type="dxa"/>
          <w:bottom w:w="28" w:type="dxa"/>
          <w:right w:w="28" w:type="dxa"/>
        </w:tblCellMar>
      </w:tblPr>
      <w:tblGrid>
        <w:gridCol w:w="4031"/>
        <w:gridCol w:w="146"/>
        <w:gridCol w:w="211"/>
        <w:gridCol w:w="421"/>
        <w:gridCol w:w="166"/>
        <w:gridCol w:w="146"/>
        <w:gridCol w:w="262"/>
        <w:gridCol w:w="758"/>
        <w:gridCol w:w="286"/>
        <w:gridCol w:w="146"/>
        <w:gridCol w:w="211"/>
        <w:gridCol w:w="421"/>
        <w:gridCol w:w="166"/>
        <w:gridCol w:w="146"/>
        <w:gridCol w:w="262"/>
        <w:gridCol w:w="758"/>
        <w:gridCol w:w="75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of net sales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of net sales</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Engineering —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Net sales</w:t>
      </w:r>
    </w:p>
    <w:p>
      <w:pPr>
        <w:pStyle w:val="TextBody"/>
        <w:bidi w:val="0"/>
        <w:spacing w:before="120" w:after="283"/>
        <w:jc w:val="left"/>
        <w:rPr>
          <w:rFonts w:ascii="Times New Roman" w:hAnsi="Times New Roman"/>
          <w:sz w:val="20"/>
        </w:rPr>
      </w:pPr>
      <w:r>
        <w:rPr>
          <w:rFonts w:ascii="Arial" w:hAnsi="Arial"/>
          <w:color w:val="000000"/>
          <w:sz w:val="20"/>
        </w:rPr>
        <w:t>Net sales for the quarter ended June 30, 2025 were $814 million compared to $816 million for the quarter ended June 30, 2024.</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decrease was principally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North America On-Highway end market net sales decreased $39 million, or 9%, principally driven by lower demand for medium-duty trucks, partially offset by price increases on certain products and increased demand for hybrid transit buses.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Global Off-Highway end market net sales decreased $7 million, or 30%, principally driven by lower demand from the energy, mining and construction sectors outside of North America.</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These decreases were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Defense end market net sales increased $20 million, or 47%, principally driven by increased demand for Tracked vehicle applications, price increases on certain products and the continued execution of our growth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Outside North America On-Highway end market net sales increased $14 million, or 11%, principally driven by higher demand in South America and Europe.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Service Parts, Support Equipment and Other end market net sales increased $10 million, or 6%, principally driven by higher demand for service parts and price increases on certain products, partially offset by lower demand for aluminum die cast components.</w:t>
      </w:r>
    </w:p>
    <w:p>
      <w:pPr>
        <w:pStyle w:val="TextBody"/>
        <w:bidi w:val="0"/>
        <w:spacing w:before="120" w:after="283"/>
        <w:jc w:val="left"/>
        <w:rPr>
          <w:rFonts w:ascii="Arial" w:hAnsi="Arial"/>
          <w:b/>
          <w:i/>
          <w:color w:val="000000"/>
          <w:sz w:val="20"/>
        </w:rPr>
      </w:pPr>
      <w:r>
        <w:rPr>
          <w:rFonts w:ascii="Arial" w:hAnsi="Arial"/>
          <w:b/>
          <w:i/>
          <w:color w:val="000000"/>
          <w:sz w:val="20"/>
        </w:rPr>
        <w:t>Cost of sales</w:t>
      </w:r>
    </w:p>
    <w:p>
      <w:pPr>
        <w:pStyle w:val="TextBody"/>
        <w:bidi w:val="0"/>
        <w:spacing w:before="120" w:after="283"/>
        <w:jc w:val="left"/>
        <w:rPr>
          <w:rFonts w:ascii="Times New Roman" w:hAnsi="Times New Roman"/>
          <w:sz w:val="20"/>
        </w:rPr>
      </w:pPr>
      <w:r>
        <w:rPr>
          <w:rFonts w:ascii="Arial" w:hAnsi="Arial"/>
          <w:color w:val="000000"/>
          <w:sz w:val="20"/>
        </w:rPr>
        <w:t>Cost of sales for the quarter ended June 30, 2025 was $412 million compared to $422 million for the quarter ended June 30, 2024, a decrease of 2%. The decrease was principally driven by lower direct material and</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manufacturing expense commensurate with decreased net sales and $5 million of lower incentive compensation expense, partially offset by unfavorable direct material costs.</w:t>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Gross profit</w:t>
      </w:r>
    </w:p>
    <w:p>
      <w:pPr>
        <w:pStyle w:val="TextBody"/>
        <w:bidi w:val="0"/>
        <w:spacing w:before="120" w:after="283"/>
        <w:jc w:val="left"/>
        <w:rPr>
          <w:rFonts w:ascii="Arial" w:hAnsi="Arial"/>
          <w:color w:val="000000"/>
          <w:sz w:val="20"/>
        </w:rPr>
      </w:pPr>
      <w:r>
        <w:rPr>
          <w:rFonts w:ascii="Arial" w:hAnsi="Arial"/>
          <w:color w:val="000000"/>
          <w:sz w:val="20"/>
        </w:rPr>
        <w:t>Gross profit for the quarter ended June 30, 2025 was $402 million compared to $394 million for the quarter ended June 30, 2024, an increase of 2%. The increase was principally driven by $34 million from price increases on certain products, $5 million of lower manufacturing expense and $5 million of lower incentive compensation expense, partially offset by $25 million from decreased net sales and $11 million of unfavorable direct material costs. Gross profit as a percent of net sales for the three months ended June 30, 2025 increased 110 basis points compared to the same period in 2024, principally driven by price increases on certain products and decreased cost of sales.</w:t>
      </w:r>
    </w:p>
    <w:p>
      <w:pPr>
        <w:pStyle w:val="TextBody"/>
        <w:bidi w:val="0"/>
        <w:spacing w:before="120" w:after="283"/>
        <w:jc w:val="left"/>
        <w:rPr>
          <w:rFonts w:ascii="Arial" w:hAnsi="Arial"/>
          <w:b/>
          <w:i/>
          <w:color w:val="000000"/>
          <w:sz w:val="20"/>
        </w:rPr>
      </w:pPr>
      <w:r>
        <w:rPr>
          <w:rFonts w:ascii="Arial" w:hAnsi="Arial"/>
          <w:b/>
          <w:i/>
          <w:color w:val="000000"/>
          <w:sz w:val="20"/>
        </w:rPr>
        <w:t>Selling, general and administrative</w:t>
      </w:r>
    </w:p>
    <w:p>
      <w:pPr>
        <w:pStyle w:val="TextBody"/>
        <w:bidi w:val="0"/>
        <w:spacing w:before="120" w:after="283"/>
        <w:jc w:val="left"/>
        <w:rPr>
          <w:rFonts w:ascii="Arial" w:hAnsi="Arial"/>
          <w:color w:val="000000"/>
          <w:sz w:val="20"/>
        </w:rPr>
      </w:pPr>
      <w:r>
        <w:rPr>
          <w:rFonts w:ascii="Arial" w:hAnsi="Arial"/>
          <w:color w:val="000000"/>
          <w:sz w:val="20"/>
        </w:rPr>
        <w:t>Selling, general and administrative expenses for the quarter ended June 30, 2025 were $102 million compared to $82 million for the quarter ended June 30, 2024, an increase of 24%. The increase was principally driven by expenses related to the Acquisition and higher product warranty expense.</w:t>
      </w:r>
    </w:p>
    <w:p>
      <w:pPr>
        <w:pStyle w:val="TextBody"/>
        <w:bidi w:val="0"/>
        <w:spacing w:before="120" w:after="283"/>
        <w:jc w:val="left"/>
        <w:rPr>
          <w:rFonts w:ascii="Arial" w:hAnsi="Arial"/>
          <w:b/>
          <w:i/>
          <w:color w:val="000000"/>
          <w:sz w:val="20"/>
        </w:rPr>
      </w:pPr>
      <w:r>
        <w:rPr>
          <w:rFonts w:ascii="Arial" w:hAnsi="Arial"/>
          <w:b/>
          <w:i/>
          <w:color w:val="000000"/>
          <w:sz w:val="20"/>
        </w:rPr>
        <w:t>Engineering — research and development</w:t>
      </w:r>
    </w:p>
    <w:p>
      <w:pPr>
        <w:pStyle w:val="TextBody"/>
        <w:bidi w:val="0"/>
        <w:spacing w:before="120" w:after="283"/>
        <w:jc w:val="left"/>
        <w:rPr>
          <w:rFonts w:ascii="Arial" w:hAnsi="Arial"/>
          <w:color w:val="000000"/>
          <w:sz w:val="20"/>
        </w:rPr>
      </w:pPr>
      <w:r>
        <w:rPr>
          <w:rFonts w:ascii="Arial" w:hAnsi="Arial"/>
          <w:color w:val="000000"/>
          <w:sz w:val="20"/>
        </w:rPr>
        <w:t>Engineering expenses for the quarter ended June 30, 2025 were $44 million compared to $49 million for the quarter ended June 30, 2024, a decrease of 10%. The decrease was principally driven by reduced product initiatives spending.</w:t>
      </w:r>
    </w:p>
    <w:p>
      <w:pPr>
        <w:pStyle w:val="TextBody"/>
        <w:bidi w:val="0"/>
        <w:spacing w:before="120" w:after="283"/>
        <w:jc w:val="left"/>
        <w:rPr>
          <w:rFonts w:ascii="Arial" w:hAnsi="Arial"/>
          <w:b/>
          <w:i/>
          <w:color w:val="000000"/>
          <w:sz w:val="20"/>
        </w:rPr>
      </w:pPr>
      <w:r>
        <w:rPr>
          <w:rFonts w:ascii="Arial" w:hAnsi="Arial"/>
          <w:b/>
          <w:i/>
          <w:color w:val="000000"/>
          <w:sz w:val="20"/>
        </w:rPr>
        <w:t>Interest expense, net</w:t>
      </w:r>
    </w:p>
    <w:p>
      <w:pPr>
        <w:pStyle w:val="TextBody"/>
        <w:bidi w:val="0"/>
        <w:spacing w:before="120" w:after="283"/>
        <w:jc w:val="left"/>
        <w:rPr>
          <w:rFonts w:ascii="Arial" w:hAnsi="Arial"/>
          <w:color w:val="000000"/>
          <w:sz w:val="20"/>
        </w:rPr>
      </w:pPr>
      <w:r>
        <w:rPr>
          <w:rFonts w:ascii="Arial" w:hAnsi="Arial"/>
          <w:color w:val="000000"/>
          <w:sz w:val="20"/>
        </w:rPr>
        <w:t>Interest expense, net for each of the quarters ended June 30, 2025 and 2024 was $22 million.</w:t>
      </w:r>
    </w:p>
    <w:p>
      <w:pPr>
        <w:pStyle w:val="TextBody"/>
        <w:bidi w:val="0"/>
        <w:spacing w:before="120" w:after="283"/>
        <w:jc w:val="left"/>
        <w:rPr>
          <w:rFonts w:ascii="Arial" w:hAnsi="Arial"/>
          <w:b/>
          <w:i/>
          <w:color w:val="000000"/>
          <w:sz w:val="20"/>
        </w:rPr>
      </w:pPr>
      <w:r>
        <w:rPr>
          <w:rFonts w:ascii="Arial" w:hAnsi="Arial"/>
          <w:b/>
          <w:i/>
          <w:color w:val="000000"/>
          <w:sz w:val="20"/>
        </w:rPr>
        <w:t>Other income (expense), net</w:t>
      </w:r>
    </w:p>
    <w:p>
      <w:pPr>
        <w:pStyle w:val="TextBody"/>
        <w:bidi w:val="0"/>
        <w:spacing w:before="120" w:after="283"/>
        <w:jc w:val="left"/>
        <w:rPr>
          <w:rFonts w:ascii="Arial" w:hAnsi="Arial"/>
          <w:color w:val="000000"/>
          <w:sz w:val="20"/>
        </w:rPr>
      </w:pPr>
      <w:r>
        <w:rPr>
          <w:rFonts w:ascii="Arial" w:hAnsi="Arial"/>
          <w:color w:val="000000"/>
          <w:sz w:val="20"/>
        </w:rPr>
        <w:t>Other income (expense), net for the quarter ended June 30, 2025 was $8 million compared to ($7) million for the quarter ended June 30, 2024. The change was principally driven by an $8 million change in unrealized mark-to-market adjustments for marketable securities and a $4 million non-cash defined benefit pension plan settlement charge recognized in the second quarter of 2024 that did not reoccur in 2025.</w:t>
      </w:r>
    </w:p>
    <w:p>
      <w:pPr>
        <w:pStyle w:val="TextBody"/>
        <w:bidi w:val="0"/>
        <w:spacing w:before="120" w:after="283"/>
        <w:jc w:val="left"/>
        <w:rPr>
          <w:rFonts w:ascii="Arial" w:hAnsi="Arial"/>
          <w:b/>
          <w:i/>
          <w:color w:val="000000"/>
          <w:sz w:val="20"/>
        </w:rPr>
      </w:pPr>
      <w:r>
        <w:rPr>
          <w:rFonts w:ascii="Arial" w:hAnsi="Arial"/>
          <w:b/>
          <w:i/>
          <w:color w:val="000000"/>
          <w:sz w:val="20"/>
        </w:rPr>
        <w:t>Income tax expense</w:t>
      </w:r>
    </w:p>
    <w:p>
      <w:pPr>
        <w:pStyle w:val="TextBody"/>
        <w:bidi w:val="0"/>
        <w:spacing w:before="120" w:after="283"/>
        <w:jc w:val="left"/>
        <w:rPr>
          <w:rFonts w:ascii="Arial" w:hAnsi="Arial"/>
          <w:color w:val="000000"/>
          <w:sz w:val="20"/>
        </w:rPr>
      </w:pPr>
      <w:r>
        <w:rPr>
          <w:rFonts w:ascii="Arial" w:hAnsi="Arial"/>
          <w:color w:val="000000"/>
          <w:sz w:val="20"/>
        </w:rPr>
        <w:t>Income tax expense for the three months ended June 30, 2025 was $47 million, resulting in an effective tax rate of 19%, compared to $47 million of income tax expense and an effective tax rate of 20% for the three months ended June 30, 2024.</w:t>
      </w:r>
    </w:p>
    <w:p>
      <w:pPr>
        <w:pStyle w:val="TextBody"/>
        <w:bidi w:val="0"/>
        <w:spacing w:before="18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Comparison of six months ended June 30, 2025 and 2024</w:t>
      </w:r>
    </w:p>
    <w:p>
      <w:pPr>
        <w:pStyle w:val="TextBody"/>
        <w:bidi w:val="0"/>
        <w:spacing w:before="120" w:after="283"/>
        <w:jc w:val="left"/>
        <w:rPr>
          <w:rFonts w:ascii="Arial" w:hAnsi="Arial"/>
          <w:color w:val="000000"/>
          <w:sz w:val="20"/>
        </w:rPr>
      </w:pPr>
      <w:r>
        <w:rPr>
          <w:rFonts w:ascii="Arial" w:hAnsi="Arial"/>
          <w:color w:val="000000"/>
          <w:sz w:val="20"/>
        </w:rPr>
        <w:t>The following table sets forth certain financial information for the six months ended June 30, 2025 and 2024. The following table and discussion should be read in conjunction with the information contained in our condensed consolidated financial statements and the notes thereto included in Part I, Item 1 of this Quarterly Report on Form 10-Q.</w:t>
      </w:r>
    </w:p>
    <w:p>
      <w:pPr>
        <w:pStyle w:val="TextBody"/>
        <w:bidi w:val="0"/>
        <w:spacing w:before="120" w:after="283"/>
        <w:jc w:val="left"/>
        <w:rPr/>
      </w:pPr>
      <w:r>
        <w:rPr/>
        <w:t> </w:t>
      </w:r>
    </w:p>
    <w:tbl>
      <w:tblPr>
        <w:tblW w:w="9618" w:type="dxa"/>
        <w:jc w:val="left"/>
        <w:tblInd w:w="0" w:type="dxa"/>
        <w:tblLayout w:type="fixed"/>
        <w:tblCellMar>
          <w:top w:w="28" w:type="dxa"/>
          <w:left w:w="28" w:type="dxa"/>
          <w:bottom w:w="28" w:type="dxa"/>
          <w:right w:w="28" w:type="dxa"/>
        </w:tblCellMar>
      </w:tblPr>
      <w:tblGrid>
        <w:gridCol w:w="4031"/>
        <w:gridCol w:w="146"/>
        <w:gridCol w:w="211"/>
        <w:gridCol w:w="586"/>
        <w:gridCol w:w="166"/>
        <w:gridCol w:w="146"/>
        <w:gridCol w:w="262"/>
        <w:gridCol w:w="758"/>
        <w:gridCol w:w="286"/>
        <w:gridCol w:w="146"/>
        <w:gridCol w:w="211"/>
        <w:gridCol w:w="586"/>
        <w:gridCol w:w="166"/>
        <w:gridCol w:w="146"/>
        <w:gridCol w:w="262"/>
        <w:gridCol w:w="758"/>
        <w:gridCol w:w="75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9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of net sales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of net sales</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Engineering —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Net sales</w:t>
      </w:r>
    </w:p>
    <w:p>
      <w:pPr>
        <w:pStyle w:val="TextBody"/>
        <w:bidi w:val="0"/>
        <w:spacing w:before="120" w:after="283"/>
        <w:jc w:val="left"/>
        <w:rPr>
          <w:rFonts w:ascii="Times New Roman" w:hAnsi="Times New Roman"/>
          <w:sz w:val="20"/>
        </w:rPr>
      </w:pPr>
      <w:r>
        <w:rPr>
          <w:rFonts w:ascii="Arial" w:hAnsi="Arial"/>
          <w:color w:val="000000"/>
          <w:sz w:val="20"/>
        </w:rPr>
        <w:t>Net sales for the six months ended June 30, 2025 were $1,580 million compared to $1,605 million for the six months ended June 30, 2024, a decrease of 2%.</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decrease was principally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Global Off-Highway end market net sales decreased $35 million, or 51%, principally driven by lower demand from the energy, mining and construction sectors outside of North America.</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North America On-Highway end market net sales decreased $24 million, or 3%, principally driven by lower demand for medium-duty trucks, partially offset by price increases on certain products and increased demand for hybrid transit buses.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Service Parts, Support Equipment and Other end market net sales decreased $2 million, or 1%, principally driven by lower demand for aluminum die cast components and support equipment, partially offset by price increases on certain products and higher demand for service parts.</w:t>
      </w:r>
    </w:p>
    <w:p>
      <w:pPr>
        <w:pStyle w:val="TextBody"/>
        <w:bidi w:val="0"/>
        <w:spacing w:before="120" w:after="283"/>
        <w:jc w:val="left"/>
        <w:rPr>
          <w:rFonts w:ascii="Arial" w:hAnsi="Arial"/>
          <w:color w:val="000000"/>
          <w:sz w:val="20"/>
        </w:rPr>
      </w:pPr>
      <w:r>
        <w:rPr>
          <w:rFonts w:ascii="Arial" w:hAnsi="Arial"/>
          <w:color w:val="000000"/>
          <w:sz w:val="20"/>
        </w:rPr>
        <w:t>These decreases were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Defense end market net sales increased $25 million, or 27%, principally driven by increased demand for Tracked vehicle applications, price increases on certain products and the continued execution of our growth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Outside North America On-Highway end market net sales increased $11 million, or 5%, principally driven by higher demand in South America.</w:t>
      </w:r>
    </w:p>
    <w:p>
      <w:pPr>
        <w:pStyle w:val="TextBody"/>
        <w:bidi w:val="0"/>
        <w:spacing w:before="120" w:after="283"/>
        <w:jc w:val="left"/>
        <w:rPr>
          <w:rFonts w:ascii="Arial" w:hAnsi="Arial"/>
          <w:b/>
          <w:i/>
          <w:color w:val="000000"/>
          <w:sz w:val="20"/>
        </w:rPr>
      </w:pPr>
      <w:r>
        <w:rPr>
          <w:rFonts w:ascii="Arial" w:hAnsi="Arial"/>
          <w:b/>
          <w:i/>
          <w:color w:val="000000"/>
          <w:sz w:val="20"/>
        </w:rPr>
        <w:t>Cost of sales</w:t>
      </w:r>
    </w:p>
    <w:p>
      <w:pPr>
        <w:pStyle w:val="TextBody"/>
        <w:bidi w:val="0"/>
        <w:spacing w:before="120" w:after="283"/>
        <w:jc w:val="left"/>
        <w:rPr>
          <w:rFonts w:ascii="Arial" w:hAnsi="Arial"/>
          <w:color w:val="000000"/>
          <w:sz w:val="20"/>
        </w:rPr>
      </w:pPr>
      <w:r>
        <w:rPr>
          <w:rFonts w:ascii="Arial" w:hAnsi="Arial"/>
          <w:color w:val="000000"/>
          <w:sz w:val="20"/>
        </w:rPr>
        <w:t>Cost of sales for the six months ended June 30, 2025 was $800 million compared to $845 million for the six months ended June 30, 2024, a decrease of 5%. The decrease was principally driven by lower direct material and manufacturing expense commensurate with decreased net sales, $13 million of UAW Local 933 contract signing incentives recognized in the first quarter of 2024 that did not reoccur in 2025 and $9 million of lower incentive compensation expense, partially offset by unfavorable direct material costs.</w:t>
      </w:r>
    </w:p>
    <w:p>
      <w:pPr>
        <w:pStyle w:val="TextBody"/>
        <w:bidi w:val="0"/>
        <w:spacing w:before="18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Gross profit</w:t>
      </w:r>
    </w:p>
    <w:p>
      <w:pPr>
        <w:pStyle w:val="TextBody"/>
        <w:bidi w:val="0"/>
        <w:spacing w:before="120" w:after="283"/>
        <w:jc w:val="left"/>
        <w:rPr>
          <w:rFonts w:ascii="Arial" w:hAnsi="Arial"/>
          <w:color w:val="000000"/>
          <w:sz w:val="20"/>
        </w:rPr>
      </w:pPr>
      <w:r>
        <w:rPr>
          <w:rFonts w:ascii="Arial" w:hAnsi="Arial"/>
          <w:color w:val="000000"/>
          <w:sz w:val="20"/>
        </w:rPr>
        <w:t>Gross profit for the six months ended June 30, 2025 was $780 million compared to $760 million for the six months ended June 30, 2024, an increase of 3%. The increase was principally driven by $73 million of price increases on certain products, $13 million of UAW Local 933 contract signing incentives recognized in the first quarter of 2024 that did not reoccur in 2025, $9 million of lower incentive compensation expense and $4 million of lower manufacturing expense, partially offset by $62 million from decreased net sales and $17 million of unfavorable direct material costs. Gross profit as a percent of net sales for the six months ended June 30, 2025 increased 200 basis points compared to the same period in 2024, principally driven by price increases on certain products and decreased cost of sales.</w:t>
      </w:r>
    </w:p>
    <w:p>
      <w:pPr>
        <w:pStyle w:val="TextBody"/>
        <w:bidi w:val="0"/>
        <w:spacing w:before="120" w:after="283"/>
        <w:jc w:val="left"/>
        <w:rPr>
          <w:rFonts w:ascii="Arial" w:hAnsi="Arial"/>
          <w:b/>
          <w:i/>
          <w:color w:val="000000"/>
          <w:sz w:val="20"/>
        </w:rPr>
      </w:pPr>
      <w:r>
        <w:rPr>
          <w:rFonts w:ascii="Arial" w:hAnsi="Arial"/>
          <w:b/>
          <w:i/>
          <w:color w:val="000000"/>
          <w:sz w:val="20"/>
        </w:rPr>
        <w:t>Selling, general and administrative</w:t>
      </w:r>
    </w:p>
    <w:p>
      <w:pPr>
        <w:pStyle w:val="TextBody"/>
        <w:bidi w:val="0"/>
        <w:spacing w:before="120" w:after="283"/>
        <w:jc w:val="left"/>
        <w:rPr>
          <w:rFonts w:ascii="Arial" w:hAnsi="Arial"/>
          <w:color w:val="000000"/>
          <w:sz w:val="20"/>
        </w:rPr>
      </w:pPr>
      <w:r>
        <w:rPr>
          <w:rFonts w:ascii="Arial" w:hAnsi="Arial"/>
          <w:color w:val="000000"/>
          <w:sz w:val="20"/>
        </w:rPr>
        <w:t>Selling, general and administrative expenses were $188 million for the six months ended June 30, 2025 compared to $168 million for the six months ended June 30, 2024, an increase of 12%. The increase was principally driven by expenses related to the Acquisition and higher product warranty expense, partially offset by lower incentive compensation expense and lower intangible amortization expense.</w:t>
      </w:r>
    </w:p>
    <w:p>
      <w:pPr>
        <w:pStyle w:val="TextBody"/>
        <w:bidi w:val="0"/>
        <w:spacing w:before="120" w:after="283"/>
        <w:jc w:val="left"/>
        <w:rPr>
          <w:rFonts w:ascii="Arial" w:hAnsi="Arial"/>
          <w:b/>
          <w:i/>
          <w:color w:val="000000"/>
          <w:sz w:val="20"/>
        </w:rPr>
      </w:pPr>
      <w:r>
        <w:rPr>
          <w:rFonts w:ascii="Arial" w:hAnsi="Arial"/>
          <w:b/>
          <w:i/>
          <w:color w:val="000000"/>
          <w:sz w:val="20"/>
        </w:rPr>
        <w:t>Engineering — research and development</w:t>
      </w:r>
    </w:p>
    <w:p>
      <w:pPr>
        <w:pStyle w:val="TextBody"/>
        <w:bidi w:val="0"/>
        <w:spacing w:before="120" w:after="283"/>
        <w:jc w:val="left"/>
        <w:rPr>
          <w:rFonts w:ascii="Arial" w:hAnsi="Arial"/>
          <w:color w:val="000000"/>
          <w:sz w:val="20"/>
        </w:rPr>
      </w:pPr>
      <w:r>
        <w:rPr>
          <w:rFonts w:ascii="Arial" w:hAnsi="Arial"/>
          <w:color w:val="000000"/>
          <w:sz w:val="20"/>
        </w:rPr>
        <w:t>Engineering expenses for the six months ended June 30, 2025 were $87 million compared to $95 million for the six months ended June 30, 2024, a decrease of 8%. The decrease was principally driven by reduced product initiatives spending.</w:t>
      </w:r>
    </w:p>
    <w:p>
      <w:pPr>
        <w:pStyle w:val="TextBody"/>
        <w:bidi w:val="0"/>
        <w:spacing w:before="120" w:after="283"/>
        <w:jc w:val="left"/>
        <w:rPr>
          <w:rFonts w:ascii="Arial" w:hAnsi="Arial"/>
          <w:b/>
          <w:i/>
          <w:color w:val="000000"/>
          <w:sz w:val="20"/>
        </w:rPr>
      </w:pPr>
      <w:r>
        <w:rPr>
          <w:rFonts w:ascii="Arial" w:hAnsi="Arial"/>
          <w:b/>
          <w:i/>
          <w:color w:val="000000"/>
          <w:sz w:val="20"/>
        </w:rPr>
        <w:t>Interest expense, net</w:t>
      </w:r>
    </w:p>
    <w:p>
      <w:pPr>
        <w:pStyle w:val="TextBody"/>
        <w:bidi w:val="0"/>
        <w:spacing w:before="120" w:after="283"/>
        <w:jc w:val="left"/>
        <w:rPr>
          <w:rFonts w:ascii="Arial" w:hAnsi="Arial"/>
          <w:color w:val="000000"/>
          <w:sz w:val="20"/>
        </w:rPr>
      </w:pPr>
      <w:r>
        <w:rPr>
          <w:rFonts w:ascii="Arial" w:hAnsi="Arial"/>
          <w:color w:val="000000"/>
          <w:sz w:val="20"/>
        </w:rPr>
        <w:t>Interest expense, net for the six months ended June 30, 2025 was $43 million compared to $47 million for the six months ended June 30, 2024, a decrease of 9%. The decrease was principally driven by lower interest expense on ATI's Term Loan due primarily to decreased variable interest rates.</w:t>
      </w:r>
    </w:p>
    <w:p>
      <w:pPr>
        <w:pStyle w:val="TextBody"/>
        <w:bidi w:val="0"/>
        <w:spacing w:before="120" w:after="283"/>
        <w:jc w:val="left"/>
        <w:rPr>
          <w:rFonts w:ascii="Arial" w:hAnsi="Arial"/>
          <w:b/>
          <w:i/>
          <w:color w:val="000000"/>
          <w:sz w:val="20"/>
        </w:rPr>
      </w:pPr>
      <w:r>
        <w:rPr>
          <w:rFonts w:ascii="Arial" w:hAnsi="Arial"/>
          <w:b/>
          <w:i/>
          <w:color w:val="000000"/>
          <w:sz w:val="20"/>
        </w:rPr>
        <w:t>Other income (expense), net</w:t>
      </w:r>
    </w:p>
    <w:p>
      <w:pPr>
        <w:pStyle w:val="TextBody"/>
        <w:bidi w:val="0"/>
        <w:spacing w:before="120" w:after="283"/>
        <w:jc w:val="left"/>
        <w:rPr>
          <w:rFonts w:ascii="Arial" w:hAnsi="Arial"/>
          <w:color w:val="000000"/>
          <w:sz w:val="20"/>
        </w:rPr>
      </w:pPr>
      <w:r>
        <w:rPr>
          <w:rFonts w:ascii="Arial" w:hAnsi="Arial"/>
          <w:color w:val="000000"/>
          <w:sz w:val="20"/>
        </w:rPr>
        <w:t>Other income (expense), net for the six months ended June 30, 2025 was $13 million compared to ($12) million for the six months ended June 30, 2024. The change was principally driven by an $18 million change in unrealized mark-to-market adjustments for marketable securities, $6 million of favorable foreign exchange and a $4 million non-cash defined benefit pension plan settlement charge recognized in the second quarter of 2024 that did not reoccur in 2025.</w:t>
      </w:r>
    </w:p>
    <w:p>
      <w:pPr>
        <w:pStyle w:val="TextBody"/>
        <w:bidi w:val="0"/>
        <w:spacing w:before="120" w:after="283"/>
        <w:jc w:val="left"/>
        <w:rPr>
          <w:rFonts w:ascii="Arial" w:hAnsi="Arial"/>
          <w:b/>
          <w:i/>
          <w:color w:val="000000"/>
          <w:sz w:val="20"/>
        </w:rPr>
      </w:pPr>
      <w:r>
        <w:rPr>
          <w:rFonts w:ascii="Arial" w:hAnsi="Arial"/>
          <w:b/>
          <w:i/>
          <w:color w:val="000000"/>
          <w:sz w:val="20"/>
        </w:rPr>
        <w:t>Income tax expense</w:t>
      </w:r>
    </w:p>
    <w:p>
      <w:pPr>
        <w:pStyle w:val="TextBody"/>
        <w:bidi w:val="0"/>
        <w:spacing w:before="120" w:after="283"/>
        <w:jc w:val="left"/>
        <w:rPr>
          <w:rFonts w:ascii="Arial" w:hAnsi="Arial"/>
          <w:color w:val="000000"/>
          <w:sz w:val="20"/>
        </w:rPr>
      </w:pPr>
      <w:r>
        <w:rPr>
          <w:rFonts w:ascii="Arial" w:hAnsi="Arial"/>
          <w:color w:val="000000"/>
          <w:sz w:val="20"/>
        </w:rPr>
        <w:t>Income tax expense for the six months ended June 30, 2025 was $88 million, resulting in an effective tax rate of 19%, compared to $82 million of income tax expense and an effective tax rate of 19% for the six months ended June 30, 2024. The increase in income tax expense was principally driven by higher taxable income.</w:t>
      </w:r>
    </w:p>
    <w:p>
      <w:pPr>
        <w:pStyle w:val="TextBody"/>
        <w:bidi w:val="0"/>
        <w:spacing w:before="18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Liquidity and Capital Resources</w:t>
      </w:r>
    </w:p>
    <w:p>
      <w:pPr>
        <w:pStyle w:val="TextBody"/>
        <w:bidi w:val="0"/>
        <w:spacing w:before="120" w:after="283"/>
        <w:jc w:val="left"/>
        <w:rPr>
          <w:rFonts w:ascii="Arial" w:hAnsi="Arial"/>
          <w:color w:val="000000"/>
          <w:sz w:val="20"/>
        </w:rPr>
      </w:pPr>
      <w:r>
        <w:rPr>
          <w:rFonts w:ascii="Arial" w:hAnsi="Arial"/>
          <w:color w:val="000000"/>
          <w:sz w:val="20"/>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$778 million and $781 million as of June 30, 2025 and December 31, 2024, respectively. Of the available cash and cash equivalents, $204 million was deposited in operating accounts and $574 million was invested primarily in U.S. government backed securities and time deposits as of June 30, 2025, compared to $117 million deposited in operating accounts and $664 million invested primarily in U.S. government backed securities as of December 31, 2024.</w:t>
      </w:r>
    </w:p>
    <w:p>
      <w:pPr>
        <w:pStyle w:val="TextBody"/>
        <w:bidi w:val="0"/>
        <w:spacing w:before="120" w:after="283"/>
        <w:jc w:val="left"/>
        <w:rPr>
          <w:rFonts w:ascii="Arial" w:hAnsi="Arial"/>
          <w:color w:val="000000"/>
          <w:sz w:val="20"/>
        </w:rPr>
      </w:pPr>
      <w:r>
        <w:rPr>
          <w:rFonts w:ascii="Arial" w:hAnsi="Arial"/>
          <w:color w:val="000000"/>
          <w:sz w:val="20"/>
        </w:rPr>
        <w:t>As of June 30, 2025, the total of cash held by foreign subsidiaries was $136 million, the majority of which was at our subsidiaries located in the Netherlands, China, Japan and India.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initiatives or operating needs with local resources.</w:t>
      </w:r>
    </w:p>
    <w:p>
      <w:pPr>
        <w:pStyle w:val="TextBody"/>
        <w:bidi w:val="0"/>
        <w:spacing w:before="180" w:after="283"/>
        <w:jc w:val="left"/>
        <w:rPr>
          <w:rFonts w:ascii="Arial" w:hAnsi="Arial"/>
          <w:color w:val="000000"/>
          <w:sz w:val="20"/>
        </w:rPr>
      </w:pPr>
      <w:r>
        <w:rPr>
          <w:rFonts w:ascii="Arial" w:hAnsi="Arial"/>
          <w:color w:val="000000"/>
          <w:sz w:val="20"/>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pStyle w:val="TextBody"/>
        <w:bidi w:val="0"/>
        <w:spacing w:before="180" w:after="283"/>
        <w:jc w:val="left"/>
        <w:rPr>
          <w:rFonts w:ascii="Arial" w:hAnsi="Arial"/>
          <w:color w:val="000000"/>
          <w:sz w:val="20"/>
        </w:rPr>
      </w:pPr>
      <w:r>
        <w:rPr>
          <w:rFonts w:ascii="Arial" w:hAnsi="Arial"/>
          <w:color w:val="000000"/>
          <w:sz w:val="20"/>
        </w:rPr>
        <w:t>Our liquidity requirements are significant, primarily due to our debt service requirements. As of June 30, 2025, we had $512 million of indebtedness associated with ATI’s Term Loan, $400 million of indebtedness associated with ATI’s 4.75% Senior Notes due October 2027 (“4.75% Senior Notes”), $500 million of indebtedness associated with ATI’s 5.875% Senior Notes due June 2029 (“5.875% Senior Notes”) and $1,000 million of indebtedness associated with ATI’s 3.75% Senior Notes due January 2031 (“3.75% Senior Notes” and, together with the 4.75% Senior Notes and 5.875% Senior Notes, the “Senior Notes”). Short-term and long-term debt service liquidity requirements consist of $1 million of minimum required quarterly principal payments on ATI’s Term Loan through its maturity date of March 2031 and periodic interest payments on ATI’s Term Loan and the Senior Notes. There are no required quarterly principal payments on the Senior Notes. Long-term debt service liquidity requirements also consist of the payment in full of any remaining principal balance of ATI’s Term Loan and the Senior Notes upon their respective maturity dates.</w:t>
      </w:r>
    </w:p>
    <w:p>
      <w:pPr>
        <w:pStyle w:val="TextBody"/>
        <w:bidi w:val="0"/>
        <w:spacing w:before="180" w:after="283"/>
        <w:jc w:val="left"/>
        <w:rPr>
          <w:rFonts w:ascii="Times New Roman" w:hAnsi="Times New Roman"/>
          <w:sz w:val="20"/>
        </w:rPr>
      </w:pPr>
      <w:r>
        <w:rPr>
          <w:rFonts w:ascii="Arial" w:hAnsi="Arial"/>
          <w:color w:val="000000"/>
          <w:sz w:val="20"/>
        </w:rPr>
        <w:t>We made $2 million and $102 million of principal payments on the Term Loan during the six months ended June 30, 2025 and 2024, respectively. Our ability to make payments on and refinance our indebtedness and to fund planned capital expenditures and growth initiatives will depend on our ability to generate cash in the future.</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Senior Secured Credit Facility provides for a $750 million Revolving Credit Facility, net of an allowance for up to $75 million in outstanding letter of credit commitments. As of June 30, 2025, we had $745 million available under the Revolving Credit Facility, net of $5 million in letters of credit. As of June 30, 2025, we had no amounts outstanding under the Revolving Credit Facility.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June 30, 2025, our first lien net leverage ratio was (0.22x).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pStyle w:val="TextBody"/>
        <w:bidi w:val="0"/>
        <w:spacing w:before="180" w:after="283"/>
        <w:jc w:val="left"/>
        <w:rPr>
          <w:rFonts w:ascii="Arial" w:hAnsi="Arial"/>
          <w:color w:val="000000"/>
          <w:sz w:val="20"/>
        </w:rPr>
      </w:pPr>
      <w:r>
        <w:rPr>
          <w:rFonts w:ascii="Arial" w:hAnsi="Arial"/>
          <w:color w:val="000000"/>
          <w:sz w:val="20"/>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June 30, 2025, we are in compliance with all covenants under the Senior Secured Credit Facility and indentures governing the Senior Notes.</w:t>
      </w:r>
    </w:p>
    <w:p>
      <w:pPr>
        <w:pStyle w:val="TextBody"/>
        <w:bidi w:val="0"/>
        <w:spacing w:before="180" w:after="283"/>
        <w:jc w:val="left"/>
        <w:rPr>
          <w:rFonts w:ascii="Arial" w:hAnsi="Arial"/>
          <w:color w:val="000000"/>
          <w:sz w:val="20"/>
        </w:rPr>
      </w:pPr>
      <w:r>
        <w:rPr>
          <w:rFonts w:ascii="Arial" w:hAnsi="Arial"/>
          <w:color w:val="000000"/>
          <w:sz w:val="20"/>
        </w:rPr>
        <w:t>In connection with the Acquisition, we entered into the Commitment Letter, which provides for up to $2,000 million of borrowing capacity under the Bridge Facility. The proceeds of the Bridge Facility may be used to finance a portion of the purchase price under the Purchase Agreement and to pay costs, fees and expenses in connection with the Bridge Facility and the transactions contemplated thereby. We expect to replace the Bridge Facility prior to the closing of the Acquisition with permanent financing, which may include the issuance of debt securities.</w:t>
      </w:r>
    </w:p>
    <w:p>
      <w:pPr>
        <w:pStyle w:val="TextBody"/>
        <w:bidi w:val="0"/>
        <w:spacing w:before="180" w:after="283"/>
        <w:jc w:val="left"/>
        <w:rPr>
          <w:rFonts w:ascii="Arial" w:hAnsi="Arial"/>
          <w:color w:val="000000"/>
          <w:sz w:val="20"/>
        </w:rPr>
      </w:pPr>
      <w:r>
        <w:rPr>
          <w:rFonts w:ascii="Arial" w:hAnsi="Arial"/>
          <w:color w:val="000000"/>
          <w:sz w:val="20"/>
        </w:rPr>
        <w:t>Our credit ratings and outlook are reviewed periodically by Moody’s Ratings (“Moody’s”) and Fitch Ratings, Inc. (“Fitch”). As of June 30, 2025, our credit ratings from both Moody's and Fitch are shown in the table below:</w:t>
      </w:r>
    </w:p>
    <w:p>
      <w:pPr>
        <w:pStyle w:val="TextBody"/>
        <w:bidi w:val="0"/>
        <w:jc w:val="left"/>
        <w:rPr/>
      </w:pPr>
      <w:r>
        <w:rPr/>
        <w:t> </w:t>
      </w:r>
    </w:p>
    <w:tbl>
      <w:tblPr>
        <w:tblW w:w="3655" w:type="dxa"/>
        <w:jc w:val="left"/>
        <w:tblInd w:w="0" w:type="dxa"/>
        <w:tblLayout w:type="fixed"/>
        <w:tblCellMar>
          <w:top w:w="28" w:type="dxa"/>
          <w:left w:w="28" w:type="dxa"/>
          <w:bottom w:w="28" w:type="dxa"/>
          <w:right w:w="28" w:type="dxa"/>
        </w:tblCellMar>
      </w:tblPr>
      <w:tblGrid>
        <w:gridCol w:w="1966"/>
        <w:gridCol w:w="146"/>
        <w:gridCol w:w="781"/>
        <w:gridCol w:w="146"/>
        <w:gridCol w:w="61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Credit Ratings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Moody's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Fitch</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BBB-</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4.75%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5.875%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3.75%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w:t>
            </w:r>
          </w:p>
        </w:tc>
      </w:tr>
    </w:tbl>
    <w:p>
      <w:pPr>
        <w:pStyle w:val="TextBody"/>
        <w:bidi w:val="0"/>
        <w:spacing w:before="180" w:after="283"/>
        <w:jc w:val="left"/>
        <w:rPr>
          <w:rFonts w:ascii="Arial" w:hAnsi="Arial"/>
          <w:color w:val="000000"/>
          <w:sz w:val="20"/>
        </w:rPr>
      </w:pPr>
      <w:r>
        <w:rPr>
          <w:rFonts w:ascii="Arial" w:hAnsi="Arial"/>
          <w:color w:val="000000"/>
          <w:sz w:val="20"/>
        </w:rPr>
        <w:t>On February 20, 2025, our Board of Directors authorized us to repurchase an additional $1,000 million of our common stock pursuant to our stock repurchase program (the "Repurchase Program"), bringing the total amount authorized pursuant to the Repurchase Program to $5,000 million. During the six months ended June 30, 2025, we repurchased $256 million of our common stock under the Repurchase Program. Substantially all of the repurchase transactions during the six months ended June 30, 2025 were settled in cash during the same period. As of June 30, 2025, we had approximately $1,263 million available under the Repurchase Program.</w:t>
      </w:r>
    </w:p>
    <w:p>
      <w:pPr>
        <w:pStyle w:val="TextBody"/>
        <w:bidi w:val="0"/>
        <w:spacing w:before="18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following table shows our sources and uses of funds for the six months ended June 30, 2025 and 2024 (dollars in millions):</w:t>
      </w:r>
    </w:p>
    <w:p>
      <w:pPr>
        <w:pStyle w:val="TextBody"/>
        <w:bidi w:val="0"/>
        <w:jc w:val="left"/>
        <w:rPr/>
      </w:pPr>
      <w:r>
        <w:rPr/>
        <w:t> </w:t>
      </w:r>
    </w:p>
    <w:tbl>
      <w:tblPr>
        <w:tblW w:w="5894" w:type="dxa"/>
        <w:jc w:val="left"/>
        <w:tblInd w:w="0" w:type="dxa"/>
        <w:tblLayout w:type="fixed"/>
        <w:tblCellMar>
          <w:top w:w="28" w:type="dxa"/>
          <w:left w:w="28" w:type="dxa"/>
          <w:bottom w:w="28" w:type="dxa"/>
          <w:right w:w="28" w:type="dxa"/>
        </w:tblCellMar>
      </w:tblPr>
      <w:tblGrid>
        <w:gridCol w:w="3841"/>
        <w:gridCol w:w="146"/>
        <w:gridCol w:w="211"/>
        <w:gridCol w:w="481"/>
        <w:gridCol w:w="166"/>
        <w:gridCol w:w="146"/>
        <w:gridCol w:w="211"/>
        <w:gridCol w:w="481"/>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Statements of Cash Flows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flows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flows used for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flows used for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Generally, cash provided by operating activities has been adequate to fund our operations. We have significant liquidity, including $778 million of cash and cash equivalents and $745 million available under the Revolving Credit Facility, net of $5 million of letters of credit as of June 30, 2025. In addition, we have $2,000 million available under the Bridge Facility, which may be used to finance a portion of the purchase price of the Acquisition and other related costs, fees and expenses. At this time, we believe cash provided by operating activities, cash and cash equivalents and borrowing capacity under the Revolving Credit Facility and Bridge Facility will be sufficient to meet our known and anticipated cash requirements for the next twelve months and thereafter.</w:t>
      </w:r>
    </w:p>
    <w:p>
      <w:pPr>
        <w:pStyle w:val="TextBody"/>
        <w:bidi w:val="0"/>
        <w:spacing w:before="120" w:after="283"/>
        <w:jc w:val="left"/>
        <w:rPr>
          <w:rFonts w:ascii="Arial" w:hAnsi="Arial"/>
          <w:b/>
          <w:i/>
          <w:color w:val="000000"/>
          <w:sz w:val="20"/>
        </w:rPr>
      </w:pPr>
      <w:r>
        <w:rPr>
          <w:rFonts w:ascii="Arial" w:hAnsi="Arial"/>
          <w:b/>
          <w:i/>
          <w:color w:val="000000"/>
          <w:sz w:val="20"/>
        </w:rPr>
        <w:t>Cash provided by operating activities</w:t>
      </w:r>
    </w:p>
    <w:p>
      <w:pPr>
        <w:pStyle w:val="TextBody"/>
        <w:bidi w:val="0"/>
        <w:spacing w:before="120" w:after="283"/>
        <w:jc w:val="left"/>
        <w:rPr>
          <w:rFonts w:ascii="Arial" w:hAnsi="Arial"/>
          <w:color w:val="000000"/>
          <w:sz w:val="20"/>
        </w:rPr>
      </w:pPr>
      <w:r>
        <w:rPr>
          <w:rFonts w:ascii="Arial" w:hAnsi="Arial"/>
          <w:color w:val="000000"/>
          <w:sz w:val="20"/>
        </w:rPr>
        <w:t>Operating activities for the six months ended June 30, 2025 generated $365 million of cash compared to $344 million for the six months ended June 30, 2024. The increase was principally driven by lower operating working capital funding requirements, UAW Local 933 contract signing incentives recognized in the first quarter of 2024 that did not reoccur in 2025, higher gross profit and lower cash income taxes, partially offset by payments for expenses related to the Acquisition and higher cash incentive compensation payments.</w:t>
      </w:r>
    </w:p>
    <w:p>
      <w:pPr>
        <w:pStyle w:val="TextBody"/>
        <w:bidi w:val="0"/>
        <w:spacing w:before="120" w:after="283"/>
        <w:jc w:val="left"/>
        <w:rPr>
          <w:rFonts w:ascii="Arial" w:hAnsi="Arial"/>
          <w:b/>
          <w:i/>
          <w:color w:val="000000"/>
          <w:sz w:val="20"/>
        </w:rPr>
      </w:pPr>
      <w:r>
        <w:rPr>
          <w:rFonts w:ascii="Arial" w:hAnsi="Arial"/>
          <w:b/>
          <w:i/>
          <w:color w:val="000000"/>
          <w:sz w:val="20"/>
        </w:rPr>
        <w:t>Cash used for investing activities</w:t>
      </w:r>
    </w:p>
    <w:p>
      <w:pPr>
        <w:pStyle w:val="TextBody"/>
        <w:bidi w:val="0"/>
        <w:spacing w:before="120" w:after="283"/>
        <w:jc w:val="left"/>
        <w:rPr>
          <w:rFonts w:ascii="Arial" w:hAnsi="Arial"/>
          <w:color w:val="000000"/>
          <w:sz w:val="20"/>
        </w:rPr>
      </w:pPr>
      <w:r>
        <w:rPr>
          <w:rFonts w:ascii="Arial" w:hAnsi="Arial"/>
          <w:color w:val="000000"/>
          <w:sz w:val="20"/>
        </w:rPr>
        <w:t>Investing activities for the six months ended June 30, 2025 used $59 million of cash compared to $32 million for the six months ended June 30, 2024. The increase was principally driven by a $25 million increase in capital expenditures.</w:t>
      </w:r>
    </w:p>
    <w:p>
      <w:pPr>
        <w:pStyle w:val="TextBody"/>
        <w:bidi w:val="0"/>
        <w:spacing w:before="120" w:after="283"/>
        <w:jc w:val="left"/>
        <w:rPr>
          <w:rFonts w:ascii="Arial" w:hAnsi="Arial"/>
          <w:b/>
          <w:i/>
          <w:color w:val="000000"/>
          <w:sz w:val="20"/>
        </w:rPr>
      </w:pPr>
      <w:r>
        <w:rPr>
          <w:rFonts w:ascii="Arial" w:hAnsi="Arial"/>
          <w:b/>
          <w:i/>
          <w:color w:val="000000"/>
          <w:sz w:val="20"/>
        </w:rPr>
        <w:t>Cash used for financing activities</w:t>
      </w:r>
    </w:p>
    <w:p>
      <w:pPr>
        <w:pStyle w:val="TextBody"/>
        <w:bidi w:val="0"/>
        <w:spacing w:before="120" w:after="283"/>
        <w:jc w:val="left"/>
        <w:rPr>
          <w:rFonts w:ascii="Arial" w:hAnsi="Arial"/>
          <w:color w:val="000000"/>
          <w:sz w:val="20"/>
        </w:rPr>
      </w:pPr>
      <w:r>
        <w:rPr>
          <w:rFonts w:ascii="Arial" w:hAnsi="Arial"/>
          <w:color w:val="000000"/>
          <w:sz w:val="20"/>
        </w:rPr>
        <w:t>Financing activities for the six months ended June 30, 2025 used $316 million of cash compared to $218 million for the six months ended June 30, 2024. The increase was principally driven by $172 million of higher stock repurchases under the Repurchase Program, $17 million of lower proceeds from the exercise of stock options and $6 million of higher taxes paid related to the net share settlement of equity awards, partially offset by $100 million of decreased payments on our long-term debt.</w:t>
      </w:r>
    </w:p>
    <w:p>
      <w:pPr>
        <w:pStyle w:val="TextBody"/>
        <w:bidi w:val="0"/>
        <w:spacing w:before="240" w:after="283"/>
        <w:jc w:val="left"/>
        <w:rPr>
          <w:rFonts w:ascii="Arial" w:hAnsi="Arial"/>
          <w:b/>
          <w:color w:val="000000"/>
          <w:sz w:val="20"/>
        </w:rPr>
      </w:pPr>
      <w:r>
        <w:rPr>
          <w:rFonts w:ascii="Arial" w:hAnsi="Arial"/>
          <w:b/>
          <w:color w:val="000000"/>
          <w:sz w:val="20"/>
        </w:rPr>
        <w:t>Contingencies</w:t>
      </w:r>
    </w:p>
    <w:p>
      <w:pPr>
        <w:pStyle w:val="TextBody"/>
        <w:bidi w:val="0"/>
        <w:spacing w:before="120" w:after="283"/>
        <w:jc w:val="left"/>
        <w:rPr>
          <w:rFonts w:ascii="Arial" w:hAnsi="Arial"/>
          <w:color w:val="000000"/>
          <w:sz w:val="20"/>
        </w:rPr>
      </w:pPr>
      <w:r>
        <w:rPr>
          <w:rFonts w:ascii="Arial" w:hAnsi="Arial"/>
          <w:color w:val="000000"/>
          <w:sz w:val="20"/>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pStyle w:val="TextBody"/>
        <w:bidi w:val="0"/>
        <w:spacing w:before="120" w:after="283"/>
        <w:jc w:val="left"/>
        <w:rPr/>
      </w:pPr>
      <w:r>
        <w:rPr/>
        <w:t> </w:t>
      </w:r>
    </w:p>
    <w:p>
      <w:pPr>
        <w:pStyle w:val="TextBody"/>
        <w:bidi w:val="0"/>
        <w:jc w:val="left"/>
        <w:rPr>
          <w:rFonts w:ascii="Arial" w:hAnsi="Arial"/>
          <w:b/>
          <w:color w:val="000000"/>
          <w:sz w:val="20"/>
        </w:rPr>
      </w:pPr>
      <w:r>
        <w:rPr>
          <w:rFonts w:ascii="Arial" w:hAnsi="Arial"/>
          <w:b/>
          <w:color w:val="000000"/>
          <w:sz w:val="20"/>
        </w:rPr>
        <w:t>Critical Accounting Estimates</w:t>
      </w:r>
    </w:p>
    <w:p>
      <w:pPr>
        <w:pStyle w:val="TextBody"/>
        <w:bidi w:val="0"/>
        <w:spacing w:before="120" w:after="283"/>
        <w:jc w:val="left"/>
        <w:rPr>
          <w:rFonts w:ascii="Times New Roman" w:hAnsi="Times New Roman"/>
          <w:sz w:val="20"/>
        </w:rPr>
      </w:pPr>
      <w:r>
        <w:rPr>
          <w:rFonts w:ascii="Arial" w:hAnsi="Arial"/>
          <w:color w:val="000000"/>
          <w:sz w:val="20"/>
        </w:rPr>
        <w:t>A discussion of our critical accounting estimates is included in Part II, Item 7, “Management’s Discussion and Analysis of Financial Condition and Results of Operations” in our Annual Report on Form 10-K for the year ended December 31, 2024 as filed with the Securities and Exchange Commission on February 13, 2025. The preparation of the condensed consolidated financial statements in accordance with GAAP requires management to make</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estimates being reported for the three and six months ended June 30, 2025.</w:t>
      </w:r>
    </w:p>
    <w:p>
      <w:pPr>
        <w:pStyle w:val="TextBody"/>
        <w:bidi w:val="0"/>
        <w:spacing w:before="240" w:after="283"/>
        <w:jc w:val="left"/>
        <w:rPr>
          <w:rFonts w:ascii="Arial" w:hAnsi="Arial"/>
          <w:b/>
          <w:color w:val="000000"/>
          <w:sz w:val="20"/>
        </w:rPr>
      </w:pPr>
      <w:r>
        <w:rPr>
          <w:rFonts w:ascii="Arial" w:hAnsi="Arial"/>
          <w:b/>
          <w:color w:val="000000"/>
          <w:sz w:val="20"/>
        </w:rPr>
        <w:t>Recently Issued Accounting Pronouncements</w:t>
      </w:r>
    </w:p>
    <w:p>
      <w:pPr>
        <w:pStyle w:val="TextBody"/>
        <w:bidi w:val="0"/>
        <w:spacing w:before="120" w:after="283"/>
        <w:jc w:val="left"/>
        <w:rPr>
          <w:rFonts w:ascii="Arial" w:hAnsi="Arial"/>
          <w:color w:val="000000"/>
          <w:sz w:val="20"/>
        </w:rPr>
      </w:pPr>
      <w:r>
        <w:rPr>
          <w:rFonts w:ascii="Arial" w:hAnsi="Arial"/>
          <w:color w:val="000000"/>
          <w:sz w:val="20"/>
        </w:rPr>
        <w:t>See "Note B. Summary of Significant Accounting Policies” in Part I, Item 1, of this Quarterly Report on Form 10-Q.</w:t>
      </w:r>
    </w:p>
    <w:p>
      <w:pPr>
        <w:pStyle w:val="TextBody"/>
        <w:bidi w:val="0"/>
        <w:spacing w:before="18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Cautionary Note Regarding Forward-Looking Statements</w:t>
      </w:r>
    </w:p>
    <w:p>
      <w:pPr>
        <w:pStyle w:val="TextBody"/>
        <w:bidi w:val="0"/>
        <w:spacing w:before="120" w:after="283"/>
        <w:jc w:val="left"/>
        <w:rPr>
          <w:rFonts w:ascii="Times New Roman" w:hAnsi="Times New Roman"/>
          <w:sz w:val="20"/>
        </w:rPr>
      </w:pPr>
      <w:r>
        <w:rPr>
          <w:rFonts w:ascii="Arial" w:hAnsi="Arial"/>
          <w:color w:val="000000"/>
          <w:sz w:val="20"/>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relating to the pending Acquisition, including: the Acquisition may not be completed in a timely manner or at all; we may experience delays, unanticipated costs or restrictions resulting from regulatory review of the Acquisition, including the risk that we may be unable to obtain governmental and regulatory approvals required for the Acquisition or that such approvals may result in the imposition of conditions that could adversely affect the combined company or the expected benefits of the Acquisition; the financing intended to fund the Acquisition may not be obtained; uncertainties associated with the Acquisition may cause a loss of both companies’ management personnel and other key employees, and cause disruptions to both companies’ business relationships; the Purchase Agreement subjects the Company and Dana to restrictions on business activities prior to the effective time of the Acquisition; we are expected to incur significant costs in connection with the Acquisition and integration; litigation risks relating to the Acquisition; the off-highway business of Dana and its operations may not be integrated successfully in the expected time frame; the Acquisition may result in a loss of customers, vendors, and other business counterparties; the combined company may fail to realize all of the anticipated benefits of the Acquisition or fail to effectively manage its expanded operations;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natural disasters, extreme weather events, wars and public health crises such as pandemics; global economic volatility; general economic and industry conditions, including the risk of prolonged inflation and recession; labor strikes, work stoppages or similar labor disputes, which could significantly disrupt our operations or those of our principal customers or suppliers; the highly cyclical industries in which certain of our end users operate; uncertainty in the global regulatory and business environments in which we operate; the concentration of our net sales in our top five customers and the loss of any one of these; cybersecurity risks to our operational systems, security systems or infrastructure owned by us or our third-party vendors and suppliers;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and tariffs;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Important factors that could cause actual results to differ materially from our expectations are disclosed in Part I, Item 1A of our Annual Report on Form 10-K for the year ended December 31, 2024 as filed with the Securities and Exchange Commission on February 13, 2025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bookmarkStart w:id="13" w:name="end_of_mda"/>
      <w:bookmarkEnd w:id="13"/>
      <w:r>
        <w:rPr>
          <w:rFonts w:ascii="Arial" w:hAnsi="Arial"/>
          <w:color w:val="000000"/>
          <w:sz w:val="20"/>
        </w:rPr>
        <w:t>time to time in our other Securities and Exchange Commission filings or public communications. You should evaluate all forward-looking statements made in this Quarterly Report on Form 10-Q in the context of these risks and uncertainties.</w:t>
      </w:r>
    </w:p>
    <w:p>
      <w:pPr>
        <w:pStyle w:val="TextBody"/>
        <w:bidi w:val="0"/>
        <w:spacing w:before="18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6452" w:type="dxa"/>
        <w:jc w:val="left"/>
        <w:tblInd w:w="0" w:type="dxa"/>
        <w:tblLayout w:type="fixed"/>
        <w:tblCellMar>
          <w:top w:w="28" w:type="dxa"/>
          <w:left w:w="28" w:type="dxa"/>
          <w:bottom w:w="28" w:type="dxa"/>
          <w:right w:w="28" w:type="dxa"/>
        </w:tblCellMar>
      </w:tblPr>
      <w:tblGrid>
        <w:gridCol w:w="826"/>
        <w:gridCol w:w="5626"/>
      </w:tblGrid>
      <w:tr>
        <w:trPr/>
        <w:tc>
          <w:tcPr>
            <w:tcW w:w="826"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3.</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bookmarkStart w:id="14" w:name="quantitativeandqualitativedisclosures"/>
            <w:bookmarkEnd w:id="14"/>
            <w:r>
              <w:rPr>
                <w:rFonts w:ascii="Arial" w:hAnsi="Arial"/>
                <w:b/>
                <w:color w:val="000000"/>
                <w:sz w:val="20"/>
              </w:rPr>
              <w:t xml:space="preserve">Quantitative and Qualitative </w:t>
            </w:r>
            <w:bookmarkStart w:id="15" w:name="quantitative_qualitative_disclosures_abo"/>
            <w:bookmarkEnd w:id="15"/>
            <w:r>
              <w:rPr>
                <w:rFonts w:ascii="Arial" w:hAnsi="Arial"/>
                <w:b/>
                <w:color w:val="000000"/>
                <w:sz w:val="20"/>
              </w:rPr>
              <w:t>Disclosures About Market Risk</w:t>
            </w:r>
          </w:p>
        </w:tc>
      </w:tr>
    </w:tbl>
    <w:p>
      <w:pPr>
        <w:pStyle w:val="TextBody"/>
        <w:bidi w:val="0"/>
        <w:spacing w:before="120" w:after="283"/>
        <w:jc w:val="left"/>
        <w:rPr>
          <w:rFonts w:ascii="Arial" w:hAnsi="Arial"/>
          <w:color w:val="000000"/>
          <w:sz w:val="20"/>
        </w:rPr>
      </w:pPr>
      <w:r>
        <w:rPr>
          <w:rFonts w:ascii="Arial" w:hAnsi="Arial"/>
          <w:color w:val="000000"/>
          <w:sz w:val="20"/>
        </w:rPr>
        <w:t>Our exposure to market risk consists of changes in interest rates, foreign currency rate fluctuations and movements in commodity prices.</w:t>
      </w:r>
    </w:p>
    <w:p>
      <w:pPr>
        <w:pStyle w:val="TextBody"/>
        <w:bidi w:val="0"/>
        <w:spacing w:before="120" w:after="283"/>
        <w:jc w:val="left"/>
        <w:rPr>
          <w:rFonts w:ascii="Arial" w:hAnsi="Arial"/>
          <w:b/>
          <w:i/>
          <w:color w:val="000000"/>
          <w:sz w:val="20"/>
        </w:rPr>
      </w:pPr>
      <w:r>
        <w:rPr>
          <w:rFonts w:ascii="Arial" w:hAnsi="Arial"/>
          <w:b/>
          <w:i/>
          <w:color w:val="000000"/>
          <w:sz w:val="20"/>
        </w:rPr>
        <w:t>Interest Rate Risk</w:t>
      </w:r>
    </w:p>
    <w:p>
      <w:pPr>
        <w:pStyle w:val="TextBody"/>
        <w:bidi w:val="0"/>
        <w:spacing w:before="120" w:after="283"/>
        <w:jc w:val="left"/>
        <w:rPr>
          <w:rFonts w:ascii="Arial" w:hAnsi="Arial"/>
          <w:color w:val="000000"/>
          <w:sz w:val="20"/>
        </w:rPr>
      </w:pPr>
      <w:r>
        <w:rPr>
          <w:rFonts w:ascii="Arial" w:hAnsi="Arial"/>
          <w:color w:val="000000"/>
          <w:sz w:val="20"/>
        </w:rPr>
        <w:t>Our principal interest rate exposure relates to outstanding amounts under our Senior Secured Credit Facility. Our Senior Secured Credit Facility provides for variable rate borrowings of up to $1,257 million, including our $512 million Term Loan and $745 million available under our Revolving Credit Facility, net of $5 million of letters of credit. As of June 30, 2025, we held interest rate swap contracts that, in the aggregate, effectively hedge $500 million of the variable rate debt associated with the Term Loan at the forward-looking term rate based on the Secured Overnight Financing Rate weighted average fixed rate of 2.81% through September 2025. A one-eighth percent increase or decrease in assumed interest rates for the Senior Secured Credit Facility, if fully drawn as of June 30, 2025, would have an impact of approximately $1 million on interest expense per year. As of June 30, 2025, we had no amounts outstanding under the Revolving Credit Facility.</w:t>
      </w:r>
    </w:p>
    <w:p>
      <w:pPr>
        <w:pStyle w:val="TextBody"/>
        <w:bidi w:val="0"/>
        <w:spacing w:before="120" w:after="283"/>
        <w:jc w:val="left"/>
        <w:rPr>
          <w:rFonts w:ascii="Arial" w:hAnsi="Arial"/>
          <w:b/>
          <w:i/>
          <w:color w:val="000000"/>
          <w:sz w:val="20"/>
        </w:rPr>
      </w:pPr>
      <w:r>
        <w:rPr>
          <w:rFonts w:ascii="Arial" w:hAnsi="Arial"/>
          <w:b/>
          <w:i/>
          <w:color w:val="000000"/>
          <w:sz w:val="20"/>
        </w:rPr>
        <w:t>Exchange Rate Risk</w:t>
      </w:r>
    </w:p>
    <w:p>
      <w:pPr>
        <w:pStyle w:val="TextBody"/>
        <w:bidi w:val="0"/>
        <w:spacing w:before="120" w:after="283"/>
        <w:jc w:val="left"/>
        <w:rPr>
          <w:rFonts w:ascii="Arial" w:hAnsi="Arial"/>
          <w:color w:val="000000"/>
          <w:sz w:val="20"/>
        </w:rPr>
      </w:pPr>
      <w:r>
        <w:rPr>
          <w:rFonts w:ascii="Arial" w:hAnsi="Arial"/>
          <w:color w:val="000000"/>
          <w:sz w:val="20"/>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pStyle w:val="TextBody"/>
        <w:bidi w:val="0"/>
        <w:spacing w:before="120" w:after="283"/>
        <w:jc w:val="left"/>
        <w:rPr>
          <w:rFonts w:ascii="Arial" w:hAnsi="Arial"/>
          <w:color w:val="000000"/>
          <w:sz w:val="20"/>
        </w:rPr>
      </w:pPr>
      <w:r>
        <w:rPr>
          <w:rFonts w:ascii="Arial" w:hAnsi="Arial"/>
          <w:color w:val="000000"/>
          <w:sz w:val="20"/>
        </w:rPr>
        <w:t>Assuming current levels of foreign currency transactions, a 10% aggregate increase or decrease in the Chinese Yuan Renminbi, Euro, Indian Rupee, and Japanese Yen would correspondingly change our earnings, net of tax, by an estimated $7 million per year. We believe our other direct exposure to foreign currencies is immaterial.</w:t>
      </w:r>
    </w:p>
    <w:p>
      <w:pPr>
        <w:pStyle w:val="TextBody"/>
        <w:bidi w:val="0"/>
        <w:spacing w:before="120" w:after="283"/>
        <w:jc w:val="left"/>
        <w:rPr>
          <w:rFonts w:ascii="Arial" w:hAnsi="Arial"/>
          <w:b/>
          <w:i/>
          <w:color w:val="000000"/>
          <w:sz w:val="20"/>
        </w:rPr>
      </w:pPr>
      <w:r>
        <w:rPr>
          <w:rFonts w:ascii="Arial" w:hAnsi="Arial"/>
          <w:b/>
          <w:i/>
          <w:color w:val="000000"/>
          <w:sz w:val="20"/>
        </w:rPr>
        <w:t>Commodity Price Risk</w:t>
      </w:r>
    </w:p>
    <w:p>
      <w:pPr>
        <w:pStyle w:val="TextBody"/>
        <w:bidi w:val="0"/>
        <w:spacing w:before="120" w:after="283"/>
        <w:jc w:val="left"/>
        <w:rPr>
          <w:rFonts w:ascii="Arial" w:hAnsi="Arial"/>
          <w:color w:val="000000"/>
          <w:sz w:val="20"/>
        </w:rPr>
      </w:pPr>
      <w:r>
        <w:rPr>
          <w:rFonts w:ascii="Arial" w:hAnsi="Arial"/>
          <w:color w:val="000000"/>
          <w:sz w:val="20"/>
        </w:rPr>
        <w:t>We are subject to changes in our cost of sales caused by movements in underlying commodity prices. As of June 30, 2025, approximately 66% of our cost of sales consisted of purchased components.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includes an index-based component. As our costs change, we are able to pass through a portion of the changes in commodity prices to certain of our customers according to our LTAs. We historically have not entered into long-term purchase contracts related to the purchase of aluminum and steel.</w:t>
      </w:r>
    </w:p>
    <w:p>
      <w:pPr>
        <w:pStyle w:val="TextBody"/>
        <w:bidi w:val="0"/>
        <w:spacing w:before="120" w:after="283"/>
        <w:jc w:val="left"/>
        <w:rPr>
          <w:rFonts w:ascii="Arial" w:hAnsi="Arial"/>
          <w:color w:val="000000"/>
          <w:sz w:val="20"/>
        </w:rPr>
      </w:pPr>
      <w:r>
        <w:rPr>
          <w:rFonts w:ascii="Arial" w:hAnsi="Arial"/>
          <w:color w:val="000000"/>
          <w:sz w:val="20"/>
        </w:rPr>
        <w:t>Assuming current levels of commodity purchases, a 10% variation in the price of aluminum and steel would correspondingly change our earnings by approximately $8 million and $12 million per year, respectively.</w:t>
      </w:r>
    </w:p>
    <w:p>
      <w:pPr>
        <w:pStyle w:val="TextBody"/>
        <w:bidi w:val="0"/>
        <w:spacing w:before="120" w:after="283"/>
        <w:jc w:val="left"/>
        <w:rPr>
          <w:rFonts w:ascii="Arial" w:hAnsi="Arial"/>
          <w:color w:val="000000"/>
          <w:sz w:val="20"/>
        </w:rPr>
      </w:pPr>
      <w:r>
        <w:rPr>
          <w:rFonts w:ascii="Arial" w:hAnsi="Arial"/>
          <w:color w:val="000000"/>
          <w:sz w:val="20"/>
        </w:rPr>
        <w:t>Many of our LTAs have incorporated a cost-sharing arrangement related to potential future commodity price fluctuations. For purposes of the sensitivity analysis above, the impact of these cost sharing arrangements has not been included.</w:t>
      </w:r>
    </w:p>
    <w:p>
      <w:pPr>
        <w:pStyle w:val="TextBody"/>
        <w:bidi w:val="0"/>
        <w:spacing w:before="18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tbl>
      <w:tblPr>
        <w:tblW w:w="3287" w:type="dxa"/>
        <w:jc w:val="left"/>
        <w:tblInd w:w="0" w:type="dxa"/>
        <w:tblLayout w:type="fixed"/>
        <w:tblCellMar>
          <w:top w:w="28" w:type="dxa"/>
          <w:left w:w="28" w:type="dxa"/>
          <w:bottom w:w="28" w:type="dxa"/>
          <w:right w:w="28" w:type="dxa"/>
        </w:tblCellMar>
      </w:tblPr>
      <w:tblGrid>
        <w:gridCol w:w="826"/>
        <w:gridCol w:w="2461"/>
      </w:tblGrid>
      <w:tr>
        <w:trPr/>
        <w:tc>
          <w:tcPr>
            <w:tcW w:w="82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4.</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bookmarkStart w:id="16" w:name="controlsandprocedures"/>
            <w:bookmarkEnd w:id="16"/>
            <w:r>
              <w:rPr>
                <w:rFonts w:ascii="Arial" w:hAnsi="Arial"/>
                <w:b/>
                <w:color w:val="000000"/>
                <w:sz w:val="20"/>
              </w:rPr>
              <w:t>Controls and</w:t>
            </w:r>
            <w:bookmarkStart w:id="17" w:name="controls_procedures"/>
            <w:bookmarkEnd w:id="17"/>
            <w:r>
              <w:rPr>
                <w:rFonts w:ascii="Times New Roman" w:hAnsi="Times New Roman"/>
                <w:color w:val="000000"/>
                <w:sz w:val="20"/>
              </w:rPr>
              <w:t> </w:t>
            </w:r>
            <w:r>
              <w:rPr>
                <w:rFonts w:ascii="Arial" w:hAnsi="Arial"/>
                <w:b/>
                <w:color w:val="000000"/>
                <w:sz w:val="20"/>
              </w:rPr>
              <w:t>Procedures</w:t>
            </w:r>
          </w:p>
        </w:tc>
      </w:tr>
    </w:tbl>
    <w:p>
      <w:pPr>
        <w:pStyle w:val="TextBody"/>
        <w:bidi w:val="0"/>
        <w:spacing w:before="240" w:after="283"/>
        <w:jc w:val="left"/>
        <w:rPr>
          <w:rFonts w:ascii="Arial" w:hAnsi="Arial"/>
          <w:b/>
          <w:color w:val="000000"/>
          <w:sz w:val="20"/>
        </w:rPr>
      </w:pPr>
      <w:r>
        <w:rPr>
          <w:rFonts w:ascii="Arial" w:hAnsi="Arial"/>
          <w:b/>
          <w:color w:val="000000"/>
          <w:sz w:val="20"/>
        </w:rPr>
        <w:t>Evaluation of Disclosure Controls and Procedures</w:t>
      </w:r>
    </w:p>
    <w:p>
      <w:pPr>
        <w:pStyle w:val="TextBody"/>
        <w:bidi w:val="0"/>
        <w:spacing w:before="120" w:after="283"/>
        <w:jc w:val="left"/>
        <w:rPr>
          <w:rFonts w:ascii="Arial" w:hAnsi="Arial"/>
          <w:color w:val="000000"/>
          <w:sz w:val="20"/>
        </w:rPr>
      </w:pPr>
      <w:r>
        <w:rPr>
          <w:rFonts w:ascii="Arial" w:hAnsi="Arial"/>
          <w:color w:val="000000"/>
          <w:sz w:val="20"/>
        </w:rPr>
        <w:t>Our management, with the participation of our Chief Executive Officer, who is our principal executive officer, and our Chief Financial Officer, who is our principal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120" w:after="283"/>
        <w:jc w:val="left"/>
        <w:rPr>
          <w:rFonts w:ascii="Arial" w:hAnsi="Arial"/>
          <w:color w:val="000000"/>
          <w:sz w:val="20"/>
        </w:rPr>
      </w:pPr>
      <w:r>
        <w:rPr>
          <w:rFonts w:ascii="Arial" w:hAnsi="Arial"/>
          <w:color w:val="000000"/>
          <w:sz w:val="20"/>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240" w:after="283"/>
        <w:jc w:val="left"/>
        <w:rPr>
          <w:rFonts w:ascii="Arial" w:hAnsi="Arial"/>
          <w:b/>
          <w:color w:val="000000"/>
          <w:sz w:val="20"/>
        </w:rPr>
      </w:pPr>
      <w:r>
        <w:rPr>
          <w:rFonts w:ascii="Arial" w:hAnsi="Arial"/>
          <w:b/>
          <w:color w:val="000000"/>
          <w:sz w:val="20"/>
        </w:rPr>
        <w:t>Changes in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pStyle w:val="TextBody"/>
        <w:bidi w:val="0"/>
        <w:spacing w:before="18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283"/>
              <w:jc w:val="left"/>
              <w:rPr>
                <w:sz w:val="4"/>
                <w:szCs w:val="4"/>
              </w:rPr>
            </w:pPr>
            <w:r>
              <w:rPr>
                <w:sz w:val="4"/>
                <w:szCs w:val="4"/>
              </w:rPr>
            </w:r>
          </w:p>
        </w:tc>
      </w:tr>
      <w:tr>
        <w:trPr/>
        <w:tc>
          <w:tcPr>
            <w:tcW w:w="30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 w:hAnsi="Times New Roman"/>
                <w:sz w:val="20"/>
              </w:rPr>
            </w:pPr>
            <w:bookmarkStart w:id="18" w:name="part_ii_or_information"/>
            <w:bookmarkEnd w:id="18"/>
            <w:r>
              <w:rPr>
                <w:rFonts w:ascii="Arial" w:hAnsi="Arial"/>
                <w:b/>
                <w:color w:val="000000"/>
                <w:sz w:val="20"/>
              </w:rPr>
              <w:t>PART II. OTHER</w:t>
            </w:r>
            <w:r>
              <w:rPr>
                <w:rFonts w:ascii="Times New Roman" w:hAnsi="Times New Roman"/>
                <w:color w:val="000000"/>
                <w:sz w:val="20"/>
              </w:rPr>
              <w:t> </w:t>
            </w:r>
            <w:r>
              <w:rPr>
                <w:rFonts w:ascii="Arial" w:hAnsi="Arial"/>
                <w:b/>
                <w:color w:val="000000"/>
                <w:sz w:val="20"/>
              </w:rPr>
              <w:t>INFORMATION</w:t>
            </w:r>
          </w:p>
        </w:tc>
      </w:tr>
    </w:tbl>
    <w:p>
      <w:pPr>
        <w:pStyle w:val="TextBody"/>
        <w:bidi w:val="0"/>
        <w:spacing w:before="240" w:after="283"/>
        <w:jc w:val="left"/>
        <w:rPr>
          <w:rFonts w:ascii="Times New Roman" w:hAnsi="Times New Roman"/>
          <w:sz w:val="20"/>
        </w:rPr>
      </w:pPr>
      <w:bookmarkStart w:id="19" w:name="item_1_legal_proceedings"/>
      <w:bookmarkEnd w:id="19"/>
      <w:r>
        <w:rPr>
          <w:rFonts w:ascii="Arial" w:hAnsi="Arial"/>
          <w:b/>
          <w:color w:val="000000"/>
          <w:sz w:val="20"/>
        </w:rPr>
        <w:t>Item 1. Legal</w:t>
      </w:r>
      <w:r>
        <w:rPr>
          <w:rFonts w:ascii="Times New Roman" w:hAnsi="Times New Roman"/>
          <w:color w:val="000000"/>
          <w:sz w:val="20"/>
        </w:rPr>
        <w:t xml:space="preserve"> </w:t>
      </w:r>
      <w:r>
        <w:rPr>
          <w:rFonts w:ascii="Arial" w:hAnsi="Arial"/>
          <w:b/>
          <w:color w:val="000000"/>
          <w:sz w:val="20"/>
        </w:rPr>
        <w:t>Proceedings</w:t>
      </w:r>
    </w:p>
    <w:p>
      <w:pPr>
        <w:pStyle w:val="TextBody"/>
        <w:bidi w:val="0"/>
        <w:spacing w:before="120" w:after="283"/>
        <w:jc w:val="left"/>
        <w:rPr>
          <w:rFonts w:ascii="Arial" w:hAnsi="Arial"/>
          <w:color w:val="000000"/>
          <w:sz w:val="20"/>
        </w:rPr>
      </w:pPr>
      <w:r>
        <w:rPr>
          <w:rFonts w:ascii="Arial" w:hAnsi="Arial"/>
          <w:color w:val="000000"/>
          <w:sz w:val="20"/>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which information is incorporated herein by reference.</w:t>
      </w:r>
    </w:p>
    <w:p>
      <w:pPr>
        <w:pStyle w:val="TextBody"/>
        <w:bidi w:val="0"/>
        <w:spacing w:before="240" w:after="283"/>
        <w:jc w:val="left"/>
        <w:rPr>
          <w:rFonts w:ascii="Arial" w:hAnsi="Arial"/>
          <w:b/>
          <w:color w:val="000000"/>
          <w:sz w:val="20"/>
        </w:rPr>
      </w:pPr>
      <w:bookmarkStart w:id="20" w:name="item_1a_risk_factors"/>
      <w:bookmarkEnd w:id="20"/>
      <w:r>
        <w:rPr>
          <w:rFonts w:ascii="Arial" w:hAnsi="Arial"/>
          <w:b/>
          <w:color w:val="000000"/>
          <w:sz w:val="20"/>
        </w:rPr>
        <w:t>Item 1A. Risk Factors</w:t>
      </w:r>
    </w:p>
    <w:p>
      <w:pPr>
        <w:pStyle w:val="TextBody"/>
        <w:bidi w:val="0"/>
        <w:spacing w:before="120" w:after="283"/>
        <w:jc w:val="left"/>
        <w:rPr>
          <w:rFonts w:ascii="Arial" w:hAnsi="Arial"/>
          <w:color w:val="000000"/>
          <w:sz w:val="20"/>
        </w:rPr>
      </w:pPr>
      <w:r>
        <w:rPr>
          <w:rFonts w:ascii="Arial" w:hAnsi="Arial"/>
          <w:color w:val="000000"/>
          <w:sz w:val="20"/>
        </w:rPr>
        <w:t>Except as set forth below, there have been no material changes from our risk factors as previously reported in Part I, Item 1A of our Annual Report on Form 10-K for the year ended December 31, 2024 as filed with the Securities and Exchange Commission on February 13, 2025.</w:t>
      </w:r>
    </w:p>
    <w:p>
      <w:pPr>
        <w:pStyle w:val="TextBody"/>
        <w:bidi w:val="0"/>
        <w:spacing w:before="120" w:after="283"/>
        <w:jc w:val="left"/>
        <w:rPr>
          <w:rFonts w:ascii="Arial" w:hAnsi="Arial"/>
          <w:color w:val="000000"/>
          <w:sz w:val="20"/>
        </w:rPr>
      </w:pPr>
      <w:r>
        <w:rPr>
          <w:rFonts w:ascii="Arial" w:hAnsi="Arial"/>
          <w:color w:val="000000"/>
          <w:sz w:val="20"/>
        </w:rPr>
        <w:t>The following risk factors have been added:</w:t>
      </w:r>
    </w:p>
    <w:p>
      <w:pPr>
        <w:pStyle w:val="TextBody"/>
        <w:bidi w:val="0"/>
        <w:spacing w:before="120" w:after="283"/>
        <w:jc w:val="left"/>
        <w:rPr>
          <w:rFonts w:ascii="Arial" w:hAnsi="Arial"/>
          <w:b/>
          <w:color w:val="000000"/>
          <w:sz w:val="20"/>
        </w:rPr>
      </w:pPr>
      <w:r>
        <w:rPr>
          <w:rFonts w:ascii="Arial" w:hAnsi="Arial"/>
          <w:b/>
          <w:color w:val="000000"/>
          <w:sz w:val="20"/>
        </w:rPr>
        <w:t>Risks Related to our Pending Acquisition of Dana's Off-Highway Business (the "Acquisition")</w:t>
      </w:r>
    </w:p>
    <w:p>
      <w:pPr>
        <w:pStyle w:val="TextBody"/>
        <w:bidi w:val="0"/>
        <w:spacing w:before="240" w:after="283"/>
        <w:jc w:val="both"/>
        <w:rPr>
          <w:rFonts w:ascii="Arial" w:hAnsi="Arial"/>
          <w:b/>
          <w:i/>
          <w:color w:val="000000"/>
          <w:sz w:val="20"/>
        </w:rPr>
      </w:pPr>
      <w:r>
        <w:rPr>
          <w:rFonts w:ascii="Arial" w:hAnsi="Arial"/>
          <w:b/>
          <w:i/>
          <w:color w:val="000000"/>
          <w:sz w:val="20"/>
        </w:rPr>
        <w:t>The Acquisition may not be completed in a timely manner or at all, and the Purchase Agreement may be terminated in accordance with its terms.</w:t>
      </w:r>
    </w:p>
    <w:p>
      <w:pPr>
        <w:pStyle w:val="TextBody"/>
        <w:bidi w:val="0"/>
        <w:spacing w:before="120" w:after="283"/>
        <w:jc w:val="left"/>
        <w:rPr>
          <w:rFonts w:ascii="Times New Roman" w:hAnsi="Times New Roman"/>
          <w:sz w:val="20"/>
        </w:rPr>
      </w:pPr>
      <w:r>
        <w:rPr>
          <w:rFonts w:ascii="Arial" w:hAnsi="Arial"/>
          <w:color w:val="000000"/>
          <w:sz w:val="20"/>
        </w:rPr>
        <w:t>The Acquisition is subject to certain customary closing conditions, including (a) the receipt of specified consents, clearances, authorizations and approvals from governmental entities, (b) the absence of any order, injunction, or other judgment or law that makes illegal or prohibits the closing of the Acquisition (the "Closing") and (c) subject to certain exceptions, the accuracy of the representations and warranties of, and compliance with covenants by, each of the parties to the Purchase Agreement. These conditions may not be satisfied or waived in a timely manner or at all, and, accordingly, the Acquisition may be delayed or may not be completed.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 addition, either we or Dana may terminate the Purchase Agreement based on the customary termination rights for each party included therein. In addition, we will be required to pay Dana a termination fee of $120 million if the termination is due to the failure of the transactions contemplated by the Purchase Agreement to be completed by a specified outside date as a result of failure to obtain required approvals or clearances under, or as a result of an injunction or order relating to, competition and foreign investment laws.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Failure to complete the Acquisition could negatively impact the price of shares of our common stock, as well as our business and results of operations.</w:t>
      </w:r>
    </w:p>
    <w:p>
      <w:pPr>
        <w:pStyle w:val="TextBody"/>
        <w:bidi w:val="0"/>
        <w:spacing w:before="120" w:after="283"/>
        <w:jc w:val="left"/>
        <w:rPr>
          <w:rFonts w:ascii="Times New Roman" w:hAnsi="Times New Roman"/>
          <w:sz w:val="20"/>
        </w:rPr>
      </w:pPr>
      <w:r>
        <w:rPr>
          <w:rFonts w:ascii="Arial" w:hAnsi="Arial"/>
          <w:color w:val="000000"/>
          <w:sz w:val="20"/>
        </w:rPr>
        <w:t>If the Acquisition is not completed for any reason, our business and results of operations may be adversely affected and, without realizing any of the benefits of having completed the Acquisition, we would be subject to a number of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experience negative reactions from the financial markets, including negative impacts on the market price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experience negative reactions from customers, suppliers, and other third parties with whom we do business, which in turn could result in a decline in our market share or negatively impact our ability to execute our strategic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experience negative reactions from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will still be required to pay certain significant costs relating to the Acquisition, such as fees to our financial, legal and accounting advisors; and</w:t>
      </w:r>
    </w:p>
    <w:p>
      <w:pPr>
        <w:pStyle w:val="TextBody"/>
        <w:bidi w:val="0"/>
        <w:spacing w:before="18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will have expended time and resources that could otherwise have been spent on our existing business and the pursuit of other opportunities that could have been beneficial to us.</w:t>
      </w:r>
    </w:p>
    <w:p>
      <w:pPr>
        <w:pStyle w:val="TextBody"/>
        <w:bidi w:val="0"/>
        <w:spacing w:before="120" w:after="283"/>
        <w:jc w:val="left"/>
        <w:rPr>
          <w:rFonts w:ascii="Times New Roman" w:hAnsi="Times New Roman"/>
          <w:sz w:val="20"/>
        </w:rPr>
      </w:pPr>
      <w:r>
        <w:rPr>
          <w:rFonts w:ascii="Arial" w:hAnsi="Arial"/>
          <w:color w:val="000000"/>
          <w:sz w:val="20"/>
        </w:rPr>
        <w:t>Any of the above could negatively impact our ongoing business and results of operations. In addition, if the Purchase Agreement is terminated under certain specified circumstances, we may be required to pay Dana a termination fee as discussed above.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fail to obtain financing intended to fund the Acquisition.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As previously disclosed, we expect to replace the Bridge Facility prior to the Closing with permanent financing, which may include the issuance of debt securities. Our ability to obtain any such new debt financing will depend on, among other factors, prevailing market conditions and other factors beyond our control. We cannot assure you that we will be able to obtain new debt financing on terms acceptable to us, and any such failure could materially adversely affect our business, results of operations and financial condition. The consummation of the Acquisition is not conditioned upon the receipt of any financing.</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Uncertainties associated with the Acquisition may cause a loss of our and Dana’s management personnel and other key employees, which could adversely affect our business and operations.</w:t>
      </w:r>
    </w:p>
    <w:p>
      <w:pPr>
        <w:pStyle w:val="TextBody"/>
        <w:bidi w:val="0"/>
        <w:spacing w:before="120" w:after="283"/>
        <w:jc w:val="left"/>
        <w:rPr>
          <w:rFonts w:ascii="Times New Roman" w:hAnsi="Times New Roman"/>
          <w:sz w:val="20"/>
        </w:rPr>
      </w:pPr>
      <w:r>
        <w:rPr>
          <w:rFonts w:ascii="Arial" w:hAnsi="Arial"/>
          <w:color w:val="000000"/>
          <w:sz w:val="20"/>
        </w:rPr>
        <w:t>We depend on the experience and industry knowledge of our officers and other key employees to execute our business plans. The success of the combined business and operations after the Closing will depend, in part, on our ability to retain key management personnel and other key employees. Our and Dana’s current and prospective employees may experience uncertainty about their roles within Allison following the Acquisition or other concerns regarding the timing and completion of the Acquisition or the operations of Allison following the Acquisition, any of which may have an adverse effect on our ability to retain or attract key management and other key personnel, which could materially adversely affect our business, results of operations and financial condition. No assurance can be given that, following the Acquisition, we will be able to retain or attract our and Dana’s key management personnel and other key employees to the same extent that we and Dana have previously been able to retain or attract personnel.</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and Dana’s business relationships may be subject to disruption due to uncertainty associated with the Acquisition, which could have a material effect on our business, results of operations and financial condition following the Acquisition.</w:t>
      </w:r>
    </w:p>
    <w:p>
      <w:pPr>
        <w:pStyle w:val="TextBody"/>
        <w:bidi w:val="0"/>
        <w:spacing w:before="120" w:after="283"/>
        <w:jc w:val="left"/>
        <w:rPr>
          <w:rFonts w:ascii="Times New Roman" w:hAnsi="Times New Roman"/>
          <w:sz w:val="20"/>
        </w:rPr>
      </w:pPr>
      <w:r>
        <w:rPr>
          <w:rFonts w:ascii="Arial" w:hAnsi="Arial"/>
          <w:color w:val="000000"/>
          <w:sz w:val="20"/>
        </w:rPr>
        <w:t>Parties with whom we or Dana do business may experience uncertainty associated with the Acquisition, including with respect to current or future business relationships with us or Dana following the Acquisition. Our and Dana’s business relationships may be subject to disruption as customers, suppliers, and other third parties with whom we or Dana do business may attempt to delay or defer entering into new business relationships with us or Dana, negotiate changes in their existing business relationships with us or Dana or consider entering into business relationships with parties other than us or Dana. These disruptions could have a material and adverse effect on our business, results of operations and financial condition, regardless of whether the Acquisition is completed, as well as a material and adverse effect on our ability to realize the expected opportunities, cost savings, operating synergies and other benefits of the Acquisition. The adverse impacts could be exacerbated by a delay in completion of the Acquisition or termination of the Purchase Agreement.</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We expect to incur significant costs in connection with the Acquisition and integration of Dana's off-highway business (the "Business").</w:t>
      </w:r>
    </w:p>
    <w:p>
      <w:pPr>
        <w:pStyle w:val="TextBody"/>
        <w:bidi w:val="0"/>
        <w:spacing w:before="120" w:after="283"/>
        <w:jc w:val="left"/>
        <w:rPr>
          <w:rFonts w:ascii="Arial" w:hAnsi="Arial"/>
          <w:color w:val="000000"/>
          <w:sz w:val="20"/>
        </w:rPr>
      </w:pPr>
      <w:r>
        <w:rPr>
          <w:rFonts w:ascii="Arial" w:hAnsi="Arial"/>
          <w:color w:val="000000"/>
          <w:sz w:val="20"/>
        </w:rPr>
        <w:t>We have incurred and expect to continue to incur costs associated with completing the Acquisition and integrating the Business. These costs have been, and will continue to be, substantial and include, among others, fees paid to financial, legal and accounting advisors. Many of these costs will be borne by us even if the Acquisition is not completed.</w:t>
      </w:r>
    </w:p>
    <w:p>
      <w:pPr>
        <w:pStyle w:val="TextBody"/>
        <w:bidi w:val="0"/>
        <w:spacing w:before="18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We will also incur costs related to formulating and implementing integration plans, including facilities, systems and service contract consolidation costs and employment</w:t>
        <w:noBreakHyphen/>
        <w:t>related costs. We will continue to assess the magnitude of these costs, and additional unanticipated costs may be incurred in connection with the Acquisition and the integration of the Business. The costs described above, as well as other unanticipated costs and expenses, could adversely affect our business, results of operations and financial condition.</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Litigation relating to the Acquisition, if any, could result in an injunction preventing the completion of the Acquisition and/or substantial costs to us.</w:t>
      </w:r>
    </w:p>
    <w:p>
      <w:pPr>
        <w:pStyle w:val="TextBody"/>
        <w:bidi w:val="0"/>
        <w:spacing w:before="120" w:after="283"/>
        <w:jc w:val="left"/>
        <w:rPr>
          <w:rFonts w:ascii="Times New Roman" w:hAnsi="Times New Roman"/>
          <w:sz w:val="20"/>
        </w:rPr>
      </w:pPr>
      <w:r>
        <w:rPr>
          <w:rFonts w:ascii="Arial" w:hAnsi="Arial"/>
          <w:color w:val="000000"/>
          <w:sz w:val="20"/>
        </w:rPr>
        <w:t>Securities class action lawsuits and derivative lawsuits are often brought against public companies that have entered into acquisition, merger or other business combination agreements like the Purchase Agreement. Even if such a lawsuit is without merit, defending against these claims can result in substantial costs and divert management time and resources. Any adverse judgment in such a lawsuit could result in monetary damages, which could have a negative impact on our results of operations and financial condition. Lawsuits that may be brought against us, Dana, or our or their directors could also seek, among other things, injunctive relief or other equitable relief, including a request to enjoin the parties from completing the Acquisition. One of the conditions to the closing of the Acquisition is the absence of any order, injunction, or other judgment or law that makes illegal or prohibits the Closing. Consequently, if a plaintiff is successful in obtaining an injunction prohibiting completion of the Acquisition, that injunction may delay or prevent the Acquisition from being completed within the expected timeframe or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failure to integrate the Business and its operations with ours successfully in the expected time frame may adversely affect our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Following the completion of the Acquisition, the Business and its operations may not be integrated successfully with ours. It is possible that the integration process could result in the loss of our or Dana’s key employees, the loss of customers, suppliers, service providers or other business counterparties, the disruption of our ongoing businesses, inconsistencies in standards, controls, procedures and policies, potential unknown liabilities and unforeseen expenses, delays, or regulatory conditions associated with and following completion of the Acquisition, higher</w:t>
        <w:noBreakHyphen/>
        <w:t>than</w:t>
        <w:noBreakHyphen/>
        <w:t>expected integration costs and an overall post</w:t>
        <w:noBreakHyphen/>
        <w:t>Closing integration process that takes longer than originally anticipated. In addition, the attention of our management team and our resources may be focused on the integration process, which may harm our day-to-day business operations or prevent us from pursuing other opportunities that may be beneficial.</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We may fail to realize all of the anticipated benefits from the integration of the Business and its operations after the Acquisition.</w:t>
      </w:r>
    </w:p>
    <w:p>
      <w:pPr>
        <w:pStyle w:val="TextBody"/>
        <w:bidi w:val="0"/>
        <w:spacing w:before="120" w:after="283"/>
        <w:jc w:val="left"/>
        <w:rPr>
          <w:rFonts w:ascii="Times New Roman" w:hAnsi="Times New Roman"/>
          <w:sz w:val="20"/>
        </w:rPr>
      </w:pPr>
      <w:r>
        <w:rPr>
          <w:rFonts w:ascii="Arial" w:hAnsi="Arial"/>
          <w:color w:val="000000"/>
          <w:sz w:val="20"/>
        </w:rPr>
        <w:t>The success of the Acquisition will depend, in part, on our ability to achieve the expected opportunities, cost savings, operating synergies and other benefits from integrating the Business. However, the anticipated benefits of the Acquisition may not be realized fully or at all, may take longer to realize than expected, or may result in other adverse effects that we do not currently foresee. In addition, the estimates and assumptions that we and Dana have made when evaluating the anticipated benefits from the Acquisition may not be accurate, and there could be potential unknown liabilities and unforeseen expenses associated with the Acquisition that could adversely impact us.</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Our future results following the Acquisition may suffer if we do not effectively manage our expanded operations.</w:t>
      </w:r>
    </w:p>
    <w:p>
      <w:pPr>
        <w:pStyle w:val="TextBody"/>
        <w:bidi w:val="0"/>
        <w:spacing w:before="120" w:after="283"/>
        <w:jc w:val="left"/>
        <w:rPr>
          <w:rFonts w:ascii="Times New Roman" w:hAnsi="Times New Roman"/>
          <w:sz w:val="20"/>
        </w:rPr>
      </w:pPr>
      <w:r>
        <w:rPr>
          <w:rFonts w:ascii="Arial" w:hAnsi="Arial"/>
          <w:color w:val="000000"/>
          <w:sz w:val="20"/>
        </w:rPr>
        <w:t>Following the Acquisition, the size and complexity of our businesses and operations will increase significantly. Our future success will depend, in part, upon our ability to manage the expanded business. There can be no assurances that the combined businesses and operations will be successful or that we will realize the expected operating synergies, cost savings or other benefits currently anticipated from the Acquisition.</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bookmarkStart w:id="21" w:name="item_2_unregistered_sales_equity_securit"/>
      <w:bookmarkEnd w:id="21"/>
      <w:r>
        <w:rPr>
          <w:rFonts w:ascii="Arial" w:hAnsi="Arial"/>
          <w:b/>
          <w:color w:val="000000"/>
          <w:sz w:val="20"/>
        </w:rPr>
        <w:t>Item 2. Unregistered Sales of Equity Securities and Use of Proceeds</w:t>
      </w:r>
    </w:p>
    <w:p>
      <w:pPr>
        <w:pStyle w:val="TextBody"/>
        <w:bidi w:val="0"/>
        <w:spacing w:before="120" w:after="283"/>
        <w:jc w:val="left"/>
        <w:rPr>
          <w:rFonts w:ascii="Arial" w:hAnsi="Arial"/>
          <w:color w:val="000000"/>
          <w:sz w:val="20"/>
        </w:rPr>
      </w:pPr>
      <w:r>
        <w:rPr>
          <w:rFonts w:ascii="Arial" w:hAnsi="Arial"/>
          <w:color w:val="000000"/>
          <w:sz w:val="20"/>
        </w:rPr>
        <w:t>The following table sets forth information related to our repurchases of our common stock on a monthly basis during the three months ended June 30, 2025:</w:t>
      </w:r>
    </w:p>
    <w:p>
      <w:pPr>
        <w:pStyle w:val="TextBody"/>
        <w:bidi w:val="0"/>
        <w:jc w:val="left"/>
        <w:rPr/>
      </w:pPr>
      <w:r>
        <w:rPr/>
        <w:t> </w:t>
      </w:r>
    </w:p>
    <w:tbl>
      <w:tblPr>
        <w:tblW w:w="9521" w:type="dxa"/>
        <w:jc w:val="left"/>
        <w:tblInd w:w="0" w:type="dxa"/>
        <w:tblLayout w:type="fixed"/>
        <w:tblCellMar>
          <w:top w:w="28" w:type="dxa"/>
          <w:left w:w="28" w:type="dxa"/>
          <w:bottom w:w="28" w:type="dxa"/>
          <w:right w:w="28" w:type="dxa"/>
        </w:tblCellMar>
      </w:tblPr>
      <w:tblGrid>
        <w:gridCol w:w="2161"/>
        <w:gridCol w:w="146"/>
        <w:gridCol w:w="156"/>
        <w:gridCol w:w="1029"/>
        <w:gridCol w:w="146"/>
        <w:gridCol w:w="146"/>
        <w:gridCol w:w="211"/>
        <w:gridCol w:w="691"/>
        <w:gridCol w:w="146"/>
        <w:gridCol w:w="146"/>
        <w:gridCol w:w="156"/>
        <w:gridCol w:w="1029"/>
        <w:gridCol w:w="146"/>
        <w:gridCol w:w="146"/>
        <w:gridCol w:w="354"/>
        <w:gridCol w:w="2241"/>
        <w:gridCol w:w="47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w:t>
              <w:br/>
              <w:t>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Number</w:t>
              <w:br/>
              <w:t>of Shares</w:t>
              <w:br/>
              <w:t>Purchased</w:t>
              <w:br/>
              <w:t>as Part of</w:t>
              <w:br/>
              <w:t>Publicly</w:t>
              <w:br/>
              <w:t>Announced</w:t>
              <w:br/>
              <w:t>Plans or</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Approximate</w:t>
              <w:br/>
              <w:t>Dollar Value of</w:t>
              <w:br/>
              <w:t>Shares that May</w:t>
              <w:br/>
              <w:t>Yet Be Purchased</w:t>
              <w:br/>
              <w:t>Under the Plans or Programs(1)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April 1 –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585,859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585,859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1,313,156,511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1 – May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1,283,159,528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 –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204,449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204,449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1,263,161,863</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1,088,028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1,088,028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These values reflect the amounts that may be repurchased under the Repurchase Program approved by the Board of Directors on November 14, 2016 and the increases approved by the Board of Directors on November 8, 2017, July 30, 2018, May 9, 2019, February 24, 2022 and February 20, 2025, which in the aggregate total authorized repurchases of $5,000 million. The Repurchase Program has no termination date.</w:t>
      </w:r>
    </w:p>
    <w:p>
      <w:pPr>
        <w:pStyle w:val="TextBody"/>
        <w:bidi w:val="0"/>
        <w:spacing w:before="18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b/>
          <w:color w:val="000000"/>
          <w:sz w:val="20"/>
        </w:rPr>
      </w:pPr>
      <w:bookmarkStart w:id="22" w:name="item_5_other_info"/>
      <w:bookmarkEnd w:id="22"/>
      <w:r>
        <w:rPr>
          <w:rFonts w:ascii="Arial" w:hAnsi="Arial"/>
          <w:b/>
          <w:color w:val="000000"/>
          <w:sz w:val="20"/>
        </w:rPr>
        <w:t>Item 5. Other Information</w:t>
      </w:r>
    </w:p>
    <w:p>
      <w:pPr>
        <w:pStyle w:val="TextBody"/>
        <w:bidi w:val="0"/>
        <w:spacing w:before="120" w:after="283"/>
        <w:jc w:val="left"/>
        <w:rPr>
          <w:rFonts w:ascii="Arial" w:hAnsi="Arial"/>
          <w:b/>
          <w:color w:val="000000"/>
          <w:sz w:val="20"/>
        </w:rPr>
      </w:pPr>
      <w:r>
        <w:rPr>
          <w:rFonts w:ascii="Arial" w:hAnsi="Arial"/>
          <w:b/>
          <w:color w:val="000000"/>
          <w:sz w:val="20"/>
        </w:rPr>
        <w:t>Insider Trading Arrangements</w:t>
      </w:r>
    </w:p>
    <w:p>
      <w:pPr>
        <w:pStyle w:val="TextBody"/>
        <w:bidi w:val="0"/>
        <w:spacing w:before="120" w:after="283"/>
        <w:jc w:val="left"/>
        <w:rPr>
          <w:rFonts w:ascii="Arial" w:hAnsi="Arial"/>
          <w:color w:val="000000"/>
          <w:sz w:val="20"/>
        </w:rPr>
      </w:pPr>
      <w:r>
        <w:rPr>
          <w:rFonts w:ascii="Arial" w:hAnsi="Arial"/>
          <w:color w:val="000000"/>
          <w:sz w:val="20"/>
        </w:rPr>
        <w:t>The following table sets forth information related to the Company's directors and officers who adopted, modified or terminated any contract, instruction or written plan for the purchase or sale of Company securities that was intended to satisfy the affirmative defense conditions of Rule 10b5-1(c) ("Rule 10b5-1 trading arrangement") or any “non-Rule 10b5-1 trading arrangement,” as such term is defined in Item 408(c) of Regulation S-K, during the three months ended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00"/>
        <w:gridCol w:w="146"/>
        <w:gridCol w:w="2150"/>
        <w:gridCol w:w="146"/>
        <w:gridCol w:w="1307"/>
        <w:gridCol w:w="146"/>
        <w:gridCol w:w="615"/>
        <w:gridCol w:w="146"/>
        <w:gridCol w:w="690"/>
        <w:gridCol w:w="146"/>
        <w:gridCol w:w="1042"/>
        <w:gridCol w:w="146"/>
        <w:gridCol w:w="211"/>
        <w:gridCol w:w="849"/>
        <w:gridCol w:w="146"/>
        <w:gridCol w:w="146"/>
        <w:gridCol w:w="1073"/>
      </w:tblGrid>
      <w:tr>
        <w:trPr/>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Shares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Expiration Date</w:t>
            </w:r>
          </w:p>
        </w:tc>
      </w:tr>
      <w:tr>
        <w:trPr/>
        <w:tc>
          <w:tcPr>
            <w:tcW w:w="11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Eric Scroggins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Vice President, General Counsel &amp; Assistant Secretary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Terminated</w:t>
            </w:r>
            <w:r>
              <w:rPr>
                <w:rFonts w:ascii="Times New Roman" w:hAnsi="Times New Roman"/>
                <w:color w:val="000000"/>
                <w:sz w:val="20"/>
              </w:rPr>
              <w:t> </w:t>
            </w:r>
            <w:r>
              <w:rPr>
                <w:rFonts w:ascii="Arial" w:hAnsi="Arial"/>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2/17/2026</w:t>
            </w:r>
          </w:p>
        </w:tc>
      </w:tr>
    </w:tbl>
    <w:p>
      <w:pPr>
        <w:pStyle w:val="TextBody"/>
        <w:bidi w:val="0"/>
        <w:spacing w:before="120" w:after="283"/>
        <w:jc w:val="left"/>
        <w:rPr>
          <w:rFonts w:ascii="Arial" w:hAnsi="Arial"/>
          <w:color w:val="000000"/>
          <w:sz w:val="20"/>
        </w:rPr>
      </w:pPr>
      <w:r>
        <w:rPr>
          <w:rFonts w:ascii="Arial" w:hAnsi="Arial"/>
          <w:color w:val="000000"/>
          <w:sz w:val="20"/>
        </w:rPr>
        <w:t>* Intended to satisfy the affirmative defense of Rule 10b5-1(c)</w:t>
      </w:r>
    </w:p>
    <w:p>
      <w:pPr>
        <w:pStyle w:val="TextBody"/>
        <w:bidi w:val="0"/>
        <w:jc w:val="left"/>
        <w:rPr>
          <w:rFonts w:ascii="Arial" w:hAnsi="Arial"/>
          <w:color w:val="000000"/>
          <w:sz w:val="20"/>
        </w:rPr>
      </w:pPr>
      <w:r>
        <w:rPr>
          <w:rFonts w:ascii="Arial" w:hAnsi="Arial"/>
          <w:color w:val="000000"/>
          <w:sz w:val="20"/>
        </w:rPr>
        <w:t>** Not intended to satisfy the affirmative defense of Rule 10b5-1(c)</w:t>
      </w:r>
    </w:p>
    <w:p>
      <w:pPr>
        <w:pStyle w:val="TextBody"/>
        <w:bidi w:val="0"/>
        <w:jc w:val="left"/>
        <w:rPr>
          <w:rFonts w:ascii="Times New Roman" w:hAnsi="Times New Roman"/>
          <w:sz w:val="20"/>
        </w:rPr>
      </w:pPr>
      <w:r>
        <w:rPr>
          <w:rFonts w:ascii="Arial" w:hAnsi="Arial"/>
          <w:color w:val="000000"/>
          <w:sz w:val="20"/>
        </w:rPr>
        <w:t>(a) This Rule 10b5-1 trading arrangement was originally adopted</w:t>
      </w:r>
      <w:r>
        <w:rPr>
          <w:rFonts w:ascii="Times New Roman" w:hAnsi="Times New Roman"/>
          <w:color w:val="000000"/>
          <w:sz w:val="20"/>
        </w:rPr>
        <w:t xml:space="preserve"> </w:t>
      </w:r>
      <w:r>
        <w:rPr>
          <w:rFonts w:ascii="Arial" w:hAnsi="Arial"/>
          <w:color w:val="000000"/>
          <w:sz w:val="20"/>
        </w:rPr>
        <w:t>on 2/27/2025.</w:t>
      </w:r>
    </w:p>
    <w:p>
      <w:pPr>
        <w:pStyle w:val="TextBody"/>
        <w:bidi w:val="0"/>
        <w:spacing w:before="18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667" w:type="dxa"/>
        <w:jc w:val="left"/>
        <w:tblInd w:w="0" w:type="dxa"/>
        <w:tblLayout w:type="fixed"/>
        <w:tblCellMar>
          <w:top w:w="28" w:type="dxa"/>
          <w:left w:w="28" w:type="dxa"/>
          <w:bottom w:w="28" w:type="dxa"/>
          <w:right w:w="28" w:type="dxa"/>
        </w:tblCellMar>
      </w:tblPr>
      <w:tblGrid>
        <w:gridCol w:w="751"/>
        <w:gridCol w:w="916"/>
      </w:tblGrid>
      <w:tr>
        <w:trPr/>
        <w:tc>
          <w:tcPr>
            <w:tcW w:w="75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751" w:type="dxa"/>
            <w:tcBorders>
              <w:top w:val="single" w:sz="8" w:space="0" w:color="000000"/>
              <w:bottom w:val="single" w:sz="8" w:space="0" w:color="000000"/>
            </w:tcBorders>
            <w:tcMar>
              <w:left w:w="0" w:type="dxa"/>
              <w:right w:w="0" w:type="dxa"/>
            </w:tcMar>
            <w:vAlign w:val="center"/>
          </w:tcPr>
          <w:p>
            <w:pPr>
              <w:pStyle w:val="TableContents"/>
              <w:bidi w:val="0"/>
              <w:spacing w:before="40" w:after="40"/>
              <w:jc w:val="left"/>
              <w:rPr>
                <w:rFonts w:ascii="Arial" w:hAnsi="Arial"/>
                <w:b/>
                <w:color w:val="000000"/>
                <w:sz w:val="20"/>
              </w:rPr>
            </w:pPr>
            <w:r>
              <w:rPr>
                <w:rFonts w:ascii="Arial" w:hAnsi="Arial"/>
                <w:b/>
                <w:color w:val="000000"/>
                <w:sz w:val="20"/>
              </w:rPr>
              <w:t>Item 6.</w:t>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before="40" w:after="40"/>
              <w:jc w:val="left"/>
              <w:rPr>
                <w:rFonts w:ascii="Arial" w:hAnsi="Arial"/>
                <w:b/>
                <w:color w:val="000000"/>
                <w:sz w:val="20"/>
              </w:rPr>
            </w:pPr>
            <w:bookmarkStart w:id="23" w:name="exhibits"/>
            <w:bookmarkEnd w:id="23"/>
            <w:r>
              <w:rPr>
                <w:rFonts w:ascii="Arial" w:hAnsi="Arial"/>
                <w:b/>
                <w:color w:val="000000"/>
                <w:sz w:val="20"/>
              </w:rPr>
              <w:t>Exhibits</w:t>
            </w:r>
          </w:p>
        </w:tc>
      </w:tr>
    </w:tbl>
    <w:p>
      <w:pPr>
        <w:pStyle w:val="TextBody"/>
        <w:bidi w:val="0"/>
        <w:spacing w:before="120" w:after="283"/>
        <w:jc w:val="left"/>
        <w:rPr>
          <w:rFonts w:ascii="Arial" w:hAnsi="Arial"/>
          <w:color w:val="000000"/>
          <w:sz w:val="20"/>
        </w:rPr>
      </w:pPr>
      <w:r>
        <w:rPr>
          <w:rFonts w:ascii="Arial" w:hAnsi="Arial"/>
          <w:color w:val="000000"/>
          <w:sz w:val="20"/>
        </w:rPr>
        <w:t>(a)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7"/>
        <w:gridCol w:w="9368"/>
      </w:tblGrid>
      <w:tr>
        <w:trPr/>
        <w:tc>
          <w:tcPr>
            <w:tcW w:w="837" w:type="dxa"/>
            <w:tcBorders/>
            <w:vAlign w:val="center"/>
          </w:tcPr>
          <w:p>
            <w:pPr>
              <w:pStyle w:val="TableContents"/>
              <w:bidi w:val="0"/>
              <w:spacing w:before="0" w:after="283"/>
              <w:jc w:val="left"/>
              <w:rPr>
                <w:sz w:val="4"/>
                <w:szCs w:val="4"/>
              </w:rPr>
            </w:pPr>
            <w:r>
              <w:rPr>
                <w:sz w:val="4"/>
                <w:szCs w:val="4"/>
              </w:rPr>
            </w:r>
          </w:p>
        </w:tc>
        <w:tc>
          <w:tcPr>
            <w:tcW w:w="9368" w:type="dxa"/>
            <w:tcBorders/>
            <w:vAlign w:val="center"/>
          </w:tcPr>
          <w:p>
            <w:pPr>
              <w:pStyle w:val="TableContents"/>
              <w:bidi w:val="0"/>
              <w:spacing w:before="0" w:after="283"/>
              <w:jc w:val="left"/>
              <w:rPr>
                <w:sz w:val="4"/>
                <w:szCs w:val="4"/>
              </w:rPr>
            </w:pPr>
            <w:r>
              <w:rPr>
                <w:sz w:val="4"/>
                <w:szCs w:val="4"/>
              </w:rPr>
            </w:r>
          </w:p>
        </w:tc>
      </w:tr>
      <w:tr>
        <w:trPr/>
        <w:tc>
          <w:tcPr>
            <w:tcW w:w="837" w:type="dxa"/>
            <w:tcBorders/>
            <w:tcMar>
              <w:top w:w="0" w:type="dxa"/>
              <w:left w:w="0" w:type="dxa"/>
              <w:bottom w:w="0" w:type="dxa"/>
              <w:right w:w="0" w:type="dxa"/>
            </w:tcMar>
            <w:vAlign w:val="center"/>
          </w:tcPr>
          <w:p>
            <w:pPr>
              <w:pStyle w:val="TableContents"/>
              <w:bidi w:val="0"/>
              <w:jc w:val="center"/>
              <w:rPr>
                <w:rFonts w:ascii="Arial" w:hAnsi="Arial"/>
                <w:b/>
                <w:color w:val="000000"/>
                <w:sz w:val="16"/>
                <w:u w:val="single"/>
              </w:rPr>
            </w:pPr>
            <w:r>
              <w:rPr>
                <w:rFonts w:ascii="Arial" w:hAnsi="Arial"/>
                <w:b/>
                <w:color w:val="000000"/>
                <w:sz w:val="16"/>
                <w:u w:val="single"/>
              </w:rPr>
              <w:t>Exhibit</w:t>
            </w:r>
          </w:p>
          <w:p>
            <w:pPr>
              <w:pStyle w:val="TableContents"/>
              <w:bidi w:val="0"/>
              <w:spacing w:before="0" w:after="283"/>
              <w:jc w:val="center"/>
              <w:rPr>
                <w:rFonts w:ascii="Arial" w:hAnsi="Arial"/>
                <w:b/>
                <w:color w:val="000000"/>
                <w:sz w:val="16"/>
                <w:u w:val="single"/>
              </w:rPr>
            </w:pPr>
            <w:r>
              <w:rPr>
                <w:rFonts w:ascii="Arial" w:hAnsi="Arial"/>
                <w:b/>
                <w:color w:val="000000"/>
                <w:sz w:val="16"/>
                <w:u w:val="single"/>
              </w:rPr>
              <w:t>Number</w:t>
            </w:r>
          </w:p>
        </w:tc>
        <w:tc>
          <w:tcPr>
            <w:tcW w:w="9368"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u w:val="single"/>
              </w:rPr>
            </w:pPr>
            <w:r>
              <w:rPr>
                <w:rFonts w:ascii="Arial" w:hAnsi="Arial"/>
                <w:b/>
                <w:color w:val="000000"/>
                <w:sz w:val="16"/>
                <w:u w:val="single"/>
              </w:rPr>
              <w:t>Description</w:t>
            </w:r>
          </w:p>
        </w:tc>
      </w:tr>
      <w:tr>
        <w:trPr/>
        <w:tc>
          <w:tcPr>
            <w:tcW w:w="837"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7"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Arial" w:hAnsi="Arial"/>
                <w:color w:val="000000"/>
                <w:sz w:val="20"/>
              </w:rPr>
              <w:t>2.1*</w:t>
            </w:r>
          </w:p>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Stock Purchase Agreement, dated June 11, 2025, by and between Dana Incorporated and Allison Transmission Holdings, Inc. (incorporated by reference to Exhibit 2.1 to the Registrant’s Current Report on Form 8-K filed June 13, 2025)</w:t>
              </w:r>
            </w:hyperlink>
          </w:p>
        </w:tc>
      </w:tr>
      <w:tr>
        <w:trPr/>
        <w:tc>
          <w:tcPr>
            <w:tcW w:w="837"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7"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Arial" w:hAnsi="Arial"/>
                <w:color w:val="000000"/>
                <w:sz w:val="20"/>
              </w:rPr>
              <w:t>3.1</w:t>
            </w:r>
          </w:p>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Certificate of Amendment to Second Amended and Restated Certificate of Incorporation of Allison Transmission Holdings, Inc.</w:t>
              </w:r>
            </w:hyperlink>
            <w:r>
              <w:rPr>
                <w:rFonts w:ascii="Times New Roman" w:hAnsi="Times New Roman"/>
                <w:color w:val="0000FF"/>
                <w:sz w:val="20"/>
                <w:u w:val="single"/>
              </w:rPr>
              <w:t> </w:t>
            </w:r>
            <w:r>
              <w:rPr>
                <w:rFonts w:ascii="Arial" w:hAnsi="Arial"/>
                <w:color w:val="0000FF"/>
                <w:sz w:val="20"/>
                <w:u w:val="single"/>
              </w:rPr>
              <w:t>(incorporated by reference to Exhibit 3.1 to the Registrant's Current Report on Form 8-K filed May 9, 2025)</w:t>
            </w:r>
          </w:p>
        </w:tc>
      </w:tr>
      <w:tr>
        <w:trPr/>
        <w:tc>
          <w:tcPr>
            <w:tcW w:w="837"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31.1</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alsn-ex31_1.htm">
              <w:r>
                <w:rPr>
                  <w:rStyle w:val="InternetLink"/>
                  <w:rFonts w:ascii="Arial" w:hAnsi="Arial"/>
                  <w:color w:val="0000FF"/>
                  <w:sz w:val="20"/>
                  <w:u w:val="single"/>
                </w:rPr>
                <w:t>Certification of Chief Executive Officer pursuant to Rule 13a-14(a)/15d-14(a) as adopted pursuant to Section 302 of the Sarbanes-Oxley Act of 2002 (filed herewith)</w:t>
              </w:r>
            </w:hyperlink>
          </w:p>
        </w:tc>
      </w:tr>
      <w:tr>
        <w:trPr/>
        <w:tc>
          <w:tcPr>
            <w:tcW w:w="837"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31.2</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alsn-ex31_2.htm">
              <w:r>
                <w:rPr>
                  <w:rStyle w:val="InternetLink"/>
                  <w:rFonts w:ascii="Arial" w:hAnsi="Arial"/>
                  <w:color w:val="0000FF"/>
                  <w:sz w:val="20"/>
                  <w:u w:val="single"/>
                </w:rPr>
                <w:t>Certification of Chief Financial Officer pursuant to Rule 13a-14(a)/15d-14(a) as adopted pursuant to Section 302 of the Sarbanes-Oxley Act of 2002 (filed herewith)</w:t>
              </w:r>
            </w:hyperlink>
          </w:p>
        </w:tc>
      </w:tr>
      <w:tr>
        <w:trPr/>
        <w:tc>
          <w:tcPr>
            <w:tcW w:w="837"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32.1</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alsn-ex32_1.htm">
              <w:r>
                <w:rPr>
                  <w:rStyle w:val="InternetLink"/>
                  <w:rFonts w:ascii="Arial" w:hAnsi="Arial"/>
                  <w:color w:val="0000FF"/>
                  <w:sz w:val="20"/>
                  <w:u w:val="single"/>
                </w:rPr>
                <w:t>Certification of Periodic Report by Chief Executive Officer and Chief Financial Officer pursuant to 18 U.S.C. Section 1350, as adopted pursuant to Section 906 of the Sarbanes-Oxley Act of 2002 (filed herewith)</w:t>
              </w:r>
            </w:hyperlink>
          </w:p>
        </w:tc>
      </w:tr>
      <w:tr>
        <w:trPr/>
        <w:tc>
          <w:tcPr>
            <w:tcW w:w="837"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936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(filed herewith)</w:t>
            </w:r>
          </w:p>
        </w:tc>
      </w:tr>
      <w:tr>
        <w:trPr/>
        <w:tc>
          <w:tcPr>
            <w:tcW w:w="837"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101.SCH</w:t>
            </w:r>
          </w:p>
        </w:tc>
        <w:tc>
          <w:tcPr>
            <w:tcW w:w="936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 (filed herewith)</w:t>
            </w:r>
          </w:p>
        </w:tc>
      </w:tr>
      <w:tr>
        <w:trPr/>
        <w:tc>
          <w:tcPr>
            <w:tcW w:w="837"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936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 The cover page from the Registrant’s Quarterly Report on Form 10-Q for the quarter ended June 30, 2025, formatted in Inline XBRL and contained in Exhibit 101</w:t>
            </w:r>
          </w:p>
        </w:tc>
      </w:tr>
    </w:tbl>
    <w:p>
      <w:pPr>
        <w:pStyle w:val="TextBody"/>
        <w:bidi w:val="0"/>
        <w:spacing w:before="120" w:after="283"/>
        <w:jc w:val="left"/>
        <w:rPr>
          <w:rFonts w:ascii="Arial" w:hAnsi="Arial"/>
          <w:color w:val="000000"/>
          <w:sz w:val="20"/>
        </w:rPr>
      </w:pPr>
      <w:r>
        <w:rPr>
          <w:rFonts w:ascii="Arial" w:hAnsi="Arial"/>
          <w:color w:val="000000"/>
          <w:sz w:val="20"/>
        </w:rPr>
        <w:t>* Schedules and/or exhibits have been omitted pursuant to Item 601(a)(5) of Regulation S-K. The Registrant agrees to furnish supplementally a copy of any omitted schedules and/or exhibits to the Securities and Exchange Commission on a confidential basis upon request.</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24" w:name="signatures"/>
      <w:bookmarkEnd w:id="24"/>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11"/>
        <w:gridCol w:w="386"/>
        <w:gridCol w:w="2152"/>
        <w:gridCol w:w="2756"/>
        <w:gridCol w:w="3400"/>
      </w:tblGrid>
      <w:tr>
        <w:trPr/>
        <w:tc>
          <w:tcPr>
            <w:tcW w:w="151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3400" w:type="dxa"/>
            <w:tcBorders/>
            <w:vAlign w:val="center"/>
          </w:tcPr>
          <w:p>
            <w:pPr>
              <w:pStyle w:val="TableContents"/>
              <w:bidi w:val="0"/>
              <w:spacing w:before="0" w:after="283"/>
              <w:jc w:val="left"/>
              <w:rPr>
                <w:sz w:val="4"/>
                <w:szCs w:val="4"/>
              </w:rPr>
            </w:pPr>
            <w:r>
              <w:rPr>
                <w:sz w:val="4"/>
                <w:szCs w:val="4"/>
              </w:rPr>
            </w:r>
          </w:p>
        </w:tc>
      </w:tr>
      <w:tr>
        <w:trPr/>
        <w:tc>
          <w:tcPr>
            <w:tcW w:w="1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8308" w:type="dxa"/>
            <w:gridSpan w:val="3"/>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ALLISON TRANSMISSION HOLDINGS, INC.</w:t>
            </w:r>
          </w:p>
        </w:tc>
      </w:tr>
      <w:tr>
        <w:trPr/>
        <w:tc>
          <w:tcPr>
            <w:tcW w:w="1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830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5, 2025</w:t>
            </w:r>
          </w:p>
        </w:tc>
        <w:tc>
          <w:tcPr>
            <w:tcW w:w="3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830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David S. Graziosi</w:t>
            </w:r>
          </w:p>
        </w:tc>
      </w:tr>
      <w:tr>
        <w:trPr/>
        <w:tc>
          <w:tcPr>
            <w:tcW w:w="1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tcMar>
              <w:top w:w="0" w:type="dxa"/>
              <w:left w:w="0" w:type="dxa"/>
              <w:bottom w:w="0" w:type="dxa"/>
              <w:right w:w="0" w:type="dxa"/>
            </w:tcMar>
            <w:vAlign w:val="center"/>
          </w:tcPr>
          <w:p>
            <w:pPr>
              <w:pStyle w:val="TableContents"/>
              <w:bidi w:val="0"/>
              <w:spacing w:before="0" w:after="283"/>
              <w:jc w:val="left"/>
              <w:rPr/>
            </w:pPr>
            <w:r>
              <w:rPr/>
              <w:t> </w:t>
            </w:r>
          </w:p>
        </w:tc>
        <w:tc>
          <w:tcPr>
            <w:tcW w:w="2756" w:type="dxa"/>
            <w:tcBorders/>
            <w:tcMar>
              <w:top w:w="0" w:type="dxa"/>
              <w:left w:w="0" w:type="dxa"/>
              <w:bottom w:w="0" w:type="dxa"/>
              <w:right w:w="0" w:type="dxa"/>
            </w:tcMar>
            <w:vAlign w:val="center"/>
          </w:tcPr>
          <w:p>
            <w:pPr>
              <w:pStyle w:val="TableContents"/>
              <w:bidi w:val="0"/>
              <w:spacing w:before="0" w:after="283"/>
              <w:jc w:val="left"/>
              <w:rPr/>
            </w:pPr>
            <w:r>
              <w:rPr/>
              <w:t> </w:t>
            </w:r>
          </w:p>
        </w:tc>
        <w:tc>
          <w:tcPr>
            <w:tcW w:w="34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Name:</w:t>
            </w:r>
          </w:p>
        </w:tc>
        <w:tc>
          <w:tcPr>
            <w:tcW w:w="6156"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S. Graziosi</w:t>
            </w:r>
          </w:p>
        </w:tc>
      </w:tr>
      <w:tr>
        <w:trPr/>
        <w:tc>
          <w:tcPr>
            <w:tcW w:w="151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Title:</w:t>
            </w:r>
          </w:p>
        </w:tc>
        <w:tc>
          <w:tcPr>
            <w:tcW w:w="6156" w:type="dxa"/>
            <w:gridSpan w:val="2"/>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Chair, President and Chief Executive Officer</w:t>
            </w:r>
          </w:p>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r>
      <w:tr>
        <w:trPr/>
        <w:tc>
          <w:tcPr>
            <w:tcW w:w="1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5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5, 2025</w:t>
            </w:r>
          </w:p>
        </w:tc>
        <w:tc>
          <w:tcPr>
            <w:tcW w:w="3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830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Scott Mell</w:t>
            </w:r>
          </w:p>
        </w:tc>
      </w:tr>
      <w:tr>
        <w:trPr/>
        <w:tc>
          <w:tcPr>
            <w:tcW w:w="1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tcMar>
              <w:top w:w="0" w:type="dxa"/>
              <w:left w:w="0" w:type="dxa"/>
              <w:bottom w:w="0" w:type="dxa"/>
              <w:right w:w="0" w:type="dxa"/>
            </w:tcMar>
            <w:vAlign w:val="center"/>
          </w:tcPr>
          <w:p>
            <w:pPr>
              <w:pStyle w:val="TableContents"/>
              <w:bidi w:val="0"/>
              <w:spacing w:before="0" w:after="283"/>
              <w:jc w:val="left"/>
              <w:rPr/>
            </w:pPr>
            <w:r>
              <w:rPr/>
              <w:t> </w:t>
            </w:r>
          </w:p>
        </w:tc>
        <w:tc>
          <w:tcPr>
            <w:tcW w:w="2756" w:type="dxa"/>
            <w:tcBorders/>
            <w:tcMar>
              <w:top w:w="0" w:type="dxa"/>
              <w:left w:w="0" w:type="dxa"/>
              <w:bottom w:w="0" w:type="dxa"/>
              <w:right w:w="0" w:type="dxa"/>
            </w:tcMar>
            <w:vAlign w:val="center"/>
          </w:tcPr>
          <w:p>
            <w:pPr>
              <w:pStyle w:val="TableContents"/>
              <w:bidi w:val="0"/>
              <w:spacing w:before="0" w:after="283"/>
              <w:jc w:val="left"/>
              <w:rPr/>
            </w:pPr>
            <w:r>
              <w:rPr/>
              <w:t> </w:t>
            </w:r>
          </w:p>
        </w:tc>
        <w:tc>
          <w:tcPr>
            <w:tcW w:w="34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Name:</w:t>
            </w:r>
          </w:p>
        </w:tc>
        <w:tc>
          <w:tcPr>
            <w:tcW w:w="6156"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Mell</w:t>
            </w:r>
          </w:p>
        </w:tc>
      </w:tr>
      <w:tr>
        <w:trPr/>
        <w:tc>
          <w:tcPr>
            <w:tcW w:w="1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Title:</w:t>
            </w:r>
          </w:p>
        </w:tc>
        <w:tc>
          <w:tcPr>
            <w:tcW w:w="6156"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 and Treasurer (Principal Financial Officer and Principal Accounting Officer)</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alsn-ex31_1.htm"/>
      <w:bookmarkStart w:id="26" w:name="ksalsnex31_1"/>
      <w:bookmarkEnd w:id="25"/>
      <w:bookmarkEnd w:id="26"/>
      <w:r>
        <w:rPr>
          <w:rFonts w:ascii="Times New Roman" w:hAnsi="Times New Roman"/>
          <w:b/>
          <w:color w:val="000000"/>
          <w:sz w:val="20"/>
        </w:rPr>
        <w:t>Exhibit 31.1</w:t>
      </w:r>
      <w:r>
        <w:br w:type="page"/>
      </w:r>
    </w:p>
    <w:p>
      <w:pPr>
        <w:pStyle w:val="TextBody"/>
        <w:bidi w:val="0"/>
        <w:spacing w:before="180" w:after="283"/>
        <w:jc w:val="center"/>
        <w:rPr>
          <w:rFonts w:ascii="Times New Roman" w:hAnsi="Times New Roman"/>
          <w:sz w:val="20"/>
        </w:rPr>
      </w:pPr>
      <w:r>
        <w:rPr>
          <w:rFonts w:ascii="Times New Roman" w:hAnsi="Times New Roman"/>
          <w:b/>
          <w:color w:val="000000"/>
          <w:sz w:val="20"/>
        </w:rPr>
        <w:t>CERTIFICATION PURSUANT TO RULE 13a-14(a)/15d-14(a) OF THE SECURITIES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EXCHANGE ACT OF 1934, AS ADOPTED PURSUANT TO SECTION 302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SARBANES-OXLEY ACT OF 2002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David S. Graziosi,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Allison Transmission Holdings,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452" w:type="dxa"/>
        <w:jc w:val="left"/>
        <w:tblInd w:w="0" w:type="dxa"/>
        <w:tblLayout w:type="fixed"/>
        <w:tblCellMar>
          <w:top w:w="28" w:type="dxa"/>
          <w:left w:w="28" w:type="dxa"/>
          <w:bottom w:w="28" w:type="dxa"/>
          <w:right w:w="28" w:type="dxa"/>
        </w:tblCellMar>
      </w:tblPr>
      <w:tblGrid>
        <w:gridCol w:w="426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S. Graziosi</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David S. Graziosi</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Chair, 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alsn-ex31_2.htm"/>
      <w:bookmarkStart w:id="28" w:name="ksalsnex31_2"/>
      <w:bookmarkEnd w:id="27"/>
      <w:bookmarkEnd w:id="28"/>
      <w:r>
        <w:rPr>
          <w:rFonts w:ascii="Times New Roman" w:hAnsi="Times New Roman"/>
          <w:b/>
          <w:color w:val="000000"/>
          <w:sz w:val="20"/>
        </w:rPr>
        <w:t>Exhibit 31.2</w:t>
      </w:r>
      <w:r>
        <w:br w:type="page"/>
      </w:r>
    </w:p>
    <w:p>
      <w:pPr>
        <w:pStyle w:val="TextBody"/>
        <w:bidi w:val="0"/>
        <w:spacing w:before="180" w:after="283"/>
        <w:jc w:val="center"/>
        <w:rPr>
          <w:rFonts w:ascii="Times New Roman" w:hAnsi="Times New Roman"/>
          <w:sz w:val="20"/>
        </w:rPr>
      </w:pPr>
      <w:r>
        <w:rPr>
          <w:rFonts w:ascii="Times New Roman" w:hAnsi="Times New Roman"/>
          <w:b/>
          <w:color w:val="000000"/>
          <w:sz w:val="20"/>
        </w:rPr>
        <w:t>CERTIFICATION PURSUANT TO RULE 13a-14(a)/15d-14(a) OF THE SECURITIES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EXCHANGE ACT OF 1934, AS ADOPTED PURSUANT TO SECTION 302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SARBANES-OXLEY ACT OF 2002</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 Scott Mell,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Allison Transmission Holdings,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3805" w:type="dxa"/>
        <w:jc w:val="left"/>
        <w:tblInd w:w="0" w:type="dxa"/>
        <w:tblLayout w:type="fixed"/>
        <w:tblCellMar>
          <w:top w:w="28" w:type="dxa"/>
          <w:left w:w="28" w:type="dxa"/>
          <w:bottom w:w="28" w:type="dxa"/>
          <w:right w:w="28" w:type="dxa"/>
        </w:tblCellMar>
      </w:tblPr>
      <w:tblGrid>
        <w:gridCol w:w="1307"/>
        <w:gridCol w:w="1148"/>
        <w:gridCol w:w="1159"/>
        <w:gridCol w:w="191"/>
      </w:tblGrid>
      <w:tr>
        <w:trPr/>
        <w:tc>
          <w:tcPr>
            <w:tcW w:w="130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Mell</w:t>
            </w:r>
          </w:p>
        </w:tc>
        <w:tc>
          <w:tcPr>
            <w:tcW w:w="1350"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Scott Mell</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 and Treasurer</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(Principal Financial Officer)</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alsn-ex32_1.htm"/>
      <w:bookmarkStart w:id="30" w:name="ksalsnex32_1"/>
      <w:bookmarkEnd w:id="29"/>
      <w:bookmarkEnd w:id="30"/>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Allison Transmission Holdings, Inc. (the “Company”) on Form 10-Q for the quarter ending June 30, 2025 as filed with the Securities and Exchange Commission on the date hereof (the “Report”), we, David S. Graziosi, Chair, President and Chief Executive Officer of the Company, and Scott Mell, Chief Financial Officer and Treasurer of the Company, certify, pursuant to 18 U.S.C. § 1350 as adopted pursuant to § 906 of the Sarbanes-Oxley Act of 2002,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3912" w:type="dxa"/>
        <w:jc w:val="left"/>
        <w:tblInd w:w="0" w:type="dxa"/>
        <w:tblLayout w:type="fixed"/>
        <w:tblCellMar>
          <w:top w:w="28" w:type="dxa"/>
          <w:left w:w="28" w:type="dxa"/>
          <w:bottom w:w="28" w:type="dxa"/>
          <w:right w:w="28" w:type="dxa"/>
        </w:tblCellMar>
      </w:tblPr>
      <w:tblGrid>
        <w:gridCol w:w="3721"/>
        <w:gridCol w:w="191"/>
      </w:tblGrid>
      <w:tr>
        <w:trPr/>
        <w:tc>
          <w:tcPr>
            <w:tcW w:w="3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S. Graziosi</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S. Graziosi</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Mell</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Mell</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Treasurer</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color w:val="000000"/>
          <w:sz w:val="20"/>
        </w:rPr>
      </w:pPr>
      <w:r>
        <w:rPr>
          <w:rFonts w:ascii="Times New Roman" w:hAnsi="Times New Roman"/>
          <w:color w:val="000000"/>
          <w:sz w:val="20"/>
        </w:rPr>
        <w:t>(Principal Financial Officer)</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11207/000119312525140770/d20890dex21.htm" TargetMode="External"/><Relationship Id="rId4" Type="http://schemas.openxmlformats.org/officeDocument/2006/relationships/hyperlink" Target="https://www.sec.gov/Archives/edgar/data/1411207/000119312525116906/d945705dex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20419</Words>
  <Characters>109098</Characters>
  <CharactersWithSpaces>130676</CharactersWithSpaces>
  <Paragraphs>6518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