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hyperlink w:anchor="table_of_contents">
        <w:bookmarkStart w:id="0" w:name="alsn-20230331.htm"/>
        <w:bookmarkStart w:id="1" w:name="ksalsn20230331"/>
        <w:bookmarkEnd w:id="0"/>
        <w:bookmarkEnd w:id="1"/>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center"/>
        <w:rPr>
          <w:rFonts w:ascii="Arial;sans-serif" w:hAnsi="Arial;sans-serif"/>
          <w:b/>
          <w:sz w:val="36"/>
        </w:rPr>
      </w:pPr>
      <w:r>
        <w:rPr>
          <w:rFonts w:ascii="Arial;sans-serif" w:hAnsi="Arial;sans-serif"/>
          <w:b/>
          <w:sz w:val="36"/>
        </w:rPr>
        <w:t>UNITED STATES</w:t>
      </w:r>
    </w:p>
    <w:p>
      <w:pPr>
        <w:pStyle w:val="TextBody"/>
        <w:spacing w:before="60" w:after="0"/>
        <w:jc w:val="center"/>
        <w:rPr>
          <w:rFonts w:ascii="Arial;sans-serif" w:hAnsi="Arial;sans-serif"/>
          <w:b/>
          <w:sz w:val="36"/>
        </w:rPr>
      </w:pPr>
      <w:r>
        <w:rPr>
          <w:rFonts w:ascii="Arial;sans-serif" w:hAnsi="Arial;sans-serif"/>
          <w:b/>
          <w:sz w:val="36"/>
        </w:rPr>
        <w:t>SECURITIES AND EXCHANGE COMMISSION</w:t>
      </w:r>
    </w:p>
    <w:p>
      <w:pPr>
        <w:pStyle w:val="TextBody"/>
        <w:spacing w:before="60" w:after="0"/>
        <w:jc w:val="center"/>
        <w:rPr>
          <w:rFonts w:ascii="Arial;sans-serif" w:hAnsi="Arial;sans-serif"/>
          <w:b/>
          <w:sz w:val="24"/>
        </w:rPr>
      </w:pPr>
      <w:r>
        <w:rPr>
          <w:rFonts w:ascii="Arial;sans-serif" w:hAnsi="Arial;sans-serif"/>
          <w:b/>
          <w:sz w:val="24"/>
        </w:rPr>
        <w:t>WASHINGTON, D.C. 20549</w:t>
      </w:r>
    </w:p>
    <w:p>
      <w:pPr>
        <w:pStyle w:val="TextBody"/>
        <w:spacing w:before="60" w:after="0"/>
        <w:jc w:val="center"/>
        <w:rPr>
          <w:rFonts w:ascii="Arial;sans-serif" w:hAnsi="Arial;sans-serif"/>
          <w:b/>
          <w:sz w:val="36"/>
        </w:rPr>
      </w:pPr>
      <w:r>
        <w:rPr>
          <w:rFonts w:ascii="Arial;sans-serif" w:hAnsi="Arial;sans-serif"/>
          <w:b/>
          <w:sz w:val="36"/>
        </w:rPr>
        <w:t>FORM 10-Q</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60" w:after="0"/>
              <w:ind w:left="0" w:right="0" w:hanging="0"/>
              <w:jc w:val="left"/>
              <w:rPr/>
            </w:pPr>
            <w:r>
              <w:rPr/>
              <w:t>☒</w:t>
            </w:r>
          </w:p>
        </w:tc>
        <w:tc>
          <w:tcPr>
            <w:tcW w:w="9874" w:type="dxa"/>
            <w:tcBorders/>
            <w:shd w:fill="auto" w:val="clear"/>
            <w:vAlign w:val="center"/>
          </w:tcPr>
          <w:p>
            <w:pPr>
              <w:pStyle w:val="TableContents"/>
              <w:spacing w:before="60" w:after="0"/>
              <w:ind w:left="0" w:right="0" w:hanging="0"/>
              <w:jc w:val="left"/>
              <w:rPr>
                <w:rFonts w:ascii="Arial;sans-serif" w:hAnsi="Arial;sans-serif"/>
                <w:b/>
                <w:sz w:val="24"/>
              </w:rPr>
            </w:pPr>
            <w:r>
              <w:rPr>
                <w:rFonts w:ascii="Arial;sans-serif" w:hAnsi="Arial;sans-serif"/>
                <w:b/>
                <w:sz w:val="24"/>
              </w:rPr>
              <w:t>QUARTERLY REPORT PURSUANT TO SECTION 13 OR 15(d) OF THE SECURITIES EXCHANGE ACT OF 1934</w:t>
            </w:r>
          </w:p>
        </w:tc>
      </w:tr>
    </w:tbl>
    <w:p>
      <w:pPr>
        <w:pStyle w:val="TextBody"/>
        <w:spacing w:before="60" w:after="0"/>
        <w:jc w:val="center"/>
        <w:rPr>
          <w:rFonts w:ascii="Arial;sans-serif" w:hAnsi="Arial;sans-serif"/>
          <w:b/>
          <w:sz w:val="20"/>
        </w:rPr>
      </w:pPr>
      <w:r>
        <w:rPr>
          <w:rFonts w:ascii="Arial;sans-serif" w:hAnsi="Arial;sans-serif"/>
          <w:b/>
          <w:sz w:val="20"/>
        </w:rPr>
        <w:t>For the quarterly period ended March 31, 2023</w:t>
      </w:r>
    </w:p>
    <w:p>
      <w:pPr>
        <w:pStyle w:val="TextBody"/>
        <w:spacing w:before="60" w:after="0"/>
        <w:jc w:val="center"/>
        <w:rPr>
          <w:rFonts w:ascii="Arial;sans-serif" w:hAnsi="Arial;sans-serif"/>
          <w:b/>
          <w:sz w:val="20"/>
        </w:rPr>
      </w:pPr>
      <w:r>
        <w:rPr>
          <w:rFonts w:ascii="Arial;sans-serif" w:hAnsi="Arial;sans-serif"/>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60" w:after="0"/>
              <w:ind w:left="0" w:right="0" w:hanging="0"/>
              <w:jc w:val="left"/>
              <w:rPr/>
            </w:pPr>
            <w:r>
              <w:rPr/>
              <w:t>☐</w:t>
            </w:r>
          </w:p>
        </w:tc>
        <w:tc>
          <w:tcPr>
            <w:tcW w:w="9874" w:type="dxa"/>
            <w:tcBorders/>
            <w:shd w:fill="auto" w:val="clear"/>
            <w:vAlign w:val="center"/>
          </w:tcPr>
          <w:p>
            <w:pPr>
              <w:pStyle w:val="TableContents"/>
              <w:spacing w:before="60" w:after="0"/>
              <w:ind w:left="0" w:right="0" w:hanging="0"/>
              <w:jc w:val="left"/>
              <w:rPr>
                <w:rFonts w:ascii="Arial;sans-serif" w:hAnsi="Arial;sans-serif"/>
                <w:b/>
                <w:sz w:val="24"/>
              </w:rPr>
            </w:pPr>
            <w:r>
              <w:rPr>
                <w:rFonts w:ascii="Arial;sans-serif" w:hAnsi="Arial;sans-serif"/>
                <w:b/>
                <w:sz w:val="24"/>
              </w:rPr>
              <w:t>TRANSITION REPORT PURSUANT TO SECTION 13 OR 15(d) OF THE SECURITIES EXCHANGE ACT OF 1934</w:t>
            </w:r>
          </w:p>
        </w:tc>
      </w:tr>
    </w:tbl>
    <w:p>
      <w:pPr>
        <w:pStyle w:val="TextBody"/>
        <w:spacing w:before="60" w:after="0"/>
        <w:jc w:val="center"/>
        <w:rPr>
          <w:rFonts w:ascii="Arial;sans-serif" w:hAnsi="Arial;sans-serif"/>
          <w:b/>
          <w:sz w:val="20"/>
        </w:rPr>
      </w:pPr>
      <w:r>
        <w:rPr>
          <w:rFonts w:ascii="Arial;sans-serif" w:hAnsi="Arial;sans-serif"/>
          <w:b/>
          <w:sz w:val="20"/>
        </w:rPr>
        <w:t>Commission File No. 001-35456</w:t>
      </w:r>
    </w:p>
    <w:p>
      <w:pPr>
        <w:pStyle w:val="TextBody"/>
        <w:spacing w:before="60" w:after="0"/>
        <w:jc w:val="center"/>
        <w:rPr>
          <w:rFonts w:ascii="Arial;sans-serif" w:hAnsi="Arial;sans-serif"/>
          <w:b/>
          <w:sz w:val="48"/>
        </w:rPr>
      </w:pPr>
      <w:r>
        <w:rPr>
          <w:rFonts w:ascii="Arial;sans-serif" w:hAnsi="Arial;sans-serif"/>
          <w:b/>
          <w:sz w:val="48"/>
        </w:rPr>
        <w:t>ALLISON TRANSMISSION HOLDINGS, INC.</w:t>
      </w:r>
    </w:p>
    <w:p>
      <w:pPr>
        <w:pStyle w:val="TextBody"/>
        <w:spacing w:before="60" w:after="0"/>
        <w:jc w:val="center"/>
        <w:rPr>
          <w:rFonts w:ascii="Arial;sans-serif" w:hAnsi="Arial;sans-serif"/>
          <w:b w:val="false"/>
          <w:sz w:val="20"/>
        </w:rPr>
      </w:pPr>
      <w:r>
        <w:rPr>
          <w:rFonts w:ascii="Arial;sans-serif" w:hAnsi="Arial;sans-serif"/>
          <w:b w:val="false"/>
          <w:sz w:val="20"/>
        </w:rPr>
        <w:t>(Exact Name of Registrant as Specified in Its Charter)</w:t>
      </w:r>
    </w:p>
    <w:p>
      <w:pPr>
        <w:pStyle w:val="TextBody"/>
        <w:spacing w:before="0" w:after="0"/>
        <w:jc w:val="center"/>
        <w:rPr/>
      </w:pPr>
      <w:r>
        <w:rPr/>
        <w:t> </w:t>
      </w:r>
    </w:p>
    <w:p>
      <w:pPr>
        <w:pStyle w:val="TextBody"/>
        <w:spacing w:before="0" w:after="0"/>
        <w:jc w:val="center"/>
        <w:rPr/>
      </w:pPr>
      <w:r>
        <w:rPr/>
        <w:drawing>
          <wp:inline distT="0" distB="0" distL="0" distR="0">
            <wp:extent cx="19240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581025"/>
                    </a:xfrm>
                    <a:prstGeom prst="rect">
                      <a:avLst/>
                    </a:prstGeom>
                  </pic:spPr>
                </pic:pic>
              </a:graphicData>
            </a:graphic>
          </wp:inline>
        </w:drawing>
      </w:r>
      <w:r>
        <w:rPr/>
        <w:t> </w:t>
      </w:r>
    </w:p>
    <w:p>
      <w:pPr>
        <w:pStyle w:val="TextBody"/>
        <w:spacing w:before="0" w:after="0"/>
        <w:jc w:val="left"/>
        <w:rPr/>
      </w:pPr>
      <w:r>
        <w:rPr/>
        <w:t> </w:t>
      </w:r>
    </w:p>
    <w:tbl>
      <w:tblPr>
        <w:tblW w:w="5207" w:type="dxa"/>
        <w:jc w:val="left"/>
        <w:tblInd w:w="0" w:type="dxa"/>
        <w:tblCellMar>
          <w:top w:w="28" w:type="dxa"/>
          <w:left w:w="28" w:type="dxa"/>
          <w:bottom w:w="28" w:type="dxa"/>
          <w:right w:w="28" w:type="dxa"/>
        </w:tblCellMar>
      </w:tblPr>
      <w:tblGrid>
        <w:gridCol w:w="3466"/>
        <w:gridCol w:w="1741"/>
      </w:tblGrid>
      <w:tr>
        <w:trPr/>
        <w:tc>
          <w:tcPr>
            <w:tcW w:w="3466" w:type="dxa"/>
            <w:tcBorders/>
            <w:shd w:fill="auto" w:val="clear"/>
            <w:vAlign w:val="center"/>
          </w:tcPr>
          <w:p>
            <w:pPr>
              <w:pStyle w:val="TableContents"/>
              <w:spacing w:before="0" w:after="283"/>
              <w:rPr>
                <w:sz w:val="4"/>
                <w:szCs w:val="4"/>
              </w:rPr>
            </w:pPr>
            <w:r>
              <w:rPr>
                <w:sz w:val="4"/>
                <w:szCs w:val="4"/>
              </w:rPr>
            </w:r>
          </w:p>
        </w:tc>
        <w:tc>
          <w:tcPr>
            <w:tcW w:w="174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tcMar>
              <w:top w:w="0" w:type="dxa"/>
              <w:left w:w="0" w:type="dxa"/>
              <w:bottom w:w="0" w:type="dxa"/>
              <w:right w:w="0" w:type="dxa"/>
            </w:tcMar>
            <w:vAlign w:val="center"/>
          </w:tcPr>
          <w:p>
            <w:pPr>
              <w:pStyle w:val="TableContents"/>
              <w:spacing w:before="40" w:after="40"/>
              <w:ind w:left="0" w:right="0" w:hanging="0"/>
              <w:jc w:val="center"/>
              <w:rPr>
                <w:rFonts w:ascii="Arial;sans-serif" w:hAnsi="Arial;sans-serif"/>
                <w:b/>
                <w:sz w:val="20"/>
              </w:rPr>
            </w:pPr>
            <w:r>
              <w:rPr>
                <w:rFonts w:ascii="Arial;sans-serif" w:hAnsi="Arial;sans-serif"/>
                <w:b/>
                <w:sz w:val="20"/>
              </w:rPr>
              <w:t>Delaware</w:t>
            </w:r>
          </w:p>
        </w:tc>
        <w:tc>
          <w:tcPr>
            <w:tcW w:w="1741" w:type="dxa"/>
            <w:tcBorders/>
            <w:shd w:fill="auto" w:val="clear"/>
            <w:tcMar>
              <w:top w:w="0" w:type="dxa"/>
              <w:left w:w="0" w:type="dxa"/>
              <w:bottom w:w="0" w:type="dxa"/>
              <w:right w:w="0" w:type="dxa"/>
            </w:tcMar>
            <w:vAlign w:val="center"/>
          </w:tcPr>
          <w:p>
            <w:pPr>
              <w:pStyle w:val="TableContents"/>
              <w:spacing w:before="40" w:after="40"/>
              <w:ind w:left="0" w:right="0" w:hanging="0"/>
              <w:jc w:val="center"/>
              <w:rPr>
                <w:rFonts w:ascii="Arial;sans-serif" w:hAnsi="Arial;sans-serif"/>
                <w:b/>
                <w:sz w:val="20"/>
              </w:rPr>
            </w:pPr>
            <w:r>
              <w:rPr>
                <w:rFonts w:ascii="Arial;sans-serif" w:hAnsi="Arial;sans-serif"/>
                <w:b/>
                <w:sz w:val="20"/>
              </w:rPr>
              <w:t>26-0414014</w:t>
            </w:r>
          </w:p>
        </w:tc>
      </w:tr>
      <w:tr>
        <w:trPr/>
        <w:tc>
          <w:tcPr>
            <w:tcW w:w="3466" w:type="dxa"/>
            <w:tcBorders/>
            <w:shd w:fill="auto" w:val="clear"/>
            <w:tcMar>
              <w:top w:w="0" w:type="dxa"/>
              <w:left w:w="0" w:type="dxa"/>
              <w:bottom w:w="0" w:type="dxa"/>
              <w:right w:w="0" w:type="dxa"/>
            </w:tcMar>
            <w:vAlign w:val="center"/>
          </w:tcPr>
          <w:p>
            <w:pPr>
              <w:pStyle w:val="TableContents"/>
              <w:spacing w:before="40" w:after="40"/>
              <w:ind w:left="0" w:right="0" w:hanging="0"/>
              <w:jc w:val="center"/>
              <w:rPr>
                <w:rFonts w:ascii="Arial;sans-serif" w:hAnsi="Arial;sans-serif"/>
                <w:b w:val="false"/>
                <w:sz w:val="16"/>
              </w:rPr>
            </w:pPr>
            <w:r>
              <w:rPr>
                <w:rFonts w:ascii="Arial;sans-serif" w:hAnsi="Arial;sans-serif"/>
                <w:b w:val="false"/>
                <w:sz w:val="16"/>
              </w:rPr>
              <w:t>(State or Other Jurisdiction of Incorporation or</w:t>
            </w:r>
          </w:p>
          <w:p>
            <w:pPr>
              <w:pStyle w:val="TableContents"/>
              <w:spacing w:before="40" w:after="40"/>
              <w:ind w:left="0" w:right="0" w:hanging="0"/>
              <w:jc w:val="center"/>
              <w:rPr>
                <w:rFonts w:ascii="Arial;sans-serif" w:hAnsi="Arial;sans-serif"/>
                <w:b w:val="false"/>
                <w:sz w:val="16"/>
              </w:rPr>
            </w:pPr>
            <w:r>
              <w:rPr>
                <w:rFonts w:ascii="Arial;sans-serif" w:hAnsi="Arial;sans-serif"/>
                <w:b w:val="false"/>
                <w:sz w:val="16"/>
              </w:rPr>
              <w:t>Organization)</w:t>
            </w:r>
          </w:p>
        </w:tc>
        <w:tc>
          <w:tcPr>
            <w:tcW w:w="1741" w:type="dxa"/>
            <w:tcBorders/>
            <w:shd w:fill="auto" w:val="clear"/>
            <w:tcMar>
              <w:top w:w="0" w:type="dxa"/>
              <w:left w:w="0" w:type="dxa"/>
              <w:bottom w:w="0" w:type="dxa"/>
              <w:right w:w="0" w:type="dxa"/>
            </w:tcMar>
            <w:vAlign w:val="center"/>
          </w:tcPr>
          <w:p>
            <w:pPr>
              <w:pStyle w:val="TableContents"/>
              <w:spacing w:before="40" w:after="0"/>
              <w:ind w:left="0" w:right="0" w:hanging="0"/>
              <w:jc w:val="center"/>
              <w:rPr>
                <w:rFonts w:ascii="Arial;sans-serif" w:hAnsi="Arial;sans-serif"/>
                <w:b w:val="false"/>
                <w:sz w:val="16"/>
              </w:rPr>
            </w:pPr>
            <w:r>
              <w:rPr>
                <w:rFonts w:ascii="Arial;sans-serif" w:hAnsi="Arial;sans-serif"/>
                <w:b w:val="false"/>
                <w:sz w:val="16"/>
              </w:rPr>
              <w:t>(I.R.S. Employer</w:t>
            </w:r>
          </w:p>
          <w:p>
            <w:pPr>
              <w:pStyle w:val="TableContents"/>
              <w:spacing w:before="0" w:after="40"/>
              <w:ind w:left="0" w:right="0" w:hanging="0"/>
              <w:jc w:val="center"/>
              <w:rPr>
                <w:rFonts w:ascii="Arial;sans-serif" w:hAnsi="Arial;sans-serif"/>
                <w:b w:val="false"/>
                <w:sz w:val="16"/>
              </w:rPr>
            </w:pPr>
            <w:r>
              <w:rPr>
                <w:rFonts w:ascii="Arial;sans-serif" w:hAnsi="Arial;sans-serif"/>
                <w:b w:val="false"/>
                <w:sz w:val="16"/>
              </w:rPr>
              <w:t>Identification Number)</w:t>
            </w:r>
          </w:p>
        </w:tc>
      </w:tr>
      <w:tr>
        <w:trPr/>
        <w:tc>
          <w:tcPr>
            <w:tcW w:w="3466" w:type="dxa"/>
            <w:tcBorders/>
            <w:shd w:fill="auto" w:val="clear"/>
            <w:tcMar>
              <w:top w:w="0" w:type="dxa"/>
              <w:left w:w="0" w:type="dxa"/>
              <w:bottom w:w="0" w:type="dxa"/>
              <w:right w:w="0" w:type="dxa"/>
            </w:tcMar>
            <w:vAlign w:val="center"/>
          </w:tcPr>
          <w:p>
            <w:pPr>
              <w:pStyle w:val="TableContents"/>
              <w:spacing w:before="40" w:after="40"/>
              <w:ind w:left="0" w:right="0" w:hanging="0"/>
              <w:jc w:val="center"/>
              <w:rPr>
                <w:rFonts w:ascii="Arial;sans-serif" w:hAnsi="Arial;sans-serif"/>
                <w:b/>
                <w:sz w:val="20"/>
              </w:rPr>
            </w:pPr>
            <w:r>
              <w:rPr>
                <w:rFonts w:ascii="Arial;sans-serif" w:hAnsi="Arial;sans-serif"/>
                <w:b/>
                <w:sz w:val="20"/>
              </w:rPr>
              <w:t>One Allison Way</w:t>
            </w:r>
          </w:p>
        </w:tc>
        <w:tc>
          <w:tcPr>
            <w:tcW w:w="1741" w:type="dxa"/>
            <w:tcBorders/>
            <w:shd w:fill="auto" w:val="clear"/>
            <w:tcMar>
              <w:top w:w="0" w:type="dxa"/>
              <w:left w:w="0" w:type="dxa"/>
              <w:bottom w:w="0" w:type="dxa"/>
              <w:right w:w="0" w:type="dxa"/>
            </w:tcMar>
            <w:vAlign w:val="center"/>
          </w:tcPr>
          <w:p>
            <w:pPr>
              <w:pStyle w:val="TableContents"/>
              <w:spacing w:before="40" w:after="4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spacing w:before="40" w:after="40"/>
              <w:ind w:left="0" w:right="0" w:hanging="0"/>
              <w:jc w:val="center"/>
              <w:rPr>
                <w:rFonts w:ascii="Arial;sans-serif" w:hAnsi="Arial;sans-serif"/>
                <w:b/>
                <w:sz w:val="20"/>
              </w:rPr>
            </w:pPr>
            <w:r>
              <w:rPr>
                <w:rFonts w:ascii="Arial;sans-serif" w:hAnsi="Arial;sans-serif"/>
                <w:b/>
                <w:sz w:val="20"/>
              </w:rPr>
              <w:t>Indianapolis, IN</w:t>
            </w:r>
          </w:p>
        </w:tc>
        <w:tc>
          <w:tcPr>
            <w:tcW w:w="1741" w:type="dxa"/>
            <w:tcBorders/>
            <w:shd w:fill="auto" w:val="clear"/>
            <w:tcMar>
              <w:top w:w="0" w:type="dxa"/>
              <w:left w:w="0" w:type="dxa"/>
              <w:bottom w:w="0" w:type="dxa"/>
              <w:right w:w="0" w:type="dxa"/>
            </w:tcMar>
            <w:vAlign w:val="center"/>
          </w:tcPr>
          <w:p>
            <w:pPr>
              <w:pStyle w:val="TableContents"/>
              <w:spacing w:before="40" w:after="40"/>
              <w:ind w:left="0" w:right="0" w:hanging="0"/>
              <w:jc w:val="center"/>
              <w:rPr>
                <w:rFonts w:ascii="Arial;sans-serif" w:hAnsi="Arial;sans-serif"/>
                <w:b/>
                <w:sz w:val="20"/>
              </w:rPr>
            </w:pPr>
            <w:r>
              <w:rPr>
                <w:rFonts w:ascii="Arial;sans-serif" w:hAnsi="Arial;sans-serif"/>
                <w:b/>
                <w:sz w:val="20"/>
              </w:rPr>
              <w:t>46222</w:t>
            </w:r>
          </w:p>
        </w:tc>
      </w:tr>
      <w:tr>
        <w:trPr/>
        <w:tc>
          <w:tcPr>
            <w:tcW w:w="3466" w:type="dxa"/>
            <w:tcBorders/>
            <w:shd w:fill="auto" w:val="clear"/>
            <w:tcMar>
              <w:top w:w="0" w:type="dxa"/>
              <w:left w:w="0" w:type="dxa"/>
              <w:bottom w:w="0" w:type="dxa"/>
              <w:right w:w="0" w:type="dxa"/>
            </w:tcMar>
            <w:vAlign w:val="center"/>
          </w:tcPr>
          <w:p>
            <w:pPr>
              <w:pStyle w:val="TableContents"/>
              <w:spacing w:before="40" w:after="40"/>
              <w:ind w:left="0" w:right="0" w:hanging="0"/>
              <w:jc w:val="center"/>
              <w:rPr>
                <w:rFonts w:ascii="Arial;sans-serif" w:hAnsi="Arial;sans-serif"/>
                <w:b w:val="false"/>
                <w:sz w:val="16"/>
              </w:rPr>
            </w:pPr>
            <w:r>
              <w:rPr>
                <w:rFonts w:ascii="Arial;sans-serif" w:hAnsi="Arial;sans-serif"/>
                <w:b w:val="false"/>
                <w:sz w:val="16"/>
              </w:rPr>
              <w:t>(Address of Principal Executive Offices)</w:t>
            </w:r>
          </w:p>
        </w:tc>
        <w:tc>
          <w:tcPr>
            <w:tcW w:w="1741" w:type="dxa"/>
            <w:tcBorders/>
            <w:shd w:fill="auto" w:val="clear"/>
            <w:tcMar>
              <w:top w:w="0" w:type="dxa"/>
              <w:left w:w="0" w:type="dxa"/>
              <w:bottom w:w="0" w:type="dxa"/>
              <w:right w:w="0" w:type="dxa"/>
            </w:tcMar>
            <w:vAlign w:val="center"/>
          </w:tcPr>
          <w:p>
            <w:pPr>
              <w:pStyle w:val="TableContents"/>
              <w:spacing w:before="40" w:after="40"/>
              <w:ind w:left="0" w:right="0" w:hanging="0"/>
              <w:jc w:val="center"/>
              <w:rPr>
                <w:rFonts w:ascii="Arial;sans-serif" w:hAnsi="Arial;sans-serif"/>
                <w:b w:val="false"/>
                <w:sz w:val="16"/>
              </w:rPr>
            </w:pPr>
            <w:r>
              <w:rPr>
                <w:rFonts w:ascii="Arial;sans-serif" w:hAnsi="Arial;sans-serif"/>
                <w:b w:val="false"/>
                <w:sz w:val="16"/>
              </w:rPr>
              <w:t>(Zip Code)</w:t>
            </w:r>
          </w:p>
        </w:tc>
      </w:tr>
    </w:tbl>
    <w:p>
      <w:pPr>
        <w:pStyle w:val="TextBody"/>
        <w:spacing w:before="0" w:after="0"/>
        <w:jc w:val="center"/>
        <w:rPr/>
      </w:pPr>
      <w:r>
        <w:rPr/>
        <w:t> </w:t>
      </w:r>
    </w:p>
    <w:p>
      <w:pPr>
        <w:pStyle w:val="TextBody"/>
        <w:spacing w:before="0" w:after="0"/>
        <w:jc w:val="center"/>
        <w:rPr>
          <w:rFonts w:ascii="Arial;sans-serif" w:hAnsi="Arial;sans-serif"/>
          <w:b/>
          <w:sz w:val="20"/>
        </w:rPr>
      </w:pPr>
      <w:r>
        <w:rPr>
          <w:rFonts w:ascii="Arial;sans-serif" w:hAnsi="Arial;sans-serif"/>
          <w:b/>
          <w:sz w:val="20"/>
        </w:rPr>
        <w:t>(317) 242-5000</w:t>
      </w:r>
    </w:p>
    <w:p>
      <w:pPr>
        <w:pStyle w:val="TextBody"/>
        <w:spacing w:before="40" w:after="0"/>
        <w:jc w:val="center"/>
        <w:rPr>
          <w:rFonts w:ascii="Arial;sans-serif" w:hAnsi="Arial;sans-serif"/>
          <w:b w:val="false"/>
          <w:sz w:val="16"/>
        </w:rPr>
      </w:pPr>
      <w:r>
        <w:rPr>
          <w:rFonts w:ascii="Arial;sans-serif" w:hAnsi="Arial;sans-serif"/>
          <w:b w:val="false"/>
          <w:sz w:val="16"/>
        </w:rPr>
        <w:t>(Registrant’s Telephone Number, Including Area Code)</w:t>
      </w:r>
    </w:p>
    <w:p>
      <w:pPr>
        <w:pStyle w:val="TextBody"/>
        <w:spacing w:before="120" w:after="0"/>
        <w:jc w:val="center"/>
        <w:rPr>
          <w:rFonts w:ascii="Arial;sans-serif" w:hAnsi="Arial;sans-serif"/>
          <w:b w:val="false"/>
          <w:sz w:val="20"/>
        </w:rPr>
      </w:pPr>
      <w:r>
        <w:rPr>
          <w:rFonts w:ascii="Arial;sans-serif" w:hAnsi="Arial;sans-serif"/>
          <w:b w:val="false"/>
          <w:sz w:val="20"/>
        </w:rPr>
        <w:t>Securities registered pursuant to Section 12(b) of the Act:</w:t>
      </w:r>
    </w:p>
    <w:tbl>
      <w:tblPr>
        <w:tblW w:w="8140" w:type="dxa"/>
        <w:jc w:val="left"/>
        <w:tblInd w:w="0" w:type="dxa"/>
        <w:tblCellMar>
          <w:top w:w="28" w:type="dxa"/>
          <w:left w:w="28" w:type="dxa"/>
          <w:bottom w:w="28" w:type="dxa"/>
          <w:right w:w="28" w:type="dxa"/>
        </w:tblCellMar>
      </w:tblPr>
      <w:tblGrid>
        <w:gridCol w:w="2611"/>
        <w:gridCol w:w="146"/>
        <w:gridCol w:w="1576"/>
        <w:gridCol w:w="146"/>
        <w:gridCol w:w="3661"/>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61" w:type="dxa"/>
            <w:tcBorders/>
            <w:shd w:fill="auto" w:val="clear"/>
            <w:vAlign w:val="center"/>
          </w:tcPr>
          <w:p>
            <w:pPr>
              <w:pStyle w:val="TableContents"/>
              <w:spacing w:before="0" w:after="283"/>
              <w:rPr>
                <w:sz w:val="4"/>
                <w:szCs w:val="4"/>
              </w:rPr>
            </w:pPr>
            <w:r>
              <w:rPr>
                <w:sz w:val="4"/>
                <w:szCs w:val="4"/>
              </w:rPr>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7"/>
              </w:rPr>
            </w:pPr>
            <w:r>
              <w:rPr>
                <w:rFonts w:ascii="Arial;sans-serif" w:hAnsi="Arial;sans-serif"/>
                <w:b/>
                <w:sz w:val="17"/>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7"/>
              </w:rPr>
            </w:pPr>
            <w:r>
              <w:rPr>
                <w:rFonts w:ascii="Arial;sans-serif" w:hAnsi="Arial;sans-serif"/>
                <w:b/>
                <w:sz w:val="17"/>
              </w:rPr>
              <w:t>Trading 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7"/>
              </w:rPr>
            </w:pPr>
            <w:r>
              <w:rPr>
                <w:rFonts w:ascii="Arial;sans-serif" w:hAnsi="Arial;sans-serif"/>
                <w:b/>
                <w:sz w:val="17"/>
              </w:rPr>
              <w:t>Name of each exchange on which registered</w:t>
            </w:r>
          </w:p>
        </w:tc>
      </w:tr>
      <w:tr>
        <w:trPr/>
        <w:tc>
          <w:tcPr>
            <w:tcW w:w="2611" w:type="dxa"/>
            <w:tcBorders/>
            <w:shd w:fill="auto" w:val="clear"/>
            <w:vAlign w:val="center"/>
          </w:tcPr>
          <w:p>
            <w:pPr>
              <w:pStyle w:val="TableContents"/>
              <w:spacing w:before="40" w:after="0"/>
              <w:ind w:left="0" w:right="0" w:hanging="0"/>
              <w:jc w:val="center"/>
              <w:rPr>
                <w:rFonts w:ascii="Arial;sans-serif" w:hAnsi="Arial;sans-serif"/>
                <w:b/>
                <w:sz w:val="17"/>
              </w:rPr>
            </w:pPr>
            <w:r>
              <w:rPr>
                <w:rFonts w:ascii="Arial;sans-serif" w:hAnsi="Arial;sans-serif"/>
                <w:b/>
                <w:sz w:val="17"/>
              </w:rPr>
              <w:t>Common Stock, $0.01 par value</w:t>
            </w:r>
          </w:p>
        </w:tc>
        <w:tc>
          <w:tcPr>
            <w:tcW w:w="146" w:type="dxa"/>
            <w:tcBorders/>
            <w:shd w:fill="auto" w:val="clear"/>
            <w:vAlign w:val="center"/>
          </w:tcPr>
          <w:p>
            <w:pPr>
              <w:pStyle w:val="TableContents"/>
              <w:spacing w:before="40" w:after="0"/>
              <w:ind w:left="0" w:right="0" w:hanging="0"/>
              <w:jc w:val="center"/>
              <w:rPr/>
            </w:pPr>
            <w:r>
              <w:rPr/>
              <w:t> </w:t>
            </w:r>
          </w:p>
        </w:tc>
        <w:tc>
          <w:tcPr>
            <w:tcW w:w="1576" w:type="dxa"/>
            <w:tcBorders/>
            <w:shd w:fill="auto" w:val="clear"/>
            <w:vAlign w:val="center"/>
          </w:tcPr>
          <w:p>
            <w:pPr>
              <w:pStyle w:val="TableContents"/>
              <w:spacing w:before="40" w:after="0"/>
              <w:ind w:left="0" w:right="0" w:hanging="0"/>
              <w:jc w:val="center"/>
              <w:rPr>
                <w:rFonts w:ascii="Arial;sans-serif" w:hAnsi="Arial;sans-serif"/>
                <w:b/>
                <w:sz w:val="17"/>
              </w:rPr>
            </w:pPr>
            <w:r>
              <w:rPr>
                <w:rFonts w:ascii="Arial;sans-serif" w:hAnsi="Arial;sans-serif"/>
                <w:b/>
                <w:sz w:val="17"/>
              </w:rPr>
              <w:t>ALSN</w:t>
            </w:r>
          </w:p>
        </w:tc>
        <w:tc>
          <w:tcPr>
            <w:tcW w:w="146" w:type="dxa"/>
            <w:tcBorders/>
            <w:shd w:fill="auto" w:val="clear"/>
            <w:vAlign w:val="center"/>
          </w:tcPr>
          <w:p>
            <w:pPr>
              <w:pStyle w:val="TableContents"/>
              <w:spacing w:before="40" w:after="0"/>
              <w:ind w:left="0" w:right="0" w:hanging="0"/>
              <w:jc w:val="center"/>
              <w:rPr/>
            </w:pPr>
            <w:r>
              <w:rPr/>
              <w:t> </w:t>
            </w:r>
          </w:p>
        </w:tc>
        <w:tc>
          <w:tcPr>
            <w:tcW w:w="3661" w:type="dxa"/>
            <w:tcBorders/>
            <w:shd w:fill="auto" w:val="clear"/>
            <w:vAlign w:val="center"/>
          </w:tcPr>
          <w:p>
            <w:pPr>
              <w:pStyle w:val="TableContents"/>
              <w:spacing w:before="40" w:after="0"/>
              <w:ind w:left="0" w:right="0" w:hanging="0"/>
              <w:jc w:val="center"/>
              <w:rPr>
                <w:rFonts w:ascii="Arial;sans-serif" w:hAnsi="Arial;sans-serif"/>
                <w:b/>
                <w:sz w:val="17"/>
              </w:rPr>
            </w:pPr>
            <w:r>
              <w:rPr>
                <w:rFonts w:ascii="Arial;sans-serif" w:hAnsi="Arial;sans-serif"/>
                <w:b/>
                <w:sz w:val="17"/>
              </w:rPr>
              <w:t>New York Stock Exchange</w:t>
            </w:r>
          </w:p>
        </w:tc>
      </w:tr>
    </w:tbl>
    <w:p>
      <w:pPr>
        <w:pStyle w:val="TextBody"/>
        <w:spacing w:before="0" w:after="0"/>
        <w:jc w:val="left"/>
        <w:rPr/>
      </w:pPr>
      <w:r>
        <w:rPr/>
        <w:t> </w:t>
      </w:r>
    </w:p>
    <w:p>
      <w:pPr>
        <w:pStyle w:val="TextBody"/>
        <w:spacing w:before="60" w:after="0"/>
        <w:jc w:val="left"/>
        <w:rPr>
          <w:rFonts w:ascii="Times New Roman" w:hAnsi="Times New Roman"/>
          <w:sz w:val="20"/>
        </w:rPr>
      </w:pPr>
      <w:r>
        <w:rPr>
          <w:rFonts w:ascii="Arial;sans-serif" w:hAnsi="Arial;sans-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Arial;sans-serif" w:hAnsi="Arial;sans-serif"/>
          <w:b w:val="false"/>
          <w:sz w:val="20"/>
        </w:rPr>
        <w:t>No</w:t>
      </w:r>
      <w:r>
        <w:rPr>
          <w:rFonts w:ascii="Times New Roman" w:hAnsi="Times New Roman"/>
          <w:sz w:val="20"/>
        </w:rPr>
        <w:t xml:space="preserve"> ☐</w:t>
      </w:r>
    </w:p>
    <w:p>
      <w:pPr>
        <w:pStyle w:val="TextBody"/>
        <w:spacing w:before="60" w:after="0"/>
        <w:jc w:val="left"/>
        <w:rPr>
          <w:rFonts w:ascii="Times New Roman" w:hAnsi="Times New Roman"/>
          <w:sz w:val="20"/>
        </w:rPr>
      </w:pPr>
      <w:r>
        <w:rPr>
          <w:rFonts w:ascii="Arial;sans-serif" w:hAnsi="Arial;sans-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Arial;sans-serif" w:hAnsi="Arial;sans-serif"/>
          <w:b w:val="false"/>
          <w:sz w:val="20"/>
        </w:rPr>
        <w:t>No</w:t>
      </w:r>
      <w:r>
        <w:rPr>
          <w:rFonts w:ascii="Times New Roman" w:hAnsi="Times New Roman"/>
          <w:sz w:val="20"/>
        </w:rPr>
        <w:t xml:space="preserve"> ☐</w:t>
      </w:r>
    </w:p>
    <w:p>
      <w:pPr>
        <w:pStyle w:val="TextBody"/>
        <w:spacing w:before="60" w:after="0"/>
        <w:jc w:val="left"/>
        <w:rPr>
          <w:rFonts w:ascii="Arial;sans-serif" w:hAnsi="Arial;sans-serif"/>
          <w:b w:val="false"/>
          <w:sz w:val="20"/>
        </w:rPr>
      </w:pPr>
      <w:r>
        <w:rPr>
          <w:rFonts w:ascii="Arial;sans-serif" w:hAnsi="Arial;sans-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60" w:after="0"/>
        <w:jc w:val="left"/>
        <w:rPr/>
      </w:pPr>
      <w:r>
        <w:rPr/>
        <w:t> </w:t>
      </w:r>
    </w:p>
    <w:tbl>
      <w:tblPr>
        <w:tblW w:w="5295" w:type="dxa"/>
        <w:jc w:val="left"/>
        <w:tblInd w:w="0" w:type="dxa"/>
        <w:tblCellMar>
          <w:top w:w="28" w:type="dxa"/>
          <w:left w:w="28" w:type="dxa"/>
          <w:bottom w:w="28" w:type="dxa"/>
          <w:right w:w="28" w:type="dxa"/>
        </w:tblCellMar>
      </w:tblPr>
      <w:tblGrid>
        <w:gridCol w:w="2041"/>
        <w:gridCol w:w="316"/>
        <w:gridCol w:w="146"/>
        <w:gridCol w:w="2431"/>
        <w:gridCol w:w="361"/>
      </w:tblGrid>
      <w:tr>
        <w:trPr/>
        <w:tc>
          <w:tcPr>
            <w:tcW w:w="204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Large accelerated filer</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4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Accelerated filer</w:t>
            </w:r>
          </w:p>
        </w:tc>
        <w:tc>
          <w:tcPr>
            <w:tcW w:w="361" w:type="dxa"/>
            <w:tcBorders/>
            <w:shd w:fill="auto" w:val="clear"/>
            <w:vAlign w:val="center"/>
          </w:tcPr>
          <w:p>
            <w:pPr>
              <w:pStyle w:val="TableContents"/>
              <w:spacing w:before="0" w:after="0"/>
              <w:ind w:left="0" w:right="0" w:hanging="0"/>
              <w:jc w:val="left"/>
              <w:rPr/>
            </w:pPr>
            <w:r>
              <w:rPr/>
              <w:t>☐</w:t>
            </w:r>
          </w:p>
        </w:tc>
      </w:tr>
      <w:tr>
        <w:trPr/>
        <w:tc>
          <w:tcPr>
            <w:tcW w:w="2041" w:type="dxa"/>
            <w:tcBorders/>
            <w:shd w:fill="auto" w:val="clear"/>
            <w:vAlign w:val="center"/>
          </w:tcPr>
          <w:p>
            <w:pPr>
              <w:pStyle w:val="TableContents"/>
              <w:spacing w:before="0" w:after="0"/>
              <w:ind w:left="0" w:right="0" w:hanging="0"/>
              <w:jc w:val="both"/>
              <w:rPr>
                <w:rFonts w:ascii="Arial;sans-serif" w:hAnsi="Arial;sans-serif"/>
                <w:b w:val="false"/>
                <w:sz w:val="20"/>
              </w:rPr>
            </w:pPr>
            <w:r>
              <w:rPr>
                <w:rFonts w:ascii="Arial;sans-serif" w:hAnsi="Arial;sans-serif"/>
                <w:b w:val="false"/>
                <w:sz w:val="20"/>
              </w:rPr>
              <w:t>Non-accelerated filer</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4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Smaller reporting company</w:t>
            </w:r>
          </w:p>
        </w:tc>
        <w:tc>
          <w:tcPr>
            <w:tcW w:w="361" w:type="dxa"/>
            <w:tcBorders/>
            <w:shd w:fill="auto" w:val="clear"/>
            <w:vAlign w:val="center"/>
          </w:tcPr>
          <w:p>
            <w:pPr>
              <w:pStyle w:val="TableContents"/>
              <w:spacing w:before="0" w:after="0"/>
              <w:ind w:left="0" w:right="0" w:hanging="0"/>
              <w:jc w:val="left"/>
              <w:rPr/>
            </w:pPr>
            <w:r>
              <w:rPr/>
              <w:t>☐</w:t>
            </w:r>
          </w:p>
        </w:tc>
      </w:tr>
      <w:tr>
        <w:trPr/>
        <w:tc>
          <w:tcPr>
            <w:tcW w:w="204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Emerging growth company</w:t>
            </w:r>
          </w:p>
        </w:tc>
        <w:tc>
          <w:tcPr>
            <w:tcW w:w="361" w:type="dxa"/>
            <w:tcBorders/>
            <w:shd w:fill="auto" w:val="clear"/>
            <w:vAlign w:val="center"/>
          </w:tcPr>
          <w:p>
            <w:pPr>
              <w:pStyle w:val="TableContents"/>
              <w:spacing w:before="0" w:after="0"/>
              <w:ind w:left="0" w:right="0" w:hanging="0"/>
              <w:jc w:val="left"/>
              <w:rPr/>
            </w:pPr>
            <w:r>
              <w:rPr/>
              <w:t>☐</w:t>
            </w:r>
          </w:p>
        </w:tc>
      </w:tr>
    </w:tbl>
    <w:p>
      <w:pPr>
        <w:pStyle w:val="TextBody"/>
        <w:spacing w:before="60" w:after="0"/>
        <w:jc w:val="left"/>
        <w:rPr>
          <w:rFonts w:ascii="Times New Roman" w:hAnsi="Times New Roman"/>
          <w:sz w:val="20"/>
        </w:rPr>
      </w:pPr>
      <w:r>
        <w:rPr>
          <w:rFonts w:ascii="Arial;sans-serif" w:hAnsi="Arial;sans-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60" w:after="0"/>
        <w:jc w:val="left"/>
        <w:rPr>
          <w:rFonts w:ascii="Times New Roman" w:hAnsi="Times New Roman"/>
          <w:sz w:val="20"/>
        </w:rPr>
      </w:pPr>
      <w:r>
        <w:rPr>
          <w:rFonts w:ascii="Arial;sans-serif" w:hAnsi="Arial;sans-serif"/>
          <w:b w:val="false"/>
          <w:sz w:val="20"/>
        </w:rPr>
        <w:t>Indicate by check mark whether the registrant is a shell company (as defined in Rule 12b-2 of the Exchange Act). Yes</w:t>
      </w:r>
      <w:r>
        <w:rPr>
          <w:rFonts w:ascii="Times New Roman" w:hAnsi="Times New Roman"/>
          <w:sz w:val="20"/>
        </w:rPr>
        <w:t xml:space="preserve"> ☐ </w:t>
      </w:r>
      <w:r>
        <w:rPr>
          <w:rFonts w:ascii="Arial;sans-serif" w:hAnsi="Arial;sans-serif"/>
          <w:b w:val="false"/>
          <w:sz w:val="20"/>
        </w:rPr>
        <w:t>No</w:t>
      </w:r>
      <w:r>
        <w:rPr>
          <w:rFonts w:ascii="Times New Roman" w:hAnsi="Times New Roman"/>
          <w:sz w:val="20"/>
        </w:rPr>
        <w:t xml:space="preserve"> ☒</w:t>
      </w:r>
    </w:p>
    <w:p>
      <w:pPr>
        <w:pStyle w:val="TextBody"/>
        <w:spacing w:before="60" w:after="0"/>
        <w:jc w:val="left"/>
        <w:rPr>
          <w:rFonts w:ascii="Times New Roman" w:hAnsi="Times New Roman"/>
          <w:sz w:val="20"/>
        </w:rPr>
      </w:pPr>
      <w:r>
        <w:rPr>
          <w:rFonts w:ascii="Arial;sans-serif" w:hAnsi="Arial;sans-serif"/>
          <w:b w:val="false"/>
          <w:sz w:val="20"/>
        </w:rPr>
        <w:t>As of April 13, 2023, there were 91,055,228</w:t>
      </w:r>
      <w:r>
        <w:rPr>
          <w:rFonts w:ascii="Times New Roman" w:hAnsi="Times New Roman"/>
          <w:sz w:val="20"/>
        </w:rPr>
        <w:t xml:space="preserve"> </w:t>
      </w:r>
      <w:r>
        <w:rPr>
          <w:rFonts w:ascii="Arial;sans-serif" w:hAnsi="Arial;sans-serif"/>
          <w:b w:val="false"/>
          <w:sz w:val="20"/>
        </w:rPr>
        <w:t>shares of Common Stock outstanding.</w:t>
      </w:r>
    </w:p>
    <w:p>
      <w:pPr>
        <w:pStyle w:val="TextBody"/>
        <w:spacing w:before="0" w:after="0"/>
        <w:jc w:val="left"/>
        <w:rPr/>
      </w:pPr>
      <w:r>
        <w:rPr/>
        <w:t> </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center"/>
        <w:rPr>
          <w:rFonts w:ascii="Arial;sans-serif" w:hAnsi="Arial;sans-serif"/>
          <w:b/>
          <w:sz w:val="20"/>
        </w:rPr>
      </w:pPr>
      <w:bookmarkStart w:id="2" w:name="table_of_contents"/>
      <w:bookmarkEnd w:id="2"/>
      <w:r>
        <w:rPr>
          <w:rFonts w:ascii="Arial;sans-serif" w:hAnsi="Arial;sans-serif"/>
          <w:b/>
          <w:sz w:val="20"/>
        </w:rPr>
        <w:t>INDEX</w:t>
      </w:r>
    </w:p>
    <w:p>
      <w:pPr>
        <w:pStyle w:val="TextBody"/>
        <w:spacing w:before="0" w:after="140"/>
        <w:jc w:val="left"/>
        <w:rPr/>
      </w:pPr>
      <w:r>
        <w:rPr/>
        <w:t> </w:t>
      </w:r>
    </w:p>
    <w:tbl>
      <w:tblPr>
        <w:tblW w:w="9318" w:type="dxa"/>
        <w:jc w:val="left"/>
        <w:tblInd w:w="0" w:type="dxa"/>
        <w:tblCellMar>
          <w:top w:w="28" w:type="dxa"/>
          <w:left w:w="28" w:type="dxa"/>
          <w:bottom w:w="28" w:type="dxa"/>
          <w:right w:w="28" w:type="dxa"/>
        </w:tblCellMar>
      </w:tblPr>
      <w:tblGrid>
        <w:gridCol w:w="871"/>
        <w:gridCol w:w="7846"/>
        <w:gridCol w:w="601"/>
      </w:tblGrid>
      <w:tr>
        <w:trPr/>
        <w:tc>
          <w:tcPr>
            <w:tcW w:w="871" w:type="dxa"/>
            <w:tcBorders/>
            <w:shd w:fill="auto" w:val="clear"/>
            <w:vAlign w:val="center"/>
          </w:tcPr>
          <w:p>
            <w:pPr>
              <w:pStyle w:val="TableContents"/>
              <w:spacing w:before="0" w:after="283"/>
              <w:rPr>
                <w:sz w:val="4"/>
                <w:szCs w:val="4"/>
              </w:rPr>
            </w:pPr>
            <w:r>
              <w:rPr>
                <w:sz w:val="4"/>
                <w:szCs w:val="4"/>
              </w:rPr>
            </w:r>
          </w:p>
        </w:tc>
        <w:tc>
          <w:tcPr>
            <w:tcW w:w="78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Page</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hyperlink w:anchor="part_i_financial_information">
              <w:r>
                <w:rPr>
                  <w:rStyle w:val="InternetLink"/>
                  <w:rFonts w:ascii="Arial;sans-serif" w:hAnsi="Arial;sans-serif"/>
                  <w:b/>
                  <w:sz w:val="20"/>
                  <w:u w:val="single"/>
                </w:rPr>
                <w:t>PART I. FINANCIAL INFORMATION</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Arial;sans-serif" w:hAnsi="Arial;sans-serif"/>
                  <w:b w:val="false"/>
                  <w:sz w:val="20"/>
                  <w:u w:val="single"/>
                </w:rPr>
                <w:t>Financial Statements</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3</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balance_sheets">
              <w:r>
                <w:rPr>
                  <w:rStyle w:val="InternetLink"/>
                  <w:rFonts w:ascii="Arial;sans-serif" w:hAnsi="Arial;sans-serif"/>
                  <w:b w:val="false"/>
                  <w:sz w:val="20"/>
                  <w:u w:val="single"/>
                </w:rPr>
                <w:t>Condensed Consolidated Balance Sheets</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3</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compre">
              <w:r>
                <w:rPr>
                  <w:rStyle w:val="InternetLink"/>
                  <w:rFonts w:ascii="Arial;sans-serif" w:hAnsi="Arial;sans-serif"/>
                  <w:b w:val="false"/>
                  <w:sz w:val="20"/>
                  <w:u w:val="single"/>
                </w:rPr>
                <w:t>Condensed Consolidated Statements of Comprehensive Income</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4</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cash_f">
              <w:r>
                <w:rPr>
                  <w:rStyle w:val="InternetLink"/>
                  <w:rFonts w:ascii="Arial;sans-serif" w:hAnsi="Arial;sans-serif"/>
                  <w:b w:val="false"/>
                  <w:sz w:val="20"/>
                  <w:u w:val="single"/>
                </w:rPr>
                <w:t>Condensed Consolidated Statements of Cash Flows</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5</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ock_holders_equ">
              <w:r>
                <w:rPr>
                  <w:rStyle w:val="InternetLink"/>
                  <w:rFonts w:ascii="Arial;sans-serif" w:hAnsi="Arial;sans-serif"/>
                  <w:b w:val="false"/>
                  <w:sz w:val="20"/>
                  <w:u w:val="single"/>
                </w:rPr>
                <w:t>Condensed Consolidated Statements of Stockholders’ Equity</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6</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condensed_consolidated_financia">
              <w:r>
                <w:rPr>
                  <w:rStyle w:val="InternetLink"/>
                  <w:rFonts w:ascii="Arial;sans-serif" w:hAnsi="Arial;sans-serif"/>
                  <w:b w:val="false"/>
                  <w:sz w:val="20"/>
                  <w:u w:val="single"/>
                </w:rPr>
                <w:t>Notes to Condensed Consolidated Financial Statements</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7</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managements_discussion_analysis_financia">
              <w:r>
                <w:rPr>
                  <w:rStyle w:val="InternetLink"/>
                  <w:rFonts w:ascii="Arial;sans-serif" w:hAnsi="Arial;sans-serif"/>
                  <w:b w:val="false"/>
                  <w:sz w:val="20"/>
                  <w:u w:val="single"/>
                </w:rPr>
                <w:t>Management’s Discussion and Analysis of Financial Condition and Results of Operations</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21</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3.</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quantitativeandqualitativedisclosures">
              <w:r>
                <w:rPr>
                  <w:rStyle w:val="InternetLink"/>
                  <w:rFonts w:ascii="Arial;sans-serif" w:hAnsi="Arial;sans-serif"/>
                  <w:b w:val="false"/>
                  <w:sz w:val="20"/>
                  <w:u w:val="single"/>
                </w:rPr>
                <w:t>Quantitative and Qualitative Disclosures About Market Risk</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33</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4.</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trolsandprocedures">
              <w:r>
                <w:rPr>
                  <w:rStyle w:val="InternetLink"/>
                  <w:rFonts w:ascii="Arial;sans-serif" w:hAnsi="Arial;sans-serif"/>
                  <w:b w:val="false"/>
                  <w:sz w:val="20"/>
                  <w:u w:val="single"/>
                </w:rPr>
                <w:t>Controls and Procedures</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35</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hyperlink w:anchor="part_ii_or_information">
              <w:r>
                <w:rPr>
                  <w:rStyle w:val="InternetLink"/>
                  <w:rFonts w:ascii="Arial;sans-serif" w:hAnsi="Arial;sans-serif"/>
                  <w:b/>
                  <w:sz w:val="20"/>
                  <w:u w:val="single"/>
                </w:rPr>
                <w:t>PART II. OTHER INFORMATION</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Arial;sans-serif" w:hAnsi="Arial;sans-serif"/>
                  <w:b w:val="false"/>
                  <w:sz w:val="20"/>
                  <w:u w:val="single"/>
                </w:rPr>
                <w:t>Legal Proceedings</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36</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1A.</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Arial;sans-serif" w:hAnsi="Arial;sans-serif"/>
                  <w:b w:val="false"/>
                  <w:sz w:val="20"/>
                  <w:u w:val="single"/>
                </w:rPr>
                <w:t>Risk Factors</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36</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equity_securit">
              <w:r>
                <w:rPr>
                  <w:rStyle w:val="InternetLink"/>
                  <w:rFonts w:ascii="Arial;sans-serif" w:hAnsi="Arial;sans-serif"/>
                  <w:b w:val="false"/>
                  <w:sz w:val="20"/>
                  <w:u w:val="single"/>
                </w:rPr>
                <w:t>Unregistered Sales of Equity Securities and Use of Proceeds</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37</w:t>
            </w:r>
          </w:p>
        </w:tc>
      </w:tr>
      <w:tr>
        <w:trPr/>
        <w:tc>
          <w:tcPr>
            <w:tcW w:w="8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6.</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exhibits">
              <w:r>
                <w:rPr>
                  <w:rStyle w:val="InternetLink"/>
                  <w:rFonts w:ascii="Arial;sans-serif" w:hAnsi="Arial;sans-serif"/>
                  <w:b w:val="false"/>
                  <w:sz w:val="20"/>
                  <w:u w:val="single"/>
                </w:rPr>
                <w:t>Exhibits</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38</w:t>
            </w:r>
          </w:p>
        </w:tc>
      </w:tr>
      <w:tr>
        <w:trPr/>
        <w:tc>
          <w:tcPr>
            <w:tcW w:w="871" w:type="dxa"/>
            <w:tcBorders/>
            <w:shd w:fill="auto" w:val="cle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871" w:type="dxa"/>
            <w:tcBorders/>
            <w:shd w:fill="auto" w:val="cle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Arial;sans-serif" w:hAnsi="Arial;sans-serif"/>
                  <w:b w:val="false"/>
                  <w:sz w:val="20"/>
                  <w:u w:val="single"/>
                </w:rPr>
                <w:t>Signatures</w:t>
              </w:r>
            </w:hyperlink>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39</w:t>
            </w:r>
          </w:p>
        </w:tc>
      </w:tr>
    </w:tbl>
    <w:p>
      <w:pPr>
        <w:pStyle w:val="TextBody"/>
        <w:spacing w:before="40" w:after="0"/>
        <w:jc w:val="left"/>
        <w:rPr/>
      </w:pPr>
      <w:r>
        <w:rPr/>
        <w:t> </w:t>
      </w:r>
    </w:p>
    <w:p>
      <w:pPr>
        <w:pStyle w:val="TextBody"/>
        <w:spacing w:before="0" w:after="0"/>
        <w:jc w:val="center"/>
        <w:rPr/>
      </w:pPr>
      <w:r>
        <w:rPr/>
        <w:t> </w:t>
      </w:r>
    </w:p>
    <w:p>
      <w:pPr>
        <w:pStyle w:val="TextBody"/>
        <w:spacing w:before="0" w:after="0"/>
        <w:jc w:val="left"/>
        <w:rPr/>
      </w:pPr>
      <w:r>
        <w:rPr/>
        <w:t> </w:t>
      </w:r>
    </w:p>
    <w:p>
      <w:pPr>
        <w:pStyle w:val="TextBody"/>
        <w:spacing w:before="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2</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left"/>
        <w:rPr/>
      </w:pPr>
      <w:r>
        <w:rPr/>
        <w:t> </w:t>
      </w:r>
    </w:p>
    <w:tbl>
      <w:tblPr>
        <w:tblW w:w="3391" w:type="dxa"/>
        <w:jc w:val="left"/>
        <w:tblInd w:w="0" w:type="dxa"/>
        <w:tblCellMar>
          <w:top w:w="28" w:type="dxa"/>
          <w:left w:w="28" w:type="dxa"/>
          <w:bottom w:w="28" w:type="dxa"/>
          <w:right w:w="28" w:type="dxa"/>
        </w:tblCellMar>
      </w:tblPr>
      <w:tblGrid>
        <w:gridCol w:w="3391"/>
      </w:tblGrid>
      <w:tr>
        <w:trPr/>
        <w:tc>
          <w:tcPr>
            <w:tcW w:w="3391" w:type="dxa"/>
            <w:tcBorders/>
            <w:shd w:fill="auto" w:val="clear"/>
            <w:vAlign w:val="center"/>
          </w:tcPr>
          <w:p>
            <w:pPr>
              <w:pStyle w:val="TableContents"/>
              <w:spacing w:before="0" w:after="283"/>
              <w:rPr>
                <w:sz w:val="4"/>
                <w:szCs w:val="4"/>
              </w:rPr>
            </w:pPr>
            <w:r>
              <w:rPr>
                <w:sz w:val="4"/>
                <w:szCs w:val="4"/>
              </w:rPr>
            </w:r>
          </w:p>
        </w:tc>
      </w:tr>
      <w:tr>
        <w:trPr/>
        <w:tc>
          <w:tcPr>
            <w:tcW w:w="33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Arial;sans-serif" w:hAnsi="Arial;sans-serif"/>
                <w:b/>
                <w:sz w:val="20"/>
              </w:rPr>
            </w:pPr>
            <w:bookmarkStart w:id="3" w:name="part_i_financial_information"/>
            <w:bookmarkEnd w:id="3"/>
            <w:r>
              <w:rPr>
                <w:rFonts w:ascii="Arial;sans-serif" w:hAnsi="Arial;sans-serif"/>
                <w:b/>
                <w:sz w:val="20"/>
              </w:rPr>
              <w:t>PART I. FINANCIAL INFORMATION</w:t>
            </w:r>
          </w:p>
        </w:tc>
      </w:tr>
    </w:tbl>
    <w:p>
      <w:pPr>
        <w:pStyle w:val="TextBody"/>
        <w:spacing w:before="200" w:after="0"/>
        <w:jc w:val="left"/>
        <w:rPr>
          <w:rFonts w:ascii="Arial;sans-serif" w:hAnsi="Arial;sans-serif"/>
          <w:b/>
          <w:sz w:val="20"/>
        </w:rPr>
      </w:pPr>
      <w:bookmarkStart w:id="4" w:name="item_1_financial_statements"/>
      <w:bookmarkEnd w:id="4"/>
      <w:r>
        <w:rPr>
          <w:rFonts w:ascii="Arial;sans-serif" w:hAnsi="Arial;sans-serif"/>
          <w:b/>
          <w:sz w:val="20"/>
        </w:rPr>
        <w:t>ITEM 1. Financial Statements</w:t>
      </w:r>
    </w:p>
    <w:p>
      <w:pPr>
        <w:pStyle w:val="TextBody"/>
        <w:spacing w:before="240" w:after="0"/>
        <w:jc w:val="center"/>
        <w:rPr>
          <w:rFonts w:ascii="Arial;sans-serif" w:hAnsi="Arial;sans-serif"/>
          <w:b/>
          <w:sz w:val="20"/>
        </w:rPr>
      </w:pPr>
      <w:r>
        <w:rPr>
          <w:rFonts w:ascii="Arial;sans-serif" w:hAnsi="Arial;sans-serif"/>
          <w:b/>
          <w:sz w:val="20"/>
        </w:rPr>
        <w:t>Allison Transmission Holdings, Inc.</w:t>
      </w:r>
    </w:p>
    <w:p>
      <w:pPr>
        <w:pStyle w:val="TextBody"/>
        <w:spacing w:before="0" w:after="0"/>
        <w:jc w:val="center"/>
        <w:rPr>
          <w:rFonts w:ascii="Arial;sans-serif" w:hAnsi="Arial;sans-serif"/>
          <w:b/>
          <w:sz w:val="20"/>
        </w:rPr>
      </w:pPr>
      <w:bookmarkStart w:id="5" w:name="condensed_consolidated_balance_sheets"/>
      <w:bookmarkEnd w:id="5"/>
      <w:r>
        <w:rPr>
          <w:rFonts w:ascii="Arial;sans-serif" w:hAnsi="Arial;sans-serif"/>
          <w:b/>
          <w:sz w:val="20"/>
        </w:rPr>
        <w:t>Condensed Consolidated Balance Sheets</w:t>
      </w:r>
    </w:p>
    <w:p>
      <w:pPr>
        <w:pStyle w:val="TextBody"/>
        <w:spacing w:before="0" w:after="0"/>
        <w:jc w:val="center"/>
        <w:rPr>
          <w:rFonts w:ascii="Arial;sans-serif" w:hAnsi="Arial;sans-serif"/>
          <w:b/>
          <w:sz w:val="20"/>
        </w:rPr>
      </w:pPr>
      <w:r>
        <w:rPr>
          <w:rFonts w:ascii="Arial;sans-serif" w:hAnsi="Arial;sans-serif"/>
          <w:b/>
          <w:sz w:val="20"/>
        </w:rPr>
        <w:t>(unaudited, dollars in millions, except share and per share data)</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419"/>
        <w:gridCol w:w="146"/>
        <w:gridCol w:w="217"/>
        <w:gridCol w:w="604"/>
        <w:gridCol w:w="166"/>
        <w:gridCol w:w="146"/>
        <w:gridCol w:w="268"/>
        <w:gridCol w:w="746"/>
        <w:gridCol w:w="493"/>
      </w:tblGrid>
      <w:tr>
        <w:trPr/>
        <w:tc>
          <w:tcPr>
            <w:tcW w:w="74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r>
      <w:tr>
        <w:trPr/>
        <w:tc>
          <w:tcPr>
            <w:tcW w:w="74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82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4" w:type="dxa"/>
            <w:gridSpan w:val="2"/>
            <w:tcBorders/>
            <w:shd w:fill="auto" w:val="clear"/>
            <w:vAlign w:val="center"/>
          </w:tcPr>
          <w:p>
            <w:pPr>
              <w:pStyle w:val="TableContents"/>
              <w:spacing w:before="0" w:after="0"/>
              <w:ind w:left="0" w:right="0" w:hanging="0"/>
              <w:jc w:val="center"/>
              <w:rPr/>
            </w:pPr>
            <w:r>
              <w:rPr/>
              <w:t> </w:t>
            </w:r>
          </w:p>
        </w:tc>
        <w:tc>
          <w:tcPr>
            <w:tcW w:w="493" w:type="dxa"/>
            <w:tcBorders/>
            <w:shd w:fill="auto" w:val="clear"/>
            <w:vAlign w:val="center"/>
          </w:tcPr>
          <w:p>
            <w:pPr>
              <w:pStyle w:val="TableContents"/>
              <w:spacing w:before="0" w:after="0"/>
              <w:ind w:left="0" w:right="0" w:hanging="0"/>
              <w:jc w:val="center"/>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82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4" w:type="dxa"/>
            <w:gridSpan w:val="2"/>
            <w:tcBorders/>
            <w:shd w:fill="auto" w:val="clear"/>
            <w:vAlign w:val="center"/>
          </w:tcPr>
          <w:p>
            <w:pPr>
              <w:pStyle w:val="TableContents"/>
              <w:spacing w:before="0" w:after="0"/>
              <w:ind w:left="0" w:right="0" w:hanging="0"/>
              <w:jc w:val="right"/>
              <w:rPr/>
            </w:pPr>
            <w:r>
              <w:rPr/>
              <w:t> </w:t>
            </w:r>
          </w:p>
        </w:tc>
        <w:tc>
          <w:tcPr>
            <w:tcW w:w="493" w:type="dxa"/>
            <w:tcBorders/>
            <w:shd w:fill="auto" w:val="clear"/>
            <w:vAlign w:val="center"/>
          </w:tcPr>
          <w:p>
            <w:pPr>
              <w:pStyle w:val="TableContents"/>
              <w:spacing w:before="0" w:after="0"/>
              <w:ind w:left="0" w:right="0" w:firstLine="280"/>
              <w:jc w:val="right"/>
              <w:rPr/>
            </w:pPr>
            <w:r>
              <w:rPr/>
              <w:t> </w:t>
            </w:r>
          </w:p>
        </w:tc>
      </w:tr>
      <w:tr>
        <w:trPr/>
        <w:tc>
          <w:tcPr>
            <w:tcW w:w="741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232</w:t>
            </w:r>
          </w:p>
        </w:tc>
        <w:tc>
          <w:tcPr>
            <w:tcW w:w="493" w:type="dxa"/>
            <w:tcBorders/>
            <w:shd w:fill="auto" w:val="clear"/>
            <w:vAlign w:val="center"/>
          </w:tcPr>
          <w:p>
            <w:pPr>
              <w:pStyle w:val="TableContents"/>
              <w:spacing w:before="0" w:after="0"/>
              <w:ind w:left="0" w:right="0" w:firstLine="280"/>
              <w:jc w:val="left"/>
              <w:rPr/>
            </w:pPr>
            <w:r>
              <w:rPr/>
              <w:t> </w:t>
            </w:r>
          </w:p>
        </w:tc>
      </w:tr>
      <w:tr>
        <w:trPr/>
        <w:tc>
          <w:tcPr>
            <w:tcW w:w="741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Accounts receivable – net of allowance for doubtful accounts of $5</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363</w:t>
            </w:r>
          </w:p>
        </w:tc>
        <w:tc>
          <w:tcPr>
            <w:tcW w:w="493" w:type="dxa"/>
            <w:tcBorders/>
            <w:shd w:fill="auto" w:val="clear"/>
            <w:vAlign w:val="center"/>
          </w:tcPr>
          <w:p>
            <w:pPr>
              <w:pStyle w:val="TableContents"/>
              <w:spacing w:before="0" w:after="0"/>
              <w:ind w:left="0" w:right="0" w:firstLine="280"/>
              <w:jc w:val="left"/>
              <w:rPr/>
            </w:pPr>
            <w:r>
              <w:rPr/>
              <w:t> </w:t>
            </w:r>
          </w:p>
        </w:tc>
      </w:tr>
      <w:tr>
        <w:trPr/>
        <w:tc>
          <w:tcPr>
            <w:tcW w:w="741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224</w:t>
            </w:r>
          </w:p>
        </w:tc>
        <w:tc>
          <w:tcPr>
            <w:tcW w:w="493" w:type="dxa"/>
            <w:tcBorders/>
            <w:shd w:fill="auto" w:val="clear"/>
            <w:vAlign w:val="center"/>
          </w:tcPr>
          <w:p>
            <w:pPr>
              <w:pStyle w:val="TableContents"/>
              <w:spacing w:before="0" w:after="0"/>
              <w:ind w:left="0" w:right="0" w:firstLine="280"/>
              <w:jc w:val="left"/>
              <w:rPr/>
            </w:pPr>
            <w:r>
              <w:rPr/>
              <w:t> </w:t>
            </w:r>
          </w:p>
        </w:tc>
      </w:tr>
      <w:tr>
        <w:trPr/>
        <w:tc>
          <w:tcPr>
            <w:tcW w:w="741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866</w:t>
            </w:r>
          </w:p>
        </w:tc>
        <w:tc>
          <w:tcPr>
            <w:tcW w:w="493" w:type="dxa"/>
            <w:tcBorders/>
            <w:shd w:fill="auto" w:val="cle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Property, plant and equipment, net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763</w:t>
            </w:r>
          </w:p>
        </w:tc>
        <w:tc>
          <w:tcPr>
            <w:tcW w:w="493" w:type="dxa"/>
            <w:tcBorders/>
            <w:shd w:fill="auto" w:val="cle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878</w:t>
            </w:r>
          </w:p>
        </w:tc>
        <w:tc>
          <w:tcPr>
            <w:tcW w:w="493" w:type="dxa"/>
            <w:tcBorders/>
            <w:shd w:fill="auto" w:val="cle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2,075</w:t>
            </w:r>
          </w:p>
        </w:tc>
        <w:tc>
          <w:tcPr>
            <w:tcW w:w="493" w:type="dxa"/>
            <w:tcBorders/>
            <w:shd w:fill="auto" w:val="cle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493" w:type="dxa"/>
            <w:tcBorders/>
            <w:shd w:fill="auto" w:val="cle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4,833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4,671</w:t>
            </w:r>
          </w:p>
        </w:tc>
        <w:tc>
          <w:tcPr>
            <w:tcW w:w="4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82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4" w:type="dxa"/>
            <w:gridSpan w:val="2"/>
            <w:tcBorders/>
            <w:shd w:fill="auto" w:val="clear"/>
            <w:vAlign w:val="center"/>
          </w:tcPr>
          <w:p>
            <w:pPr>
              <w:pStyle w:val="TableContents"/>
              <w:spacing w:before="0" w:after="0"/>
              <w:ind w:left="0" w:right="0" w:hanging="0"/>
              <w:jc w:val="right"/>
              <w:rPr/>
            </w:pPr>
            <w:r>
              <w:rPr/>
              <w:t> </w:t>
            </w:r>
          </w:p>
        </w:tc>
        <w:tc>
          <w:tcPr>
            <w:tcW w:w="493" w:type="dxa"/>
            <w:tcBorders/>
            <w:shd w:fill="auto" w:val="clear"/>
            <w:vAlign w:val="center"/>
          </w:tcPr>
          <w:p>
            <w:pPr>
              <w:pStyle w:val="TableContents"/>
              <w:spacing w:before="0" w:after="0"/>
              <w:ind w:left="0" w:right="0" w:hanging="0"/>
              <w:jc w:val="righ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82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4" w:type="dxa"/>
            <w:gridSpan w:val="2"/>
            <w:tcBorders/>
            <w:shd w:fill="auto" w:val="clear"/>
            <w:vAlign w:val="center"/>
          </w:tcPr>
          <w:p>
            <w:pPr>
              <w:pStyle w:val="TableContents"/>
              <w:spacing w:before="0" w:after="0"/>
              <w:ind w:left="0" w:right="0" w:hanging="0"/>
              <w:jc w:val="right"/>
              <w:rPr/>
            </w:pPr>
            <w:r>
              <w:rPr/>
              <w:t> </w:t>
            </w:r>
          </w:p>
        </w:tc>
        <w:tc>
          <w:tcPr>
            <w:tcW w:w="493" w:type="dxa"/>
            <w:tcBorders/>
            <w:shd w:fill="auto" w:val="clear"/>
            <w:vAlign w:val="center"/>
          </w:tcPr>
          <w:p>
            <w:pPr>
              <w:pStyle w:val="TableContents"/>
              <w:spacing w:before="0" w:after="0"/>
              <w:ind w:left="0" w:right="0" w:firstLine="280"/>
              <w:jc w:val="right"/>
              <w:rPr/>
            </w:pPr>
            <w:r>
              <w:rPr/>
              <w:t> </w:t>
            </w:r>
          </w:p>
        </w:tc>
      </w:tr>
      <w:tr>
        <w:trPr/>
        <w:tc>
          <w:tcPr>
            <w:tcW w:w="741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195</w:t>
            </w:r>
          </w:p>
        </w:tc>
        <w:tc>
          <w:tcPr>
            <w:tcW w:w="493" w:type="dxa"/>
            <w:tcBorders/>
            <w:shd w:fill="auto" w:val="clear"/>
            <w:vAlign w:val="center"/>
          </w:tcPr>
          <w:p>
            <w:pPr>
              <w:pStyle w:val="TableContents"/>
              <w:spacing w:before="0" w:after="0"/>
              <w:ind w:left="0" w:right="0" w:firstLine="280"/>
              <w:jc w:val="left"/>
              <w:rPr/>
            </w:pPr>
            <w:r>
              <w:rPr/>
              <w:t> </w:t>
            </w:r>
          </w:p>
        </w:tc>
      </w:tr>
      <w:tr>
        <w:trPr/>
        <w:tc>
          <w:tcPr>
            <w:tcW w:w="741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Product warranty liability</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w:t>
            </w:r>
          </w:p>
        </w:tc>
        <w:tc>
          <w:tcPr>
            <w:tcW w:w="493" w:type="dxa"/>
            <w:tcBorders/>
            <w:shd w:fill="auto" w:val="clear"/>
            <w:vAlign w:val="center"/>
          </w:tcPr>
          <w:p>
            <w:pPr>
              <w:pStyle w:val="TableContents"/>
              <w:spacing w:before="0" w:after="0"/>
              <w:ind w:left="0" w:right="0" w:firstLine="280"/>
              <w:jc w:val="left"/>
              <w:rPr/>
            </w:pPr>
            <w:r>
              <w:rPr/>
              <w:t> </w:t>
            </w:r>
          </w:p>
        </w:tc>
      </w:tr>
      <w:tr>
        <w:trPr/>
        <w:tc>
          <w:tcPr>
            <w:tcW w:w="741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Current portion of long-term debt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493" w:type="dxa"/>
            <w:tcBorders/>
            <w:shd w:fill="auto" w:val="clear"/>
            <w:vAlign w:val="center"/>
          </w:tcPr>
          <w:p>
            <w:pPr>
              <w:pStyle w:val="TableContents"/>
              <w:spacing w:before="0" w:after="0"/>
              <w:ind w:left="0" w:right="0" w:firstLine="280"/>
              <w:jc w:val="left"/>
              <w:rPr/>
            </w:pPr>
            <w:r>
              <w:rPr/>
              <w:t> </w:t>
            </w:r>
          </w:p>
        </w:tc>
      </w:tr>
      <w:tr>
        <w:trPr/>
        <w:tc>
          <w:tcPr>
            <w:tcW w:w="741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w:t>
            </w:r>
          </w:p>
        </w:tc>
        <w:tc>
          <w:tcPr>
            <w:tcW w:w="493" w:type="dxa"/>
            <w:tcBorders/>
            <w:shd w:fill="auto" w:val="clear"/>
            <w:vAlign w:val="center"/>
          </w:tcPr>
          <w:p>
            <w:pPr>
              <w:pStyle w:val="TableContents"/>
              <w:spacing w:before="0" w:after="0"/>
              <w:ind w:left="0" w:right="0" w:firstLine="280"/>
              <w:jc w:val="left"/>
              <w:rPr/>
            </w:pPr>
            <w:r>
              <w:rPr/>
              <w:t> </w:t>
            </w:r>
          </w:p>
        </w:tc>
      </w:tr>
      <w:tr>
        <w:trPr/>
        <w:tc>
          <w:tcPr>
            <w:tcW w:w="741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208</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480</w:t>
            </w:r>
          </w:p>
        </w:tc>
        <w:tc>
          <w:tcPr>
            <w:tcW w:w="493" w:type="dxa"/>
            <w:tcBorders/>
            <w:shd w:fill="auto" w:val="cle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Product warranty liability</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493" w:type="dxa"/>
            <w:tcBorders/>
            <w:shd w:fill="auto" w:val="cle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93</w:t>
            </w:r>
          </w:p>
        </w:tc>
        <w:tc>
          <w:tcPr>
            <w:tcW w:w="493" w:type="dxa"/>
            <w:tcBorders/>
            <w:shd w:fill="auto" w:val="cle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Long-term debt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2,501</w:t>
            </w:r>
          </w:p>
        </w:tc>
        <w:tc>
          <w:tcPr>
            <w:tcW w:w="493" w:type="dxa"/>
            <w:tcBorders/>
            <w:shd w:fill="auto" w:val="cle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536</w:t>
            </w:r>
          </w:p>
        </w:tc>
        <w:tc>
          <w:tcPr>
            <w:tcW w:w="493" w:type="dxa"/>
            <w:tcBorders/>
            <w:shd w:fill="auto" w:val="cle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163</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3,845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3,797</w:t>
            </w:r>
          </w:p>
        </w:tc>
        <w:tc>
          <w:tcPr>
            <w:tcW w:w="493" w:type="dxa"/>
            <w:tcBorders/>
            <w:shd w:fill="auto" w:val="cle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Commitments and contingencies</w:t>
            </w:r>
            <w:r>
              <w:rPr>
                <w:rFonts w:ascii="Times New Roman" w:hAnsi="Times New Roman"/>
                <w:sz w:val="20"/>
              </w:rPr>
              <w:t> </w:t>
            </w:r>
            <w:r>
              <w:rPr>
                <w:rFonts w:ascii="Arial;sans-serif" w:hAnsi="Arial;sans-serif"/>
                <w:b w:val="false"/>
                <w:sz w:val="20"/>
              </w:rPr>
              <w:t>(see Note P)</w:t>
            </w:r>
          </w:p>
        </w:tc>
        <w:tc>
          <w:tcPr>
            <w:tcW w:w="146" w:type="dxa"/>
            <w:tcBorders/>
            <w:shd w:fill="auto" w:val="clear"/>
            <w:vAlign w:val="center"/>
          </w:tcPr>
          <w:p>
            <w:pPr>
              <w:pStyle w:val="TableContents"/>
              <w:spacing w:before="0" w:after="0"/>
              <w:ind w:left="0" w:right="0" w:hanging="0"/>
              <w:jc w:val="left"/>
              <w:rPr/>
            </w:pPr>
            <w:r>
              <w:rPr/>
              <w:t> </w:t>
            </w:r>
          </w:p>
        </w:tc>
        <w:tc>
          <w:tcPr>
            <w:tcW w:w="82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4" w:type="dxa"/>
            <w:gridSpan w:val="2"/>
            <w:tcBorders/>
            <w:shd w:fill="auto" w:val="clear"/>
            <w:vAlign w:val="center"/>
          </w:tcPr>
          <w:p>
            <w:pPr>
              <w:pStyle w:val="TableContents"/>
              <w:spacing w:before="0" w:after="0"/>
              <w:ind w:left="0" w:right="0" w:hanging="0"/>
              <w:jc w:val="right"/>
              <w:rPr/>
            </w:pPr>
            <w:r>
              <w:rPr/>
              <w:t> </w:t>
            </w:r>
          </w:p>
        </w:tc>
        <w:tc>
          <w:tcPr>
            <w:tcW w:w="493" w:type="dxa"/>
            <w:tcBorders/>
            <w:shd w:fill="auto" w:val="clear"/>
            <w:vAlign w:val="center"/>
          </w:tcPr>
          <w:p>
            <w:pPr>
              <w:pStyle w:val="TableContents"/>
              <w:spacing w:before="0" w:after="0"/>
              <w:ind w:left="0" w:right="0" w:hanging="0"/>
              <w:jc w:val="righ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82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4" w:type="dxa"/>
            <w:gridSpan w:val="2"/>
            <w:tcBorders/>
            <w:shd w:fill="auto" w:val="clear"/>
            <w:vAlign w:val="center"/>
          </w:tcPr>
          <w:p>
            <w:pPr>
              <w:pStyle w:val="TableContents"/>
              <w:spacing w:before="0" w:after="0"/>
              <w:ind w:left="0" w:right="0" w:hanging="0"/>
              <w:jc w:val="right"/>
              <w:rPr/>
            </w:pPr>
            <w:r>
              <w:rPr/>
              <w:t> </w:t>
            </w:r>
          </w:p>
        </w:tc>
        <w:tc>
          <w:tcPr>
            <w:tcW w:w="493" w:type="dxa"/>
            <w:tcBorders/>
            <w:shd w:fill="auto" w:val="clear"/>
            <w:vAlign w:val="center"/>
          </w:tcPr>
          <w:p>
            <w:pPr>
              <w:pStyle w:val="TableContents"/>
              <w:spacing w:before="0" w:after="0"/>
              <w:ind w:left="0" w:right="0" w:firstLine="280"/>
              <w:jc w:val="right"/>
              <w:rPr/>
            </w:pPr>
            <w:r>
              <w:rPr/>
              <w:t> </w:t>
            </w:r>
          </w:p>
        </w:tc>
      </w:tr>
      <w:tr>
        <w:trPr/>
        <w:tc>
          <w:tcPr>
            <w:tcW w:w="7419" w:type="dxa"/>
            <w:tcBorders/>
            <w:shd w:fill="auto" w:val="clear"/>
            <w:vAlign w:val="center"/>
          </w:tcPr>
          <w:p>
            <w:pPr>
              <w:pStyle w:val="TableContents"/>
              <w:spacing w:before="0" w:after="0"/>
              <w:ind w:left="280" w:right="0" w:hanging="0"/>
              <w:jc w:val="left"/>
              <w:rPr>
                <w:rFonts w:ascii="Times New Roman" w:hAnsi="Times New Roman"/>
                <w:sz w:val="20"/>
              </w:rPr>
            </w:pPr>
            <w:r>
              <w:rPr>
                <w:rFonts w:ascii="Arial;sans-serif" w:hAnsi="Arial;sans-serif"/>
                <w:b w:val="false"/>
                <w:sz w:val="20"/>
              </w:rPr>
              <w:t>Common stock, $0.01</w:t>
            </w:r>
            <w:r>
              <w:rPr>
                <w:rFonts w:ascii="Times New Roman" w:hAnsi="Times New Roman"/>
                <w:sz w:val="20"/>
              </w:rPr>
              <w:t> </w:t>
            </w:r>
            <w:r>
              <w:rPr>
                <w:rFonts w:ascii="Arial;sans-serif" w:hAnsi="Arial;sans-serif"/>
                <w:b w:val="false"/>
                <w:sz w:val="20"/>
              </w:rPr>
              <w:t>par value, 1,880,000,000</w:t>
            </w:r>
            <w:r>
              <w:rPr>
                <w:rFonts w:ascii="Times New Roman" w:hAnsi="Times New Roman"/>
                <w:sz w:val="20"/>
              </w:rPr>
              <w:t> </w:t>
            </w:r>
            <w:r>
              <w:rPr>
                <w:rFonts w:ascii="Arial;sans-serif" w:hAnsi="Arial;sans-serif"/>
                <w:b w:val="false"/>
                <w:sz w:val="20"/>
              </w:rPr>
              <w:t>shares authorized, 91,413,567</w:t>
            </w:r>
            <w:r>
              <w:rPr>
                <w:rFonts w:ascii="Times New Roman" w:hAnsi="Times New Roman"/>
                <w:sz w:val="20"/>
              </w:rPr>
              <w:t> </w:t>
            </w:r>
            <w:r>
              <w:rPr>
                <w:rFonts w:ascii="Arial;sans-serif" w:hAnsi="Arial;sans-serif"/>
                <w:b w:val="false"/>
                <w:sz w:val="20"/>
              </w:rPr>
              <w:t>shares issued and outstanding and 91,788,885</w:t>
            </w:r>
            <w:r>
              <w:rPr>
                <w:rFonts w:ascii="Times New Roman" w:hAnsi="Times New Roman"/>
                <w:sz w:val="20"/>
              </w:rPr>
              <w:t> </w:t>
            </w:r>
            <w:r>
              <w:rPr>
                <w:rFonts w:ascii="Arial;sans-serif" w:hAnsi="Arial;sans-serif"/>
                <w:b w:val="false"/>
                <w:sz w:val="20"/>
              </w:rPr>
              <w:t>shares issued and outstanding, respectively</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493" w:type="dxa"/>
            <w:tcBorders/>
            <w:shd w:fill="auto" w:val="clear"/>
            <w:vAlign w:val="center"/>
          </w:tcPr>
          <w:p>
            <w:pPr>
              <w:pStyle w:val="TableContents"/>
              <w:spacing w:before="0" w:after="0"/>
              <w:ind w:left="0" w:right="0" w:firstLine="280"/>
              <w:jc w:val="left"/>
              <w:rPr/>
            </w:pPr>
            <w:r>
              <w:rPr/>
              <w:t> </w:t>
            </w:r>
          </w:p>
        </w:tc>
      </w:tr>
      <w:tr>
        <w:trPr/>
        <w:tc>
          <w:tcPr>
            <w:tcW w:w="7419" w:type="dxa"/>
            <w:tcBorders/>
            <w:shd w:fill="auto" w:val="clear"/>
            <w:vAlign w:val="center"/>
          </w:tcPr>
          <w:p>
            <w:pPr>
              <w:pStyle w:val="TableContents"/>
              <w:spacing w:before="0" w:after="0"/>
              <w:ind w:left="280" w:right="0" w:hanging="0"/>
              <w:jc w:val="left"/>
              <w:rPr>
                <w:rFonts w:ascii="Times New Roman" w:hAnsi="Times New Roman"/>
                <w:sz w:val="20"/>
              </w:rPr>
            </w:pPr>
            <w:r>
              <w:rPr>
                <w:rFonts w:ascii="Arial;sans-serif" w:hAnsi="Arial;sans-serif"/>
                <w:b w:val="false"/>
                <w:sz w:val="20"/>
              </w:rPr>
              <w:t>Non-voting common stock, $0.01</w:t>
            </w:r>
            <w:r>
              <w:rPr>
                <w:rFonts w:ascii="Times New Roman" w:hAnsi="Times New Roman"/>
                <w:sz w:val="20"/>
              </w:rPr>
              <w:t> </w:t>
            </w:r>
            <w:r>
              <w:rPr>
                <w:rFonts w:ascii="Arial;sans-serif" w:hAnsi="Arial;sans-serif"/>
                <w:b w:val="false"/>
                <w:sz w:val="20"/>
              </w:rPr>
              <w:t>par value, 20,000,000</w:t>
            </w:r>
            <w:r>
              <w:rPr>
                <w:rFonts w:ascii="Times New Roman" w:hAnsi="Times New Roman"/>
                <w:sz w:val="20"/>
              </w:rPr>
              <w:t> </w:t>
            </w:r>
            <w:r>
              <w:rPr>
                <w:rFonts w:ascii="Arial;sans-serif" w:hAnsi="Arial;sans-serif"/>
                <w:b w:val="false"/>
                <w:sz w:val="20"/>
              </w:rPr>
              <w:t>shares authorized, none</w:t>
            </w:r>
            <w:r>
              <w:rPr>
                <w:rFonts w:ascii="Times New Roman" w:hAnsi="Times New Roman"/>
                <w:sz w:val="20"/>
              </w:rPr>
              <w:t> </w:t>
            </w:r>
            <w:r>
              <w:rPr>
                <w:rFonts w:ascii="Arial;sans-serif" w:hAnsi="Arial;sans-serif"/>
                <w:b w:val="false"/>
                <w:sz w:val="20"/>
              </w:rPr>
              <w:t>issued and outstanding</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pPr>
            <w:r>
              <w:rPr/>
              <w:t>—</w:t>
            </w:r>
          </w:p>
        </w:tc>
        <w:tc>
          <w:tcPr>
            <w:tcW w:w="493" w:type="dxa"/>
            <w:tcBorders/>
            <w:shd w:fill="auto" w:val="clear"/>
            <w:vAlign w:val="center"/>
          </w:tcPr>
          <w:p>
            <w:pPr>
              <w:pStyle w:val="TableContents"/>
              <w:spacing w:before="0" w:after="0"/>
              <w:ind w:left="0" w:right="0" w:firstLine="280"/>
              <w:jc w:val="left"/>
              <w:rPr/>
            </w:pPr>
            <w:r>
              <w:rPr/>
              <w:t> </w:t>
            </w:r>
          </w:p>
        </w:tc>
      </w:tr>
      <w:tr>
        <w:trPr/>
        <w:tc>
          <w:tcPr>
            <w:tcW w:w="7419" w:type="dxa"/>
            <w:tcBorders/>
            <w:shd w:fill="auto" w:val="clear"/>
            <w:vAlign w:val="center"/>
          </w:tcPr>
          <w:p>
            <w:pPr>
              <w:pStyle w:val="TableContents"/>
              <w:spacing w:before="0" w:after="0"/>
              <w:ind w:left="280" w:right="0" w:hanging="0"/>
              <w:jc w:val="left"/>
              <w:rPr>
                <w:rFonts w:ascii="Times New Roman" w:hAnsi="Times New Roman"/>
                <w:sz w:val="20"/>
              </w:rPr>
            </w:pPr>
            <w:r>
              <w:rPr>
                <w:rFonts w:ascii="Arial;sans-serif" w:hAnsi="Arial;sans-serif"/>
                <w:b w:val="false"/>
                <w:sz w:val="20"/>
              </w:rPr>
              <w:t>Preferred stock, $0.01</w:t>
            </w:r>
            <w:r>
              <w:rPr>
                <w:rFonts w:ascii="Times New Roman" w:hAnsi="Times New Roman"/>
                <w:sz w:val="20"/>
              </w:rPr>
              <w:t> </w:t>
            </w:r>
            <w:r>
              <w:rPr>
                <w:rFonts w:ascii="Arial;sans-serif" w:hAnsi="Arial;sans-serif"/>
                <w:b w:val="false"/>
                <w:sz w:val="20"/>
              </w:rPr>
              <w:t>par value, 100,000,000</w:t>
            </w:r>
            <w:r>
              <w:rPr>
                <w:rFonts w:ascii="Times New Roman" w:hAnsi="Times New Roman"/>
                <w:sz w:val="20"/>
              </w:rPr>
              <w:t> </w:t>
            </w:r>
            <w:r>
              <w:rPr>
                <w:rFonts w:ascii="Arial;sans-serif" w:hAnsi="Arial;sans-serif"/>
                <w:b w:val="false"/>
                <w:sz w:val="20"/>
              </w:rPr>
              <w:t>shares authorized, none</w:t>
            </w:r>
            <w:r>
              <w:rPr>
                <w:rFonts w:ascii="Times New Roman" w:hAnsi="Times New Roman"/>
                <w:sz w:val="20"/>
              </w:rPr>
              <w:t> </w:t>
            </w:r>
            <w:r>
              <w:rPr>
                <w:rFonts w:ascii="Arial;sans-serif" w:hAnsi="Arial;sans-serif"/>
                <w:b w:val="false"/>
                <w:sz w:val="20"/>
              </w:rPr>
              <w:t>issued and outstanding</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pPr>
            <w:r>
              <w:rPr/>
              <w:t>—</w:t>
            </w:r>
          </w:p>
        </w:tc>
        <w:tc>
          <w:tcPr>
            <w:tcW w:w="493" w:type="dxa"/>
            <w:tcBorders/>
            <w:shd w:fill="auto" w:val="clear"/>
            <w:vAlign w:val="center"/>
          </w:tcPr>
          <w:p>
            <w:pPr>
              <w:pStyle w:val="TableContents"/>
              <w:spacing w:before="0" w:after="0"/>
              <w:ind w:left="0" w:right="0" w:firstLine="280"/>
              <w:jc w:val="left"/>
              <w:rPr/>
            </w:pPr>
            <w:r>
              <w:rPr/>
              <w:t> </w:t>
            </w:r>
          </w:p>
        </w:tc>
      </w:tr>
      <w:tr>
        <w:trPr/>
        <w:tc>
          <w:tcPr>
            <w:tcW w:w="741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Paid in capital</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1,848</w:t>
            </w:r>
          </w:p>
        </w:tc>
        <w:tc>
          <w:tcPr>
            <w:tcW w:w="493" w:type="dxa"/>
            <w:tcBorders/>
            <w:shd w:fill="auto" w:val="clear"/>
            <w:vAlign w:val="center"/>
          </w:tcPr>
          <w:p>
            <w:pPr>
              <w:pStyle w:val="TableContents"/>
              <w:spacing w:before="0" w:after="0"/>
              <w:ind w:left="0" w:right="0" w:firstLine="280"/>
              <w:jc w:val="left"/>
              <w:rPr/>
            </w:pPr>
            <w:r>
              <w:rPr/>
              <w:t> </w:t>
            </w:r>
          </w:p>
        </w:tc>
      </w:tr>
      <w:tr>
        <w:trPr/>
        <w:tc>
          <w:tcPr>
            <w:tcW w:w="741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(845</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7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(953</w:t>
            </w:r>
          </w:p>
        </w:tc>
        <w:tc>
          <w:tcPr>
            <w:tcW w:w="493"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741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Accumulated other comprehensive loss, net of tax</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874</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LIABILITIES &amp;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4,833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4,671</w:t>
            </w:r>
          </w:p>
        </w:tc>
        <w:tc>
          <w:tcPr>
            <w:tcW w:w="4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The accompanying notes are an integral part of the condensed consolidated financial statements.</w:t>
      </w:r>
    </w:p>
    <w:p>
      <w:pPr>
        <w:pStyle w:val="TextBody"/>
        <w:spacing w:before="180" w:after="0"/>
        <w:jc w:val="center"/>
        <w:rPr>
          <w:rFonts w:ascii="Arial;sans-serif" w:hAnsi="Arial;sans-serif"/>
          <w:b w:val="false"/>
          <w:sz w:val="20"/>
        </w:rPr>
      </w:pPr>
      <w:r>
        <w:rPr>
          <w:rFonts w:ascii="Arial;sans-serif" w:hAnsi="Arial;sans-serif"/>
          <w:b w:val="false"/>
          <w:sz w:val="20"/>
        </w:rPr>
        <w:t>3</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center"/>
        <w:rPr>
          <w:rFonts w:ascii="Arial;sans-serif" w:hAnsi="Arial;sans-serif"/>
          <w:b/>
          <w:sz w:val="20"/>
        </w:rPr>
      </w:pPr>
      <w:r>
        <w:rPr>
          <w:rFonts w:ascii="Arial;sans-serif" w:hAnsi="Arial;sans-serif"/>
          <w:b/>
          <w:sz w:val="20"/>
        </w:rPr>
        <w:t>Allison Transmission Holdings, Inc.</w:t>
      </w:r>
    </w:p>
    <w:p>
      <w:pPr>
        <w:pStyle w:val="TextBody"/>
        <w:spacing w:before="0" w:after="0"/>
        <w:jc w:val="center"/>
        <w:rPr>
          <w:rFonts w:ascii="Arial;sans-serif" w:hAnsi="Arial;sans-serif"/>
          <w:b/>
          <w:sz w:val="20"/>
        </w:rPr>
      </w:pPr>
      <w:bookmarkStart w:id="6" w:name="condensed_consolidated_statements_compre"/>
      <w:bookmarkEnd w:id="6"/>
      <w:r>
        <w:rPr>
          <w:rFonts w:ascii="Arial;sans-serif" w:hAnsi="Arial;sans-serif"/>
          <w:b/>
          <w:sz w:val="20"/>
        </w:rPr>
        <w:t>Condensed Consolidated Statements of Comprehensive Income</w:t>
      </w:r>
    </w:p>
    <w:p>
      <w:pPr>
        <w:pStyle w:val="TextBody"/>
        <w:spacing w:before="0" w:after="0"/>
        <w:jc w:val="center"/>
        <w:rPr>
          <w:rFonts w:ascii="Arial;sans-serif" w:hAnsi="Arial;sans-serif"/>
          <w:b/>
          <w:sz w:val="20"/>
        </w:rPr>
      </w:pPr>
      <w:r>
        <w:rPr>
          <w:rFonts w:ascii="Arial;sans-serif" w:hAnsi="Arial;sans-serif"/>
          <w:b/>
          <w:sz w:val="20"/>
        </w:rPr>
        <w:t>(unaudited, dollars in millions, except per share data)</w:t>
      </w:r>
    </w:p>
    <w:p>
      <w:pPr>
        <w:pStyle w:val="TextBody"/>
        <w:spacing w:before="0" w:after="0"/>
        <w:jc w:val="left"/>
        <w:rPr/>
      </w:pPr>
      <w:r>
        <w:rPr/>
        <w:t> </w:t>
      </w:r>
    </w:p>
    <w:tbl>
      <w:tblPr>
        <w:tblW w:w="8981" w:type="dxa"/>
        <w:jc w:val="left"/>
        <w:tblInd w:w="0" w:type="dxa"/>
        <w:tblCellMar>
          <w:top w:w="28" w:type="dxa"/>
          <w:left w:w="28" w:type="dxa"/>
          <w:bottom w:w="28" w:type="dxa"/>
          <w:right w:w="28" w:type="dxa"/>
        </w:tblCellMar>
      </w:tblPr>
      <w:tblGrid>
        <w:gridCol w:w="6076"/>
        <w:gridCol w:w="146"/>
        <w:gridCol w:w="317"/>
        <w:gridCol w:w="723"/>
        <w:gridCol w:w="249"/>
        <w:gridCol w:w="219"/>
        <w:gridCol w:w="317"/>
        <w:gridCol w:w="723"/>
        <w:gridCol w:w="211"/>
      </w:tblGrid>
      <w:tr>
        <w:trPr/>
        <w:tc>
          <w:tcPr>
            <w:tcW w:w="60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0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sales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2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741</w:t>
            </w:r>
          </w:p>
        </w:tc>
        <w:tc>
          <w:tcPr>
            <w:tcW w:w="249"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677</w:t>
            </w:r>
          </w:p>
        </w:tc>
        <w:tc>
          <w:tcPr>
            <w:tcW w:w="211" w:type="dxa"/>
            <w:tcBorders/>
            <w:shd w:fill="auto" w:val="cle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380</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72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361</w:t>
            </w:r>
          </w:p>
        </w:tc>
        <w:tc>
          <w:tcPr>
            <w:tcW w:w="249"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7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320</w:t>
            </w:r>
          </w:p>
        </w:tc>
        <w:tc>
          <w:tcPr>
            <w:tcW w:w="211" w:type="dxa"/>
            <w:tcBorders/>
            <w:shd w:fill="auto" w:val="cle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72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87</w:t>
            </w:r>
          </w:p>
        </w:tc>
        <w:tc>
          <w:tcPr>
            <w:tcW w:w="249"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7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w:t>
            </w:r>
          </w:p>
        </w:tc>
        <w:tc>
          <w:tcPr>
            <w:tcW w:w="211" w:type="dxa"/>
            <w:tcBorders/>
            <w:shd w:fill="auto" w:val="cle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Engineering — 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44</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Operating income</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72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230</w:t>
            </w:r>
          </w:p>
        </w:tc>
        <w:tc>
          <w:tcPr>
            <w:tcW w:w="249"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7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w:t>
            </w:r>
          </w:p>
        </w:tc>
        <w:tc>
          <w:tcPr>
            <w:tcW w:w="211" w:type="dxa"/>
            <w:tcBorders/>
            <w:shd w:fill="auto" w:val="cle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72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(28</w:t>
            </w:r>
          </w:p>
        </w:tc>
        <w:tc>
          <w:tcPr>
            <w:tcW w:w="249"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7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7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72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212</w:t>
            </w:r>
          </w:p>
        </w:tc>
        <w:tc>
          <w:tcPr>
            <w:tcW w:w="249"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7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163</w:t>
            </w:r>
          </w:p>
        </w:tc>
        <w:tc>
          <w:tcPr>
            <w:tcW w:w="211" w:type="dxa"/>
            <w:tcBorders/>
            <w:shd w:fill="auto" w:val="cle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(42</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7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170</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Basic earnings per share attributable to common stockholders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1.85</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Diluted earnings per share attributable to common stockholders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1.85</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Comprehensive income, net of tax</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167</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The accompanying notes are an integral part of the condensed consolidated financial statements.</w:t>
      </w:r>
    </w:p>
    <w:p>
      <w:pPr>
        <w:pStyle w:val="TextBody"/>
        <w:spacing w:before="180" w:after="0"/>
        <w:jc w:val="center"/>
        <w:rPr>
          <w:rFonts w:ascii="Arial;sans-serif" w:hAnsi="Arial;sans-serif"/>
          <w:b w:val="false"/>
          <w:sz w:val="20"/>
        </w:rPr>
      </w:pPr>
      <w:r>
        <w:rPr>
          <w:rFonts w:ascii="Arial;sans-serif" w:hAnsi="Arial;sans-serif"/>
          <w:b w:val="false"/>
          <w:sz w:val="20"/>
        </w:rPr>
        <w:t>4</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center"/>
        <w:rPr>
          <w:rFonts w:ascii="Arial;sans-serif" w:hAnsi="Arial;sans-serif"/>
          <w:b/>
          <w:sz w:val="20"/>
        </w:rPr>
      </w:pPr>
      <w:r>
        <w:rPr>
          <w:rFonts w:ascii="Arial;sans-serif" w:hAnsi="Arial;sans-serif"/>
          <w:b/>
          <w:sz w:val="20"/>
        </w:rPr>
        <w:t>Allison Transmission Holdings, Inc.</w:t>
      </w:r>
    </w:p>
    <w:p>
      <w:pPr>
        <w:pStyle w:val="TextBody"/>
        <w:spacing w:before="0" w:after="0"/>
        <w:jc w:val="center"/>
        <w:rPr>
          <w:rFonts w:ascii="Arial;sans-serif" w:hAnsi="Arial;sans-serif"/>
          <w:b/>
          <w:sz w:val="20"/>
        </w:rPr>
      </w:pPr>
      <w:bookmarkStart w:id="7" w:name="condensed_consolidated_statements_cash_f"/>
      <w:bookmarkEnd w:id="7"/>
      <w:r>
        <w:rPr>
          <w:rFonts w:ascii="Arial;sans-serif" w:hAnsi="Arial;sans-serif"/>
          <w:b/>
          <w:sz w:val="20"/>
        </w:rPr>
        <w:t>Condensed Consolidated Statements of Cash Flows</w:t>
      </w:r>
    </w:p>
    <w:p>
      <w:pPr>
        <w:pStyle w:val="TextBody"/>
        <w:spacing w:before="0" w:after="0"/>
        <w:jc w:val="center"/>
        <w:rPr>
          <w:rFonts w:ascii="Arial;sans-serif" w:hAnsi="Arial;sans-serif"/>
          <w:b/>
          <w:sz w:val="20"/>
        </w:rPr>
      </w:pPr>
      <w:r>
        <w:rPr>
          <w:rFonts w:ascii="Arial;sans-serif" w:hAnsi="Arial;sans-serif"/>
          <w:b/>
          <w:sz w:val="20"/>
        </w:rPr>
        <w:t>(unaudited, dollars in millions)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799"/>
        <w:gridCol w:w="146"/>
        <w:gridCol w:w="321"/>
        <w:gridCol w:w="640"/>
        <w:gridCol w:w="251"/>
        <w:gridCol w:w="221"/>
        <w:gridCol w:w="321"/>
        <w:gridCol w:w="732"/>
        <w:gridCol w:w="774"/>
      </w:tblGrid>
      <w:tr>
        <w:trPr/>
        <w:tc>
          <w:tcPr>
            <w:tcW w:w="67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r>
      <w:tr>
        <w:trPr/>
        <w:tc>
          <w:tcPr>
            <w:tcW w:w="679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7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9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7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99"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53" w:type="dxa"/>
            <w:gridSpan w:val="2"/>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r>
      <w:tr>
        <w:trPr/>
        <w:tc>
          <w:tcPr>
            <w:tcW w:w="679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170</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129</w:t>
            </w:r>
          </w:p>
        </w:tc>
        <w:tc>
          <w:tcPr>
            <w:tcW w:w="774" w:type="dxa"/>
            <w:tcBorders/>
            <w:shd w:fill="auto" w:val="clear"/>
            <w:vAlign w:val="center"/>
          </w:tcPr>
          <w:p>
            <w:pPr>
              <w:pStyle w:val="TableContents"/>
              <w:spacing w:before="0" w:after="0"/>
              <w:ind w:left="0" w:right="0" w:firstLine="280"/>
              <w:jc w:val="lef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Adjustments to reconcile net income to 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53" w:type="dxa"/>
            <w:gridSpan w:val="2"/>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firstLine="280"/>
              <w:jc w:val="righ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Depreciation of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774" w:type="dxa"/>
            <w:tcBorders/>
            <w:shd w:fill="auto" w:val="clear"/>
            <w:vAlign w:val="center"/>
          </w:tcPr>
          <w:p>
            <w:pPr>
              <w:pStyle w:val="TableContents"/>
              <w:spacing w:before="0" w:after="0"/>
              <w:ind w:left="0" w:right="0" w:firstLine="280"/>
              <w:jc w:val="lef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Amortization of intangible assets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774" w:type="dxa"/>
            <w:tcBorders/>
            <w:shd w:fill="auto" w:val="clear"/>
            <w:vAlign w:val="center"/>
          </w:tcPr>
          <w:p>
            <w:pPr>
              <w:pStyle w:val="TableContents"/>
              <w:spacing w:before="0" w:after="0"/>
              <w:ind w:left="0" w:right="0" w:firstLine="280"/>
              <w:jc w:val="lef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w:t>
            </w:r>
          </w:p>
        </w:tc>
        <w:tc>
          <w:tcPr>
            <w:tcW w:w="25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774" w:type="dxa"/>
            <w:tcBorders/>
            <w:shd w:fill="auto" w:val="clear"/>
            <w:vAlign w:val="center"/>
          </w:tcPr>
          <w:p>
            <w:pPr>
              <w:pStyle w:val="TableContents"/>
              <w:spacing w:before="0" w:after="0"/>
              <w:ind w:left="0" w:right="0" w:firstLine="280"/>
              <w:jc w:val="lef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774" w:type="dxa"/>
            <w:tcBorders/>
            <w:shd w:fill="auto" w:val="clear"/>
            <w:vAlign w:val="center"/>
          </w:tcPr>
          <w:p>
            <w:pPr>
              <w:pStyle w:val="TableContents"/>
              <w:spacing w:before="0" w:after="0"/>
              <w:ind w:left="0" w:right="0" w:firstLine="280"/>
              <w:jc w:val="lef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Unrealized (gain) loss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25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774" w:type="dxa"/>
            <w:tcBorders/>
            <w:shd w:fill="auto" w:val="clear"/>
            <w:vAlign w:val="center"/>
          </w:tcPr>
          <w:p>
            <w:pPr>
              <w:pStyle w:val="TableContents"/>
              <w:spacing w:before="0" w:after="0"/>
              <w:ind w:left="0" w:right="0" w:firstLine="280"/>
              <w:jc w:val="lef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Technology-related investments gain</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25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774"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774" w:type="dxa"/>
            <w:tcBorders/>
            <w:shd w:fill="auto" w:val="clear"/>
            <w:vAlign w:val="center"/>
          </w:tcPr>
          <w:p>
            <w:pPr>
              <w:pStyle w:val="TableContents"/>
              <w:spacing w:before="0" w:after="0"/>
              <w:ind w:left="0" w:right="0" w:firstLine="280"/>
              <w:jc w:val="lef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Changes in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53" w:type="dxa"/>
            <w:gridSpan w:val="2"/>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firstLine="280"/>
              <w:jc w:val="righ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(30</w:t>
            </w:r>
          </w:p>
        </w:tc>
        <w:tc>
          <w:tcPr>
            <w:tcW w:w="25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w:t>
            </w:r>
          </w:p>
        </w:tc>
        <w:tc>
          <w:tcPr>
            <w:tcW w:w="774"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(32</w:t>
            </w:r>
          </w:p>
        </w:tc>
        <w:tc>
          <w:tcPr>
            <w:tcW w:w="25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774"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30</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w:t>
            </w:r>
          </w:p>
        </w:tc>
        <w:tc>
          <w:tcPr>
            <w:tcW w:w="774" w:type="dxa"/>
            <w:tcBorders/>
            <w:shd w:fill="auto" w:val="clear"/>
            <w:vAlign w:val="center"/>
          </w:tcPr>
          <w:p>
            <w:pPr>
              <w:pStyle w:val="TableContents"/>
              <w:spacing w:before="0" w:after="0"/>
              <w:ind w:left="0" w:right="0" w:firstLine="280"/>
              <w:jc w:val="lef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Other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w:t>
            </w:r>
          </w:p>
        </w:tc>
        <w:tc>
          <w:tcPr>
            <w:tcW w:w="2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w:t>
            </w:r>
          </w:p>
        </w:tc>
        <w:tc>
          <w:tcPr>
            <w:tcW w:w="7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6799"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193</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162</w:t>
            </w:r>
          </w:p>
        </w:tc>
        <w:tc>
          <w:tcPr>
            <w:tcW w:w="774" w:type="dxa"/>
            <w:tcBorders/>
            <w:shd w:fill="auto" w:val="clear"/>
            <w:vAlign w:val="center"/>
          </w:tcPr>
          <w:p>
            <w:pPr>
              <w:pStyle w:val="TableContents"/>
              <w:spacing w:before="0" w:after="0"/>
              <w:ind w:left="0" w:right="0" w:hanging="0"/>
              <w:jc w:val="left"/>
              <w:rPr/>
            </w:pPr>
            <w:r>
              <w:rPr/>
              <w:t> </w:t>
            </w:r>
          </w:p>
        </w:tc>
      </w:tr>
      <w:tr>
        <w:trPr/>
        <w:tc>
          <w:tcPr>
            <w:tcW w:w="6799"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53" w:type="dxa"/>
            <w:gridSpan w:val="2"/>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firstLine="280"/>
              <w:jc w:val="righ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Additions of long-lived assets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w:t>
            </w:r>
          </w:p>
        </w:tc>
        <w:tc>
          <w:tcPr>
            <w:tcW w:w="25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774"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Proceeds from technology-related investments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774" w:type="dxa"/>
            <w:tcBorders/>
            <w:shd w:fill="auto" w:val="clear"/>
            <w:vAlign w:val="center"/>
          </w:tcPr>
          <w:p>
            <w:pPr>
              <w:pStyle w:val="TableContents"/>
              <w:spacing w:before="0" w:after="0"/>
              <w:ind w:left="0" w:right="0" w:firstLine="280"/>
              <w:jc w:val="lef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Business acquisitions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w:t>
            </w:r>
          </w:p>
        </w:tc>
        <w:tc>
          <w:tcPr>
            <w:tcW w:w="774"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Investment in equity method investee</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7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6799"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Net cash used for investing activities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w:t>
            </w:r>
          </w:p>
        </w:tc>
        <w:tc>
          <w:tcPr>
            <w:tcW w:w="25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w:t>
            </w:r>
          </w:p>
        </w:tc>
        <w:tc>
          <w:tcPr>
            <w:tcW w:w="77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799"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53" w:type="dxa"/>
            <w:gridSpan w:val="2"/>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firstLine="280"/>
              <w:jc w:val="righ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Repurchases of common stock</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(40</w:t>
            </w:r>
          </w:p>
        </w:tc>
        <w:tc>
          <w:tcPr>
            <w:tcW w:w="25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(81</w:t>
            </w:r>
          </w:p>
        </w:tc>
        <w:tc>
          <w:tcPr>
            <w:tcW w:w="774"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Dividend payments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w:t>
            </w:r>
          </w:p>
        </w:tc>
        <w:tc>
          <w:tcPr>
            <w:tcW w:w="25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774"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Proceeds from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pPr>
            <w:r>
              <w:rPr/>
              <w:t>—</w:t>
            </w:r>
          </w:p>
        </w:tc>
        <w:tc>
          <w:tcPr>
            <w:tcW w:w="774" w:type="dxa"/>
            <w:tcBorders/>
            <w:shd w:fill="auto" w:val="clear"/>
            <w:vAlign w:val="center"/>
          </w:tcPr>
          <w:p>
            <w:pPr>
              <w:pStyle w:val="TableContents"/>
              <w:spacing w:before="0" w:after="0"/>
              <w:ind w:left="0" w:right="0" w:firstLine="280"/>
              <w:jc w:val="lef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Taxes paid related to net share settlement of equity awards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w:t>
            </w:r>
          </w:p>
        </w:tc>
        <w:tc>
          <w:tcPr>
            <w:tcW w:w="25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774"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Payments on long-term debt</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25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774"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Borrowings on revolving credit facility</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95</w:t>
            </w:r>
          </w:p>
        </w:tc>
        <w:tc>
          <w:tcPr>
            <w:tcW w:w="774" w:type="dxa"/>
            <w:tcBorders/>
            <w:shd w:fill="auto" w:val="clear"/>
            <w:vAlign w:val="center"/>
          </w:tcPr>
          <w:p>
            <w:pPr>
              <w:pStyle w:val="TableContents"/>
              <w:spacing w:before="0" w:after="0"/>
              <w:ind w:left="0" w:right="0" w:firstLine="280"/>
              <w:jc w:val="left"/>
              <w:rPr/>
            </w:pPr>
            <w:r>
              <w:rPr/>
              <w:t> </w:t>
            </w:r>
          </w:p>
        </w:tc>
      </w:tr>
      <w:tr>
        <w:trPr/>
        <w:tc>
          <w:tcPr>
            <w:tcW w:w="6799"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Payments on revolving credit facility</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(95</w:t>
            </w:r>
          </w:p>
        </w:tc>
        <w:tc>
          <w:tcPr>
            <w:tcW w:w="7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6799"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Net cash used for financing activities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(59</w:t>
            </w:r>
          </w:p>
        </w:tc>
        <w:tc>
          <w:tcPr>
            <w:tcW w:w="25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(106</w:t>
            </w:r>
          </w:p>
        </w:tc>
        <w:tc>
          <w:tcPr>
            <w:tcW w:w="77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79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Effect of exchange rate changes on cash</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6799"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Net increase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112</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774" w:type="dxa"/>
            <w:tcBorders/>
            <w:shd w:fill="auto" w:val="clear"/>
            <w:vAlign w:val="center"/>
          </w:tcPr>
          <w:p>
            <w:pPr>
              <w:pStyle w:val="TableContents"/>
              <w:spacing w:before="0" w:after="0"/>
              <w:ind w:left="0" w:right="0" w:hanging="0"/>
              <w:jc w:val="left"/>
              <w:rPr/>
            </w:pPr>
            <w:r>
              <w:rPr/>
              <w:t> </w:t>
            </w:r>
          </w:p>
        </w:tc>
      </w:tr>
      <w:tr>
        <w:trPr/>
        <w:tc>
          <w:tcPr>
            <w:tcW w:w="679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and cash equivalents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232</w:t>
            </w:r>
          </w:p>
        </w:tc>
        <w:tc>
          <w:tcPr>
            <w:tcW w:w="2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127</w:t>
            </w:r>
          </w:p>
        </w:tc>
        <w:tc>
          <w:tcPr>
            <w:tcW w:w="7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9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and cash equivalents at end of period</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344</w:t>
            </w:r>
          </w:p>
        </w:tc>
        <w:tc>
          <w:tcPr>
            <w:tcW w:w="2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145</w:t>
            </w:r>
          </w:p>
        </w:tc>
        <w:tc>
          <w:tcPr>
            <w:tcW w:w="7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99"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SUPPLEMENTAL DISCLOSURES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53" w:type="dxa"/>
            <w:gridSpan w:val="2"/>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r>
      <w:tr>
        <w:trPr/>
        <w:tc>
          <w:tcPr>
            <w:tcW w:w="679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paid during period for:</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53" w:type="dxa"/>
            <w:gridSpan w:val="2"/>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firstLine="560"/>
              <w:jc w:val="right"/>
              <w:rPr/>
            </w:pPr>
            <w:r>
              <w:rPr/>
              <w:t> </w:t>
            </w:r>
          </w:p>
        </w:tc>
      </w:tr>
      <w:tr>
        <w:trPr/>
        <w:tc>
          <w:tcPr>
            <w:tcW w:w="6799"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Interest</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29</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774" w:type="dxa"/>
            <w:tcBorders/>
            <w:shd w:fill="auto" w:val="clear"/>
            <w:vAlign w:val="center"/>
          </w:tcPr>
          <w:p>
            <w:pPr>
              <w:pStyle w:val="TableContents"/>
              <w:spacing w:before="0" w:after="0"/>
              <w:ind w:left="0" w:right="0" w:firstLine="560"/>
              <w:jc w:val="left"/>
              <w:rPr/>
            </w:pPr>
            <w:r>
              <w:rPr/>
              <w:t> </w:t>
            </w:r>
          </w:p>
        </w:tc>
      </w:tr>
      <w:tr>
        <w:trPr/>
        <w:tc>
          <w:tcPr>
            <w:tcW w:w="6799"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Income taxes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774" w:type="dxa"/>
            <w:tcBorders/>
            <w:shd w:fill="auto" w:val="clear"/>
            <w:vAlign w:val="center"/>
          </w:tcPr>
          <w:p>
            <w:pPr>
              <w:pStyle w:val="TableContents"/>
              <w:spacing w:before="0" w:after="0"/>
              <w:ind w:left="0" w:right="0" w:hanging="0"/>
              <w:jc w:val="left"/>
              <w:rPr/>
            </w:pPr>
            <w:r>
              <w:rPr/>
              <w:t> </w:t>
            </w:r>
          </w:p>
        </w:tc>
      </w:tr>
      <w:tr>
        <w:trPr/>
        <w:tc>
          <w:tcPr>
            <w:tcW w:w="679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Non-cash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righ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053" w:type="dxa"/>
            <w:gridSpan w:val="2"/>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firstLine="560"/>
              <w:jc w:val="right"/>
              <w:rPr/>
            </w:pPr>
            <w:r>
              <w:rPr/>
              <w:t> </w:t>
            </w:r>
          </w:p>
        </w:tc>
      </w:tr>
      <w:tr>
        <w:trPr/>
        <w:tc>
          <w:tcPr>
            <w:tcW w:w="6799"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Capital expenditures in liabilities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w:t>
            </w:r>
          </w:p>
        </w:tc>
        <w:tc>
          <w:tcPr>
            <w:tcW w:w="25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774"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The accompanying notes are an integral part of the condensed consolidated financial statements.</w:t>
      </w:r>
    </w:p>
    <w:p>
      <w:pPr>
        <w:pStyle w:val="TextBody"/>
        <w:spacing w:before="180" w:after="0"/>
        <w:jc w:val="center"/>
        <w:rPr>
          <w:rFonts w:ascii="Arial;sans-serif" w:hAnsi="Arial;sans-serif"/>
          <w:b w:val="false"/>
          <w:sz w:val="20"/>
        </w:rPr>
      </w:pPr>
      <w:r>
        <w:rPr>
          <w:rFonts w:ascii="Arial;sans-serif" w:hAnsi="Arial;sans-serif"/>
          <w:b w:val="false"/>
          <w:sz w:val="20"/>
        </w:rPr>
        <w:t>5</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center"/>
        <w:rPr>
          <w:rFonts w:ascii="Arial;sans-serif" w:hAnsi="Arial;sans-serif"/>
          <w:b/>
          <w:sz w:val="20"/>
        </w:rPr>
      </w:pPr>
      <w:r>
        <w:rPr>
          <w:rFonts w:ascii="Arial;sans-serif" w:hAnsi="Arial;sans-serif"/>
          <w:b/>
          <w:sz w:val="20"/>
        </w:rPr>
        <w:t>Allison Transmission Holdings, Inc.</w:t>
      </w:r>
    </w:p>
    <w:p>
      <w:pPr>
        <w:pStyle w:val="TextBody"/>
        <w:spacing w:before="0" w:after="0"/>
        <w:jc w:val="center"/>
        <w:rPr>
          <w:rFonts w:ascii="Arial;sans-serif" w:hAnsi="Arial;sans-serif"/>
          <w:b/>
          <w:sz w:val="20"/>
        </w:rPr>
      </w:pPr>
      <w:r>
        <w:rPr>
          <w:rFonts w:ascii="Arial;sans-serif" w:hAnsi="Arial;sans-serif"/>
          <w:b/>
          <w:sz w:val="20"/>
        </w:rPr>
        <w:t>Condensed Consolidated Statements of Stockholders’ Equity</w:t>
      </w:r>
    </w:p>
    <w:p>
      <w:pPr>
        <w:pStyle w:val="TextBody"/>
        <w:spacing w:before="0" w:after="0"/>
        <w:jc w:val="center"/>
        <w:rPr>
          <w:rFonts w:ascii="Arial;sans-serif" w:hAnsi="Arial;sans-serif"/>
          <w:b/>
          <w:sz w:val="20"/>
        </w:rPr>
      </w:pPr>
      <w:bookmarkStart w:id="8" w:name="condensed_consolidated_stock_holders_equ"/>
      <w:bookmarkEnd w:id="8"/>
      <w:r>
        <w:rPr>
          <w:rFonts w:ascii="Arial;sans-serif" w:hAnsi="Arial;sans-serif"/>
          <w:b/>
          <w:sz w:val="20"/>
        </w:rPr>
        <w:t>(unaudited, dollars in millions)</w:t>
      </w:r>
    </w:p>
    <w:p>
      <w:pPr>
        <w:pStyle w:val="TextBody"/>
        <w:spacing w:before="0" w:after="0"/>
        <w:jc w:val="left"/>
        <w:rPr/>
      </w:pPr>
      <w:r>
        <w:rPr/>
        <w:t> </w:t>
      </w:r>
    </w:p>
    <w:tbl>
      <w:tblPr>
        <w:tblW w:w="10963" w:type="dxa"/>
        <w:jc w:val="left"/>
        <w:tblInd w:w="0" w:type="dxa"/>
        <w:tblCellMar>
          <w:top w:w="28" w:type="dxa"/>
          <w:left w:w="28" w:type="dxa"/>
          <w:bottom w:w="28" w:type="dxa"/>
          <w:right w:w="28" w:type="dxa"/>
        </w:tblCellMar>
      </w:tblPr>
      <w:tblGrid>
        <w:gridCol w:w="1336"/>
        <w:gridCol w:w="146"/>
        <w:gridCol w:w="318"/>
        <w:gridCol w:w="523"/>
        <w:gridCol w:w="146"/>
        <w:gridCol w:w="146"/>
        <w:gridCol w:w="381"/>
        <w:gridCol w:w="625"/>
        <w:gridCol w:w="146"/>
        <w:gridCol w:w="146"/>
        <w:gridCol w:w="312"/>
        <w:gridCol w:w="514"/>
        <w:gridCol w:w="146"/>
        <w:gridCol w:w="146"/>
        <w:gridCol w:w="211"/>
        <w:gridCol w:w="586"/>
        <w:gridCol w:w="166"/>
        <w:gridCol w:w="146"/>
        <w:gridCol w:w="284"/>
        <w:gridCol w:w="872"/>
        <w:gridCol w:w="166"/>
        <w:gridCol w:w="146"/>
        <w:gridCol w:w="485"/>
        <w:gridCol w:w="866"/>
        <w:gridCol w:w="166"/>
        <w:gridCol w:w="146"/>
        <w:gridCol w:w="400"/>
        <w:gridCol w:w="801"/>
        <w:gridCol w:w="491"/>
      </w:tblGrid>
      <w:tr>
        <w:trPr/>
        <w:tc>
          <w:tcPr>
            <w:tcW w:w="13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90" w:type="dxa"/>
            <w:gridSpan w:val="2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Non-voting 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Preferred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Paid-in 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Accumulated (Deficit) Income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Accumulated Other Comprehensive (Loss) Income, net of tax</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Stockholders' Equity</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(1,126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634</w:t>
            </w:r>
          </w:p>
        </w:tc>
        <w:tc>
          <w:tcPr>
            <w:tcW w:w="491" w:type="dxa"/>
            <w:tcBorders/>
            <w:shd w:fill="auto" w:val="clear"/>
            <w:vAlign w:val="center"/>
          </w:tcPr>
          <w:p>
            <w:pPr>
              <w:pStyle w:val="TableContents"/>
              <w:spacing w:before="0" w:after="0"/>
              <w:ind w:left="0" w:right="0" w:firstLine="280"/>
              <w:jc w:val="left"/>
              <w:rPr/>
            </w:pPr>
            <w:r>
              <w:rPr/>
              <w:t> </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491" w:type="dxa"/>
            <w:tcBorders/>
            <w:shd w:fill="auto" w:val="clear"/>
            <w:vAlign w:val="center"/>
          </w:tcPr>
          <w:p>
            <w:pPr>
              <w:pStyle w:val="TableContents"/>
              <w:spacing w:before="0" w:after="0"/>
              <w:ind w:left="0" w:right="0" w:firstLine="280"/>
              <w:jc w:val="left"/>
              <w:rPr/>
            </w:pPr>
            <w:r>
              <w:rPr/>
              <w:t> </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Pension and OPEB liability adjustment</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49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Interest rate swaps</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491" w:type="dxa"/>
            <w:tcBorders/>
            <w:shd w:fill="auto" w:val="clear"/>
            <w:vAlign w:val="center"/>
          </w:tcPr>
          <w:p>
            <w:pPr>
              <w:pStyle w:val="TableContents"/>
              <w:spacing w:before="0" w:after="0"/>
              <w:ind w:left="0" w:right="0" w:firstLine="280"/>
              <w:jc w:val="left"/>
              <w:rPr/>
            </w:pPr>
            <w:r>
              <w:rPr/>
              <w:t> </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Issuance of common stock</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49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Repurchase of common stock</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(81</w:t>
            </w:r>
          </w:p>
        </w:tc>
        <w:tc>
          <w:tcPr>
            <w:tcW w:w="49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Dividends on common stock</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49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129</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3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679</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3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2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(953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874</w:t>
            </w:r>
          </w:p>
        </w:tc>
        <w:tc>
          <w:tcPr>
            <w:tcW w:w="491" w:type="dxa"/>
            <w:tcBorders/>
            <w:shd w:fill="auto" w:val="clear"/>
            <w:vAlign w:val="center"/>
          </w:tcPr>
          <w:p>
            <w:pPr>
              <w:pStyle w:val="TableContents"/>
              <w:spacing w:before="0" w:after="0"/>
              <w:ind w:left="0" w:right="0" w:firstLine="280"/>
              <w:jc w:val="left"/>
              <w:rPr/>
            </w:pPr>
            <w:r>
              <w:rPr/>
              <w:t> </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w:t>
            </w:r>
          </w:p>
        </w:tc>
        <w:tc>
          <w:tcPr>
            <w:tcW w:w="491" w:type="dxa"/>
            <w:tcBorders/>
            <w:shd w:fill="auto" w:val="clear"/>
            <w:vAlign w:val="center"/>
          </w:tcPr>
          <w:p>
            <w:pPr>
              <w:pStyle w:val="TableContents"/>
              <w:spacing w:before="0" w:after="0"/>
              <w:ind w:left="0" w:right="0" w:firstLine="280"/>
              <w:jc w:val="left"/>
              <w:rPr/>
            </w:pPr>
            <w:r>
              <w:rPr/>
              <w:t> </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Pension and OPEB liability adjustment</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491" w:type="dxa"/>
            <w:tcBorders/>
            <w:shd w:fill="auto" w:val="clear"/>
            <w:vAlign w:val="center"/>
          </w:tcPr>
          <w:p>
            <w:pPr>
              <w:pStyle w:val="TableContents"/>
              <w:spacing w:before="0" w:after="0"/>
              <w:ind w:left="0" w:right="0" w:firstLine="280"/>
              <w:jc w:val="left"/>
              <w:rPr>
                <w:rFonts w:ascii="Arial;sans-serif" w:hAnsi="Arial;sans-serif"/>
                <w:b/>
                <w:sz w:val="20"/>
              </w:rPr>
            </w:pPr>
            <w:r>
              <w:rPr>
                <w:rFonts w:ascii="Arial;sans-serif" w:hAnsi="Arial;sans-serif"/>
                <w:b/>
                <w:sz w:val="20"/>
              </w:rPr>
              <w:t>)</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491" w:type="dxa"/>
            <w:tcBorders/>
            <w:shd w:fill="auto" w:val="clear"/>
            <w:vAlign w:val="center"/>
          </w:tcPr>
          <w:p>
            <w:pPr>
              <w:pStyle w:val="TableContents"/>
              <w:spacing w:before="0" w:after="0"/>
              <w:ind w:left="0" w:right="0" w:firstLine="280"/>
              <w:jc w:val="left"/>
              <w:rPr/>
            </w:pPr>
            <w:r>
              <w:rPr/>
              <w:t> </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Interest rate swaps</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491" w:type="dxa"/>
            <w:tcBorders/>
            <w:shd w:fill="auto" w:val="clear"/>
            <w:vAlign w:val="center"/>
          </w:tcPr>
          <w:p>
            <w:pPr>
              <w:pStyle w:val="TableContents"/>
              <w:spacing w:before="0" w:after="0"/>
              <w:ind w:left="0" w:right="0" w:firstLine="280"/>
              <w:jc w:val="left"/>
              <w:rPr>
                <w:rFonts w:ascii="Arial;sans-serif" w:hAnsi="Arial;sans-serif"/>
                <w:b/>
                <w:sz w:val="20"/>
              </w:rPr>
            </w:pPr>
            <w:r>
              <w:rPr>
                <w:rFonts w:ascii="Arial;sans-serif" w:hAnsi="Arial;sans-serif"/>
                <w:b/>
                <w:sz w:val="20"/>
              </w:rPr>
              <w:t>)</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Issuance of common stock</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w:t>
            </w:r>
          </w:p>
        </w:tc>
        <w:tc>
          <w:tcPr>
            <w:tcW w:w="491" w:type="dxa"/>
            <w:tcBorders/>
            <w:shd w:fill="auto" w:val="clear"/>
            <w:vAlign w:val="center"/>
          </w:tcPr>
          <w:p>
            <w:pPr>
              <w:pStyle w:val="TableContents"/>
              <w:spacing w:before="0" w:after="0"/>
              <w:ind w:left="0" w:right="0" w:firstLine="280"/>
              <w:jc w:val="left"/>
              <w:rPr/>
            </w:pPr>
            <w:r>
              <w:rPr/>
              <w:t> </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Repurchase of common stock</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(40</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(40</w:t>
            </w:r>
          </w:p>
        </w:tc>
        <w:tc>
          <w:tcPr>
            <w:tcW w:w="491" w:type="dxa"/>
            <w:tcBorders/>
            <w:shd w:fill="auto" w:val="clear"/>
            <w:vAlign w:val="center"/>
          </w:tcPr>
          <w:p>
            <w:pPr>
              <w:pStyle w:val="TableContents"/>
              <w:spacing w:before="0" w:after="0"/>
              <w:ind w:left="0" w:right="0" w:firstLine="280"/>
              <w:jc w:val="left"/>
              <w:rPr>
                <w:rFonts w:ascii="Arial;sans-serif" w:hAnsi="Arial;sans-serif"/>
                <w:b/>
                <w:sz w:val="20"/>
              </w:rPr>
            </w:pPr>
            <w:r>
              <w:rPr>
                <w:rFonts w:ascii="Arial;sans-serif" w:hAnsi="Arial;sans-serif"/>
                <w:b/>
                <w:sz w:val="20"/>
              </w:rPr>
              <w:t>)</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Dividends on common stock</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w:t>
            </w:r>
          </w:p>
        </w:tc>
        <w:tc>
          <w:tcPr>
            <w:tcW w:w="491" w:type="dxa"/>
            <w:tcBorders/>
            <w:shd w:fill="auto" w:val="clear"/>
            <w:vAlign w:val="center"/>
          </w:tcPr>
          <w:p>
            <w:pPr>
              <w:pStyle w:val="TableContents"/>
              <w:spacing w:before="0" w:after="0"/>
              <w:ind w:left="0" w:right="0" w:firstLine="280"/>
              <w:jc w:val="left"/>
              <w:rPr>
                <w:rFonts w:ascii="Arial;sans-serif" w:hAnsi="Arial;sans-serif"/>
                <w:b/>
                <w:sz w:val="20"/>
              </w:rPr>
            </w:pPr>
            <w:r>
              <w:rPr>
                <w:rFonts w:ascii="Arial;sans-serif" w:hAnsi="Arial;sans-serif"/>
                <w:b/>
                <w:sz w:val="20"/>
              </w:rPr>
              <w:t>)</w:t>
            </w:r>
          </w:p>
        </w:tc>
      </w:tr>
      <w:tr>
        <w:trPr/>
        <w:tc>
          <w:tcPr>
            <w:tcW w:w="13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170</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3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1,857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(845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988</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The accompanying notes are an integral part of the condensed consolidated financial statements.</w:t>
      </w:r>
    </w:p>
    <w:p>
      <w:pPr>
        <w:pStyle w:val="TextBody"/>
        <w:spacing w:before="180" w:after="0"/>
        <w:jc w:val="center"/>
        <w:rPr>
          <w:rFonts w:ascii="Arial;sans-serif" w:hAnsi="Arial;sans-serif"/>
          <w:b w:val="false"/>
          <w:sz w:val="20"/>
        </w:rPr>
      </w:pPr>
      <w:r>
        <w:rPr>
          <w:rFonts w:ascii="Arial;sans-serif" w:hAnsi="Arial;sans-serif"/>
          <w:b w:val="false"/>
          <w:sz w:val="20"/>
        </w:rPr>
        <w:t>6</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center"/>
        <w:rPr>
          <w:rFonts w:ascii="Arial;sans-serif" w:hAnsi="Arial;sans-serif"/>
          <w:b/>
          <w:sz w:val="20"/>
        </w:rPr>
      </w:pPr>
      <w:bookmarkStart w:id="9" w:name="notes_to_condensed_consolidated_financia"/>
      <w:bookmarkEnd w:id="9"/>
      <w:r>
        <w:rPr>
          <w:rFonts w:ascii="Arial;sans-serif" w:hAnsi="Arial;sans-serif"/>
          <w:b/>
          <w:sz w:val="20"/>
        </w:rPr>
        <w:t>Allison Transmission Holdings, Inc.</w:t>
      </w:r>
    </w:p>
    <w:p>
      <w:pPr>
        <w:pStyle w:val="TextBody"/>
        <w:spacing w:before="0" w:after="0"/>
        <w:jc w:val="center"/>
        <w:rPr>
          <w:rFonts w:ascii="Arial;sans-serif" w:hAnsi="Arial;sans-serif"/>
          <w:b/>
          <w:sz w:val="20"/>
        </w:rPr>
      </w:pPr>
      <w:r>
        <w:rPr>
          <w:rFonts w:ascii="Arial;sans-serif" w:hAnsi="Arial;sans-serif"/>
          <w:b/>
          <w:sz w:val="20"/>
        </w:rPr>
        <w:t>Notes to Condensed Consolidated Financial Statements</w:t>
      </w:r>
    </w:p>
    <w:p>
      <w:pPr>
        <w:pStyle w:val="TextBody"/>
        <w:spacing w:before="0" w:after="0"/>
        <w:jc w:val="center"/>
        <w:rPr>
          <w:rFonts w:ascii="Arial;sans-serif" w:hAnsi="Arial;sans-serif"/>
          <w:b/>
          <w:sz w:val="20"/>
        </w:rPr>
      </w:pPr>
      <w:r>
        <w:rPr>
          <w:rFonts w:ascii="Arial;sans-serif" w:hAnsi="Arial;sans-serif"/>
          <w:b/>
          <w:sz w:val="20"/>
        </w:rPr>
        <w:t>(UNAUDITED)</w:t>
      </w:r>
    </w:p>
    <w:p>
      <w:pPr>
        <w:pStyle w:val="TextBody"/>
        <w:spacing w:before="360" w:after="0"/>
        <w:jc w:val="left"/>
        <w:rPr>
          <w:rFonts w:ascii="Arial;sans-serif" w:hAnsi="Arial;sans-serif"/>
          <w:b/>
          <w:sz w:val="20"/>
        </w:rPr>
      </w:pPr>
      <w:r>
        <w:rPr>
          <w:rFonts w:ascii="Arial;sans-serif" w:hAnsi="Arial;sans-serif"/>
          <w:b/>
          <w:sz w:val="20"/>
        </w:rPr>
        <w:t>NOTE A. OVERVIEW</w:t>
      </w:r>
    </w:p>
    <w:p>
      <w:pPr>
        <w:pStyle w:val="TextBody"/>
        <w:spacing w:before="120" w:after="0"/>
        <w:jc w:val="left"/>
        <w:rPr>
          <w:rFonts w:ascii="Arial;sans-serif" w:hAnsi="Arial;sans-serif"/>
          <w:b/>
          <w:i/>
          <w:sz w:val="20"/>
        </w:rPr>
      </w:pPr>
      <w:r>
        <w:rPr>
          <w:rFonts w:ascii="Arial;sans-serif" w:hAnsi="Arial;sans-serif"/>
          <w:b/>
          <w:i/>
          <w:sz w:val="20"/>
        </w:rPr>
        <w:t>Overview</w:t>
      </w:r>
    </w:p>
    <w:p>
      <w:pPr>
        <w:pStyle w:val="TextBody"/>
        <w:spacing w:before="120" w:after="0"/>
        <w:jc w:val="left"/>
        <w:rPr>
          <w:rFonts w:ascii="Arial;sans-serif" w:hAnsi="Arial;sans-serif"/>
          <w:b w:val="false"/>
          <w:sz w:val="20"/>
        </w:rPr>
      </w:pPr>
      <w:r>
        <w:rPr>
          <w:rFonts w:ascii="Arial;sans-serif" w:hAnsi="Arial;sans-serif"/>
          <w:b w:val="false"/>
          <w:sz w:val="20"/>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pStyle w:val="TextBody"/>
        <w:spacing w:before="120" w:after="0"/>
        <w:jc w:val="left"/>
        <w:rPr>
          <w:rFonts w:ascii="Times New Roman" w:hAnsi="Times New Roman"/>
          <w:sz w:val="20"/>
        </w:rPr>
      </w:pPr>
      <w:r>
        <w:rPr>
          <w:rFonts w:ascii="Arial;sans-serif" w:hAnsi="Arial;sans-serif"/>
          <w:b w:val="false"/>
          <w:sz w:val="20"/>
        </w:rPr>
        <w:t>Although approximately 74% of revenues were generated in North America in 2022, the Company has a global presence by serving customers in Asia, Europe, South America and Africa. The Company serves customers through an independent network of approximately 1,600</w:t>
      </w:r>
      <w:r>
        <w:rPr>
          <w:rFonts w:ascii="Times New Roman" w:hAnsi="Times New Roman"/>
          <w:sz w:val="20"/>
        </w:rPr>
        <w:t xml:space="preserve"> </w:t>
      </w:r>
      <w:r>
        <w:rPr>
          <w:rFonts w:ascii="Arial;sans-serif" w:hAnsi="Arial;sans-serif"/>
          <w:b w:val="false"/>
          <w:sz w:val="20"/>
        </w:rPr>
        <w:t>independent distributor and dealer locations worldwide.</w:t>
      </w:r>
    </w:p>
    <w:p>
      <w:pPr>
        <w:pStyle w:val="TextBody"/>
        <w:spacing w:before="360" w:after="0"/>
        <w:jc w:val="left"/>
        <w:rPr>
          <w:rFonts w:ascii="Arial;sans-serif" w:hAnsi="Arial;sans-serif"/>
          <w:b/>
          <w:sz w:val="20"/>
        </w:rPr>
      </w:pPr>
      <w:r>
        <w:rPr>
          <w:rFonts w:ascii="Arial;sans-serif" w:hAnsi="Arial;sans-serif"/>
          <w:b/>
          <w:sz w:val="20"/>
        </w:rPr>
        <w:t>NOTE B. SUMMARY OF SIGNIFICANT ACCOUNTING POLICIES</w:t>
      </w:r>
    </w:p>
    <w:p>
      <w:pPr>
        <w:pStyle w:val="TextBody"/>
        <w:spacing w:before="120" w:after="0"/>
        <w:jc w:val="left"/>
        <w:rPr>
          <w:rFonts w:ascii="Arial;sans-serif" w:hAnsi="Arial;sans-serif"/>
          <w:b/>
          <w:i/>
          <w:sz w:val="20"/>
        </w:rPr>
      </w:pPr>
      <w:r>
        <w:rPr>
          <w:rFonts w:ascii="Arial;sans-serif" w:hAnsi="Arial;sans-serif"/>
          <w:b/>
          <w:i/>
          <w:sz w:val="20"/>
        </w:rPr>
        <w:t>Basis of Presentation and Principles of Consolidation</w:t>
      </w:r>
    </w:p>
    <w:p>
      <w:pPr>
        <w:pStyle w:val="TextBody"/>
        <w:spacing w:before="120" w:after="0"/>
        <w:jc w:val="left"/>
        <w:rPr>
          <w:rFonts w:ascii="Arial;sans-serif" w:hAnsi="Arial;sans-serif"/>
          <w:b w:val="false"/>
          <w:sz w:val="20"/>
        </w:rPr>
      </w:pPr>
      <w:r>
        <w:rPr>
          <w:rFonts w:ascii="Arial;sans-serif" w:hAnsi="Arial;sans-serif"/>
          <w:b w:val="false"/>
          <w:sz w:val="20"/>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pStyle w:val="TextBody"/>
        <w:spacing w:before="180" w:after="0"/>
        <w:jc w:val="center"/>
        <w:rPr>
          <w:rFonts w:ascii="Arial;sans-serif" w:hAnsi="Arial;sans-serif"/>
          <w:b w:val="false"/>
          <w:sz w:val="20"/>
        </w:rPr>
      </w:pPr>
      <w:r>
        <w:rPr>
          <w:rFonts w:ascii="Arial;sans-serif" w:hAnsi="Arial;sans-serif"/>
          <w:b w:val="false"/>
          <w:sz w:val="20"/>
        </w:rPr>
        <w:t>7</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20" w:after="0"/>
        <w:jc w:val="left"/>
        <w:rPr>
          <w:rFonts w:ascii="Arial;sans-serif" w:hAnsi="Arial;sans-serif"/>
          <w:b w:val="false"/>
          <w:sz w:val="20"/>
        </w:rPr>
      </w:pPr>
      <w:r>
        <w:rPr>
          <w:rFonts w:ascii="Arial;sans-serif" w:hAnsi="Arial;sans-serif"/>
          <w:b w:val="false"/>
          <w:sz w:val="20"/>
        </w:rPr>
        <w:t>These condensed consolidated financial statements present the financial position, results of comprehensive income, cash flows and statements of stockholders’ equity of the Company. Certain immaterial reclassifications have been made in the condensed consolidated financial statements of prior periods to conform to the current period presentation. These reclassifications had no material impact on previously reported net income, total stockholders’ equity or cash flows. The condensed consolidated financial statements should be read in conjunction with the audited consolidated financial statements included in our Annual Report on Form 10-K for the year ended December 31, 2022 as filed with the Securities and Exchange Commission on February 16, 2023. The interim period financial results for the three-month periods presented are not necessarily indicative of results to be expected for any other interim period or for the entire year.</w:t>
      </w:r>
    </w:p>
    <w:p>
      <w:pPr>
        <w:pStyle w:val="TextBody"/>
        <w:spacing w:before="120" w:after="0"/>
        <w:jc w:val="left"/>
        <w:rPr>
          <w:rFonts w:ascii="Arial;sans-serif" w:hAnsi="Arial;sans-serif"/>
          <w:b/>
          <w:i/>
          <w:sz w:val="20"/>
        </w:rPr>
      </w:pPr>
      <w:r>
        <w:rPr>
          <w:rFonts w:ascii="Arial;sans-serif" w:hAnsi="Arial;sans-serif"/>
          <w:b/>
          <w:i/>
          <w:sz w:val="20"/>
        </w:rPr>
        <w:t>Use of Estimates</w:t>
      </w:r>
    </w:p>
    <w:p>
      <w:pPr>
        <w:pStyle w:val="TextBody"/>
        <w:spacing w:before="120" w:after="0"/>
        <w:jc w:val="left"/>
        <w:rPr>
          <w:rFonts w:ascii="Arial;sans-serif" w:hAnsi="Arial;sans-serif"/>
          <w:b w:val="false"/>
          <w:sz w:val="20"/>
        </w:rPr>
      </w:pPr>
      <w:r>
        <w:rPr>
          <w:rFonts w:ascii="Arial;sans-serif" w:hAnsi="Arial;sans-serif"/>
          <w:b w:val="false"/>
          <w:sz w:val="20"/>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environmental liabilities, determination of discount rate and other assumptions for pension and other post-retirement benefit ("OPEB")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Due to the uncertainty surrounding global economic conditions, including as a result of government actions to control inflation, the war in Ukraine and the ongoing effects of the COVID-19 pandemic, and the resulting impacts on the Company's supply chain, demand for its products, foreign exchange rates, interest rates and the cost and availability of raw materials, labor, energy and transport, actual results could differ materially from these estimates and assumptions used in preparation of the financial statements including, but not limited to, future cash flows associated with goodwill, indefinite-lived intangibles, definite-lived intangibles, long-lived asset impairment tests, determination of discount rate and other assumptions for pension and OPEB expense and income taxes. Changes in estimates are recorded in results of operations in the period that the events or circumstances giving rise to such changes occur.</w:t>
      </w:r>
    </w:p>
    <w:p>
      <w:pPr>
        <w:pStyle w:val="TextBody"/>
        <w:spacing w:before="12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8</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NOTE C. REVENUE</w:t>
      </w:r>
    </w:p>
    <w:p>
      <w:pPr>
        <w:pStyle w:val="TextBody"/>
        <w:spacing w:before="120" w:after="0"/>
        <w:jc w:val="left"/>
        <w:rPr>
          <w:rFonts w:ascii="Arial;sans-serif" w:hAnsi="Arial;sans-serif"/>
          <w:b w:val="false"/>
          <w:sz w:val="20"/>
        </w:rPr>
      </w:pPr>
      <w:r>
        <w:rPr>
          <w:rFonts w:ascii="Arial;sans-serif" w:hAnsi="Arial;sans-serif"/>
          <w:b w:val="false"/>
          <w:sz w:val="20"/>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pStyle w:val="TextBody"/>
        <w:spacing w:before="120" w:after="0"/>
        <w:jc w:val="left"/>
        <w:rPr>
          <w:rFonts w:ascii="Arial;sans-serif" w:hAnsi="Arial;sans-serif"/>
          <w:b w:val="false"/>
          <w:sz w:val="20"/>
        </w:rPr>
      </w:pPr>
      <w:r>
        <w:rPr>
          <w:rFonts w:ascii="Arial;sans-serif" w:hAnsi="Arial;sans-serif"/>
          <w:b w:val="false"/>
          <w:sz w:val="20"/>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pStyle w:val="TextBody"/>
        <w:spacing w:before="120" w:after="0"/>
        <w:jc w:val="left"/>
        <w:rPr>
          <w:rFonts w:ascii="Times New Roman" w:hAnsi="Times New Roman"/>
          <w:sz w:val="20"/>
        </w:rPr>
      </w:pPr>
      <w:r>
        <w:rPr>
          <w:rFonts w:ascii="Arial;sans-serif" w:hAnsi="Arial;sans-serif"/>
          <w:b w:val="false"/>
          <w:sz w:val="20"/>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w:t>
      </w:r>
      <w:r>
        <w:rPr>
          <w:rFonts w:ascii="Times New Roman" w:hAnsi="Times New Roman"/>
          <w:sz w:val="20"/>
        </w:rPr>
        <w:t xml:space="preserve"> </w:t>
      </w:r>
      <w:r>
        <w:rPr>
          <w:rFonts w:ascii="Arial;sans-serif" w:hAnsi="Arial;sans-serif"/>
          <w:b w:val="false"/>
          <w:sz w:val="20"/>
        </w:rPr>
        <w:t>material adjustments based on variable consideration for either of the three months ended March 31, 2023 or 2022.</w:t>
      </w:r>
    </w:p>
    <w:p>
      <w:pPr>
        <w:pStyle w:val="TextBody"/>
        <w:spacing w:before="120" w:after="0"/>
        <w:jc w:val="left"/>
        <w:rPr>
          <w:rFonts w:ascii="Times New Roman" w:hAnsi="Times New Roman"/>
          <w:sz w:val="20"/>
        </w:rPr>
      </w:pPr>
      <w:r>
        <w:rPr>
          <w:rFonts w:ascii="Arial;sans-serif" w:hAnsi="Arial;sans-serif"/>
          <w:b w:val="false"/>
          <w:sz w:val="20"/>
        </w:rPr>
        <w:t>Net sales are made on credit terms, generally 30</w:t>
      </w:r>
      <w:r>
        <w:rPr>
          <w:rFonts w:ascii="Times New Roman" w:hAnsi="Times New Roman"/>
          <w:sz w:val="20"/>
        </w:rPr>
        <w:t xml:space="preserve"> </w:t>
      </w:r>
      <w:r>
        <w:rPr>
          <w:rFonts w:ascii="Arial;sans-serif" w:hAnsi="Arial;sans-serif"/>
          <w:b w:val="false"/>
          <w:sz w:val="20"/>
        </w:rPr>
        <w:t>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March 31, 2023 and December 31, 2022. See "Note J. Deferred Revenue” for more information, including the amount of revenue earned during each of the three months ended March 31, 2023 and 2022 that had been previously deferred. The Company had no</w:t>
      </w:r>
      <w:r>
        <w:rPr>
          <w:rFonts w:ascii="Times New Roman" w:hAnsi="Times New Roman"/>
          <w:sz w:val="20"/>
        </w:rPr>
        <w:t xml:space="preserve"> </w:t>
      </w:r>
      <w:r>
        <w:rPr>
          <w:rFonts w:ascii="Arial;sans-serif" w:hAnsi="Arial;sans-serif"/>
          <w:b w:val="false"/>
          <w:sz w:val="20"/>
        </w:rPr>
        <w:t>material contract assets as of either March 31, 2023 or December 31, 2022.</w:t>
      </w:r>
    </w:p>
    <w:p>
      <w:pPr>
        <w:pStyle w:val="TextBody"/>
        <w:spacing w:before="120" w:after="0"/>
        <w:jc w:val="left"/>
        <w:rPr>
          <w:rFonts w:ascii="Times New Roman" w:hAnsi="Times New Roman"/>
          <w:sz w:val="20"/>
        </w:rPr>
      </w:pPr>
      <w:r>
        <w:rPr>
          <w:rFonts w:ascii="Arial;sans-serif" w:hAnsi="Arial;sans-serif"/>
          <w:b w:val="false"/>
          <w:sz w:val="20"/>
        </w:rPr>
        <w:t>The Company has one</w:t>
      </w:r>
      <w:r>
        <w:rPr>
          <w:rFonts w:ascii="Times New Roman" w:hAnsi="Times New Roman"/>
          <w:sz w:val="20"/>
        </w:rPr>
        <w:t xml:space="preserve"> </w:t>
      </w:r>
      <w:r>
        <w:rPr>
          <w:rFonts w:ascii="Arial;sans-serif" w:hAnsi="Arial;sans-serif"/>
          <w:b w:val="false"/>
          <w:sz w:val="20"/>
        </w:rPr>
        <w:t>operating segment and reportable segment. The Company is in one</w:t>
      </w:r>
      <w:r>
        <w:rPr>
          <w:rFonts w:ascii="Times New Roman" w:hAnsi="Times New Roman"/>
          <w:sz w:val="20"/>
        </w:rPr>
        <w:t xml:space="preserve"> </w:t>
      </w:r>
      <w:r>
        <w:rPr>
          <w:rFonts w:ascii="Arial;sans-serif" w:hAnsi="Arial;sans-serif"/>
          <w:b w:val="false"/>
          <w:sz w:val="20"/>
        </w:rPr>
        <w:t>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pStyle w:val="TextBody"/>
        <w:spacing w:before="0" w:after="0"/>
        <w:jc w:val="left"/>
        <w:rPr/>
      </w:pPr>
      <w:r>
        <w:rPr/>
        <w:t> </w:t>
      </w:r>
    </w:p>
    <w:tbl>
      <w:tblPr>
        <w:tblW w:w="6891" w:type="dxa"/>
        <w:jc w:val="left"/>
        <w:tblInd w:w="0" w:type="dxa"/>
        <w:tblCellMar>
          <w:top w:w="28" w:type="dxa"/>
          <w:left w:w="28" w:type="dxa"/>
          <w:bottom w:w="28" w:type="dxa"/>
          <w:right w:w="28" w:type="dxa"/>
        </w:tblCellMar>
      </w:tblPr>
      <w:tblGrid>
        <w:gridCol w:w="4006"/>
        <w:gridCol w:w="146"/>
        <w:gridCol w:w="345"/>
        <w:gridCol w:w="690"/>
        <w:gridCol w:w="239"/>
        <w:gridCol w:w="239"/>
        <w:gridCol w:w="345"/>
        <w:gridCol w:w="690"/>
        <w:gridCol w:w="191"/>
      </w:tblGrid>
      <w:tr>
        <w:trPr/>
        <w:tc>
          <w:tcPr>
            <w:tcW w:w="4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North America On-Highway</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376</w:t>
            </w:r>
          </w:p>
        </w:tc>
        <w:tc>
          <w:tcPr>
            <w:tcW w:w="239"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346</w:t>
            </w:r>
          </w:p>
        </w:tc>
        <w:tc>
          <w:tcPr>
            <w:tcW w:w="191" w:type="dxa"/>
            <w:tcBorders/>
            <w:shd w:fill="auto" w:val="cle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North America Off-Highway</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w:t>
            </w:r>
          </w:p>
        </w:tc>
        <w:tc>
          <w:tcPr>
            <w:tcW w:w="239"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191" w:type="dxa"/>
            <w:tcBorders/>
            <w:shd w:fill="auto" w:val="cle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Defense</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w:t>
            </w:r>
          </w:p>
        </w:tc>
        <w:tc>
          <w:tcPr>
            <w:tcW w:w="239"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w:t>
            </w:r>
          </w:p>
        </w:tc>
        <w:tc>
          <w:tcPr>
            <w:tcW w:w="191" w:type="dxa"/>
            <w:tcBorders/>
            <w:shd w:fill="auto" w:val="cle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Outside North America On-Highway</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108</w:t>
            </w:r>
          </w:p>
        </w:tc>
        <w:tc>
          <w:tcPr>
            <w:tcW w:w="239"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w:t>
            </w:r>
          </w:p>
        </w:tc>
        <w:tc>
          <w:tcPr>
            <w:tcW w:w="191" w:type="dxa"/>
            <w:tcBorders/>
            <w:shd w:fill="auto" w:val="cle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Outside North America Off-Highway</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w:t>
            </w:r>
          </w:p>
        </w:tc>
        <w:tc>
          <w:tcPr>
            <w:tcW w:w="239"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w:t>
            </w:r>
          </w:p>
        </w:tc>
        <w:tc>
          <w:tcPr>
            <w:tcW w:w="191" w:type="dxa"/>
            <w:tcBorders/>
            <w:shd w:fill="auto" w:val="cle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Service Parts, Support Equipment and Other</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183</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Net Sales</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741</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9</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NOTE D. INVENTORIES</w:t>
      </w:r>
    </w:p>
    <w:p>
      <w:pPr>
        <w:pStyle w:val="TextBody"/>
        <w:spacing w:before="120" w:after="0"/>
        <w:jc w:val="left"/>
        <w:rPr>
          <w:rFonts w:ascii="Arial;sans-serif" w:hAnsi="Arial;sans-serif"/>
          <w:b w:val="false"/>
          <w:sz w:val="20"/>
        </w:rPr>
      </w:pPr>
      <w:r>
        <w:rPr>
          <w:rFonts w:ascii="Arial;sans-serif" w:hAnsi="Arial;sans-serif"/>
          <w:b w:val="false"/>
          <w:sz w:val="20"/>
        </w:rPr>
        <w:t>Inventories consisted of the following components (dollars in millions):</w:t>
      </w:r>
    </w:p>
    <w:p>
      <w:pPr>
        <w:pStyle w:val="TextBody"/>
        <w:spacing w:before="0" w:after="0"/>
        <w:jc w:val="left"/>
        <w:rPr/>
      </w:pPr>
      <w:r>
        <w:rPr/>
        <w:t> </w:t>
      </w:r>
    </w:p>
    <w:tbl>
      <w:tblPr>
        <w:tblW w:w="6070" w:type="dxa"/>
        <w:jc w:val="left"/>
        <w:tblInd w:w="0" w:type="dxa"/>
        <w:tblCellMar>
          <w:top w:w="28" w:type="dxa"/>
          <w:left w:w="28" w:type="dxa"/>
          <w:bottom w:w="28" w:type="dxa"/>
          <w:right w:w="28" w:type="dxa"/>
        </w:tblCellMar>
      </w:tblPr>
      <w:tblGrid>
        <w:gridCol w:w="3136"/>
        <w:gridCol w:w="146"/>
        <w:gridCol w:w="285"/>
        <w:gridCol w:w="570"/>
        <w:gridCol w:w="146"/>
        <w:gridCol w:w="146"/>
        <w:gridCol w:w="389"/>
        <w:gridCol w:w="781"/>
        <w:gridCol w:w="471"/>
      </w:tblGrid>
      <w:tr>
        <w:trPr/>
        <w:tc>
          <w:tcPr>
            <w:tcW w:w="31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1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Purchased parts and raw materials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7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115</w:t>
            </w:r>
          </w:p>
        </w:tc>
        <w:tc>
          <w:tcPr>
            <w:tcW w:w="47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Work in progress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9"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47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Service parts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9"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47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Finished goods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313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inventories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224</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pStyle w:val="TextBody"/>
        <w:spacing w:before="360" w:after="0"/>
        <w:jc w:val="left"/>
        <w:rPr>
          <w:rFonts w:ascii="Arial;sans-serif" w:hAnsi="Arial;sans-serif"/>
          <w:b/>
          <w:sz w:val="20"/>
        </w:rPr>
      </w:pPr>
      <w:r>
        <w:rPr>
          <w:rFonts w:ascii="Arial;sans-serif" w:hAnsi="Arial;sans-serif"/>
          <w:b/>
          <w:sz w:val="20"/>
        </w:rPr>
        <w:t>NOTE E. GOODWILL AND OTHER INTANGIBLE ASSETS</w:t>
      </w:r>
    </w:p>
    <w:p>
      <w:pPr>
        <w:pStyle w:val="TextBody"/>
        <w:spacing w:before="120" w:after="0"/>
        <w:jc w:val="left"/>
        <w:rPr>
          <w:rFonts w:ascii="Times New Roman" w:hAnsi="Times New Roman"/>
          <w:sz w:val="20"/>
        </w:rPr>
      </w:pPr>
      <w:r>
        <w:rPr>
          <w:rFonts w:ascii="Arial;sans-serif" w:hAnsi="Arial;sans-serif"/>
          <w:b w:val="false"/>
          <w:sz w:val="20"/>
        </w:rPr>
        <w:t>As of both March 31, 2023 and December 31, 2022, the carrying value of the Company’s Goodwill was $2,075</w:t>
      </w:r>
      <w:r>
        <w:rPr>
          <w:rFonts w:ascii="Times New Roman" w:hAnsi="Times New Roman"/>
          <w:sz w:val="20"/>
        </w:rPr>
        <w:t xml:space="preserve"> </w:t>
      </w:r>
      <w:r>
        <w:rPr>
          <w:rFonts w:ascii="Arial;sans-serif" w:hAnsi="Arial;sans-serif"/>
          <w:b w:val="false"/>
          <w:sz w:val="20"/>
        </w:rPr>
        <w:t>million.</w:t>
      </w:r>
    </w:p>
    <w:p>
      <w:pPr>
        <w:pStyle w:val="TextBody"/>
        <w:spacing w:before="120" w:after="0"/>
        <w:jc w:val="left"/>
        <w:rPr>
          <w:rFonts w:ascii="Arial;sans-serif" w:hAnsi="Arial;sans-serif"/>
          <w:b w:val="false"/>
          <w:sz w:val="20"/>
        </w:rPr>
      </w:pPr>
      <w:r>
        <w:rPr>
          <w:rFonts w:ascii="Arial;sans-serif" w:hAnsi="Arial;sans-serif"/>
          <w:b w:val="false"/>
          <w:sz w:val="20"/>
        </w:rPr>
        <w:t>The following presents a summary of other intangible assets (dollars in millions):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987"/>
        <w:gridCol w:w="146"/>
        <w:gridCol w:w="257"/>
        <w:gridCol w:w="718"/>
        <w:gridCol w:w="146"/>
        <w:gridCol w:w="146"/>
        <w:gridCol w:w="284"/>
        <w:gridCol w:w="872"/>
        <w:gridCol w:w="166"/>
        <w:gridCol w:w="146"/>
        <w:gridCol w:w="305"/>
        <w:gridCol w:w="612"/>
        <w:gridCol w:w="146"/>
        <w:gridCol w:w="146"/>
        <w:gridCol w:w="257"/>
        <w:gridCol w:w="718"/>
        <w:gridCol w:w="146"/>
        <w:gridCol w:w="146"/>
        <w:gridCol w:w="284"/>
        <w:gridCol w:w="872"/>
        <w:gridCol w:w="166"/>
        <w:gridCol w:w="146"/>
        <w:gridCol w:w="305"/>
        <w:gridCol w:w="612"/>
        <w:gridCol w:w="476"/>
      </w:tblGrid>
      <w:tr>
        <w:trPr/>
        <w:tc>
          <w:tcPr>
            <w:tcW w:w="19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r>
      <w:tr>
        <w:trPr/>
        <w:tc>
          <w:tcPr>
            <w:tcW w:w="198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52"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2"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 2022</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8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Intangible</w:t>
              <w:br/>
              <w:t>assets, gross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Intangible</w:t>
              <w:br/>
              <w:t>assets, net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Intangible</w:t>
              <w:br/>
              <w:t>assets, gross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Intangible</w:t>
              <w:br/>
              <w:t>assets, net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8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intangible assets:</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7" w:type="dxa"/>
            <w:gridSpan w:val="2"/>
            <w:tcBorders/>
            <w:shd w:fill="auto" w:val="clear"/>
            <w:vAlign w:val="center"/>
          </w:tcPr>
          <w:p>
            <w:pPr>
              <w:pStyle w:val="TableContents"/>
              <w:spacing w:before="0" w:after="0"/>
              <w:ind w:left="0" w:right="0" w:hanging="0"/>
              <w:jc w:val="right"/>
              <w:rPr/>
            </w:pPr>
            <w:r>
              <w:rPr/>
              <w:t> </w:t>
            </w:r>
          </w:p>
        </w:tc>
        <w:tc>
          <w:tcPr>
            <w:tcW w:w="476" w:type="dxa"/>
            <w:tcBorders/>
            <w:shd w:fill="auto" w:val="clear"/>
            <w:vAlign w:val="center"/>
          </w:tcPr>
          <w:p>
            <w:pPr>
              <w:pStyle w:val="TableContents"/>
              <w:spacing w:before="0" w:after="0"/>
              <w:ind w:left="0" w:right="0" w:hanging="0"/>
              <w:jc w:val="right"/>
              <w:rPr/>
            </w:pPr>
            <w:r>
              <w:rPr/>
              <w:t> </w:t>
            </w:r>
          </w:p>
        </w:tc>
      </w:tr>
      <w:tr>
        <w:trPr/>
        <w:tc>
          <w:tcPr>
            <w:tcW w:w="198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Trade name</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1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1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1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791</w:t>
            </w:r>
          </w:p>
        </w:tc>
        <w:tc>
          <w:tcPr>
            <w:tcW w:w="476" w:type="dxa"/>
            <w:tcBorders/>
            <w:shd w:fill="auto" w:val="clear"/>
            <w:vAlign w:val="center"/>
          </w:tcPr>
          <w:p>
            <w:pPr>
              <w:pStyle w:val="TableContents"/>
              <w:spacing w:before="0" w:after="0"/>
              <w:ind w:left="0" w:right="0" w:hanging="0"/>
              <w:jc w:val="left"/>
              <w:rPr/>
            </w:pPr>
            <w:r>
              <w:rPr/>
              <w:t> </w:t>
            </w:r>
          </w:p>
        </w:tc>
      </w:tr>
      <w:tr>
        <w:trPr/>
        <w:tc>
          <w:tcPr>
            <w:tcW w:w="198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In-process 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w:t>
            </w:r>
          </w:p>
        </w:tc>
        <w:tc>
          <w:tcPr>
            <w:tcW w:w="476" w:type="dxa"/>
            <w:tcBorders/>
            <w:shd w:fill="auto" w:val="clear"/>
            <w:vAlign w:val="center"/>
          </w:tcPr>
          <w:p>
            <w:pPr>
              <w:pStyle w:val="TableContents"/>
              <w:spacing w:before="0" w:after="0"/>
              <w:ind w:left="0" w:right="0" w:hanging="0"/>
              <w:jc w:val="left"/>
              <w:rPr/>
            </w:pPr>
            <w:r>
              <w:rPr/>
              <w:t> </w:t>
            </w:r>
          </w:p>
        </w:tc>
      </w:tr>
      <w:tr>
        <w:trPr/>
        <w:tc>
          <w:tcPr>
            <w:tcW w:w="198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Customer relationships — commercial</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(802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(793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w:t>
            </w:r>
          </w:p>
        </w:tc>
        <w:tc>
          <w:tcPr>
            <w:tcW w:w="476" w:type="dxa"/>
            <w:tcBorders/>
            <w:shd w:fill="auto" w:val="clear"/>
            <w:vAlign w:val="center"/>
          </w:tcPr>
          <w:p>
            <w:pPr>
              <w:pStyle w:val="TableContents"/>
              <w:spacing w:before="0" w:after="0"/>
              <w:ind w:left="0" w:right="0" w:hanging="0"/>
              <w:jc w:val="left"/>
              <w:rPr/>
            </w:pPr>
            <w:r>
              <w:rPr/>
              <w:t> </w:t>
            </w:r>
          </w:p>
        </w:tc>
      </w:tr>
      <w:tr>
        <w:trPr/>
        <w:tc>
          <w:tcPr>
            <w:tcW w:w="198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Proprietary technology</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(478</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476" w:type="dxa"/>
            <w:tcBorders/>
            <w:shd w:fill="auto" w:val="clear"/>
            <w:vAlign w:val="center"/>
          </w:tcPr>
          <w:p>
            <w:pPr>
              <w:pStyle w:val="TableContents"/>
              <w:spacing w:before="0" w:after="0"/>
              <w:ind w:left="0" w:right="0" w:hanging="0"/>
              <w:jc w:val="left"/>
              <w:rPr/>
            </w:pPr>
            <w:r>
              <w:rPr/>
              <w:t> </w:t>
            </w:r>
          </w:p>
        </w:tc>
      </w:tr>
      <w:tr>
        <w:trPr/>
        <w:tc>
          <w:tcPr>
            <w:tcW w:w="198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Customer relationships — defense</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(54</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476" w:type="dxa"/>
            <w:tcBorders/>
            <w:shd w:fill="auto" w:val="clear"/>
            <w:vAlign w:val="center"/>
          </w:tcPr>
          <w:p>
            <w:pPr>
              <w:pStyle w:val="TableContents"/>
              <w:spacing w:before="0" w:after="0"/>
              <w:ind w:left="0" w:right="0" w:hanging="0"/>
              <w:jc w:val="left"/>
              <w:rPr/>
            </w:pPr>
            <w:r>
              <w:rPr/>
              <w:t> </w:t>
            </w:r>
          </w:p>
        </w:tc>
      </w:tr>
      <w:tr>
        <w:trPr/>
        <w:tc>
          <w:tcPr>
            <w:tcW w:w="198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Non-compete agreements</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1987"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2,202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8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(1,335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2,202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878</w:t>
            </w:r>
          </w:p>
        </w:tc>
        <w:tc>
          <w:tcPr>
            <w:tcW w:w="4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As of March 31, 2023 and December 31, 2022, the carrying value of the Company’s Goodwill and Intangible assets, net was $2,942</w:t>
      </w:r>
      <w:r>
        <w:rPr>
          <w:rFonts w:ascii="Times New Roman" w:hAnsi="Times New Roman"/>
          <w:sz w:val="20"/>
        </w:rPr>
        <w:t xml:space="preserve"> </w:t>
      </w:r>
      <w:r>
        <w:rPr>
          <w:rFonts w:ascii="Arial;sans-serif" w:hAnsi="Arial;sans-serif"/>
          <w:b w:val="false"/>
          <w:sz w:val="20"/>
        </w:rPr>
        <w:t>million and $2,953</w:t>
      </w:r>
      <w:r>
        <w:rPr>
          <w:rFonts w:ascii="Times New Roman" w:hAnsi="Times New Roman"/>
          <w:sz w:val="20"/>
        </w:rPr>
        <w:t xml:space="preserve"> </w:t>
      </w:r>
      <w:r>
        <w:rPr>
          <w:rFonts w:ascii="Arial;sans-serif" w:hAnsi="Arial;sans-serif"/>
          <w:b w:val="false"/>
          <w:sz w:val="20"/>
        </w:rPr>
        <w:t>million, respectively.</w:t>
      </w:r>
      <w:r>
        <w:rPr>
          <w:rFonts w:ascii="Times New Roman" w:hAnsi="Times New Roman"/>
          <w:sz w:val="20"/>
        </w:rPr>
        <w:t xml:space="preserve"> </w:t>
      </w:r>
    </w:p>
    <w:p>
      <w:pPr>
        <w:pStyle w:val="TextBody"/>
        <w:spacing w:before="120" w:after="0"/>
        <w:jc w:val="left"/>
        <w:rPr>
          <w:rFonts w:ascii="Arial;sans-serif" w:hAnsi="Arial;sans-serif"/>
          <w:b w:val="false"/>
          <w:sz w:val="20"/>
        </w:rPr>
      </w:pPr>
      <w:r>
        <w:rPr>
          <w:rFonts w:ascii="Arial;sans-serif" w:hAnsi="Arial;sans-serif"/>
          <w:b w:val="false"/>
          <w:sz w:val="20"/>
        </w:rPr>
        <w:t>Amortization expense related to other intangible assets for the next five fiscal years is expected to be (dollars in millions):</w:t>
      </w:r>
    </w:p>
    <w:p>
      <w:pPr>
        <w:pStyle w:val="TextBody"/>
        <w:spacing w:before="0" w:after="0"/>
        <w:jc w:val="left"/>
        <w:rPr/>
      </w:pPr>
      <w:r>
        <w:rPr/>
        <w:t> </w:t>
      </w:r>
    </w:p>
    <w:tbl>
      <w:tblPr>
        <w:tblW w:w="5846" w:type="dxa"/>
        <w:jc w:val="left"/>
        <w:tblInd w:w="0" w:type="dxa"/>
        <w:tblCellMar>
          <w:top w:w="28" w:type="dxa"/>
          <w:left w:w="28" w:type="dxa"/>
          <w:bottom w:w="28" w:type="dxa"/>
          <w:right w:w="28" w:type="dxa"/>
        </w:tblCellMar>
      </w:tblPr>
      <w:tblGrid>
        <w:gridCol w:w="2011"/>
        <w:gridCol w:w="146"/>
        <w:gridCol w:w="233"/>
        <w:gridCol w:w="233"/>
        <w:gridCol w:w="146"/>
        <w:gridCol w:w="146"/>
        <w:gridCol w:w="233"/>
        <w:gridCol w:w="233"/>
        <w:gridCol w:w="146"/>
        <w:gridCol w:w="146"/>
        <w:gridCol w:w="233"/>
        <w:gridCol w:w="233"/>
        <w:gridCol w:w="146"/>
        <w:gridCol w:w="146"/>
        <w:gridCol w:w="233"/>
        <w:gridCol w:w="233"/>
        <w:gridCol w:w="146"/>
        <w:gridCol w:w="146"/>
        <w:gridCol w:w="233"/>
        <w:gridCol w:w="233"/>
        <w:gridCol w:w="191"/>
      </w:tblGrid>
      <w:tr>
        <w:trPr/>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Amortization expense</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NOTE F. FAIR VALUE OF FINANCIAL INSTRUMENTS</w:t>
      </w:r>
    </w:p>
    <w:p>
      <w:pPr>
        <w:pStyle w:val="TextBody"/>
        <w:spacing w:before="180" w:after="0"/>
        <w:jc w:val="left"/>
        <w:rPr>
          <w:rFonts w:ascii="Arial;sans-serif" w:hAnsi="Arial;sans-serif"/>
          <w:b w:val="false"/>
          <w:sz w:val="20"/>
        </w:rPr>
      </w:pPr>
      <w:r>
        <w:rPr>
          <w:rFonts w:ascii="Arial;sans-serif" w:hAnsi="Arial;sans-serif"/>
          <w:b w:val="false"/>
          <w:sz w:val="20"/>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pStyle w:val="TextBody"/>
        <w:spacing w:before="180" w:after="0"/>
        <w:jc w:val="center"/>
        <w:rPr>
          <w:rFonts w:ascii="Arial;sans-serif" w:hAnsi="Arial;sans-serif"/>
          <w:b w:val="false"/>
          <w:sz w:val="20"/>
        </w:rPr>
      </w:pPr>
      <w:r>
        <w:rPr>
          <w:rFonts w:ascii="Arial;sans-serif" w:hAnsi="Arial;sans-serif"/>
          <w:b w:val="false"/>
          <w:sz w:val="20"/>
        </w:rPr>
        <w:t>10</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80" w:after="0"/>
        <w:jc w:val="left"/>
        <w:rPr>
          <w:rFonts w:ascii="Times New Roman" w:hAnsi="Times New Roman"/>
          <w:sz w:val="20"/>
        </w:rPr>
      </w:pPr>
      <w:r>
        <w:rPr>
          <w:rFonts w:ascii="Arial;sans-serif" w:hAnsi="Arial;sans-serif"/>
          <w:b w:val="false"/>
          <w:sz w:val="20"/>
        </w:rPr>
        <w:t>Level 1 — Quoted prices are available in active markets for identical assets or liabilities as of the reporting date.</w:t>
      </w:r>
      <w:r>
        <w:rPr>
          <w:rFonts w:ascii="Times New Roman" w:hAnsi="Times New Roman"/>
          <w:sz w:val="20"/>
        </w:rPr>
        <w:t xml:space="preserve"> </w:t>
      </w:r>
    </w:p>
    <w:p>
      <w:pPr>
        <w:pStyle w:val="TextBody"/>
        <w:spacing w:before="120" w:after="0"/>
        <w:jc w:val="left"/>
        <w:rPr>
          <w:rFonts w:ascii="Arial;sans-serif" w:hAnsi="Arial;sans-serif"/>
          <w:b w:val="false"/>
          <w:sz w:val="20"/>
        </w:rPr>
      </w:pPr>
      <w:r>
        <w:rPr>
          <w:rFonts w:ascii="Arial;sans-serif" w:hAnsi="Arial;sans-serif"/>
          <w:b w:val="false"/>
          <w:sz w:val="20"/>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pStyle w:val="TextBody"/>
        <w:spacing w:before="120" w:after="0"/>
        <w:jc w:val="left"/>
        <w:rPr>
          <w:rFonts w:ascii="Arial;sans-serif" w:hAnsi="Arial;sans-serif"/>
          <w:b w:val="false"/>
          <w:sz w:val="20"/>
        </w:rPr>
      </w:pPr>
      <w:r>
        <w:rPr>
          <w:rFonts w:ascii="Arial;sans-serif" w:hAnsi="Arial;sans-serif"/>
          <w:b w:val="false"/>
          <w:sz w:val="20"/>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2023 and December 31, 2022, the Company did not have any Level 3 financial assets or liabilities.</w:t>
      </w:r>
    </w:p>
    <w:p>
      <w:pPr>
        <w:pStyle w:val="TextBody"/>
        <w:spacing w:before="180" w:after="0"/>
        <w:jc w:val="left"/>
        <w:rPr>
          <w:rFonts w:ascii="Arial;sans-serif" w:hAnsi="Arial;sans-serif"/>
          <w:b w:val="false"/>
          <w:sz w:val="20"/>
        </w:rPr>
      </w:pPr>
      <w:r>
        <w:rPr>
          <w:rFonts w:ascii="Arial;sans-serif" w:hAnsi="Arial;sans-serif"/>
          <w:b w:val="false"/>
          <w:sz w:val="20"/>
        </w:rPr>
        <w:t>The Company’s assets and liabilities that are measured at fair value include cash equivalents, marketable securities, derivative instruments, assets held in a rabbi trust and a deferred compensation obligation. The Company’s cash equivalents consist of short-term U.S. government backed securities. The Company's marketable securities consist of publicly traded stock of Jing-Jin Electric Technologies Co. Ltd., which has a readily determinable fair value.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pStyle w:val="TextBody"/>
        <w:spacing w:before="120" w:after="0"/>
        <w:jc w:val="left"/>
        <w:rPr>
          <w:rFonts w:ascii="Times New Roman" w:hAnsi="Times New Roman"/>
          <w:sz w:val="20"/>
        </w:rPr>
      </w:pPr>
      <w:r>
        <w:rPr>
          <w:rFonts w:ascii="Arial;sans-serif" w:hAnsi="Arial;sans-serif"/>
          <w:b w:val="false"/>
          <w:sz w:val="20"/>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w:t>
      </w:r>
      <w:r>
        <w:rPr>
          <w:rFonts w:ascii="Times New Roman" w:hAnsi="Times New Roman"/>
          <w:sz w:val="20"/>
        </w:rPr>
        <w:t xml:space="preserve"> </w:t>
      </w:r>
    </w:p>
    <w:p>
      <w:pPr>
        <w:pStyle w:val="TextBody"/>
        <w:spacing w:before="120" w:after="0"/>
        <w:jc w:val="left"/>
        <w:rPr>
          <w:rFonts w:ascii="Arial;sans-serif" w:hAnsi="Arial;sans-serif"/>
          <w:b w:val="false"/>
          <w:sz w:val="20"/>
        </w:rPr>
      </w:pPr>
      <w:r>
        <w:rPr>
          <w:rFonts w:ascii="Arial;sans-serif" w:hAnsi="Arial;sans-serif"/>
          <w:b w:val="false"/>
          <w:sz w:val="20"/>
        </w:rPr>
        <w:t>The Company’s valuation techniques used to calculate the fair value of derivative instruments represent a market approach with observable inputs that qualify as Level 2 in the fair value hierarchy. The Company uses valuations from the issuing financial institutions for the fair value measurement of interest rate swaps. The floating-to-fixed interest rate swaps are based on the London Interbank Offered Rate ("LIBOR"), which is observable at commonly quoted intervals. The fair values are included in other current and non-current assets and liabilities in the Condensed Consolidated Balance Sheets. See "Note H. Derivatives” for more information regarding the Company's interest rate swaps.</w:t>
      </w:r>
    </w:p>
    <w:p>
      <w:pPr>
        <w:pStyle w:val="TextBody"/>
        <w:spacing w:before="120" w:after="0"/>
        <w:jc w:val="left"/>
        <w:rPr>
          <w:rFonts w:ascii="Arial;sans-serif" w:hAnsi="Arial;sans-serif"/>
          <w:b w:val="false"/>
          <w:sz w:val="20"/>
        </w:rPr>
      </w:pPr>
      <w:r>
        <w:rPr>
          <w:rFonts w:ascii="Arial;sans-serif" w:hAnsi="Arial;sans-serif"/>
          <w:b w:val="false"/>
          <w:sz w:val="20"/>
        </w:rPr>
        <w:t>The following table summarizes the fair value of the Company’s financial assets and (liabilities) as of March 31, 2023 and December 31, 2022 (dollars in millions):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431"/>
        <w:gridCol w:w="146"/>
        <w:gridCol w:w="259"/>
        <w:gridCol w:w="518"/>
        <w:gridCol w:w="192"/>
        <w:gridCol w:w="169"/>
        <w:gridCol w:w="358"/>
        <w:gridCol w:w="718"/>
        <w:gridCol w:w="166"/>
        <w:gridCol w:w="146"/>
        <w:gridCol w:w="292"/>
        <w:gridCol w:w="468"/>
        <w:gridCol w:w="156"/>
        <w:gridCol w:w="156"/>
        <w:gridCol w:w="407"/>
        <w:gridCol w:w="668"/>
        <w:gridCol w:w="146"/>
        <w:gridCol w:w="146"/>
        <w:gridCol w:w="259"/>
        <w:gridCol w:w="518"/>
        <w:gridCol w:w="166"/>
        <w:gridCol w:w="146"/>
        <w:gridCol w:w="358"/>
        <w:gridCol w:w="718"/>
        <w:gridCol w:w="498"/>
      </w:tblGrid>
      <w:tr>
        <w:trPr/>
        <w:tc>
          <w:tcPr>
            <w:tcW w:w="24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30"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Fair Value Measurements Using</w:t>
            </w:r>
          </w:p>
        </w:tc>
        <w:tc>
          <w:tcPr>
            <w:tcW w:w="4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Quoted Prices in Active</w:t>
              <w:br/>
              <w:t>Markets for Identical</w:t>
              <w:br/>
              <w:t>Assets (Level 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4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Significant Other</w:t>
              <w:br/>
              <w:t>Observable Inputs</w:t>
              <w:b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6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w:t>
            </w:r>
          </w:p>
        </w:tc>
        <w:tc>
          <w:tcPr>
            <w:tcW w:w="4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4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1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202</w:t>
            </w:r>
          </w:p>
        </w:tc>
        <w:tc>
          <w:tcPr>
            <w:tcW w:w="192"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68" w:type="dxa"/>
            <w:tcBorders/>
            <w:shd w:fill="auto" w:val="clear"/>
            <w:vAlign w:val="center"/>
          </w:tcPr>
          <w:p>
            <w:pPr>
              <w:pStyle w:val="TableContents"/>
              <w:spacing w:before="0" w:after="0"/>
              <w:ind w:left="0" w:right="0" w:hanging="0"/>
              <w:jc w:val="right"/>
              <w:rPr/>
            </w:pPr>
            <w:r>
              <w:rPr/>
              <w:t>—</w:t>
            </w:r>
          </w:p>
        </w:tc>
        <w:tc>
          <w:tcPr>
            <w:tcW w:w="15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40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6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1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111</w:t>
            </w:r>
          </w:p>
        </w:tc>
        <w:tc>
          <w:tcPr>
            <w:tcW w:w="498" w:type="dxa"/>
            <w:tcBorders/>
            <w:shd w:fill="auto" w:val="clear"/>
            <w:vAlign w:val="center"/>
          </w:tcPr>
          <w:p>
            <w:pPr>
              <w:pStyle w:val="TableContents"/>
              <w:spacing w:before="0" w:after="0"/>
              <w:ind w:left="0" w:right="0" w:hanging="0"/>
              <w:jc w:val="left"/>
              <w:rPr/>
            </w:pPr>
            <w:r>
              <w:rPr/>
              <w:t> </w:t>
            </w:r>
          </w:p>
        </w:tc>
      </w:tr>
      <w:tr>
        <w:trPr/>
        <w:tc>
          <w:tcPr>
            <w:tcW w:w="24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w:t>
            </w:r>
          </w:p>
        </w:tc>
        <w:tc>
          <w:tcPr>
            <w:tcW w:w="192"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468" w:type="dxa"/>
            <w:tcBorders/>
            <w:shd w:fill="auto" w:val="clear"/>
            <w:vAlign w:val="center"/>
          </w:tcPr>
          <w:p>
            <w:pPr>
              <w:pStyle w:val="TableContents"/>
              <w:spacing w:before="0" w:after="0"/>
              <w:ind w:left="0" w:right="0" w:hanging="0"/>
              <w:jc w:val="right"/>
              <w:rPr/>
            </w:pPr>
            <w:r>
              <w:rPr/>
              <w:t>—</w:t>
            </w:r>
          </w:p>
        </w:tc>
        <w:tc>
          <w:tcPr>
            <w:tcW w:w="15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407"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498" w:type="dxa"/>
            <w:tcBorders/>
            <w:shd w:fill="auto" w:val="clear"/>
            <w:vAlign w:val="center"/>
          </w:tcPr>
          <w:p>
            <w:pPr>
              <w:pStyle w:val="TableContents"/>
              <w:spacing w:before="0" w:after="0"/>
              <w:ind w:left="0" w:right="0" w:hanging="0"/>
              <w:jc w:val="left"/>
              <w:rPr/>
            </w:pPr>
            <w:r>
              <w:rPr/>
              <w:t> </w:t>
            </w:r>
          </w:p>
        </w:tc>
      </w:tr>
      <w:tr>
        <w:trPr/>
        <w:tc>
          <w:tcPr>
            <w:tcW w:w="24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Derivative assets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46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w:t>
            </w:r>
          </w:p>
        </w:tc>
        <w:tc>
          <w:tcPr>
            <w:tcW w:w="15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407"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498" w:type="dxa"/>
            <w:tcBorders/>
            <w:shd w:fill="auto" w:val="clear"/>
            <w:vAlign w:val="center"/>
          </w:tcPr>
          <w:p>
            <w:pPr>
              <w:pStyle w:val="TableContents"/>
              <w:spacing w:before="0" w:after="0"/>
              <w:ind w:left="0" w:right="0" w:hanging="0"/>
              <w:jc w:val="left"/>
              <w:rPr/>
            </w:pPr>
            <w:r>
              <w:rPr/>
              <w:t> </w:t>
            </w:r>
          </w:p>
        </w:tc>
      </w:tr>
      <w:tr>
        <w:trPr/>
        <w:tc>
          <w:tcPr>
            <w:tcW w:w="24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Rabbi trust assets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w:t>
            </w:r>
          </w:p>
        </w:tc>
        <w:tc>
          <w:tcPr>
            <w:tcW w:w="192"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468" w:type="dxa"/>
            <w:tcBorders/>
            <w:shd w:fill="auto" w:val="clear"/>
            <w:vAlign w:val="center"/>
          </w:tcPr>
          <w:p>
            <w:pPr>
              <w:pStyle w:val="TableContents"/>
              <w:spacing w:before="0" w:after="0"/>
              <w:ind w:left="0" w:right="0" w:hanging="0"/>
              <w:jc w:val="right"/>
              <w:rPr/>
            </w:pPr>
            <w:r>
              <w:rPr/>
              <w:t>—</w:t>
            </w:r>
          </w:p>
        </w:tc>
        <w:tc>
          <w:tcPr>
            <w:tcW w:w="15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407"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8"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498" w:type="dxa"/>
            <w:tcBorders/>
            <w:shd w:fill="auto" w:val="clear"/>
            <w:vAlign w:val="center"/>
          </w:tcPr>
          <w:p>
            <w:pPr>
              <w:pStyle w:val="TableContents"/>
              <w:spacing w:before="0" w:after="0"/>
              <w:ind w:left="0" w:right="0" w:hanging="0"/>
              <w:jc w:val="left"/>
              <w:rPr/>
            </w:pPr>
            <w:r>
              <w:rPr/>
              <w:t> </w:t>
            </w:r>
          </w:p>
        </w:tc>
      </w:tr>
      <w:tr>
        <w:trPr/>
        <w:tc>
          <w:tcPr>
            <w:tcW w:w="24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Deferred compensation obligation</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4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43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227</w:t>
            </w:r>
          </w:p>
        </w:tc>
        <w:tc>
          <w:tcPr>
            <w:tcW w:w="1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w:t>
            </w:r>
          </w:p>
        </w:tc>
        <w:tc>
          <w:tcPr>
            <w:tcW w:w="1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151</w:t>
            </w:r>
          </w:p>
        </w:tc>
        <w:tc>
          <w:tcPr>
            <w:tcW w:w="4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11</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40" w:after="0"/>
        <w:jc w:val="left"/>
        <w:rPr>
          <w:rFonts w:ascii="Arial;sans-serif" w:hAnsi="Arial;sans-serif"/>
          <w:b/>
          <w:sz w:val="20"/>
        </w:rPr>
      </w:pPr>
      <w:r>
        <w:rPr>
          <w:rFonts w:ascii="Arial;sans-serif" w:hAnsi="Arial;sans-serif"/>
          <w:b/>
          <w:sz w:val="20"/>
        </w:rPr>
        <w:t>NOTE G. DEBT</w:t>
      </w:r>
    </w:p>
    <w:p>
      <w:pPr>
        <w:pStyle w:val="TextBody"/>
        <w:spacing w:before="120" w:after="0"/>
        <w:jc w:val="left"/>
        <w:rPr>
          <w:rFonts w:ascii="Arial;sans-serif" w:hAnsi="Arial;sans-serif"/>
          <w:b w:val="false"/>
          <w:sz w:val="20"/>
        </w:rPr>
      </w:pPr>
      <w:r>
        <w:rPr>
          <w:rFonts w:ascii="Arial;sans-serif" w:hAnsi="Arial;sans-serif"/>
          <w:b w:val="false"/>
          <w:sz w:val="20"/>
        </w:rPr>
        <w:t>Long-term debt and maturities are as follows (dollars in millions):</w:t>
      </w:r>
    </w:p>
    <w:p>
      <w:pPr>
        <w:pStyle w:val="TextBody"/>
        <w:spacing w:before="0" w:after="0"/>
        <w:jc w:val="left"/>
        <w:rPr/>
      </w:pPr>
      <w:r>
        <w:rPr/>
        <w:t> </w:t>
      </w:r>
    </w:p>
    <w:tbl>
      <w:tblPr>
        <w:tblW w:w="8630" w:type="dxa"/>
        <w:jc w:val="left"/>
        <w:tblInd w:w="0" w:type="dxa"/>
        <w:tblCellMar>
          <w:top w:w="28" w:type="dxa"/>
          <w:left w:w="28" w:type="dxa"/>
          <w:bottom w:w="28" w:type="dxa"/>
          <w:right w:w="28" w:type="dxa"/>
        </w:tblCellMar>
      </w:tblPr>
      <w:tblGrid>
        <w:gridCol w:w="5416"/>
        <w:gridCol w:w="146"/>
        <w:gridCol w:w="226"/>
        <w:gridCol w:w="629"/>
        <w:gridCol w:w="146"/>
        <w:gridCol w:w="146"/>
        <w:gridCol w:w="309"/>
        <w:gridCol w:w="861"/>
        <w:gridCol w:w="751"/>
      </w:tblGrid>
      <w:tr>
        <w:trPr/>
        <w:tc>
          <w:tcPr>
            <w:tcW w:w="5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54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Long-term debt:</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 </w:t>
            </w:r>
          </w:p>
        </w:tc>
      </w:tr>
      <w:tr>
        <w:trPr/>
        <w:tc>
          <w:tcPr>
            <w:tcW w:w="5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Senior Secured Credit Facility Term Loan, variable, due 2026</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29"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625</w:t>
            </w:r>
          </w:p>
        </w:tc>
        <w:tc>
          <w:tcPr>
            <w:tcW w:w="75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Senior Notes, fixed 4.75%, due 2027</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400</w:t>
            </w:r>
          </w:p>
        </w:tc>
        <w:tc>
          <w:tcPr>
            <w:tcW w:w="75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Senior Notes, fixed 5.875%, due 2029</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500</w:t>
            </w:r>
          </w:p>
        </w:tc>
        <w:tc>
          <w:tcPr>
            <w:tcW w:w="75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Senior Notes, fixed 3.75%, due 2031</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1,000</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54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long-term debt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29"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2,525</w:t>
            </w:r>
          </w:p>
        </w:tc>
        <w:tc>
          <w:tcPr>
            <w:tcW w:w="75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Less: current maturities of long-term debt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751" w:type="dxa"/>
            <w:tcBorders/>
            <w:shd w:fill="auto" w:val="clear"/>
            <w:vAlign w:val="center"/>
          </w:tcPr>
          <w:p>
            <w:pPr>
              <w:pStyle w:val="TableContents"/>
              <w:spacing w:before="0" w:after="0"/>
              <w:ind w:left="0" w:right="0" w:firstLine="560"/>
              <w:jc w:val="left"/>
              <w:rPr/>
            </w:pPr>
            <w:r>
              <w:rPr/>
              <w:t> </w:t>
            </w:r>
          </w:p>
        </w:tc>
      </w:tr>
      <w:tr>
        <w:trPr/>
        <w:tc>
          <w:tcPr>
            <w:tcW w:w="541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deferred financing costs, net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54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long-term debt, net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2,501</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As of March 31, 2023, the Company had $2,523</w:t>
      </w:r>
      <w:r>
        <w:rPr>
          <w:rFonts w:ascii="Times New Roman" w:hAnsi="Times New Roman"/>
          <w:sz w:val="20"/>
        </w:rPr>
        <w:t xml:space="preserve"> </w:t>
      </w:r>
      <w:r>
        <w:rPr>
          <w:rFonts w:ascii="Arial;sans-serif" w:hAnsi="Arial;sans-serif"/>
          <w:b w:val="false"/>
          <w:sz w:val="20"/>
        </w:rPr>
        <w:t>million of indebtedness associated with Allison Transmission, Inc.’s (“ATI”), the Company’s wholly-owned subsidiary, 4.75% Senior Notes due October 2027</w:t>
      </w:r>
      <w:r>
        <w:rPr>
          <w:rFonts w:ascii="Times New Roman" w:hAnsi="Times New Roman"/>
          <w:sz w:val="20"/>
        </w:rPr>
        <w:t xml:space="preserve"> </w:t>
      </w:r>
      <w:r>
        <w:rPr>
          <w:rFonts w:ascii="Arial;sans-serif" w:hAnsi="Arial;sans-serif"/>
          <w:b w:val="false"/>
          <w:sz w:val="20"/>
        </w:rPr>
        <w:t>(“4.75% Senior Notes”), ATI’s 5.875% Senior Notes due June 2029</w:t>
      </w:r>
      <w:r>
        <w:rPr>
          <w:rFonts w:ascii="Times New Roman" w:hAnsi="Times New Roman"/>
          <w:sz w:val="20"/>
        </w:rPr>
        <w:t xml:space="preserve"> </w:t>
      </w:r>
      <w:r>
        <w:rPr>
          <w:rFonts w:ascii="Arial;sans-serif" w:hAnsi="Arial;sans-serif"/>
          <w:b w:val="false"/>
          <w:sz w:val="20"/>
        </w:rPr>
        <w:t>(“5.875% Senior Notes”), ATI’s 3.75% Senior Notes due January 2031</w:t>
      </w:r>
      <w:r>
        <w:rPr>
          <w:rFonts w:ascii="Times New Roman" w:hAnsi="Times New Roman"/>
          <w:sz w:val="20"/>
        </w:rPr>
        <w:t xml:space="preserve"> </w:t>
      </w:r>
      <w:r>
        <w:rPr>
          <w:rFonts w:ascii="Arial;sans-serif" w:hAnsi="Arial;sans-serif"/>
          <w:b w:val="false"/>
          <w:sz w:val="20"/>
        </w:rPr>
        <w:t>(“3.75% Senior Notes” and, together with the 4.75% Senior Notes and 5.875% Senior Notes, the “Senior Notes”) and the Second Amended and Restated Credit Agreement dated as of March 29, 2019, as amended (the “Credit Agreement”), governing ATI’s term loan facility in the amount of $623</w:t>
      </w:r>
      <w:r>
        <w:rPr>
          <w:rFonts w:ascii="Times New Roman" w:hAnsi="Times New Roman"/>
          <w:sz w:val="20"/>
        </w:rPr>
        <w:t xml:space="preserve"> </w:t>
      </w:r>
      <w:r>
        <w:rPr>
          <w:rFonts w:ascii="Arial;sans-serif" w:hAnsi="Arial;sans-serif"/>
          <w:b w:val="false"/>
          <w:sz w:val="20"/>
        </w:rPr>
        <w:t>million due March 2026</w:t>
      </w:r>
      <w:r>
        <w:rPr>
          <w:rFonts w:ascii="Times New Roman" w:hAnsi="Times New Roman"/>
          <w:sz w:val="20"/>
        </w:rPr>
        <w:t xml:space="preserve"> </w:t>
      </w:r>
      <w:r>
        <w:rPr>
          <w:rFonts w:ascii="Arial;sans-serif" w:hAnsi="Arial;sans-serif"/>
          <w:b w:val="false"/>
          <w:sz w:val="20"/>
        </w:rPr>
        <w:t>(“Term Loan”) and ATI’s revolving credit facility with commitments in the amount of $650</w:t>
      </w:r>
      <w:r>
        <w:rPr>
          <w:rFonts w:ascii="Times New Roman" w:hAnsi="Times New Roman"/>
          <w:sz w:val="20"/>
        </w:rPr>
        <w:t xml:space="preserve"> </w:t>
      </w:r>
      <w:r>
        <w:rPr>
          <w:rFonts w:ascii="Arial;sans-serif" w:hAnsi="Arial;sans-serif"/>
          <w:b w:val="false"/>
          <w:sz w:val="20"/>
        </w:rPr>
        <w:t>million due September 2025</w:t>
      </w:r>
      <w:r>
        <w:rPr>
          <w:rFonts w:ascii="Times New Roman" w:hAnsi="Times New Roman"/>
          <w:sz w:val="20"/>
        </w:rPr>
        <w:t xml:space="preserve"> </w:t>
      </w:r>
      <w:r>
        <w:rPr>
          <w:rFonts w:ascii="Arial;sans-serif" w:hAnsi="Arial;sans-serif"/>
          <w:b w:val="false"/>
          <w:sz w:val="20"/>
        </w:rPr>
        <w:t>(“Revolving Credit Facility” and, together with the Term Loan, the “Senior Secured Credit Facility”).</w:t>
      </w:r>
    </w:p>
    <w:p>
      <w:pPr>
        <w:pStyle w:val="TextBody"/>
        <w:spacing w:before="120" w:after="0"/>
        <w:jc w:val="left"/>
        <w:rPr>
          <w:rFonts w:ascii="Times New Roman" w:hAnsi="Times New Roman"/>
          <w:sz w:val="20"/>
        </w:rPr>
      </w:pPr>
      <w:r>
        <w:rPr>
          <w:rFonts w:ascii="Arial;sans-serif" w:hAnsi="Arial;sans-serif"/>
          <w:b w:val="false"/>
          <w:sz w:val="20"/>
        </w:rPr>
        <w:t>The fair value of the Company’s long-term debt obligations as of March 31, 2023 was $2,341</w:t>
      </w:r>
      <w:r>
        <w:rPr>
          <w:rFonts w:ascii="Times New Roman" w:hAnsi="Times New Roman"/>
          <w:sz w:val="20"/>
        </w:rPr>
        <w:t xml:space="preserve"> </w:t>
      </w:r>
      <w:r>
        <w:rPr>
          <w:rFonts w:ascii="Arial;sans-serif" w:hAnsi="Arial;sans-serif"/>
          <w:b w:val="false"/>
          <w:sz w:val="20"/>
        </w:rPr>
        <w:t>million. The fair value is based on quoted Level 2 market prices of the Company’s debt as of March 31, 2023. The difference between the fair value and carrying value of the long-term debt is driven primarily by trends in the financial markets.</w:t>
      </w:r>
    </w:p>
    <w:p>
      <w:pPr>
        <w:pStyle w:val="TextBody"/>
        <w:spacing w:before="120" w:after="0"/>
        <w:jc w:val="left"/>
        <w:rPr>
          <w:rFonts w:ascii="Arial;sans-serif" w:hAnsi="Arial;sans-serif"/>
          <w:b/>
          <w:i/>
          <w:sz w:val="20"/>
        </w:rPr>
      </w:pPr>
      <w:r>
        <w:rPr>
          <w:rFonts w:ascii="Arial;sans-serif" w:hAnsi="Arial;sans-serif"/>
          <w:b/>
          <w:i/>
          <w:sz w:val="20"/>
        </w:rPr>
        <w:t>Senior Secured Credit Facility</w:t>
      </w:r>
    </w:p>
    <w:p>
      <w:pPr>
        <w:pStyle w:val="TextBody"/>
        <w:spacing w:before="120" w:after="0"/>
        <w:jc w:val="left"/>
        <w:rPr>
          <w:rFonts w:ascii="Arial;sans-serif" w:hAnsi="Arial;sans-serif"/>
          <w:b w:val="false"/>
          <w:sz w:val="20"/>
        </w:rPr>
      </w:pPr>
      <w:r>
        <w:rPr>
          <w:rFonts w:ascii="Arial;sans-serif" w:hAnsi="Arial;sans-serif"/>
          <w:b w:val="false"/>
          <w:sz w:val="20"/>
        </w:rPr>
        <w:t>In February 2023, the Company and ATI entered into Amendment No. 3 (the "Amendment") to the Credit Agreement. The Amendment replaced the LIBOR interest rate benchmark with the Secured Overnight Financing Rate ("SOFR") and included a 0.1% credit spread adjustment to the SOFR benchmark for all available interest periods. Other than the foregoing, the material terms of the Credit Agreement remained unchanged. The amendment was treated as a modification to the Senior Secured Credit Facility through a practical expedient provided through reference rate reform accounting guidance.</w:t>
      </w:r>
    </w:p>
    <w:p>
      <w:pPr>
        <w:pStyle w:val="TextBody"/>
        <w:spacing w:before="120" w:after="0"/>
        <w:jc w:val="left"/>
        <w:rPr>
          <w:rFonts w:ascii="Times New Roman" w:hAnsi="Times New Roman"/>
          <w:sz w:val="20"/>
        </w:rPr>
      </w:pPr>
      <w:r>
        <w:rPr>
          <w:rFonts w:ascii="Arial;sans-serif" w:hAnsi="Arial;sans-serif"/>
          <w:b w:val="false"/>
          <w:sz w:val="20"/>
        </w:rPr>
        <w:t>The borrowings under the Senior Secured Credit Facility are collateralized by a lien on substantially all assets of the Company, ATI and certain existing and future U.S. subsidiary guarantors, as provided in the Credit Agreement. Interest on the Term Loan, as of March 31, 2023, is either (a) 1.75% over a SOFR rate on deposits in U.S. dollars for one-, three- or six-month periods (or a twelve-month period if, at the time of the borrowing, consented to by all relevant lenders and the administrative agent) plus a 0.1% credit spread adjustment for all interest periods ("Adjusted Term SOFR"), or (b) 0.75% over the greater of the prime lending rate as quoted by the administrative agent, the Adjusted Term SOFR Rate for an interest period of one month plus 1.00% and the federal funds effective rate published by the Federal Reserve Bank of New York plus 0.50%, subject to a 1.00% floor (the "Base Rate"). As of March 31, 2023, the Company elected to pay the lowest all-in rate of Adjusted Term SOFR plus the applicable margin, or 6.61%,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2026</w:t>
      </w:r>
      <w:r>
        <w:rPr>
          <w:rFonts w:ascii="Times New Roman" w:hAnsi="Times New Roman"/>
          <w:sz w:val="20"/>
        </w:rPr>
        <w:t xml:space="preserve"> </w:t>
      </w:r>
      <w:r>
        <w:rPr>
          <w:rFonts w:ascii="Arial;sans-serif" w:hAnsi="Arial;sans-serif"/>
          <w:b w:val="false"/>
          <w:sz w:val="20"/>
        </w:rPr>
        <w:t>is $2</w:t>
      </w:r>
      <w:r>
        <w:rPr>
          <w:rFonts w:ascii="Times New Roman" w:hAnsi="Times New Roman"/>
          <w:sz w:val="20"/>
        </w:rPr>
        <w:t xml:space="preserve"> </w:t>
      </w:r>
      <w:r>
        <w:rPr>
          <w:rFonts w:ascii="Arial;sans-serif" w:hAnsi="Arial;sans-serif"/>
          <w:b w:val="false"/>
          <w:sz w:val="20"/>
        </w:rPr>
        <w:t>million. As of March 31, 2023, there had been no payments required for certain net cash proceeds</w:t>
      </w:r>
      <w:r>
        <w:rPr>
          <w:rFonts w:ascii="Times New Roman" w:hAnsi="Times New Roman"/>
          <w:sz w:val="20"/>
        </w:rPr>
        <w:t xml:space="preserve"> </w:t>
      </w:r>
    </w:p>
    <w:p>
      <w:pPr>
        <w:pStyle w:val="TextBody"/>
        <w:spacing w:before="180" w:after="0"/>
        <w:jc w:val="center"/>
        <w:rPr>
          <w:rFonts w:ascii="Arial;sans-serif" w:hAnsi="Arial;sans-serif"/>
          <w:b w:val="false"/>
          <w:sz w:val="20"/>
        </w:rPr>
      </w:pPr>
      <w:r>
        <w:rPr>
          <w:rFonts w:ascii="Arial;sans-serif" w:hAnsi="Arial;sans-serif"/>
          <w:b w:val="false"/>
          <w:sz w:val="20"/>
        </w:rPr>
        <w:t>12</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20" w:after="0"/>
        <w:jc w:val="left"/>
        <w:rPr>
          <w:rFonts w:ascii="Arial;sans-serif" w:hAnsi="Arial;sans-serif"/>
          <w:b w:val="false"/>
          <w:sz w:val="20"/>
        </w:rPr>
      </w:pPr>
      <w:r>
        <w:rPr>
          <w:rFonts w:ascii="Arial;sans-serif" w:hAnsi="Arial;sans-serif"/>
          <w:b w:val="false"/>
          <w:sz w:val="20"/>
        </w:rPr>
        <w:t>of non-ordinary course asset sales and casualty and condemnation events. The remaining principal balance is due upon maturity.</w:t>
      </w:r>
    </w:p>
    <w:p>
      <w:pPr>
        <w:pStyle w:val="TextBody"/>
        <w:spacing w:before="120" w:after="0"/>
        <w:jc w:val="left"/>
        <w:rPr>
          <w:rFonts w:ascii="Times New Roman" w:hAnsi="Times New Roman"/>
          <w:sz w:val="20"/>
        </w:rPr>
      </w:pPr>
      <w:r>
        <w:rPr>
          <w:rFonts w:ascii="Arial;sans-serif" w:hAnsi="Arial;sans-serif"/>
          <w:b w:val="false"/>
          <w:sz w:val="20"/>
        </w:rPr>
        <w:t>The</w:t>
      </w:r>
      <w:r>
        <w:rPr>
          <w:rFonts w:ascii="Times New Roman" w:hAnsi="Times New Roman"/>
          <w:sz w:val="20"/>
        </w:rPr>
        <w:t xml:space="preserve"> </w:t>
      </w:r>
      <w:r>
        <w:rPr>
          <w:rFonts w:ascii="Arial;sans-serif" w:hAnsi="Arial;sans-serif"/>
          <w:b w:val="false"/>
          <w:sz w:val="20"/>
        </w:rPr>
        <w:t>Senior Secured Credit Facility also provides a Revolving Credit Facility, net of an allowance for up to $75</w:t>
      </w:r>
      <w:r>
        <w:rPr>
          <w:rFonts w:ascii="Times New Roman" w:hAnsi="Times New Roman"/>
          <w:sz w:val="20"/>
        </w:rPr>
        <w:t xml:space="preserve"> </w:t>
      </w:r>
      <w:r>
        <w:rPr>
          <w:rFonts w:ascii="Arial;sans-serif" w:hAnsi="Arial;sans-serif"/>
          <w:b w:val="false"/>
          <w:sz w:val="20"/>
        </w:rPr>
        <w:t>million in outstanding letters of credit commitments. During the three months ended March 31, 2023, the Company made no</w:t>
      </w:r>
      <w:r>
        <w:rPr>
          <w:rFonts w:ascii="Times New Roman" w:hAnsi="Times New Roman"/>
          <w:sz w:val="20"/>
        </w:rPr>
        <w:t xml:space="preserve"> </w:t>
      </w:r>
      <w:r>
        <w:rPr>
          <w:rFonts w:ascii="Arial;sans-serif" w:hAnsi="Arial;sans-serif"/>
          <w:b w:val="false"/>
          <w:sz w:val="20"/>
        </w:rPr>
        <w:t>withdrawals on the Revolving Credit Facility. As of March 31, 2023, the Company had $644</w:t>
      </w:r>
      <w:r>
        <w:rPr>
          <w:rFonts w:ascii="Times New Roman" w:hAnsi="Times New Roman"/>
          <w:sz w:val="20"/>
        </w:rPr>
        <w:t xml:space="preserve"> </w:t>
      </w:r>
      <w:r>
        <w:rPr>
          <w:rFonts w:ascii="Arial;sans-serif" w:hAnsi="Arial;sans-serif"/>
          <w:b w:val="false"/>
          <w:sz w:val="20"/>
        </w:rPr>
        <w:t>million available under the Revolving Credit Facility, net of $6</w:t>
      </w:r>
      <w:r>
        <w:rPr>
          <w:rFonts w:ascii="Times New Roman" w:hAnsi="Times New Roman"/>
          <w:sz w:val="20"/>
        </w:rPr>
        <w:t xml:space="preserve"> </w:t>
      </w:r>
      <w:r>
        <w:rPr>
          <w:rFonts w:ascii="Arial;sans-serif" w:hAnsi="Arial;sans-serif"/>
          <w:b w:val="false"/>
          <w:sz w:val="20"/>
        </w:rPr>
        <w:t>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Adjusted Term SOFR Rate; when the Company’s first lien net leverage ratio is equal to or less than 4.00x and above 3.50x, interest on the Revolving Credit Facility is (i) 0.50% over the Base Rate or (ii) 1.50% over the Adjusted Term SOFR Rate; and when the Company’s first lien net leverage ratio is equal to or below 3.50x, interest on the Revolving Credit Facility is (y) 0.25% over the Base Rate or (z) 1.25% over the Adjusted Term SOFR Rate. As of March 31, 2023, the applicable margin for the Revolving Credit Facility was 1.25%. In addition, there is an annual commitment fee, based on the Company’s first lien net leverage ratio, on the average unused revolving credit borrowings available under the Revolving Credit Facility. As of March 31, 2023, the commitment fee was 0.25%. Borrowings under the Revolving Credit Facility are payable at the option of the Company throughout the term of the Senior Secured Credit Facility with the balance due in September 2025.</w:t>
      </w:r>
    </w:p>
    <w:p>
      <w:pPr>
        <w:pStyle w:val="TextBody"/>
        <w:spacing w:before="120" w:after="0"/>
        <w:jc w:val="left"/>
        <w:rPr>
          <w:rFonts w:ascii="Times New Roman" w:hAnsi="Times New Roman"/>
          <w:sz w:val="20"/>
        </w:rPr>
      </w:pPr>
      <w:r>
        <w:rPr>
          <w:rFonts w:ascii="Arial;sans-serif" w:hAnsi="Arial;sans-serif"/>
          <w:b w:val="false"/>
          <w:sz w:val="20"/>
        </w:rPr>
        <w:t>The Senior Secured Credit Facility requires the Company to maintain a specified maximum first lien net leverage ratio of 5.50x when revolving loan commitments remain outstanding on the Revolving Credit Facility at the end of a fiscal quarter. As of March 31, 2023, the Company had no</w:t>
      </w:r>
      <w:r>
        <w:rPr>
          <w:rFonts w:ascii="Times New Roman" w:hAnsi="Times New Roman"/>
          <w:sz w:val="20"/>
        </w:rPr>
        <w:t xml:space="preserve"> </w:t>
      </w:r>
      <w:r>
        <w:rPr>
          <w:rFonts w:ascii="Arial;sans-serif" w:hAnsi="Arial;sans-serif"/>
          <w:b w:val="false"/>
          <w:sz w:val="20"/>
        </w:rPr>
        <w:t>amounts outstanding under the Revolving Credit Facility; however, the Company would have been in compliance with the maximum first lien net leverage ratio, achieving a 0.28x</w:t>
      </w:r>
      <w:r>
        <w:rPr>
          <w:rFonts w:ascii="Times New Roman" w:hAnsi="Times New Roman"/>
          <w:sz w:val="20"/>
        </w:rPr>
        <w:t xml:space="preserve"> </w:t>
      </w:r>
      <w:r>
        <w:rPr>
          <w:rFonts w:ascii="Arial;sans-serif" w:hAnsi="Arial;sans-serif"/>
          <w:b w:val="false"/>
          <w:sz w:val="20"/>
        </w:rPr>
        <w:t>ratio. Additionally, within the terms of the Senior Secured Credit Facility, a first lien net leverage ratio at or below 4.00x</w:t>
      </w:r>
      <w:r>
        <w:rPr>
          <w:rFonts w:ascii="Times New Roman" w:hAnsi="Times New Roman"/>
          <w:sz w:val="20"/>
        </w:rPr>
        <w:t xml:space="preserve"> </w:t>
      </w:r>
      <w:r>
        <w:rPr>
          <w:rFonts w:ascii="Arial;sans-serif" w:hAnsi="Arial;sans-serif"/>
          <w:b w:val="false"/>
          <w:sz w:val="20"/>
        </w:rPr>
        <w:t>results in the elimination of excess cash flow payments on the Senior Secured Credit Facility for the applicable year.</w:t>
      </w:r>
    </w:p>
    <w:p>
      <w:pPr>
        <w:pStyle w:val="TextBody"/>
        <w:spacing w:before="120" w:after="0"/>
        <w:jc w:val="left"/>
        <w:rPr>
          <w:rFonts w:ascii="Arial;sans-serif" w:hAnsi="Arial;sans-serif"/>
          <w:b w:val="false"/>
          <w:sz w:val="20"/>
        </w:rPr>
      </w:pPr>
      <w:r>
        <w:rPr>
          <w:rFonts w:ascii="Arial;sans-serif" w:hAnsi="Arial;sans-serif"/>
          <w:b w:val="false"/>
          <w:sz w:val="20"/>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March 31, 2023, the Company was in compliance with all covenants under the Credit Agreement.</w:t>
      </w:r>
    </w:p>
    <w:p>
      <w:pPr>
        <w:pStyle w:val="TextBody"/>
        <w:spacing w:before="120" w:after="0"/>
        <w:jc w:val="left"/>
        <w:rPr>
          <w:rFonts w:ascii="Arial;sans-serif" w:hAnsi="Arial;sans-serif"/>
          <w:b/>
          <w:i/>
          <w:sz w:val="20"/>
        </w:rPr>
      </w:pPr>
      <w:r>
        <w:rPr>
          <w:rFonts w:ascii="Arial;sans-serif" w:hAnsi="Arial;sans-serif"/>
          <w:b/>
          <w:i/>
          <w:sz w:val="20"/>
        </w:rPr>
        <w:t>Senior Notes</w:t>
      </w:r>
    </w:p>
    <w:p>
      <w:pPr>
        <w:pStyle w:val="TextBody"/>
        <w:spacing w:before="120" w:after="0"/>
        <w:jc w:val="left"/>
        <w:rPr>
          <w:rFonts w:ascii="Arial;sans-serif" w:hAnsi="Arial;sans-serif"/>
          <w:b w:val="false"/>
          <w:sz w:val="20"/>
        </w:rPr>
      </w:pPr>
      <w:r>
        <w:rPr>
          <w:rFonts w:ascii="Arial;sans-serif" w:hAnsi="Arial;sans-serif"/>
          <w:b w:val="false"/>
          <w:sz w:val="20"/>
        </w:rPr>
        <w:t>Each series of the Senior Notes is unsecured and is guaranteed by each of ATI’s domestic subsidiaries that is a borrower under or guarantees the Senior Secured Credit Facility and is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2023, the Company was in compliance with all covenants under the indentures governing the Senior Notes.</w:t>
      </w:r>
    </w:p>
    <w:p>
      <w:pPr>
        <w:pStyle w:val="TextBody"/>
        <w:spacing w:before="120" w:after="0"/>
        <w:jc w:val="left"/>
        <w:rPr>
          <w:rFonts w:ascii="Times New Roman" w:hAnsi="Times New Roman"/>
          <w:sz w:val="20"/>
        </w:rPr>
      </w:pPr>
      <w:r>
        <w:rPr>
          <w:rFonts w:ascii="Arial;sans-serif" w:hAnsi="Arial;sans-serif"/>
          <w:b w:val="false"/>
          <w:sz w:val="20"/>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w:t>
      </w:r>
      <w:r>
        <w:rPr>
          <w:rFonts w:ascii="Times New Roman" w:hAnsi="Times New Roman"/>
          <w:sz w:val="20"/>
        </w:rPr>
        <w:t xml:space="preserve"> </w:t>
      </w:r>
    </w:p>
    <w:p>
      <w:pPr>
        <w:pStyle w:val="TextBody"/>
        <w:spacing w:before="180" w:after="0"/>
        <w:jc w:val="center"/>
        <w:rPr>
          <w:rFonts w:ascii="Arial;sans-serif" w:hAnsi="Arial;sans-serif"/>
          <w:b w:val="false"/>
          <w:sz w:val="20"/>
        </w:rPr>
      </w:pPr>
      <w:r>
        <w:rPr>
          <w:rFonts w:ascii="Arial;sans-serif" w:hAnsi="Arial;sans-serif"/>
          <w:b w:val="false"/>
          <w:sz w:val="20"/>
        </w:rPr>
        <w:t>13</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20" w:after="0"/>
        <w:jc w:val="left"/>
        <w:rPr>
          <w:rFonts w:ascii="Times New Roman" w:hAnsi="Times New Roman"/>
          <w:sz w:val="20"/>
        </w:rPr>
      </w:pPr>
      <w:r>
        <w:rPr>
          <w:rFonts w:ascii="Arial;sans-serif" w:hAnsi="Arial;sans-serif"/>
          <w:b w:val="false"/>
          <w:sz w:val="20"/>
        </w:rPr>
        <w:t>amounts involved may be material. Some or all of the 4.75% Senior Notes may be redeemed at any time at redemption prices specified in the indenture governing such notes. Some or all of the 5.875% Senior Notes may be redeemed prior to June 1, 2024</w:t>
      </w:r>
      <w:r>
        <w:rPr>
          <w:rFonts w:ascii="Times New Roman" w:hAnsi="Times New Roman"/>
          <w:sz w:val="20"/>
        </w:rPr>
        <w:t xml:space="preserve"> </w:t>
      </w:r>
      <w:r>
        <w:rPr>
          <w:rFonts w:ascii="Arial;sans-serif" w:hAnsi="Arial;sans-serif"/>
          <w:b w:val="false"/>
          <w:sz w:val="20"/>
        </w:rPr>
        <w:t>by paying a price equal to 100.00% of the principal amount being redeemed, plus an “applicable premium”. At any time on or after June 1, 2024, ATI may redeem some or all of the 5.875% Senior Notes at redemption prices specified in the indenture governing such notes. ATI may redeem up to 40% of the 3.75% Senior Notes prior to January 30, 2024</w:t>
      </w:r>
      <w:r>
        <w:rPr>
          <w:rFonts w:ascii="Times New Roman" w:hAnsi="Times New Roman"/>
          <w:sz w:val="20"/>
        </w:rPr>
        <w:t xml:space="preserve"> </w:t>
      </w:r>
      <w:r>
        <w:rPr>
          <w:rFonts w:ascii="Arial;sans-serif" w:hAnsi="Arial;sans-serif"/>
          <w:b w:val="false"/>
          <w:sz w:val="20"/>
        </w:rPr>
        <w:t>by paying a price equal to 103.750% of the principal amount being redeemed. On or after January 30, 2024</w:t>
      </w:r>
      <w:r>
        <w:rPr>
          <w:rFonts w:ascii="Times New Roman" w:hAnsi="Times New Roman"/>
          <w:sz w:val="20"/>
        </w:rPr>
        <w:t xml:space="preserve"> </w:t>
      </w:r>
      <w:r>
        <w:rPr>
          <w:rFonts w:ascii="Arial;sans-serif" w:hAnsi="Arial;sans-serif"/>
          <w:b w:val="false"/>
          <w:sz w:val="20"/>
        </w:rPr>
        <w:t>and prior to January 30, 2026, ATI may redeem some or all of the 3.75% Senior Notes by paying a price equal to 100.00% of the principal amount being redeemed, plus an “applicable premium”. At any time on or after January 30, 2026, ATI may redeem some or all of the 3.75% Senior Notes at redemption prices specified in the indenture governing such notes.</w:t>
      </w:r>
    </w:p>
    <w:p>
      <w:pPr>
        <w:pStyle w:val="TextBody"/>
        <w:spacing w:before="120" w:after="0"/>
        <w:jc w:val="left"/>
        <w:rPr/>
      </w:pPr>
      <w:r>
        <w:rPr/>
        <w:t> </w:t>
      </w:r>
    </w:p>
    <w:p>
      <w:pPr>
        <w:pStyle w:val="TextBody"/>
        <w:spacing w:before="0" w:after="0"/>
        <w:jc w:val="left"/>
        <w:rPr>
          <w:rFonts w:ascii="Arial;sans-serif" w:hAnsi="Arial;sans-serif"/>
          <w:b/>
          <w:sz w:val="20"/>
        </w:rPr>
      </w:pPr>
      <w:r>
        <w:rPr>
          <w:rFonts w:ascii="Arial;sans-serif" w:hAnsi="Arial;sans-serif"/>
          <w:b/>
          <w:sz w:val="20"/>
        </w:rPr>
        <w:t>NOTE H. DERIVATIVES</w:t>
      </w:r>
    </w:p>
    <w:p>
      <w:pPr>
        <w:pStyle w:val="TextBody"/>
        <w:spacing w:before="120" w:after="0"/>
        <w:jc w:val="left"/>
        <w:rPr>
          <w:rFonts w:ascii="Arial;sans-serif" w:hAnsi="Arial;sans-serif"/>
          <w:b w:val="false"/>
          <w:sz w:val="20"/>
        </w:rPr>
      </w:pPr>
      <w:r>
        <w:rPr>
          <w:rFonts w:ascii="Arial;sans-serif" w:hAnsi="Arial;sans-serif"/>
          <w:b w:val="false"/>
          <w:sz w:val="20"/>
        </w:rPr>
        <w:t>The Company is subject to interest rate risk related to the Senior Secured Credit Facility and entered into interest rate swaps that are based on LIBOR to manage a portion of this exposure. The interest rate swaps are designated as cash flow hedges that qualify for hedge accounting under the hypothetical derivative method. Fair value adjustments are recorded as a component of Accumulated other comprehensive loss, net of tax (“AOCL”) in the Condensed Consolidated Balance Sheets. Balances in AOCL are reclassified to earnings when transactions related to the underlying risk are settled. See "Note F. Fair Value of Financial Instruments” for information regarding the fair value of the Company’s interest rate swaps.</w:t>
      </w:r>
    </w:p>
    <w:p>
      <w:pPr>
        <w:pStyle w:val="TextBody"/>
        <w:spacing w:before="120" w:after="0"/>
        <w:jc w:val="left"/>
        <w:rPr>
          <w:rFonts w:ascii="Times New Roman" w:hAnsi="Times New Roman"/>
          <w:sz w:val="20"/>
        </w:rPr>
      </w:pPr>
      <w:r>
        <w:rPr>
          <w:rFonts w:ascii="Arial;sans-serif" w:hAnsi="Arial;sans-serif"/>
          <w:b w:val="false"/>
          <w:sz w:val="20"/>
        </w:rPr>
        <w:t>As of March 31, 2023, the reference rates for the Company's Senior Secured Credit Facility and interest rate swaps were Adjusted Term SOFR and LIBOR, respectively. Although there is a mismatch in reference rates, the Company continues to qualify for hedge accounting through temporary relief provided through reference rate reform accounting guidance. The Company plans to transition the interest rate swaps' reference rates to Adjusted Term SOFR prior to the December 31, 2024</w:t>
      </w:r>
      <w:r>
        <w:rPr>
          <w:rFonts w:ascii="Times New Roman" w:hAnsi="Times New Roman"/>
          <w:sz w:val="20"/>
        </w:rPr>
        <w:t xml:space="preserve"> </w:t>
      </w:r>
      <w:r>
        <w:rPr>
          <w:rFonts w:ascii="Arial;sans-serif" w:hAnsi="Arial;sans-serif"/>
          <w:b w:val="false"/>
          <w:sz w:val="20"/>
        </w:rPr>
        <w:t>sunset date of the temporary relief period.</w:t>
      </w:r>
      <w:r>
        <w:rPr>
          <w:rFonts w:ascii="Times New Roman" w:hAnsi="Times New Roman"/>
          <w:sz w:val="20"/>
        </w:rPr>
        <w:t xml:space="preserve"> </w:t>
      </w:r>
    </w:p>
    <w:p>
      <w:pPr>
        <w:pStyle w:val="TextBody"/>
        <w:spacing w:before="120" w:after="0"/>
        <w:jc w:val="left"/>
        <w:rPr>
          <w:rFonts w:ascii="Arial;sans-serif" w:hAnsi="Arial;sans-serif"/>
          <w:b w:val="false"/>
          <w:sz w:val="20"/>
        </w:rPr>
      </w:pPr>
      <w:r>
        <w:rPr>
          <w:rFonts w:ascii="Arial;sans-serif" w:hAnsi="Arial;sans-serif"/>
          <w:b w:val="false"/>
          <w:sz w:val="20"/>
        </w:rPr>
        <w:t>As of March 31, 2023, the Company held interest rate swaps as follows (dollars in millions):</w:t>
      </w:r>
    </w:p>
    <w:tbl>
      <w:tblPr>
        <w:tblW w:w="8390" w:type="dxa"/>
        <w:jc w:val="left"/>
        <w:tblInd w:w="0" w:type="dxa"/>
        <w:tblCellMar>
          <w:top w:w="28" w:type="dxa"/>
          <w:left w:w="28" w:type="dxa"/>
          <w:bottom w:w="28" w:type="dxa"/>
          <w:right w:w="28" w:type="dxa"/>
        </w:tblCellMar>
      </w:tblPr>
      <w:tblGrid>
        <w:gridCol w:w="3151"/>
        <w:gridCol w:w="146"/>
        <w:gridCol w:w="489"/>
        <w:gridCol w:w="981"/>
        <w:gridCol w:w="146"/>
        <w:gridCol w:w="146"/>
        <w:gridCol w:w="697"/>
        <w:gridCol w:w="2303"/>
        <w:gridCol w:w="331"/>
      </w:tblGrid>
      <w:tr>
        <w:trPr/>
        <w:tc>
          <w:tcPr>
            <w:tcW w:w="3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Effective Dates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Notional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Weighted Average LIBOR Fixed Rate</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5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September 2019 - September 2025</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left"/>
              <w:rPr/>
            </w:pPr>
            <w:r>
              <w:rPr/>
              <w:t> </w:t>
            </w:r>
          </w:p>
        </w:tc>
        <w:tc>
          <w:tcPr>
            <w:tcW w:w="23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3.04</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15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September 2022 - September 2025</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left"/>
              <w:rPr/>
            </w:pPr>
            <w:r>
              <w:rPr/>
              <w:t> </w:t>
            </w:r>
          </w:p>
        </w:tc>
        <w:tc>
          <w:tcPr>
            <w:tcW w:w="23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2.82</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120" w:after="0"/>
        <w:jc w:val="left"/>
        <w:rPr>
          <w:rFonts w:ascii="Arial;sans-serif" w:hAnsi="Arial;sans-serif"/>
          <w:b w:val="false"/>
          <w:sz w:val="20"/>
        </w:rPr>
      </w:pPr>
      <w:r>
        <w:rPr>
          <w:rFonts w:ascii="Arial;sans-serif" w:hAnsi="Arial;sans-serif"/>
          <w:b w:val="false"/>
          <w:sz w:val="20"/>
        </w:rPr>
        <w:t>The following tabular disclosures further describe the Company’s interest rate derivatives qualifying and designated for hedge accounting and their impact on the financial condition of the Company (dollars in millions):</w:t>
      </w:r>
    </w:p>
    <w:p>
      <w:pPr>
        <w:pStyle w:val="TextBody"/>
        <w:spacing w:before="0" w:after="0"/>
        <w:jc w:val="left"/>
        <w:rPr/>
      </w:pPr>
      <w:r>
        <w:rPr/>
        <w:t> </w:t>
      </w:r>
    </w:p>
    <w:tbl>
      <w:tblPr>
        <w:tblW w:w="7447" w:type="dxa"/>
        <w:jc w:val="left"/>
        <w:tblInd w:w="0" w:type="dxa"/>
        <w:tblCellMar>
          <w:top w:w="28" w:type="dxa"/>
          <w:left w:w="28" w:type="dxa"/>
          <w:bottom w:w="28" w:type="dxa"/>
          <w:right w:w="28" w:type="dxa"/>
        </w:tblCellMar>
      </w:tblPr>
      <w:tblGrid>
        <w:gridCol w:w="2101"/>
        <w:gridCol w:w="146"/>
        <w:gridCol w:w="2266"/>
        <w:gridCol w:w="146"/>
        <w:gridCol w:w="341"/>
        <w:gridCol w:w="514"/>
        <w:gridCol w:w="146"/>
        <w:gridCol w:w="146"/>
        <w:gridCol w:w="467"/>
        <w:gridCol w:w="703"/>
        <w:gridCol w:w="471"/>
      </w:tblGrid>
      <w:tr>
        <w:trPr/>
        <w:tc>
          <w:tcPr>
            <w:tcW w:w="2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2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Fair Value</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Balance Sheet Location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Derivative Assets:</w:t>
            </w:r>
          </w:p>
        </w:tc>
        <w:tc>
          <w:tcPr>
            <w:tcW w:w="146" w:type="dxa"/>
            <w:tcBorders/>
            <w:shd w:fill="auto" w:val="clear"/>
            <w:vAlign w:val="center"/>
          </w:tcPr>
          <w:p>
            <w:pPr>
              <w:pStyle w:val="TableContents"/>
              <w:spacing w:before="0" w:after="0"/>
              <w:ind w:left="0" w:right="0" w:hanging="0"/>
              <w:jc w:val="left"/>
              <w:rPr/>
            </w:pPr>
            <w:r>
              <w:rPr/>
              <w:t> </w:t>
            </w:r>
          </w:p>
        </w:tc>
        <w:tc>
          <w:tcPr>
            <w:tcW w:w="2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firstLine="280"/>
              <w:jc w:val="right"/>
              <w:rPr/>
            </w:pPr>
            <w:r>
              <w:rPr/>
              <w:t> </w:t>
            </w:r>
          </w:p>
        </w:tc>
      </w:tr>
      <w:tr>
        <w:trPr/>
        <w:tc>
          <w:tcPr>
            <w:tcW w:w="210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Interest rate swaps</w:t>
            </w:r>
          </w:p>
        </w:tc>
        <w:tc>
          <w:tcPr>
            <w:tcW w:w="146" w:type="dxa"/>
            <w:tcBorders/>
            <w:shd w:fill="auto" w:val="clear"/>
            <w:vAlign w:val="center"/>
          </w:tcPr>
          <w:p>
            <w:pPr>
              <w:pStyle w:val="TableContents"/>
              <w:spacing w:before="0" w:after="0"/>
              <w:ind w:left="0" w:right="0" w:hanging="0"/>
              <w:jc w:val="left"/>
              <w:rPr/>
            </w:pPr>
            <w:r>
              <w:rPr/>
              <w:t> </w:t>
            </w:r>
          </w:p>
        </w:tc>
        <w:tc>
          <w:tcPr>
            <w:tcW w:w="2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current assets</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1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471"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210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derivative assets</w:t>
            </w:r>
          </w:p>
        </w:tc>
        <w:tc>
          <w:tcPr>
            <w:tcW w:w="146" w:type="dxa"/>
            <w:tcBorders/>
            <w:shd w:fill="auto" w:val="clear"/>
            <w:vAlign w:val="center"/>
          </w:tcPr>
          <w:p>
            <w:pPr>
              <w:pStyle w:val="TableContents"/>
              <w:spacing w:before="0" w:after="0"/>
              <w:ind w:left="0" w:right="0" w:hanging="0"/>
              <w:jc w:val="left"/>
              <w:rPr/>
            </w:pPr>
            <w:r>
              <w:rPr/>
              <w:t> </w:t>
            </w:r>
          </w:p>
        </w:tc>
        <w:tc>
          <w:tcPr>
            <w:tcW w:w="2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balance of net derivative gains recorded in AOCL as of March 31, 2023 and December 31, 2022 was $14</w:t>
      </w:r>
      <w:r>
        <w:rPr>
          <w:rFonts w:ascii="Times New Roman" w:hAnsi="Times New Roman"/>
          <w:sz w:val="20"/>
        </w:rPr>
        <w:t xml:space="preserve"> </w:t>
      </w:r>
      <w:r>
        <w:rPr>
          <w:rFonts w:ascii="Arial;sans-serif" w:hAnsi="Arial;sans-serif"/>
          <w:b w:val="false"/>
          <w:sz w:val="20"/>
        </w:rPr>
        <w:t>million and $18</w:t>
      </w:r>
      <w:r>
        <w:rPr>
          <w:rFonts w:ascii="Times New Roman" w:hAnsi="Times New Roman"/>
          <w:sz w:val="20"/>
        </w:rPr>
        <w:t xml:space="preserve"> </w:t>
      </w:r>
      <w:r>
        <w:rPr>
          <w:rFonts w:ascii="Arial;sans-serif" w:hAnsi="Arial;sans-serif"/>
          <w:b w:val="false"/>
          <w:sz w:val="20"/>
        </w:rPr>
        <w:t>million, respectively. See "Note O. Accumulated Other Comprehensive Loss” for information regarding activity recorded as a component of AOCL during the three months ended March 31, 2023 and 2022. As of March 31, 2023, the Company had $9</w:t>
      </w:r>
      <w:r>
        <w:rPr>
          <w:rFonts w:ascii="Times New Roman" w:hAnsi="Times New Roman"/>
          <w:sz w:val="20"/>
        </w:rPr>
        <w:t xml:space="preserve"> </w:t>
      </w:r>
      <w:r>
        <w:rPr>
          <w:rFonts w:ascii="Arial;sans-serif" w:hAnsi="Arial;sans-serif"/>
          <w:b w:val="false"/>
          <w:sz w:val="20"/>
        </w:rPr>
        <w:t>million of derivative gains recorded in AOCL expected to be reclassified to earnings within the next twelve months.</w:t>
      </w:r>
    </w:p>
    <w:p>
      <w:pPr>
        <w:pStyle w:val="TextBody"/>
        <w:spacing w:before="180" w:after="0"/>
        <w:jc w:val="center"/>
        <w:rPr>
          <w:rFonts w:ascii="Arial;sans-serif" w:hAnsi="Arial;sans-serif"/>
          <w:b w:val="false"/>
          <w:sz w:val="20"/>
        </w:rPr>
      </w:pPr>
      <w:r>
        <w:rPr>
          <w:rFonts w:ascii="Arial;sans-serif" w:hAnsi="Arial;sans-serif"/>
          <w:b w:val="false"/>
          <w:sz w:val="20"/>
        </w:rPr>
        <w:t>14</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NOTE I. PRODUCT WARRANTY LIABILITIES</w:t>
      </w:r>
    </w:p>
    <w:p>
      <w:pPr>
        <w:pStyle w:val="TextBody"/>
        <w:spacing w:before="120" w:after="0"/>
        <w:jc w:val="left"/>
        <w:rPr>
          <w:rFonts w:ascii="Times New Roman" w:hAnsi="Times New Roman"/>
          <w:sz w:val="20"/>
        </w:rPr>
      </w:pPr>
      <w:r>
        <w:rPr>
          <w:rFonts w:ascii="Arial;sans-serif" w:hAnsi="Arial;sans-serif"/>
          <w:b w:val="false"/>
          <w:sz w:val="20"/>
        </w:rPr>
        <w:t>As of March 31, 2023, current and non-current product warranty liabilities were $27</w:t>
      </w:r>
      <w:r>
        <w:rPr>
          <w:rFonts w:ascii="Times New Roman" w:hAnsi="Times New Roman"/>
          <w:sz w:val="20"/>
        </w:rPr>
        <w:t xml:space="preserve"> </w:t>
      </w:r>
      <w:r>
        <w:rPr>
          <w:rFonts w:ascii="Arial;sans-serif" w:hAnsi="Arial;sans-serif"/>
          <w:b w:val="false"/>
          <w:sz w:val="20"/>
        </w:rPr>
        <w:t>million and $32</w:t>
      </w:r>
      <w:r>
        <w:rPr>
          <w:rFonts w:ascii="Times New Roman" w:hAnsi="Times New Roman"/>
          <w:sz w:val="20"/>
        </w:rPr>
        <w:t xml:space="preserve"> </w:t>
      </w:r>
      <w:r>
        <w:rPr>
          <w:rFonts w:ascii="Arial;sans-serif" w:hAnsi="Arial;sans-serif"/>
          <w:b w:val="false"/>
          <w:sz w:val="20"/>
        </w:rPr>
        <w:t>million, respectively. As of March 31, 2022, current and non-current product warranty liabilities were $30</w:t>
      </w:r>
      <w:r>
        <w:rPr>
          <w:rFonts w:ascii="Times New Roman" w:hAnsi="Times New Roman"/>
          <w:sz w:val="20"/>
        </w:rPr>
        <w:t xml:space="preserve"> </w:t>
      </w:r>
      <w:r>
        <w:rPr>
          <w:rFonts w:ascii="Arial;sans-serif" w:hAnsi="Arial;sans-serif"/>
          <w:b w:val="false"/>
          <w:sz w:val="20"/>
        </w:rPr>
        <w:t>million and $23</w:t>
      </w:r>
      <w:r>
        <w:rPr>
          <w:rFonts w:ascii="Times New Roman" w:hAnsi="Times New Roman"/>
          <w:sz w:val="20"/>
        </w:rPr>
        <w:t xml:space="preserve"> </w:t>
      </w:r>
      <w:r>
        <w:rPr>
          <w:rFonts w:ascii="Arial;sans-serif" w:hAnsi="Arial;sans-serif"/>
          <w:b w:val="false"/>
          <w:sz w:val="20"/>
        </w:rPr>
        <w:t>million, respectively.</w:t>
      </w:r>
    </w:p>
    <w:p>
      <w:pPr>
        <w:pStyle w:val="TextBody"/>
        <w:spacing w:before="120" w:after="0"/>
        <w:jc w:val="left"/>
        <w:rPr>
          <w:rFonts w:ascii="Arial;sans-serif" w:hAnsi="Arial;sans-serif"/>
          <w:b w:val="false"/>
          <w:sz w:val="20"/>
        </w:rPr>
      </w:pPr>
      <w:r>
        <w:rPr>
          <w:rFonts w:ascii="Arial;sans-serif" w:hAnsi="Arial;sans-serif"/>
          <w:b w:val="false"/>
          <w:sz w:val="20"/>
        </w:rPr>
        <w:t>Product warranty liability activities consist of the following (dollars in millions):</w:t>
      </w:r>
    </w:p>
    <w:p>
      <w:pPr>
        <w:pStyle w:val="TextBody"/>
        <w:spacing w:before="0" w:after="0"/>
        <w:jc w:val="left"/>
        <w:rPr/>
      </w:pPr>
      <w:r>
        <w:rPr/>
        <w:t> </w:t>
      </w:r>
    </w:p>
    <w:tbl>
      <w:tblPr>
        <w:tblW w:w="6567" w:type="dxa"/>
        <w:jc w:val="left"/>
        <w:tblInd w:w="0" w:type="dxa"/>
        <w:tblCellMar>
          <w:top w:w="28" w:type="dxa"/>
          <w:left w:w="28" w:type="dxa"/>
          <w:bottom w:w="28" w:type="dxa"/>
          <w:right w:w="28" w:type="dxa"/>
        </w:tblCellMar>
      </w:tblPr>
      <w:tblGrid>
        <w:gridCol w:w="4456"/>
        <w:gridCol w:w="146"/>
        <w:gridCol w:w="271"/>
        <w:gridCol w:w="406"/>
        <w:gridCol w:w="213"/>
        <w:gridCol w:w="187"/>
        <w:gridCol w:w="271"/>
        <w:gridCol w:w="406"/>
        <w:gridCol w:w="211"/>
      </w:tblGrid>
      <w:tr>
        <w:trPr/>
        <w:tc>
          <w:tcPr>
            <w:tcW w:w="4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4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4"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r>
          </w:p>
        </w:tc>
        <w:tc>
          <w:tcPr>
            <w:tcW w:w="211" w:type="dxa"/>
            <w:tcBorders/>
            <w:shd w:fill="auto" w:val="cle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Beginning balance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0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57</w:t>
            </w:r>
          </w:p>
        </w:tc>
        <w:tc>
          <w:tcPr>
            <w:tcW w:w="213"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0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21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Payments</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w:t>
            </w:r>
          </w:p>
        </w:tc>
        <w:tc>
          <w:tcPr>
            <w:tcW w:w="213"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87"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Increase in liability (warranty issued during period)</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w:t>
            </w:r>
          </w:p>
        </w:tc>
        <w:tc>
          <w:tcPr>
            <w:tcW w:w="213"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21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adjustments to liability</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59</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left"/>
        <w:rPr>
          <w:rFonts w:ascii="Arial;sans-serif" w:hAnsi="Arial;sans-serif"/>
          <w:b/>
          <w:sz w:val="20"/>
        </w:rPr>
      </w:pPr>
      <w:r>
        <w:rPr>
          <w:rFonts w:ascii="Arial;sans-serif" w:hAnsi="Arial;sans-serif"/>
          <w:b/>
          <w:sz w:val="20"/>
        </w:rPr>
        <w:t>NOTE J. DEFERRED REVENUE</w:t>
      </w:r>
    </w:p>
    <w:p>
      <w:pPr>
        <w:pStyle w:val="TextBody"/>
        <w:spacing w:before="120" w:after="0"/>
        <w:jc w:val="left"/>
        <w:rPr>
          <w:rFonts w:ascii="Times New Roman" w:hAnsi="Times New Roman"/>
          <w:sz w:val="20"/>
        </w:rPr>
      </w:pPr>
      <w:r>
        <w:rPr>
          <w:rFonts w:ascii="Arial;sans-serif" w:hAnsi="Arial;sans-serif"/>
          <w:b w:val="false"/>
          <w:sz w:val="20"/>
        </w:rPr>
        <w:t>As of March 31, 2023, current and non-current deferred revenue was $45</w:t>
      </w:r>
      <w:r>
        <w:rPr>
          <w:rFonts w:ascii="Times New Roman" w:hAnsi="Times New Roman"/>
          <w:sz w:val="20"/>
        </w:rPr>
        <w:t xml:space="preserve"> </w:t>
      </w:r>
      <w:r>
        <w:rPr>
          <w:rFonts w:ascii="Arial;sans-serif" w:hAnsi="Arial;sans-serif"/>
          <w:b w:val="false"/>
          <w:sz w:val="20"/>
        </w:rPr>
        <w:t>million and $94</w:t>
      </w:r>
      <w:r>
        <w:rPr>
          <w:rFonts w:ascii="Times New Roman" w:hAnsi="Times New Roman"/>
          <w:sz w:val="20"/>
        </w:rPr>
        <w:t xml:space="preserve"> </w:t>
      </w:r>
      <w:r>
        <w:rPr>
          <w:rFonts w:ascii="Arial;sans-serif" w:hAnsi="Arial;sans-serif"/>
          <w:b w:val="false"/>
          <w:sz w:val="20"/>
        </w:rPr>
        <w:t>million, respectively. As of March 31, 2022, current and non-current deferred revenue was $35</w:t>
      </w:r>
      <w:r>
        <w:rPr>
          <w:rFonts w:ascii="Times New Roman" w:hAnsi="Times New Roman"/>
          <w:sz w:val="20"/>
        </w:rPr>
        <w:t xml:space="preserve"> </w:t>
      </w:r>
      <w:r>
        <w:rPr>
          <w:rFonts w:ascii="Arial;sans-serif" w:hAnsi="Arial;sans-serif"/>
          <w:b w:val="false"/>
          <w:sz w:val="20"/>
        </w:rPr>
        <w:t>million and $97</w:t>
      </w:r>
      <w:r>
        <w:rPr>
          <w:rFonts w:ascii="Times New Roman" w:hAnsi="Times New Roman"/>
          <w:sz w:val="20"/>
        </w:rPr>
        <w:t xml:space="preserve"> </w:t>
      </w:r>
      <w:r>
        <w:rPr>
          <w:rFonts w:ascii="Arial;sans-serif" w:hAnsi="Arial;sans-serif"/>
          <w:b w:val="false"/>
          <w:sz w:val="20"/>
        </w:rPr>
        <w:t>million, respectively.</w:t>
      </w:r>
    </w:p>
    <w:p>
      <w:pPr>
        <w:pStyle w:val="TextBody"/>
        <w:spacing w:before="120" w:after="0"/>
        <w:jc w:val="left"/>
        <w:rPr>
          <w:rFonts w:ascii="Arial;sans-serif" w:hAnsi="Arial;sans-serif"/>
          <w:b w:val="false"/>
          <w:sz w:val="20"/>
        </w:rPr>
      </w:pPr>
      <w:r>
        <w:rPr>
          <w:rFonts w:ascii="Arial;sans-serif" w:hAnsi="Arial;sans-serif"/>
          <w:b w:val="false"/>
          <w:sz w:val="20"/>
        </w:rPr>
        <w:t>Deferred revenue activity consists of the following (dollars in millions):</w:t>
      </w:r>
    </w:p>
    <w:p>
      <w:pPr>
        <w:pStyle w:val="TextBody"/>
        <w:spacing w:before="0" w:after="0"/>
        <w:jc w:val="left"/>
        <w:rPr/>
      </w:pPr>
      <w:r>
        <w:rPr/>
        <w:t> </w:t>
      </w:r>
    </w:p>
    <w:tbl>
      <w:tblPr>
        <w:tblW w:w="3822" w:type="dxa"/>
        <w:jc w:val="left"/>
        <w:tblInd w:w="0" w:type="dxa"/>
        <w:tblCellMar>
          <w:top w:w="28" w:type="dxa"/>
          <w:left w:w="28" w:type="dxa"/>
          <w:bottom w:w="28" w:type="dxa"/>
          <w:right w:w="28" w:type="dxa"/>
        </w:tblCellMar>
      </w:tblPr>
      <w:tblGrid>
        <w:gridCol w:w="1711"/>
        <w:gridCol w:w="146"/>
        <w:gridCol w:w="235"/>
        <w:gridCol w:w="469"/>
        <w:gridCol w:w="184"/>
        <w:gridCol w:w="162"/>
        <w:gridCol w:w="235"/>
        <w:gridCol w:w="469"/>
        <w:gridCol w:w="211"/>
      </w:tblGrid>
      <w:tr>
        <w:trPr/>
        <w:tc>
          <w:tcPr>
            <w:tcW w:w="17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7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4"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r>
          </w:p>
        </w:tc>
        <w:tc>
          <w:tcPr>
            <w:tcW w:w="211" w:type="dxa"/>
            <w:tcBorders/>
            <w:shd w:fill="auto" w:val="clear"/>
            <w:vAlign w:val="center"/>
          </w:tcPr>
          <w:p>
            <w:pPr>
              <w:pStyle w:val="TableContents"/>
              <w:spacing w:before="0" w:after="0"/>
              <w:ind w:left="0" w:right="0" w:hanging="0"/>
              <w:jc w:val="center"/>
              <w:rPr/>
            </w:pPr>
            <w:r>
              <w:rPr/>
              <w:t> </w:t>
            </w:r>
          </w:p>
        </w:tc>
      </w:tr>
      <w:tr>
        <w:trPr/>
        <w:tc>
          <w:tcPr>
            <w:tcW w:w="17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Beginning balance</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69"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131</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6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136</w:t>
            </w:r>
          </w:p>
        </w:tc>
        <w:tc>
          <w:tcPr>
            <w:tcW w:w="211" w:type="dxa"/>
            <w:tcBorders/>
            <w:shd w:fill="auto" w:val="clear"/>
            <w:vAlign w:val="center"/>
          </w:tcPr>
          <w:p>
            <w:pPr>
              <w:pStyle w:val="TableContents"/>
              <w:spacing w:before="0" w:after="0"/>
              <w:ind w:left="0" w:right="0" w:hanging="0"/>
              <w:jc w:val="left"/>
              <w:rPr/>
            </w:pPr>
            <w:r>
              <w:rPr/>
              <w:t> </w:t>
            </w:r>
          </w:p>
        </w:tc>
      </w:tr>
      <w:tr>
        <w:trPr/>
        <w:tc>
          <w:tcPr>
            <w:tcW w:w="17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Increases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211" w:type="dxa"/>
            <w:tcBorders/>
            <w:shd w:fill="auto" w:val="clear"/>
            <w:vAlign w:val="center"/>
          </w:tcPr>
          <w:p>
            <w:pPr>
              <w:pStyle w:val="TableContents"/>
              <w:spacing w:before="0" w:after="0"/>
              <w:ind w:left="0" w:right="0" w:hanging="0"/>
              <w:jc w:val="left"/>
              <w:rPr/>
            </w:pPr>
            <w:r>
              <w:rPr/>
              <w:t> </w:t>
            </w:r>
          </w:p>
        </w:tc>
      </w:tr>
      <w:tr>
        <w:trPr/>
        <w:tc>
          <w:tcPr>
            <w:tcW w:w="17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 earned</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17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139</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Deferred revenue recorded in current and non-current liabilities related to ETC as of March 31, 2023 was $30</w:t>
      </w:r>
      <w:r>
        <w:rPr>
          <w:rFonts w:ascii="Times New Roman" w:hAnsi="Times New Roman"/>
          <w:sz w:val="20"/>
        </w:rPr>
        <w:t xml:space="preserve"> </w:t>
      </w:r>
      <w:r>
        <w:rPr>
          <w:rFonts w:ascii="Arial;sans-serif" w:hAnsi="Arial;sans-serif"/>
          <w:b w:val="false"/>
          <w:sz w:val="20"/>
        </w:rPr>
        <w:t>million and $84</w:t>
      </w:r>
      <w:r>
        <w:rPr>
          <w:rFonts w:ascii="Times New Roman" w:hAnsi="Times New Roman"/>
          <w:sz w:val="20"/>
        </w:rPr>
        <w:t xml:space="preserve"> </w:t>
      </w:r>
      <w:r>
        <w:rPr>
          <w:rFonts w:ascii="Arial;sans-serif" w:hAnsi="Arial;sans-serif"/>
          <w:b w:val="false"/>
          <w:sz w:val="20"/>
        </w:rPr>
        <w:t>million, respectively. Deferred revenue recorded in current and non-current liabilities related to ETC as of March 31, 2022 was $29</w:t>
      </w:r>
      <w:r>
        <w:rPr>
          <w:rFonts w:ascii="Times New Roman" w:hAnsi="Times New Roman"/>
          <w:sz w:val="20"/>
        </w:rPr>
        <w:t xml:space="preserve"> </w:t>
      </w:r>
      <w:r>
        <w:rPr>
          <w:rFonts w:ascii="Arial;sans-serif" w:hAnsi="Arial;sans-serif"/>
          <w:b w:val="false"/>
          <w:sz w:val="20"/>
        </w:rPr>
        <w:t>million and $84</w:t>
      </w:r>
      <w:r>
        <w:rPr>
          <w:rFonts w:ascii="Times New Roman" w:hAnsi="Times New Roman"/>
          <w:sz w:val="20"/>
        </w:rPr>
        <w:t xml:space="preserve"> </w:t>
      </w:r>
      <w:r>
        <w:rPr>
          <w:rFonts w:ascii="Arial;sans-serif" w:hAnsi="Arial;sans-serif"/>
          <w:b w:val="false"/>
          <w:sz w:val="20"/>
        </w:rPr>
        <w:t>million, respectively.</w:t>
      </w:r>
    </w:p>
    <w:p>
      <w:pPr>
        <w:pStyle w:val="TextBody"/>
        <w:spacing w:before="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15</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NOTE K. LEASES</w:t>
      </w:r>
    </w:p>
    <w:p>
      <w:pPr>
        <w:pStyle w:val="TextBody"/>
        <w:spacing w:before="120" w:after="0"/>
        <w:jc w:val="left"/>
        <w:rPr>
          <w:rFonts w:ascii="Arial;sans-serif" w:hAnsi="Arial;sans-serif"/>
          <w:b w:val="false"/>
          <w:sz w:val="20"/>
        </w:rPr>
      </w:pPr>
      <w:r>
        <w:rPr>
          <w:rFonts w:ascii="Arial;sans-serif" w:hAnsi="Arial;sans-serif"/>
          <w:b w:val="false"/>
          <w:sz w:val="20"/>
        </w:rPr>
        <w:t>Contracts are assessed by the Company to determine if the contract conveys the right to control an identified asset in exchange for consideration during a period of time. The Company classifies all identified leases as either operating or finance leases. As of March 31, 2023,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pStyle w:val="TextBody"/>
        <w:spacing w:before="120" w:after="0"/>
        <w:jc w:val="left"/>
        <w:rPr>
          <w:rFonts w:ascii="Arial;sans-serif" w:hAnsi="Arial;sans-serif"/>
          <w:b w:val="false"/>
          <w:sz w:val="20"/>
        </w:rPr>
      </w:pPr>
      <w:r>
        <w:rPr>
          <w:rFonts w:ascii="Arial;sans-serif" w:hAnsi="Arial;sans-serif"/>
          <w:b w:val="false"/>
          <w:sz w:val="20"/>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pStyle w:val="TextBody"/>
        <w:spacing w:before="120" w:after="0"/>
        <w:jc w:val="left"/>
        <w:rPr>
          <w:rFonts w:ascii="Arial;sans-serif" w:hAnsi="Arial;sans-serif"/>
          <w:b w:val="false"/>
          <w:sz w:val="20"/>
        </w:rPr>
      </w:pPr>
      <w:r>
        <w:rPr>
          <w:rFonts w:ascii="Arial;sans-serif" w:hAnsi="Arial;sans-serif"/>
          <w:b w:val="false"/>
          <w:sz w:val="20"/>
        </w:rPr>
        <w:t>The Company's lease liability is determined by discounting the future cash flows over the lease period. The Company determines its discount rates utilizing current secured financing rates based on the length of the lease period plus the Company's margin over Adjusted Term SOFR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March 31, 2023 and December 31, 2022 was 4.53% and 4.43%, respectively.</w:t>
      </w:r>
    </w:p>
    <w:p>
      <w:pPr>
        <w:pStyle w:val="TextBody"/>
        <w:spacing w:before="120" w:after="0"/>
        <w:jc w:val="left"/>
        <w:rPr>
          <w:rFonts w:ascii="Times New Roman" w:hAnsi="Times New Roman"/>
          <w:sz w:val="20"/>
        </w:rPr>
      </w:pPr>
      <w:r>
        <w:rPr>
          <w:rFonts w:ascii="Arial;sans-serif" w:hAnsi="Arial;sans-serif"/>
          <w:b w:val="false"/>
          <w:sz w:val="20"/>
        </w:rPr>
        <w:t>As of March 31, 2023, the Company recorded current and non-current</w:t>
      </w:r>
      <w:r>
        <w:rPr>
          <w:rFonts w:ascii="Times New Roman" w:hAnsi="Times New Roman"/>
          <w:sz w:val="20"/>
        </w:rPr>
        <w:t xml:space="preserve"> </w:t>
      </w:r>
      <w:r>
        <w:rPr>
          <w:rFonts w:ascii="Arial;sans-serif" w:hAnsi="Arial;sans-serif"/>
          <w:b w:val="false"/>
          <w:sz w:val="20"/>
        </w:rPr>
        <w:t>operating lease liabilities of $4</w:t>
      </w:r>
      <w:r>
        <w:rPr>
          <w:rFonts w:ascii="Times New Roman" w:hAnsi="Times New Roman"/>
          <w:sz w:val="20"/>
        </w:rPr>
        <w:t xml:space="preserve"> </w:t>
      </w:r>
      <w:r>
        <w:rPr>
          <w:rFonts w:ascii="Arial;sans-serif" w:hAnsi="Arial;sans-serif"/>
          <w:b w:val="false"/>
          <w:sz w:val="20"/>
        </w:rPr>
        <w:t>million and $12</w:t>
      </w:r>
      <w:r>
        <w:rPr>
          <w:rFonts w:ascii="Times New Roman" w:hAnsi="Times New Roman"/>
          <w:sz w:val="20"/>
        </w:rPr>
        <w:t xml:space="preserve"> </w:t>
      </w:r>
      <w:r>
        <w:rPr>
          <w:rFonts w:ascii="Arial;sans-serif" w:hAnsi="Arial;sans-serif"/>
          <w:b w:val="false"/>
          <w:sz w:val="20"/>
        </w:rPr>
        <w:t>million, respectively. As of December 31, 2022, the Company recorded current and non-current</w:t>
      </w:r>
      <w:r>
        <w:rPr>
          <w:rFonts w:ascii="Times New Roman" w:hAnsi="Times New Roman"/>
          <w:sz w:val="20"/>
        </w:rPr>
        <w:t xml:space="preserve"> </w:t>
      </w:r>
      <w:r>
        <w:rPr>
          <w:rFonts w:ascii="Arial;sans-serif" w:hAnsi="Arial;sans-serif"/>
          <w:b w:val="false"/>
          <w:sz w:val="20"/>
        </w:rPr>
        <w:t>operating lease liabilities of $4</w:t>
      </w:r>
      <w:r>
        <w:rPr>
          <w:rFonts w:ascii="Times New Roman" w:hAnsi="Times New Roman"/>
          <w:sz w:val="20"/>
        </w:rPr>
        <w:t xml:space="preserve"> </w:t>
      </w:r>
      <w:r>
        <w:rPr>
          <w:rFonts w:ascii="Arial;sans-serif" w:hAnsi="Arial;sans-serif"/>
          <w:b w:val="false"/>
          <w:sz w:val="20"/>
        </w:rPr>
        <w:t>million and $13</w:t>
      </w:r>
      <w:r>
        <w:rPr>
          <w:rFonts w:ascii="Times New Roman" w:hAnsi="Times New Roman"/>
          <w:sz w:val="20"/>
        </w:rPr>
        <w:t xml:space="preserve"> </w:t>
      </w:r>
      <w:r>
        <w:rPr>
          <w:rFonts w:ascii="Arial;sans-serif" w:hAnsi="Arial;sans-serif"/>
          <w:b w:val="false"/>
          <w:sz w:val="20"/>
        </w:rPr>
        <w:t>million, respectively. The following table reconciles future undiscounted cash flows for operating leases as of March 31, 2023 to total operating lease liabilities:</w:t>
      </w:r>
    </w:p>
    <w:p>
      <w:pPr>
        <w:pStyle w:val="TextBody"/>
        <w:spacing w:before="0" w:after="0"/>
        <w:jc w:val="left"/>
        <w:rPr/>
      </w:pPr>
      <w:r>
        <w:rPr/>
        <w:t> </w:t>
      </w:r>
    </w:p>
    <w:tbl>
      <w:tblPr>
        <w:tblW w:w="4633" w:type="dxa"/>
        <w:jc w:val="left"/>
        <w:tblInd w:w="0" w:type="dxa"/>
        <w:tblCellMar>
          <w:top w:w="28" w:type="dxa"/>
          <w:left w:w="28" w:type="dxa"/>
          <w:bottom w:w="28" w:type="dxa"/>
          <w:right w:w="28" w:type="dxa"/>
        </w:tblCellMar>
      </w:tblPr>
      <w:tblGrid>
        <w:gridCol w:w="2881"/>
        <w:gridCol w:w="146"/>
        <w:gridCol w:w="341"/>
        <w:gridCol w:w="514"/>
        <w:gridCol w:w="751"/>
      </w:tblGrid>
      <w:tr>
        <w:trPr/>
        <w:tc>
          <w:tcPr>
            <w:tcW w:w="28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28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2023</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1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w:t>
            </w:r>
          </w:p>
        </w:tc>
        <w:tc>
          <w:tcPr>
            <w:tcW w:w="751" w:type="dxa"/>
            <w:tcBorders/>
            <w:shd w:fill="auto" w:val="cle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751" w:type="dxa"/>
            <w:tcBorders/>
            <w:shd w:fill="auto" w:val="cle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751" w:type="dxa"/>
            <w:tcBorders/>
            <w:shd w:fill="auto" w:val="cle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751" w:type="dxa"/>
            <w:tcBorders/>
            <w:shd w:fill="auto" w:val="cle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751" w:type="dxa"/>
            <w:tcBorders/>
            <w:shd w:fill="auto" w:val="cle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288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lease payments</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14"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w:t>
            </w:r>
          </w:p>
        </w:tc>
        <w:tc>
          <w:tcPr>
            <w:tcW w:w="751" w:type="dxa"/>
            <w:tcBorders/>
            <w:shd w:fill="auto" w:val="clear"/>
            <w:vAlign w:val="center"/>
          </w:tcPr>
          <w:p>
            <w:pPr>
              <w:pStyle w:val="TableContents"/>
              <w:spacing w:before="0" w:after="0"/>
              <w:ind w:left="0" w:right="0" w:firstLine="560"/>
              <w:jc w:val="left"/>
              <w:rPr/>
            </w:pPr>
            <w:r>
              <w:rPr/>
              <w:t> </w:t>
            </w:r>
          </w:p>
        </w:tc>
      </w:tr>
      <w:tr>
        <w:trPr/>
        <w:tc>
          <w:tcPr>
            <w:tcW w:w="2881"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Less: Interest</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288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Present value of lease liabilities</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ROU assets are calculated as the related lease liability adjusted for lease incentives, prepayments and the effect of escalating lease payments on period expense. The below table depicts the ROU assets held by the Company based on the underlying asset:</w:t>
      </w:r>
    </w:p>
    <w:p>
      <w:pPr>
        <w:pStyle w:val="TextBody"/>
        <w:spacing w:before="0" w:after="0"/>
        <w:jc w:val="left"/>
        <w:rPr/>
      </w:pPr>
      <w:r>
        <w:rPr/>
        <w:t> </w:t>
      </w:r>
    </w:p>
    <w:tbl>
      <w:tblPr>
        <w:tblW w:w="4615" w:type="dxa"/>
        <w:jc w:val="left"/>
        <w:tblInd w:w="0" w:type="dxa"/>
        <w:tblCellMar>
          <w:top w:w="28" w:type="dxa"/>
          <w:left w:w="28" w:type="dxa"/>
          <w:bottom w:w="28" w:type="dxa"/>
          <w:right w:w="28" w:type="dxa"/>
        </w:tblCellMar>
      </w:tblPr>
      <w:tblGrid>
        <w:gridCol w:w="1681"/>
        <w:gridCol w:w="146"/>
        <w:gridCol w:w="322"/>
        <w:gridCol w:w="533"/>
        <w:gridCol w:w="146"/>
        <w:gridCol w:w="146"/>
        <w:gridCol w:w="443"/>
        <w:gridCol w:w="727"/>
        <w:gridCol w:w="471"/>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Buildings</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3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4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47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Land</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43"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47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Equipment</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43"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47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Vehicles</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168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ROU assets</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16</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weighted average remaining lease term as of March 31, 2023 and March 31, 2022 was 6.1</w:t>
      </w:r>
      <w:r>
        <w:rPr>
          <w:rFonts w:ascii="Times New Roman" w:hAnsi="Times New Roman"/>
          <w:sz w:val="20"/>
        </w:rPr>
        <w:t xml:space="preserve"> </w:t>
      </w:r>
      <w:r>
        <w:rPr>
          <w:rFonts w:ascii="Arial;sans-serif" w:hAnsi="Arial;sans-serif"/>
          <w:b w:val="false"/>
          <w:sz w:val="20"/>
        </w:rPr>
        <w:t>years</w:t>
      </w:r>
      <w:r>
        <w:rPr>
          <w:rFonts w:ascii="Times New Roman" w:hAnsi="Times New Roman"/>
          <w:sz w:val="20"/>
        </w:rPr>
        <w:t xml:space="preserve"> </w:t>
      </w:r>
      <w:r>
        <w:rPr>
          <w:rFonts w:ascii="Arial;sans-serif" w:hAnsi="Arial;sans-serif"/>
          <w:b w:val="false"/>
          <w:sz w:val="20"/>
        </w:rPr>
        <w:t>and 6.8</w:t>
      </w:r>
      <w:r>
        <w:rPr>
          <w:rFonts w:ascii="Times New Roman" w:hAnsi="Times New Roman"/>
          <w:sz w:val="20"/>
        </w:rPr>
        <w:t xml:space="preserve"> </w:t>
      </w:r>
      <w:r>
        <w:rPr>
          <w:rFonts w:ascii="Arial;sans-serif" w:hAnsi="Arial;sans-serif"/>
          <w:b w:val="false"/>
          <w:sz w:val="20"/>
        </w:rPr>
        <w:t>years, respectively.</w:t>
      </w:r>
    </w:p>
    <w:p>
      <w:pPr>
        <w:pStyle w:val="TextBody"/>
        <w:spacing w:before="120" w:after="0"/>
        <w:jc w:val="left"/>
        <w:rPr>
          <w:rFonts w:ascii="Times New Roman" w:hAnsi="Times New Roman"/>
          <w:sz w:val="20"/>
        </w:rPr>
      </w:pPr>
      <w:r>
        <w:rPr>
          <w:rFonts w:ascii="Arial;sans-serif" w:hAnsi="Arial;sans-serif"/>
          <w:b w:val="false"/>
          <w:sz w:val="20"/>
        </w:rPr>
        <w:t>Operating lease expense was $1</w:t>
      </w:r>
      <w:r>
        <w:rPr>
          <w:rFonts w:ascii="Times New Roman" w:hAnsi="Times New Roman"/>
          <w:sz w:val="20"/>
        </w:rPr>
        <w:t xml:space="preserve"> </w:t>
      </w:r>
      <w:r>
        <w:rPr>
          <w:rFonts w:ascii="Arial;sans-serif" w:hAnsi="Arial;sans-serif"/>
          <w:b w:val="false"/>
          <w:sz w:val="20"/>
        </w:rPr>
        <w:t>million for each of the three months ended March 31, 2023</w:t>
      </w:r>
      <w:r>
        <w:rPr>
          <w:rFonts w:ascii="Times New Roman" w:hAnsi="Times New Roman"/>
          <w:sz w:val="20"/>
        </w:rPr>
        <w:t xml:space="preserve"> </w:t>
      </w:r>
      <w:r>
        <w:rPr>
          <w:rFonts w:ascii="Arial;sans-serif" w:hAnsi="Arial;sans-serif"/>
          <w:b w:val="false"/>
          <w:sz w:val="20"/>
        </w:rPr>
        <w:t>and 2022, and was recorded within Selling, general and administrative expense and Engineering — research and development on the Company's Condensed Consolidated Statements of Comprehensive Income. There was no</w:t>
      </w:r>
      <w:r>
        <w:rPr>
          <w:rFonts w:ascii="Times New Roman" w:hAnsi="Times New Roman"/>
          <w:sz w:val="20"/>
        </w:rPr>
        <w:t xml:space="preserve"> </w:t>
      </w:r>
      <w:r>
        <w:rPr>
          <w:rFonts w:ascii="Arial;sans-serif" w:hAnsi="Arial;sans-serif"/>
          <w:b w:val="false"/>
          <w:sz w:val="20"/>
        </w:rPr>
        <w:t>material short-term operating lease expense for either of the three months ended March 31, 2023 or 2022.</w:t>
      </w:r>
    </w:p>
    <w:p>
      <w:pPr>
        <w:pStyle w:val="TextBody"/>
        <w:spacing w:before="120" w:after="0"/>
        <w:jc w:val="left"/>
        <w:rPr>
          <w:rFonts w:ascii="Times New Roman" w:hAnsi="Times New Roman"/>
          <w:sz w:val="20"/>
        </w:rPr>
      </w:pPr>
      <w:r>
        <w:rPr>
          <w:rFonts w:ascii="Arial;sans-serif" w:hAnsi="Arial;sans-serif"/>
          <w:b w:val="false"/>
          <w:sz w:val="20"/>
        </w:rPr>
        <w:t>The calculation of the Company's ROU assets and lease liabilities did not include cash consideration as of either March 31, 2023 or December 31, 2022. During the three months ended March 31, 2023, there were $1</w:t>
      </w:r>
      <w:r>
        <w:rPr>
          <w:rFonts w:ascii="Times New Roman" w:hAnsi="Times New Roman"/>
          <w:sz w:val="20"/>
        </w:rPr>
        <w:t xml:space="preserve"> </w:t>
      </w:r>
      <w:r>
        <w:rPr>
          <w:rFonts w:ascii="Arial;sans-serif" w:hAnsi="Arial;sans-serif"/>
          <w:b w:val="false"/>
          <w:sz w:val="20"/>
        </w:rPr>
        <w:t>million in new ROU assets obtained in exchange for lease obligations. During the three months ended March 31, 2022, there were no</w:t>
      </w:r>
      <w:r>
        <w:rPr>
          <w:rFonts w:ascii="Times New Roman" w:hAnsi="Times New Roman"/>
          <w:sz w:val="20"/>
        </w:rPr>
        <w:t xml:space="preserve"> </w:t>
      </w:r>
      <w:r>
        <w:rPr>
          <w:rFonts w:ascii="Arial;sans-serif" w:hAnsi="Arial;sans-serif"/>
          <w:b w:val="false"/>
          <w:sz w:val="20"/>
        </w:rPr>
        <w:t>new ROU assets obtained in exchange for lease obligations.</w:t>
      </w:r>
    </w:p>
    <w:p>
      <w:pPr>
        <w:pStyle w:val="TextBody"/>
        <w:spacing w:before="360" w:after="0"/>
        <w:jc w:val="left"/>
        <w:rPr>
          <w:rFonts w:ascii="Arial;sans-serif" w:hAnsi="Arial;sans-serif"/>
          <w:b/>
          <w:sz w:val="20"/>
        </w:rPr>
      </w:pPr>
      <w:r>
        <w:rPr>
          <w:rFonts w:ascii="Arial;sans-serif" w:hAnsi="Arial;sans-serif"/>
          <w:b/>
          <w:sz w:val="20"/>
        </w:rPr>
        <w:t>NOTE L. OTHER CURRENT LIABILITIES</w:t>
      </w:r>
    </w:p>
    <w:p>
      <w:pPr>
        <w:pStyle w:val="TextBody"/>
        <w:spacing w:before="120" w:after="0"/>
        <w:jc w:val="left"/>
        <w:rPr>
          <w:rFonts w:ascii="Arial;sans-serif" w:hAnsi="Arial;sans-serif"/>
          <w:b w:val="false"/>
          <w:sz w:val="20"/>
        </w:rPr>
      </w:pPr>
      <w:r>
        <w:rPr>
          <w:rFonts w:ascii="Arial;sans-serif" w:hAnsi="Arial;sans-serif"/>
          <w:b w:val="false"/>
          <w:sz w:val="20"/>
        </w:rPr>
        <w:t>Other current liabilities consist of the following (dollars in millions):</w:t>
      </w:r>
    </w:p>
    <w:p>
      <w:pPr>
        <w:pStyle w:val="TextBody"/>
        <w:spacing w:before="0" w:after="0"/>
        <w:jc w:val="left"/>
        <w:rPr/>
      </w:pPr>
      <w:r>
        <w:rPr/>
        <w:t> </w:t>
      </w:r>
    </w:p>
    <w:tbl>
      <w:tblPr>
        <w:tblW w:w="5350" w:type="dxa"/>
        <w:jc w:val="left"/>
        <w:tblInd w:w="0" w:type="dxa"/>
        <w:tblCellMar>
          <w:top w:w="28" w:type="dxa"/>
          <w:left w:w="28" w:type="dxa"/>
          <w:bottom w:w="28" w:type="dxa"/>
          <w:right w:w="28" w:type="dxa"/>
        </w:tblCellMar>
      </w:tblPr>
      <w:tblGrid>
        <w:gridCol w:w="2416"/>
        <w:gridCol w:w="146"/>
        <w:gridCol w:w="285"/>
        <w:gridCol w:w="570"/>
        <w:gridCol w:w="146"/>
        <w:gridCol w:w="146"/>
        <w:gridCol w:w="389"/>
        <w:gridCol w:w="781"/>
        <w:gridCol w:w="471"/>
      </w:tblGrid>
      <w:tr>
        <w:trPr/>
        <w:tc>
          <w:tcPr>
            <w:tcW w:w="2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24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Taxes payable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7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w:t>
            </w:r>
          </w:p>
        </w:tc>
        <w:tc>
          <w:tcPr>
            <w:tcW w:w="47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Sales incentives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9"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42</w:t>
            </w:r>
          </w:p>
        </w:tc>
        <w:tc>
          <w:tcPr>
            <w:tcW w:w="47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Payroll and related costs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9"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w:t>
            </w:r>
          </w:p>
        </w:tc>
        <w:tc>
          <w:tcPr>
            <w:tcW w:w="47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Accrued interest payable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9"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47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Vendor buyback obligation</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9"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w:t>
            </w:r>
          </w:p>
        </w:tc>
        <w:tc>
          <w:tcPr>
            <w:tcW w:w="47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OPEB liability</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9"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47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Construction holdback</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9"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47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Lease liability</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9"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47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accruals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24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208</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17</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360" w:after="0"/>
        <w:jc w:val="left"/>
        <w:rPr>
          <w:rFonts w:ascii="Arial;sans-serif" w:hAnsi="Arial;sans-serif"/>
          <w:b/>
          <w:sz w:val="20"/>
        </w:rPr>
      </w:pPr>
      <w:r>
        <w:rPr>
          <w:rFonts w:ascii="Arial;sans-serif" w:hAnsi="Arial;sans-serif"/>
          <w:b/>
          <w:sz w:val="20"/>
        </w:rPr>
        <w:t>NOTE M. EMPLOYEE BENEFIT PLANS</w:t>
      </w:r>
    </w:p>
    <w:p>
      <w:pPr>
        <w:pStyle w:val="TextBody"/>
        <w:spacing w:before="120" w:after="0"/>
        <w:jc w:val="left"/>
        <w:rPr>
          <w:rFonts w:ascii="Arial;sans-serif" w:hAnsi="Arial;sans-serif"/>
          <w:b w:val="false"/>
          <w:sz w:val="20"/>
        </w:rPr>
      </w:pPr>
      <w:r>
        <w:rPr>
          <w:rFonts w:ascii="Arial;sans-serif" w:hAnsi="Arial;sans-serif"/>
          <w:b w:val="false"/>
          <w:sz w:val="20"/>
        </w:rPr>
        <w:t>Components of net periodic benefit cost (credit) consist of the following (dollars in millions):</w:t>
      </w:r>
    </w:p>
    <w:p>
      <w:pPr>
        <w:pStyle w:val="TextBody"/>
        <w:spacing w:before="0" w:after="0"/>
        <w:jc w:val="left"/>
        <w:rPr/>
      </w:pPr>
      <w:r>
        <w:rPr/>
        <w:t> </w:t>
      </w:r>
    </w:p>
    <w:tbl>
      <w:tblPr>
        <w:tblW w:w="7474" w:type="dxa"/>
        <w:jc w:val="left"/>
        <w:tblInd w:w="0" w:type="dxa"/>
        <w:tblCellMar>
          <w:top w:w="28" w:type="dxa"/>
          <w:left w:w="28" w:type="dxa"/>
          <w:bottom w:w="28" w:type="dxa"/>
          <w:right w:w="28" w:type="dxa"/>
        </w:tblCellMar>
      </w:tblPr>
      <w:tblGrid>
        <w:gridCol w:w="2956"/>
        <w:gridCol w:w="146"/>
        <w:gridCol w:w="268"/>
        <w:gridCol w:w="440"/>
        <w:gridCol w:w="211"/>
        <w:gridCol w:w="185"/>
        <w:gridCol w:w="268"/>
        <w:gridCol w:w="440"/>
        <w:gridCol w:w="166"/>
        <w:gridCol w:w="146"/>
        <w:gridCol w:w="301"/>
        <w:gridCol w:w="495"/>
        <w:gridCol w:w="237"/>
        <w:gridCol w:w="208"/>
        <w:gridCol w:w="301"/>
        <w:gridCol w:w="495"/>
        <w:gridCol w:w="211"/>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Pension Plans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3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Post-retirement Benefits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2"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For the Three Months</w:t>
              <w:br/>
              <w:t>Ended 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7"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For the Three Months</w:t>
              <w:br/>
              <w:t>Ended March 31,</w:t>
            </w:r>
          </w:p>
        </w:tc>
        <w:tc>
          <w:tcPr>
            <w:tcW w:w="211"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periodic benefit cost (credit):</w:t>
            </w:r>
          </w:p>
        </w:tc>
        <w:tc>
          <w:tcPr>
            <w:tcW w:w="146" w:type="dxa"/>
            <w:tcBorders/>
            <w:shd w:fill="auto" w:val="clear"/>
            <w:vAlign w:val="center"/>
          </w:tcPr>
          <w:p>
            <w:pPr>
              <w:pStyle w:val="TableContents"/>
              <w:spacing w:before="0" w:after="0"/>
              <w:ind w:left="0" w:right="0" w:hanging="0"/>
              <w:jc w:val="left"/>
              <w:rPr/>
            </w:pPr>
            <w:r>
              <w:rPr/>
              <w:t> </w:t>
            </w:r>
          </w:p>
        </w:tc>
        <w:tc>
          <w:tcPr>
            <w:tcW w:w="708"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70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Service cost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95" w:type="dxa"/>
            <w:tcBorders/>
            <w:shd w:fill="auto" w:val="clear"/>
            <w:vAlign w:val="center"/>
          </w:tcPr>
          <w:p>
            <w:pPr>
              <w:pStyle w:val="TableContents"/>
              <w:spacing w:before="0" w:after="0"/>
              <w:ind w:left="0" w:right="0" w:hanging="0"/>
              <w:jc w:val="right"/>
              <w:rPr/>
            </w:pPr>
            <w:r>
              <w:rPr/>
              <w:t>—</w:t>
            </w:r>
          </w:p>
        </w:tc>
        <w:tc>
          <w:tcPr>
            <w:tcW w:w="237"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95"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cost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237"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21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Expected return on assets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85"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pPr>
            <w:r>
              <w:rPr/>
              <w:t>—</w:t>
            </w:r>
          </w:p>
        </w:tc>
        <w:tc>
          <w:tcPr>
            <w:tcW w:w="237"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Prior service credit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44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237"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08"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Recognized actuarial gain</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periodic benefit cost (credit)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The components of net periodic benefit cost (credit) other than the service cost component are included in Other income (expense), net in the Condensed Consolidated Statements of Comprehensive Income.</w:t>
      </w:r>
    </w:p>
    <w:p>
      <w:pPr>
        <w:pStyle w:val="TextBody"/>
        <w:spacing w:before="360" w:after="0"/>
        <w:jc w:val="left"/>
        <w:rPr>
          <w:rFonts w:ascii="Arial;sans-serif" w:hAnsi="Arial;sans-serif"/>
          <w:b/>
          <w:sz w:val="20"/>
        </w:rPr>
      </w:pPr>
      <w:r>
        <w:rPr>
          <w:rFonts w:ascii="Arial;sans-serif" w:hAnsi="Arial;sans-serif"/>
          <w:b/>
          <w:sz w:val="20"/>
        </w:rPr>
        <w:t>NOTE N. INCOME TAXES</w:t>
      </w:r>
    </w:p>
    <w:p>
      <w:pPr>
        <w:pStyle w:val="TextBody"/>
        <w:spacing w:before="120" w:after="0"/>
        <w:jc w:val="left"/>
        <w:rPr>
          <w:rFonts w:ascii="Times New Roman" w:hAnsi="Times New Roman"/>
          <w:sz w:val="20"/>
        </w:rPr>
      </w:pPr>
      <w:r>
        <w:rPr>
          <w:rFonts w:ascii="Arial;sans-serif" w:hAnsi="Arial;sans-serif"/>
          <w:b w:val="false"/>
          <w:sz w:val="20"/>
        </w:rPr>
        <w:t>For the three months ended March 31, 2023 and 2022, the Company recorded total income tax expense of $42</w:t>
      </w:r>
      <w:r>
        <w:rPr>
          <w:rFonts w:ascii="Times New Roman" w:hAnsi="Times New Roman"/>
          <w:sz w:val="20"/>
        </w:rPr>
        <w:t xml:space="preserve"> </w:t>
      </w:r>
      <w:r>
        <w:rPr>
          <w:rFonts w:ascii="Arial;sans-serif" w:hAnsi="Arial;sans-serif"/>
          <w:b w:val="false"/>
          <w:sz w:val="20"/>
        </w:rPr>
        <w:t>million and $34</w:t>
      </w:r>
      <w:r>
        <w:rPr>
          <w:rFonts w:ascii="Times New Roman" w:hAnsi="Times New Roman"/>
          <w:sz w:val="20"/>
        </w:rPr>
        <w:t xml:space="preserve"> </w:t>
      </w:r>
      <w:r>
        <w:rPr>
          <w:rFonts w:ascii="Arial;sans-serif" w:hAnsi="Arial;sans-serif"/>
          <w:b w:val="false"/>
          <w:sz w:val="20"/>
        </w:rPr>
        <w:t>million, respectively. The effective tax rate for the three months ended March 31, 2023 and 2022 was 20% and 21%, respectively.</w:t>
      </w:r>
    </w:p>
    <w:p>
      <w:pPr>
        <w:pStyle w:val="TextBody"/>
        <w:spacing w:before="120" w:after="0"/>
        <w:jc w:val="left"/>
        <w:rPr>
          <w:rFonts w:ascii="Arial;sans-serif" w:hAnsi="Arial;sans-serif"/>
          <w:b w:val="false"/>
          <w:sz w:val="20"/>
        </w:rPr>
      </w:pPr>
      <w:r>
        <w:rPr>
          <w:rFonts w:ascii="Arial;sans-serif" w:hAnsi="Arial;sans-serif"/>
          <w:b w:val="false"/>
          <w:sz w:val="20"/>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The Company continues to provide for a valuation allowance on certain of its foreign deferred tax assets. The Company has determined, based on the evaluation of both objective and subjective evidence available, that this valuation allowance is necessary and that it is more likely than not that the deferred tax assets are not fully realizable.</w:t>
      </w:r>
    </w:p>
    <w:p>
      <w:pPr>
        <w:pStyle w:val="TextBody"/>
        <w:spacing w:before="180" w:after="0"/>
        <w:jc w:val="center"/>
        <w:rPr>
          <w:rFonts w:ascii="Arial;sans-serif" w:hAnsi="Arial;sans-serif"/>
          <w:b w:val="false"/>
          <w:sz w:val="20"/>
        </w:rPr>
      </w:pPr>
      <w:r>
        <w:rPr>
          <w:rFonts w:ascii="Arial;sans-serif" w:hAnsi="Arial;sans-serif"/>
          <w:b w:val="false"/>
          <w:sz w:val="20"/>
        </w:rPr>
        <w:t>18</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360" w:after="0"/>
        <w:jc w:val="left"/>
        <w:rPr>
          <w:rFonts w:ascii="Arial;sans-serif" w:hAnsi="Arial;sans-serif"/>
          <w:b/>
          <w:sz w:val="20"/>
        </w:rPr>
      </w:pPr>
      <w:r>
        <w:rPr>
          <w:rFonts w:ascii="Arial;sans-serif" w:hAnsi="Arial;sans-serif"/>
          <w:b/>
          <w:sz w:val="20"/>
        </w:rPr>
        <w:t>NOTE O. ACCUMULATED OTHER COMPREHENSIVE LOSS</w:t>
      </w:r>
    </w:p>
    <w:p>
      <w:pPr>
        <w:pStyle w:val="TextBody"/>
        <w:spacing w:before="120" w:after="0"/>
        <w:jc w:val="left"/>
        <w:rPr>
          <w:rFonts w:ascii="Arial;sans-serif" w:hAnsi="Arial;sans-serif"/>
          <w:b w:val="false"/>
          <w:sz w:val="20"/>
        </w:rPr>
      </w:pPr>
      <w:r>
        <w:rPr>
          <w:rFonts w:ascii="Arial;sans-serif" w:hAnsi="Arial;sans-serif"/>
          <w:b w:val="false"/>
          <w:sz w:val="20"/>
        </w:rPr>
        <w:t>The following tables reconcile changes in AOCL by component (net of tax, dollars in millions):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158"/>
        <w:gridCol w:w="146"/>
        <w:gridCol w:w="393"/>
        <w:gridCol w:w="703"/>
        <w:gridCol w:w="166"/>
        <w:gridCol w:w="146"/>
        <w:gridCol w:w="341"/>
        <w:gridCol w:w="610"/>
        <w:gridCol w:w="166"/>
        <w:gridCol w:w="146"/>
        <w:gridCol w:w="301"/>
        <w:gridCol w:w="537"/>
        <w:gridCol w:w="166"/>
        <w:gridCol w:w="146"/>
        <w:gridCol w:w="211"/>
        <w:gridCol w:w="376"/>
        <w:gridCol w:w="493"/>
      </w:tblGrid>
      <w:tr>
        <w:trPr/>
        <w:tc>
          <w:tcPr>
            <w:tcW w:w="51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r>
      <w:tr>
        <w:trPr/>
        <w:tc>
          <w:tcPr>
            <w:tcW w:w="515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08"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5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Pension</w:t>
              <w:br/>
              <w:t>and OPEB</w:t>
              <w:br/>
              <w:t xml:space="preserve">liability </w:t>
              <w:br/>
              <w:t>adjustments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xml:space="preserve">Interest </w:t>
              <w:br/>
              <w:t>rate swaps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xml:space="preserve">Foreign </w:t>
              <w:br/>
              <w:t xml:space="preserve">currency </w:t>
              <w:br/>
              <w:t>items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5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AOCL as of December 31, 2021</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1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3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(73</w:t>
            </w:r>
          </w:p>
        </w:tc>
        <w:tc>
          <w:tcPr>
            <w:tcW w:w="493"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5158"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Other comprehensive income before reclassifications</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53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493" w:type="dxa"/>
            <w:tcBorders/>
            <w:shd w:fill="auto" w:val="clear"/>
            <w:vAlign w:val="center"/>
          </w:tcPr>
          <w:p>
            <w:pPr>
              <w:pStyle w:val="TableContents"/>
              <w:spacing w:before="0" w:after="0"/>
              <w:ind w:left="0" w:right="0" w:firstLine="280"/>
              <w:jc w:val="left"/>
              <w:rPr/>
            </w:pPr>
            <w:r>
              <w:rPr/>
              <w:t> </w:t>
            </w:r>
          </w:p>
        </w:tc>
      </w:tr>
      <w:tr>
        <w:trPr/>
        <w:tc>
          <w:tcPr>
            <w:tcW w:w="5158"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Amounts reclassified from AOCL</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53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493" w:type="dxa"/>
            <w:tcBorders/>
            <w:shd w:fill="auto" w:val="clear"/>
            <w:vAlign w:val="center"/>
          </w:tcPr>
          <w:p>
            <w:pPr>
              <w:pStyle w:val="TableContents"/>
              <w:spacing w:before="0" w:after="0"/>
              <w:ind w:left="0" w:right="0" w:firstLine="280"/>
              <w:jc w:val="left"/>
              <w:rPr/>
            </w:pPr>
            <w:r>
              <w:rPr/>
              <w:t> </w:t>
            </w:r>
          </w:p>
        </w:tc>
      </w:tr>
      <w:tr>
        <w:trPr/>
        <w:tc>
          <w:tcPr>
            <w:tcW w:w="5158"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Income tax benefit (expense)</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15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current period other comprehensive (loss) income</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5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AOCL as of March 31, 2022</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w:t>
            </w:r>
          </w:p>
        </w:tc>
        <w:tc>
          <w:tcPr>
            <w:tcW w:w="4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15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AOCL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1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3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493"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5158"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Other comprehensive (loss) income before reclassifications</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537"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493" w:type="dxa"/>
            <w:tcBorders/>
            <w:shd w:fill="auto" w:val="clear"/>
            <w:vAlign w:val="center"/>
          </w:tcPr>
          <w:p>
            <w:pPr>
              <w:pStyle w:val="TableContents"/>
              <w:spacing w:before="0" w:after="0"/>
              <w:ind w:left="0" w:right="0" w:firstLine="280"/>
              <w:jc w:val="left"/>
              <w:rPr/>
            </w:pPr>
            <w:r>
              <w:rPr/>
              <w:t> </w:t>
            </w:r>
          </w:p>
        </w:tc>
      </w:tr>
      <w:tr>
        <w:trPr/>
        <w:tc>
          <w:tcPr>
            <w:tcW w:w="5158"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Amounts reclassified from AOCL</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53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w:t>
            </w:r>
          </w:p>
        </w:tc>
        <w:tc>
          <w:tcPr>
            <w:tcW w:w="493" w:type="dxa"/>
            <w:tcBorders/>
            <w:shd w:fill="auto" w:val="clear"/>
            <w:vAlign w:val="center"/>
          </w:tcPr>
          <w:p>
            <w:pPr>
              <w:pStyle w:val="TableContents"/>
              <w:spacing w:before="0" w:after="0"/>
              <w:ind w:left="0" w:right="0" w:firstLine="280"/>
              <w:jc w:val="left"/>
              <w:rPr>
                <w:rFonts w:ascii="Arial;sans-serif" w:hAnsi="Arial;sans-serif"/>
                <w:b/>
                <w:sz w:val="20"/>
              </w:rPr>
            </w:pPr>
            <w:r>
              <w:rPr>
                <w:rFonts w:ascii="Arial;sans-serif" w:hAnsi="Arial;sans-serif"/>
                <w:b/>
                <w:sz w:val="20"/>
              </w:rPr>
              <w:t>)</w:t>
            </w:r>
          </w:p>
        </w:tc>
      </w:tr>
      <w:tr>
        <w:trPr/>
        <w:tc>
          <w:tcPr>
            <w:tcW w:w="5158"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5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current period other comprehensive (loss) income</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r>
      <w:tr>
        <w:trPr/>
        <w:tc>
          <w:tcPr>
            <w:tcW w:w="515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AOCL as of March 31, 2023</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(25</w:t>
            </w:r>
          </w:p>
        </w:tc>
        <w:tc>
          <w:tcPr>
            <w:tcW w:w="4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814"/>
        <w:gridCol w:w="146"/>
        <w:gridCol w:w="736"/>
        <w:gridCol w:w="910"/>
        <w:gridCol w:w="311"/>
        <w:gridCol w:w="273"/>
        <w:gridCol w:w="637"/>
        <w:gridCol w:w="1009"/>
        <w:gridCol w:w="166"/>
        <w:gridCol w:w="146"/>
        <w:gridCol w:w="3057"/>
      </w:tblGrid>
      <w:tr>
        <w:trPr/>
        <w:tc>
          <w:tcPr>
            <w:tcW w:w="28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57" w:type="dxa"/>
            <w:tcBorders/>
            <w:shd w:fill="auto" w:val="clear"/>
            <w:vAlign w:val="center"/>
          </w:tcPr>
          <w:p>
            <w:pPr>
              <w:pStyle w:val="TableContents"/>
              <w:spacing w:before="0" w:after="283"/>
              <w:rPr>
                <w:sz w:val="4"/>
                <w:szCs w:val="4"/>
              </w:rPr>
            </w:pPr>
            <w:r>
              <w:rPr>
                <w:sz w:val="4"/>
                <w:szCs w:val="4"/>
              </w:rPr>
            </w:r>
          </w:p>
        </w:tc>
      </w:tr>
      <w:tr>
        <w:trPr/>
        <w:tc>
          <w:tcPr>
            <w:tcW w:w="281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Amounts reclassified from AOCL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57" w:type="dxa"/>
            <w:tcBorders/>
            <w:shd w:fill="auto" w:val="clear"/>
            <w:vAlign w:val="center"/>
          </w:tcPr>
          <w:p>
            <w:pPr>
              <w:pStyle w:val="TableContents"/>
              <w:spacing w:before="0" w:after="0"/>
              <w:ind w:left="0" w:right="0" w:hanging="0"/>
              <w:jc w:val="center"/>
              <w:rPr/>
            </w:pPr>
            <w:r>
              <w:rPr/>
              <w:t> </w:t>
            </w:r>
          </w:p>
        </w:tc>
      </w:tr>
      <w:tr>
        <w:trPr/>
        <w:tc>
          <w:tcPr>
            <w:tcW w:w="2814"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AOCL Components</w:t>
            </w:r>
          </w:p>
        </w:tc>
        <w:tc>
          <w:tcPr>
            <w:tcW w:w="146" w:type="dxa"/>
            <w:tcBorders/>
            <w:shd w:fill="auto" w:val="clear"/>
            <w:vAlign w:val="center"/>
          </w:tcPr>
          <w:p>
            <w:pPr>
              <w:pStyle w:val="TableContents"/>
              <w:spacing w:before="0" w:after="0"/>
              <w:ind w:left="0" w:right="0" w:hanging="0"/>
              <w:jc w:val="left"/>
              <w:rPr/>
            </w:pPr>
            <w:r>
              <w:rPr/>
              <w:t> </w:t>
            </w:r>
          </w:p>
        </w:tc>
        <w:tc>
          <w:tcPr>
            <w:tcW w:w="16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xml:space="preserve">Three months ended </w:t>
              <w:br/>
              <w:t>March 31, 2023</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xml:space="preserve">Three months ended </w:t>
              <w:br/>
              <w:t>March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57" w:type="dxa"/>
            <w:tcBorders/>
            <w:shd w:fill="auto" w:val="clear"/>
            <w:vAlign w:val="center"/>
          </w:tcPr>
          <w:p>
            <w:pPr>
              <w:pStyle w:val="TableContents"/>
              <w:spacing w:before="0" w:after="0"/>
              <w:ind w:left="0" w:right="0" w:firstLine="280"/>
              <w:jc w:val="center"/>
              <w:rPr>
                <w:rFonts w:ascii="Arial;sans-serif" w:hAnsi="Arial;sans-serif"/>
                <w:b/>
                <w:sz w:val="16"/>
              </w:rPr>
            </w:pPr>
            <w:r>
              <w:rPr>
                <w:rFonts w:ascii="Arial;sans-serif" w:hAnsi="Arial;sans-serif"/>
                <w:b/>
                <w:sz w:val="16"/>
              </w:rPr>
              <w:t>Affected line item in the Condensed</w:t>
              <w:br/>
              <w:t>Consolidated Statements of</w:t>
              <w:br/>
              <w:t>Comprehensive Income</w:t>
            </w:r>
          </w:p>
        </w:tc>
      </w:tr>
      <w:tr>
        <w:trPr/>
        <w:tc>
          <w:tcPr>
            <w:tcW w:w="2814"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Interest rate swaps</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91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311"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57"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Interest expense, net</w:t>
            </w:r>
          </w:p>
        </w:tc>
      </w:tr>
      <w:tr>
        <w:trPr/>
        <w:tc>
          <w:tcPr>
            <w:tcW w:w="2814"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Prior service credit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pPr>
            <w:r>
              <w:rPr/>
              <w:t> </w:t>
            </w:r>
          </w:p>
        </w:tc>
        <w:tc>
          <w:tcPr>
            <w:tcW w:w="91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311"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left"/>
              <w:rPr/>
            </w:pPr>
            <w:r>
              <w:rPr/>
              <w:t> </w:t>
            </w:r>
          </w:p>
        </w:tc>
        <w:tc>
          <w:tcPr>
            <w:tcW w:w="100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7"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Other income (expense), net</w:t>
            </w:r>
          </w:p>
        </w:tc>
      </w:tr>
      <w:tr>
        <w:trPr/>
        <w:tc>
          <w:tcPr>
            <w:tcW w:w="2814"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Recognized actuarial gain</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5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income (expense), net</w:t>
            </w:r>
          </w:p>
        </w:tc>
      </w:tr>
      <w:tr>
        <w:trPr/>
        <w:tc>
          <w:tcPr>
            <w:tcW w:w="281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reclassifications, before tax</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91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w:t>
            </w:r>
          </w:p>
        </w:tc>
        <w:tc>
          <w:tcPr>
            <w:tcW w:w="311"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Income before income taxes</w:t>
            </w:r>
          </w:p>
        </w:tc>
      </w:tr>
      <w:tr>
        <w:trPr/>
        <w:tc>
          <w:tcPr>
            <w:tcW w:w="281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5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Income tax expense</w:t>
            </w:r>
          </w:p>
        </w:tc>
      </w:tr>
      <w:tr>
        <w:trPr/>
        <w:tc>
          <w:tcPr>
            <w:tcW w:w="281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reclassifications, net of tax</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9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57"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Prior service cost and actuarial loss are included in the computation of the Company’s net periodic benefit cost (credit). See "Note M. Employee Benefit Plans” for additional details.</w:t>
      </w:r>
    </w:p>
    <w:p>
      <w:pPr>
        <w:pStyle w:val="TextBody"/>
        <w:spacing w:before="360" w:after="0"/>
        <w:jc w:val="left"/>
        <w:rPr>
          <w:rFonts w:ascii="Arial;sans-serif" w:hAnsi="Arial;sans-serif"/>
          <w:b/>
          <w:sz w:val="20"/>
        </w:rPr>
      </w:pPr>
      <w:r>
        <w:rPr>
          <w:rFonts w:ascii="Arial;sans-serif" w:hAnsi="Arial;sans-serif"/>
          <w:b/>
          <w:sz w:val="20"/>
        </w:rPr>
        <w:t>NOTE P. COMMITMENTS AND CONTINGENCIES</w:t>
      </w:r>
    </w:p>
    <w:p>
      <w:pPr>
        <w:pStyle w:val="TextBody"/>
        <w:spacing w:before="120" w:after="0"/>
        <w:jc w:val="left"/>
        <w:rPr>
          <w:rFonts w:ascii="Arial;sans-serif" w:hAnsi="Arial;sans-serif"/>
          <w:b w:val="false"/>
          <w:sz w:val="20"/>
        </w:rPr>
      </w:pPr>
      <w:r>
        <w:rPr>
          <w:rFonts w:ascii="Arial;sans-serif" w:hAnsi="Arial;sans-serif"/>
          <w:b w:val="false"/>
          <w:sz w:val="20"/>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pStyle w:val="TextBody"/>
        <w:spacing w:before="360" w:after="0"/>
        <w:jc w:val="left"/>
        <w:rPr>
          <w:rFonts w:ascii="Arial;sans-serif" w:hAnsi="Arial;sans-serif"/>
          <w:b/>
          <w:sz w:val="20"/>
        </w:rPr>
      </w:pPr>
      <w:r>
        <w:rPr>
          <w:rFonts w:ascii="Arial;sans-serif" w:hAnsi="Arial;sans-serif"/>
          <w:b/>
          <w:sz w:val="20"/>
        </w:rPr>
        <w:t>NOTE Q. EARNINGS PER SHARE</w:t>
      </w:r>
    </w:p>
    <w:p>
      <w:pPr>
        <w:pStyle w:val="TextBody"/>
        <w:spacing w:before="120" w:after="0"/>
        <w:jc w:val="left"/>
        <w:rPr>
          <w:rFonts w:ascii="Arial;sans-serif" w:hAnsi="Arial;sans-serif"/>
          <w:b w:val="false"/>
          <w:sz w:val="20"/>
        </w:rPr>
      </w:pPr>
      <w:r>
        <w:rPr>
          <w:rFonts w:ascii="Arial;sans-serif" w:hAnsi="Arial;sans-serif"/>
          <w:b w:val="false"/>
          <w:sz w:val="20"/>
        </w:rPr>
        <w:t>The following table reconciles the numerators and denominators used to calculate basic EPS and diluted EPS (dollars in millions, except per share data):</w:t>
      </w:r>
    </w:p>
    <w:p>
      <w:pPr>
        <w:pStyle w:val="TextBody"/>
        <w:spacing w:before="180" w:after="0"/>
        <w:jc w:val="center"/>
        <w:rPr>
          <w:rFonts w:ascii="Arial;sans-serif" w:hAnsi="Arial;sans-serif"/>
          <w:b w:val="false"/>
          <w:sz w:val="20"/>
        </w:rPr>
      </w:pPr>
      <w:r>
        <w:rPr>
          <w:rFonts w:ascii="Arial;sans-serif" w:hAnsi="Arial;sans-serif"/>
          <w:b w:val="false"/>
          <w:sz w:val="20"/>
        </w:rPr>
        <w:t>19</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left"/>
        <w:rPr/>
      </w:pPr>
      <w:r>
        <w:rPr/>
        <w:t> </w:t>
      </w:r>
    </w:p>
    <w:tbl>
      <w:tblPr>
        <w:tblW w:w="7980" w:type="dxa"/>
        <w:jc w:val="left"/>
        <w:tblInd w:w="0" w:type="dxa"/>
        <w:tblCellMar>
          <w:top w:w="28" w:type="dxa"/>
          <w:left w:w="28" w:type="dxa"/>
          <w:bottom w:w="28" w:type="dxa"/>
          <w:right w:w="28" w:type="dxa"/>
        </w:tblCellMar>
      </w:tblPr>
      <w:tblGrid>
        <w:gridCol w:w="5611"/>
        <w:gridCol w:w="146"/>
        <w:gridCol w:w="221"/>
        <w:gridCol w:w="503"/>
        <w:gridCol w:w="152"/>
        <w:gridCol w:w="152"/>
        <w:gridCol w:w="221"/>
        <w:gridCol w:w="503"/>
        <w:gridCol w:w="471"/>
      </w:tblGrid>
      <w:tr>
        <w:trPr/>
        <w:tc>
          <w:tcPr>
            <w:tcW w:w="5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5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170</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129</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Weighted average shares of common stock outstanding</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92</w:t>
            </w:r>
          </w:p>
        </w:tc>
        <w:tc>
          <w:tcPr>
            <w:tcW w:w="152"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98</w:t>
            </w:r>
          </w:p>
        </w:tc>
        <w:tc>
          <w:tcPr>
            <w:tcW w:w="471" w:type="dxa"/>
            <w:tcBorders/>
            <w:shd w:fill="auto" w:val="cle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Dilutive effect of stock-based awards</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561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Diluted weighted average shares of common stock outstanding</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92</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99</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Basic earnings per share attributable to common stockholders</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1.85</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1.32</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561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Diluted earnings per share attributable to common stockholders</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1.85</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1.30</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Arial;sans-serif" w:hAnsi="Arial;sans-serif"/>
          <w:b w:val="false"/>
          <w:sz w:val="20"/>
        </w:rPr>
        <w:t>The dilutive impact of stock-based compensation is calculated using the treasury stock method. The treasury stock method assumes that the Company uses the proceeds from the exercise of awards to repurchase common stock at the average market price during the period. For each of the three months ended March 31, 2023 and 2022, 1</w:t>
      </w:r>
      <w:r>
        <w:rPr>
          <w:rFonts w:ascii="Times New Roman" w:hAnsi="Times New Roman"/>
          <w:sz w:val="20"/>
        </w:rPr>
        <w:t xml:space="preserve"> </w:t>
      </w:r>
      <w:r>
        <w:rPr>
          <w:rFonts w:ascii="Arial;sans-serif" w:hAnsi="Arial;sans-serif"/>
          <w:b w:val="false"/>
          <w:sz w:val="20"/>
        </w:rPr>
        <w:t>million of outstanding stock options were excluded from the diluted EPS calculation because they were anti-dilutive.</w:t>
      </w:r>
      <w:r>
        <w:rPr>
          <w:rFonts w:ascii="Times New Roman" w:hAnsi="Times New Roman"/>
          <w:sz w:val="20"/>
        </w:rPr>
        <w:t xml:space="preserve"> </w:t>
      </w:r>
      <w:r>
        <w:rPr>
          <w:rFonts w:ascii="Arial;sans-serif" w:hAnsi="Arial;sans-serif"/>
          <w:b w:val="false"/>
          <w:sz w:val="20"/>
        </w:rPr>
        <w:t>Basic and diluted EPS for the full-year is calculated using the weighted average shares of common stock outstanding during the year while quarterly basic and diluted EPS is calculated using the weighted average shares of common stock outstanding during the quarter; therefore, the sum of the four quarters’ EPS may not equal full-year EPS.</w:t>
      </w:r>
    </w:p>
    <w:p>
      <w:pPr>
        <w:pStyle w:val="TextBody"/>
        <w:spacing w:before="240" w:after="0"/>
        <w:jc w:val="left"/>
        <w:rPr>
          <w:rFonts w:ascii="Arial;sans-serif" w:hAnsi="Arial;sans-serif"/>
          <w:b/>
          <w:sz w:val="20"/>
        </w:rPr>
      </w:pPr>
      <w:r>
        <w:rPr>
          <w:rFonts w:ascii="Arial;sans-serif" w:hAnsi="Arial;sans-serif"/>
          <w:b/>
          <w:sz w:val="20"/>
        </w:rPr>
        <w:t>NOTE R. COMMON STOCK</w:t>
      </w:r>
    </w:p>
    <w:p>
      <w:pPr>
        <w:pStyle w:val="TextBody"/>
        <w:spacing w:before="120" w:after="0"/>
        <w:jc w:val="left"/>
        <w:rPr>
          <w:rFonts w:ascii="Times New Roman" w:hAnsi="Times New Roman"/>
          <w:sz w:val="20"/>
        </w:rPr>
      </w:pPr>
      <w:bookmarkStart w:id="10" w:name="end_of_notes_to_financial_statements"/>
      <w:bookmarkEnd w:id="10"/>
      <w:r>
        <w:rPr>
          <w:rFonts w:ascii="Arial;sans-serif" w:hAnsi="Arial;sans-serif"/>
          <w:b w:val="false"/>
          <w:sz w:val="20"/>
        </w:rPr>
        <w:t>The Company's Board of Directors has authorized the Company to repurchase up to $4,000</w:t>
      </w:r>
      <w:r>
        <w:rPr>
          <w:rFonts w:ascii="Times New Roman" w:hAnsi="Times New Roman"/>
          <w:sz w:val="20"/>
        </w:rPr>
        <w:t xml:space="preserve"> </w:t>
      </w:r>
      <w:r>
        <w:rPr>
          <w:rFonts w:ascii="Arial;sans-serif" w:hAnsi="Arial;sans-serif"/>
          <w:b w:val="false"/>
          <w:sz w:val="20"/>
        </w:rPr>
        <w:t>million of its common stock pursuant to a stock repurchase program (the "Repurchase Program"). During the three months ended March 31, 2023, the Company repurchased $40</w:t>
      </w:r>
      <w:r>
        <w:rPr>
          <w:rFonts w:ascii="Times New Roman" w:hAnsi="Times New Roman"/>
          <w:sz w:val="20"/>
        </w:rPr>
        <w:t xml:space="preserve"> </w:t>
      </w:r>
      <w:r>
        <w:rPr>
          <w:rFonts w:ascii="Arial;sans-serif" w:hAnsi="Arial;sans-serif"/>
          <w:b w:val="false"/>
          <w:sz w:val="20"/>
        </w:rPr>
        <w:t>million of its common stock under the Repurchase Program, leaving $995</w:t>
      </w:r>
      <w:r>
        <w:rPr>
          <w:rFonts w:ascii="Times New Roman" w:hAnsi="Times New Roman"/>
          <w:sz w:val="20"/>
        </w:rPr>
        <w:t xml:space="preserve"> </w:t>
      </w:r>
      <w:r>
        <w:rPr>
          <w:rFonts w:ascii="Arial;sans-serif" w:hAnsi="Arial;sans-serif"/>
          <w:b w:val="false"/>
          <w:sz w:val="20"/>
        </w:rPr>
        <w:t>million of authorized repurchases remaining under the Repurchase Program as of March 31, 2023.</w:t>
      </w:r>
      <w:r>
        <w:rPr>
          <w:rFonts w:ascii="Times New Roman" w:hAnsi="Times New Roman"/>
          <w:sz w:val="20"/>
        </w:rPr>
        <w:t xml:space="preserve"> </w:t>
      </w:r>
      <w:r>
        <w:rPr>
          <w:rFonts w:ascii="Arial;sans-serif" w:hAnsi="Arial;sans-serif"/>
          <w:b w:val="false"/>
          <w:sz w:val="20"/>
        </w:rPr>
        <w:t>The Repurchase Program has no termination date, and the timing and amount of stock purchases are subject to market conditions and corporate needs. The Repurchase Program may be modified, suspended or discontinued at any time at the Company’s discretion.</w:t>
      </w:r>
    </w:p>
    <w:p>
      <w:pPr>
        <w:pStyle w:val="TextBody"/>
        <w:spacing w:before="180" w:after="0"/>
        <w:jc w:val="center"/>
        <w:rPr>
          <w:rFonts w:ascii="Arial;sans-serif" w:hAnsi="Arial;sans-serif"/>
          <w:b w:val="false"/>
          <w:sz w:val="20"/>
        </w:rPr>
      </w:pPr>
      <w:r>
        <w:rPr>
          <w:rFonts w:ascii="Arial;sans-serif" w:hAnsi="Arial;sans-serif"/>
          <w:b w:val="false"/>
          <w:sz w:val="20"/>
        </w:rPr>
        <w:t>20</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tbl>
      <w:tblPr>
        <w:tblW w:w="9287" w:type="dxa"/>
        <w:jc w:val="left"/>
        <w:tblInd w:w="0" w:type="dxa"/>
        <w:tblCellMar>
          <w:top w:w="28" w:type="dxa"/>
          <w:left w:w="28" w:type="dxa"/>
          <w:bottom w:w="28" w:type="dxa"/>
          <w:right w:w="28" w:type="dxa"/>
        </w:tblCellMar>
      </w:tblPr>
      <w:tblGrid>
        <w:gridCol w:w="826"/>
        <w:gridCol w:w="8461"/>
      </w:tblGrid>
      <w:tr>
        <w:trPr/>
        <w:tc>
          <w:tcPr>
            <w:tcW w:w="826" w:type="dxa"/>
            <w:tcBorders/>
            <w:shd w:fill="auto" w:val="clear"/>
            <w:vAlign w:val="center"/>
          </w:tcPr>
          <w:p>
            <w:pPr>
              <w:pStyle w:val="TableContents"/>
              <w:spacing w:before="0" w:after="283"/>
              <w:rPr>
                <w:sz w:val="4"/>
                <w:szCs w:val="4"/>
              </w:rPr>
            </w:pPr>
            <w:r>
              <w:rPr>
                <w:sz w:val="4"/>
                <w:szCs w:val="4"/>
              </w:rPr>
            </w:r>
          </w:p>
        </w:tc>
        <w:tc>
          <w:tcPr>
            <w:tcW w:w="8461" w:type="dxa"/>
            <w:tcBorders/>
            <w:shd w:fill="auto" w:val="clear"/>
            <w:vAlign w:val="center"/>
          </w:tcPr>
          <w:p>
            <w:pPr>
              <w:pStyle w:val="TableContents"/>
              <w:spacing w:before="0" w:after="283"/>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ITEM 2.</w:t>
            </w:r>
          </w:p>
        </w:tc>
        <w:tc>
          <w:tcPr>
            <w:tcW w:w="8461" w:type="dxa"/>
            <w:tcBorders/>
            <w:shd w:fill="auto" w:val="clear"/>
            <w:vAlign w:val="center"/>
          </w:tcPr>
          <w:p>
            <w:pPr>
              <w:pStyle w:val="TableContents"/>
              <w:spacing w:before="0" w:after="0"/>
              <w:ind w:left="0" w:right="0" w:hanging="0"/>
              <w:jc w:val="left"/>
              <w:rPr>
                <w:rFonts w:ascii="Arial;sans-serif" w:hAnsi="Arial;sans-serif"/>
                <w:b/>
                <w:sz w:val="20"/>
              </w:rPr>
            </w:pPr>
            <w:bookmarkStart w:id="11" w:name="managements_discussion_analysis_financia"/>
            <w:bookmarkEnd w:id="11"/>
            <w:r>
              <w:rPr>
                <w:rFonts w:ascii="Arial;sans-serif" w:hAnsi="Arial;sans-serif"/>
                <w:b/>
                <w:sz w:val="20"/>
              </w:rPr>
              <w:t>Management’s Discussion and Analysis of Financial Condition and Results of Operations</w:t>
            </w:r>
          </w:p>
        </w:tc>
      </w:tr>
    </w:tbl>
    <w:p>
      <w:pPr>
        <w:pStyle w:val="TextBody"/>
        <w:spacing w:before="120" w:after="0"/>
        <w:jc w:val="left"/>
        <w:rPr>
          <w:rFonts w:ascii="Arial;sans-serif" w:hAnsi="Arial;sans-serif"/>
          <w:b w:val="false"/>
          <w:i/>
          <w:sz w:val="20"/>
        </w:rPr>
      </w:pPr>
      <w:r>
        <w:rPr>
          <w:rFonts w:ascii="Arial;sans-serif" w:hAnsi="Arial;sans-serif"/>
          <w:b w:val="false"/>
          <w:i/>
          <w:sz w:val="20"/>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pStyle w:val="TextBody"/>
        <w:spacing w:before="120" w:after="0"/>
        <w:jc w:val="left"/>
        <w:rPr>
          <w:rFonts w:ascii="Arial;sans-serif" w:hAnsi="Arial;sans-serif"/>
          <w:b w:val="false"/>
          <w:i/>
          <w:sz w:val="20"/>
        </w:rPr>
      </w:pPr>
      <w:r>
        <w:rPr>
          <w:rFonts w:ascii="Arial;sans-serif" w:hAnsi="Arial;sans-serif"/>
          <w:b w:val="false"/>
          <w:i/>
          <w:sz w:val="20"/>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2022 as filed with the Securities and Exchange Commission on February 16, 2023. Our actual results may differ materially from those contained in or implied by any forward-looking statements.</w:t>
      </w:r>
    </w:p>
    <w:p>
      <w:pPr>
        <w:pStyle w:val="TextBody"/>
        <w:spacing w:before="120" w:after="0"/>
        <w:jc w:val="left"/>
        <w:rPr>
          <w:rFonts w:ascii="Arial;sans-serif" w:hAnsi="Arial;sans-serif"/>
          <w:b/>
          <w:sz w:val="20"/>
        </w:rPr>
      </w:pPr>
      <w:r>
        <w:rPr>
          <w:rFonts w:ascii="Arial;sans-serif" w:hAnsi="Arial;sans-serif"/>
          <w:b/>
          <w:sz w:val="20"/>
        </w:rPr>
        <w:t>Overview</w:t>
      </w:r>
    </w:p>
    <w:p>
      <w:pPr>
        <w:pStyle w:val="TextBody"/>
        <w:spacing w:before="180" w:after="0"/>
        <w:jc w:val="left"/>
        <w:rPr>
          <w:rFonts w:ascii="Arial;sans-serif" w:hAnsi="Arial;sans-serif"/>
          <w:b w:val="false"/>
          <w:sz w:val="20"/>
        </w:rPr>
      </w:pPr>
      <w:r>
        <w:rPr>
          <w:rFonts w:ascii="Arial;sans-serif" w:hAnsi="Arial;sans-serif"/>
          <w:b w:val="false"/>
          <w:sz w:val="20"/>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pStyle w:val="TextBody"/>
        <w:spacing w:before="120" w:after="0"/>
        <w:jc w:val="left"/>
        <w:rPr>
          <w:rFonts w:ascii="Arial;sans-serif" w:hAnsi="Arial;sans-serif"/>
          <w:b w:val="false"/>
          <w:sz w:val="20"/>
        </w:rPr>
      </w:pPr>
      <w:r>
        <w:rPr>
          <w:rFonts w:ascii="Arial;sans-serif" w:hAnsi="Arial;sans-serif"/>
          <w:b w:val="false"/>
          <w:sz w:val="20"/>
        </w:rPr>
        <w:t>Although approximately 74% of revenues were generated in North America in 2022, we have a global presence by serving customers in Asia, Europe, South America and Africa. We serve customers through an independent network of approximately 1,600 independent distributor and dealer locations worldwide.</w:t>
      </w:r>
    </w:p>
    <w:p>
      <w:pPr>
        <w:pStyle w:val="TextBody"/>
        <w:spacing w:before="120" w:after="0"/>
        <w:jc w:val="left"/>
        <w:rPr>
          <w:rFonts w:ascii="Arial;sans-serif" w:hAnsi="Arial;sans-serif"/>
          <w:b/>
          <w:sz w:val="20"/>
        </w:rPr>
      </w:pPr>
      <w:r>
        <w:rPr>
          <w:rFonts w:ascii="Arial;sans-serif" w:hAnsi="Arial;sans-serif"/>
          <w:b/>
          <w:sz w:val="20"/>
        </w:rPr>
        <w:t>Trends Impacting Our Business</w:t>
      </w:r>
    </w:p>
    <w:p>
      <w:pPr>
        <w:pStyle w:val="TextBody"/>
        <w:spacing w:before="180" w:after="0"/>
        <w:jc w:val="left"/>
        <w:rPr>
          <w:rFonts w:ascii="Arial;sans-serif" w:hAnsi="Arial;sans-serif"/>
          <w:b w:val="false"/>
          <w:sz w:val="20"/>
        </w:rPr>
      </w:pPr>
      <w:r>
        <w:rPr>
          <w:rFonts w:ascii="Arial;sans-serif" w:hAnsi="Arial;sans-serif"/>
          <w:b w:val="false"/>
          <w:sz w:val="20"/>
        </w:rPr>
        <w:t>Our net sales are driven by commercial vehicle production, which tends to be highly correlated to macroeconomic conditions and continues to be impacted by global supply chain constraints. In 2023, we expect higher net sales driven by higher customer demand in the Global On-Highway, Global Off-Highway and Service Parts, Support Equipment and Other end markets, price increases on certain products and the continued execution of growth initiatives.</w:t>
      </w:r>
    </w:p>
    <w:p>
      <w:pPr>
        <w:pStyle w:val="TextBody"/>
        <w:spacing w:before="180" w:after="0"/>
        <w:jc w:val="center"/>
        <w:rPr>
          <w:rFonts w:ascii="Arial;sans-serif" w:hAnsi="Arial;sans-serif"/>
          <w:b w:val="false"/>
          <w:sz w:val="20"/>
        </w:rPr>
      </w:pPr>
      <w:r>
        <w:rPr>
          <w:rFonts w:ascii="Arial;sans-serif" w:hAnsi="Arial;sans-serif"/>
          <w:b w:val="false"/>
          <w:sz w:val="20"/>
        </w:rPr>
        <w:t>21</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80" w:after="0"/>
        <w:jc w:val="left"/>
        <w:rPr>
          <w:rFonts w:ascii="Arial;sans-serif" w:hAnsi="Arial;sans-serif"/>
          <w:b/>
          <w:i/>
          <w:sz w:val="20"/>
        </w:rPr>
      </w:pPr>
      <w:r>
        <w:rPr>
          <w:rFonts w:ascii="Arial;sans-serif" w:hAnsi="Arial;sans-serif"/>
          <w:b/>
          <w:i/>
          <w:sz w:val="20"/>
        </w:rPr>
        <w:t>First Quarter Net Sales by End Market (dollars in millions)</w:t>
      </w:r>
    </w:p>
    <w:p>
      <w:pPr>
        <w:pStyle w:val="TextBody"/>
        <w:spacing w:before="0" w:after="0"/>
        <w:jc w:val="left"/>
        <w:rPr/>
      </w:pPr>
      <w:r>
        <w:rPr/>
        <w:t> </w:t>
      </w:r>
    </w:p>
    <w:tbl>
      <w:tblPr>
        <w:tblW w:w="7783" w:type="dxa"/>
        <w:jc w:val="left"/>
        <w:tblInd w:w="0" w:type="dxa"/>
        <w:tblCellMar>
          <w:top w:w="28" w:type="dxa"/>
          <w:left w:w="28" w:type="dxa"/>
          <w:bottom w:w="28" w:type="dxa"/>
          <w:right w:w="28" w:type="dxa"/>
        </w:tblCellMar>
      </w:tblPr>
      <w:tblGrid>
        <w:gridCol w:w="4006"/>
        <w:gridCol w:w="146"/>
        <w:gridCol w:w="280"/>
        <w:gridCol w:w="560"/>
        <w:gridCol w:w="146"/>
        <w:gridCol w:w="146"/>
        <w:gridCol w:w="280"/>
        <w:gridCol w:w="560"/>
        <w:gridCol w:w="146"/>
        <w:gridCol w:w="146"/>
        <w:gridCol w:w="272"/>
        <w:gridCol w:w="704"/>
        <w:gridCol w:w="391"/>
      </w:tblGrid>
      <w:tr>
        <w:trPr/>
        <w:tc>
          <w:tcPr>
            <w:tcW w:w="4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End Market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Q1 2023</w:t>
              <w:br/>
              <w:t>Net Sales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Q1 2022</w:t>
              <w:br/>
              <w:t>Net Sales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Variance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North America On-Highway</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6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6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North America Off-Highway</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Defense</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Outside North America On-Highway</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Outside North America Off-Highway</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Service Parts, Support Equipment and Other</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Net Sales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5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North America On-Highway end market net sales were up 9% for the first quarter 2023 compared to the first quarter 2022, principally driven by strength in customer demand for medium-duty and Class 8 vocational trucks and price increases on certain products.</w:t>
      </w:r>
    </w:p>
    <w:p>
      <w:pPr>
        <w:pStyle w:val="TextBody"/>
        <w:spacing w:before="120" w:after="0"/>
        <w:jc w:val="left"/>
        <w:rPr>
          <w:rFonts w:ascii="Arial;sans-serif" w:hAnsi="Arial;sans-serif"/>
          <w:b w:val="false"/>
          <w:sz w:val="20"/>
        </w:rPr>
      </w:pPr>
      <w:r>
        <w:rPr>
          <w:rFonts w:ascii="Arial;sans-serif" w:hAnsi="Arial;sans-serif"/>
          <w:b w:val="false"/>
          <w:sz w:val="20"/>
        </w:rPr>
        <w:t>Global Off-Highway end market net sales were flat for the first quarter 2023 compared to the first quarter 2022, principally driven by higher demand for hydraulic fracturing applications in the North American energy sector and lower demand in the energy sector outside of North America.</w:t>
      </w:r>
    </w:p>
    <w:p>
      <w:pPr>
        <w:pStyle w:val="TextBody"/>
        <w:spacing w:before="120" w:after="0"/>
        <w:jc w:val="left"/>
        <w:rPr>
          <w:rFonts w:ascii="Arial;sans-serif" w:hAnsi="Arial;sans-serif"/>
          <w:b w:val="false"/>
          <w:sz w:val="20"/>
        </w:rPr>
      </w:pPr>
      <w:r>
        <w:rPr>
          <w:rFonts w:ascii="Arial;sans-serif" w:hAnsi="Arial;sans-serif"/>
          <w:b w:val="false"/>
          <w:sz w:val="20"/>
        </w:rPr>
        <w:t>Defense end market net sales were down 23% for the first quarter 2023 compared to the first quarter 2022, principally driven by lower demand for Tracked vehicle applications.</w:t>
      </w:r>
    </w:p>
    <w:p>
      <w:pPr>
        <w:pStyle w:val="TextBody"/>
        <w:spacing w:before="120" w:after="0"/>
        <w:jc w:val="left"/>
        <w:rPr>
          <w:rFonts w:ascii="Arial;sans-serif" w:hAnsi="Arial;sans-serif"/>
          <w:b w:val="false"/>
          <w:sz w:val="20"/>
        </w:rPr>
      </w:pPr>
      <w:r>
        <w:rPr>
          <w:rFonts w:ascii="Arial;sans-serif" w:hAnsi="Arial;sans-serif"/>
          <w:b w:val="false"/>
          <w:sz w:val="20"/>
        </w:rPr>
        <w:t>Outside North America On-Highway end market net sales were flat for the first quarter 2023 compared to the first quarter 2022.</w:t>
      </w:r>
    </w:p>
    <w:p>
      <w:pPr>
        <w:pStyle w:val="TextBody"/>
        <w:spacing w:before="120" w:after="0"/>
        <w:jc w:val="left"/>
        <w:rPr>
          <w:rFonts w:ascii="Arial;sans-serif" w:hAnsi="Arial;sans-serif"/>
          <w:b w:val="false"/>
          <w:sz w:val="20"/>
        </w:rPr>
      </w:pPr>
      <w:r>
        <w:rPr>
          <w:rFonts w:ascii="Arial;sans-serif" w:hAnsi="Arial;sans-serif"/>
          <w:b w:val="false"/>
          <w:sz w:val="20"/>
        </w:rPr>
        <w:t>Service Parts, Support Equipment and Other end market net sales were up 32% for the first quarter 2023 compared to the first quarter 2022, principally driven by higher demand for global service parts and support equipment, higher demand for aluminum die cast components and price increases on certain products.</w:t>
      </w:r>
    </w:p>
    <w:p>
      <w:pPr>
        <w:pStyle w:val="TextBody"/>
        <w:spacing w:before="240" w:after="0"/>
        <w:jc w:val="left"/>
        <w:rPr>
          <w:rFonts w:ascii="Arial;sans-serif" w:hAnsi="Arial;sans-serif"/>
          <w:b/>
          <w:sz w:val="20"/>
        </w:rPr>
      </w:pPr>
      <w:r>
        <w:rPr>
          <w:rFonts w:ascii="Arial;sans-serif" w:hAnsi="Arial;sans-serif"/>
          <w:b/>
          <w:sz w:val="20"/>
        </w:rPr>
        <w:t>Key Components of our Results of Operations</w:t>
      </w:r>
    </w:p>
    <w:p>
      <w:pPr>
        <w:pStyle w:val="TextBody"/>
        <w:spacing w:before="120" w:after="0"/>
        <w:jc w:val="left"/>
        <w:rPr>
          <w:rFonts w:ascii="Arial;sans-serif" w:hAnsi="Arial;sans-serif"/>
          <w:b/>
          <w:i/>
          <w:sz w:val="20"/>
        </w:rPr>
      </w:pPr>
      <w:r>
        <w:rPr>
          <w:rFonts w:ascii="Arial;sans-serif" w:hAnsi="Arial;sans-serif"/>
          <w:b/>
          <w:i/>
          <w:sz w:val="20"/>
        </w:rPr>
        <w:t>Net sales</w:t>
      </w:r>
    </w:p>
    <w:p>
      <w:pPr>
        <w:pStyle w:val="TextBody"/>
        <w:spacing w:before="120" w:after="0"/>
        <w:jc w:val="left"/>
        <w:rPr>
          <w:rFonts w:ascii="Arial;sans-serif" w:hAnsi="Arial;sans-serif"/>
          <w:b w:val="false"/>
          <w:sz w:val="20"/>
        </w:rPr>
      </w:pPr>
      <w:r>
        <w:rPr>
          <w:rFonts w:ascii="Arial;sans-serif" w:hAnsi="Arial;sans-serif"/>
          <w:b w:val="false"/>
          <w:sz w:val="20"/>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pStyle w:val="TextBody"/>
        <w:spacing w:before="120" w:after="0"/>
        <w:jc w:val="left"/>
        <w:rPr>
          <w:rFonts w:ascii="Arial;sans-serif" w:hAnsi="Arial;sans-serif"/>
          <w:b/>
          <w:i/>
          <w:sz w:val="20"/>
        </w:rPr>
      </w:pPr>
      <w:r>
        <w:rPr>
          <w:rFonts w:ascii="Arial;sans-serif" w:hAnsi="Arial;sans-serif"/>
          <w:b/>
          <w:i/>
          <w:sz w:val="20"/>
        </w:rPr>
        <w:t>Cost of sales</w:t>
      </w:r>
    </w:p>
    <w:p>
      <w:pPr>
        <w:pStyle w:val="TextBody"/>
        <w:spacing w:before="120" w:after="0"/>
        <w:jc w:val="left"/>
        <w:rPr>
          <w:rFonts w:ascii="Arial;sans-serif" w:hAnsi="Arial;sans-serif"/>
          <w:b w:val="false"/>
          <w:sz w:val="20"/>
        </w:rPr>
      </w:pPr>
      <w:r>
        <w:rPr>
          <w:rFonts w:ascii="Arial;sans-serif" w:hAnsi="Arial;sans-serif"/>
          <w:b w:val="false"/>
          <w:sz w:val="20"/>
        </w:rPr>
        <w:t>Our primary components of cost of sales are purchased parts, the overhead expense related to our manufacturing operations and direct labor associated with the manufacture and assembly of vehicle propulsion solutions and parts. For the three months ended March 31, 2023, direct material costs were approximately 67%, overhead costs were approximately 26%, and direct labor costs were approximately 7% of total cost of sales. We are subject to changes in our cost of sales caused by movements in underlying commodity prices. We seek to hedge against this risk by using LTAs, as appropriate. See Part I, Item 3, “Quantitative and Qualitative Disclosures about Market Risk—Commodity Price Risk” included below.</w:t>
      </w:r>
    </w:p>
    <w:p>
      <w:pPr>
        <w:pStyle w:val="TextBody"/>
        <w:spacing w:before="180" w:after="0"/>
        <w:jc w:val="center"/>
        <w:rPr>
          <w:rFonts w:ascii="Arial;sans-serif" w:hAnsi="Arial;sans-serif"/>
          <w:b w:val="false"/>
          <w:sz w:val="20"/>
        </w:rPr>
      </w:pPr>
      <w:r>
        <w:rPr>
          <w:rFonts w:ascii="Arial;sans-serif" w:hAnsi="Arial;sans-serif"/>
          <w:b w:val="false"/>
          <w:sz w:val="20"/>
        </w:rPr>
        <w:t>22</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20" w:after="0"/>
        <w:jc w:val="left"/>
        <w:rPr>
          <w:rFonts w:ascii="Arial;sans-serif" w:hAnsi="Arial;sans-serif"/>
          <w:b/>
          <w:i/>
          <w:sz w:val="20"/>
        </w:rPr>
      </w:pPr>
      <w:r>
        <w:rPr>
          <w:rFonts w:ascii="Arial;sans-serif" w:hAnsi="Arial;sans-serif"/>
          <w:b/>
          <w:i/>
          <w:sz w:val="20"/>
        </w:rPr>
        <w:t>Selling, general and administrative</w:t>
      </w:r>
    </w:p>
    <w:p>
      <w:pPr>
        <w:pStyle w:val="TextBody"/>
        <w:spacing w:before="120" w:after="0"/>
        <w:jc w:val="left"/>
        <w:rPr>
          <w:rFonts w:ascii="Arial;sans-serif" w:hAnsi="Arial;sans-serif"/>
          <w:b w:val="false"/>
          <w:sz w:val="20"/>
        </w:rPr>
      </w:pPr>
      <w:r>
        <w:rPr>
          <w:rFonts w:ascii="Arial;sans-serif" w:hAnsi="Arial;sans-serif"/>
          <w:b w:val="false"/>
          <w:sz w:val="20"/>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pStyle w:val="TextBody"/>
        <w:spacing w:before="120" w:after="0"/>
        <w:jc w:val="left"/>
        <w:rPr>
          <w:rFonts w:ascii="Arial;sans-serif" w:hAnsi="Arial;sans-serif"/>
          <w:b/>
          <w:i/>
          <w:sz w:val="20"/>
        </w:rPr>
      </w:pPr>
      <w:r>
        <w:rPr>
          <w:rFonts w:ascii="Arial;sans-serif" w:hAnsi="Arial;sans-serif"/>
          <w:b/>
          <w:i/>
          <w:sz w:val="20"/>
        </w:rPr>
        <w:t>Engineering — research and development</w:t>
      </w:r>
    </w:p>
    <w:p>
      <w:pPr>
        <w:pStyle w:val="TextBody"/>
        <w:spacing w:before="120" w:after="0"/>
        <w:jc w:val="left"/>
        <w:rPr>
          <w:rFonts w:ascii="Arial;sans-serif" w:hAnsi="Arial;sans-serif"/>
          <w:b w:val="false"/>
          <w:sz w:val="20"/>
        </w:rPr>
      </w:pPr>
      <w:r>
        <w:rPr>
          <w:rFonts w:ascii="Arial;sans-serif" w:hAnsi="Arial;sans-serif"/>
          <w:b w:val="false"/>
          <w:sz w:val="20"/>
        </w:rPr>
        <w:t>We incur costs in connection with research and development programs that are expected to contribute to future earnings. Such costs are expensed as incurred.</w:t>
      </w:r>
    </w:p>
    <w:p>
      <w:pPr>
        <w:pStyle w:val="TextBody"/>
        <w:spacing w:before="180" w:after="0"/>
        <w:jc w:val="center"/>
        <w:rPr>
          <w:rFonts w:ascii="Arial;sans-serif" w:hAnsi="Arial;sans-serif"/>
          <w:b w:val="false"/>
          <w:sz w:val="20"/>
        </w:rPr>
      </w:pPr>
      <w:r>
        <w:rPr>
          <w:rFonts w:ascii="Arial;sans-serif" w:hAnsi="Arial;sans-serif"/>
          <w:b w:val="false"/>
          <w:sz w:val="20"/>
        </w:rPr>
        <w:t>23</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Non-GAAP Financial Measures</w:t>
      </w:r>
    </w:p>
    <w:p>
      <w:pPr>
        <w:pStyle w:val="TextBody"/>
        <w:spacing w:before="180" w:after="0"/>
        <w:jc w:val="left"/>
        <w:rPr>
          <w:rFonts w:ascii="Arial;sans-serif" w:hAnsi="Arial;sans-serif"/>
          <w:b w:val="false"/>
          <w:sz w:val="20"/>
        </w:rPr>
      </w:pPr>
      <w:r>
        <w:rPr>
          <w:rFonts w:ascii="Arial;sans-serif" w:hAnsi="Arial;sans-serif"/>
          <w:b w:val="false"/>
          <w:sz w:val="20"/>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$623 million due March 2026 (“Term Loan”). Adjusted EBITDA as a percent of net sales is calculated as Adjusted EBITDA divided by net sales.</w:t>
      </w:r>
    </w:p>
    <w:p>
      <w:pPr>
        <w:pStyle w:val="TextBody"/>
        <w:spacing w:before="180" w:after="0"/>
        <w:jc w:val="left"/>
        <w:rPr>
          <w:rFonts w:ascii="Arial;sans-serif" w:hAnsi="Arial;sans-serif"/>
          <w:b w:val="false"/>
          <w:sz w:val="20"/>
        </w:rPr>
      </w:pPr>
      <w:r>
        <w:rPr>
          <w:rFonts w:ascii="Arial;sans-serif" w:hAnsi="Arial;sans-serif"/>
          <w:b w:val="false"/>
          <w:sz w:val="20"/>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pStyle w:val="TextBody"/>
        <w:spacing w:before="120" w:after="0"/>
        <w:jc w:val="left"/>
        <w:rPr>
          <w:rFonts w:ascii="Arial;sans-serif" w:hAnsi="Arial;sans-serif"/>
          <w:b w:val="false"/>
          <w:sz w:val="20"/>
        </w:rPr>
      </w:pPr>
      <w:r>
        <w:rPr>
          <w:rFonts w:ascii="Arial;sans-serif" w:hAnsi="Arial;sans-serif"/>
          <w:b w:val="false"/>
          <w:sz w:val="20"/>
        </w:rPr>
        <w:t>The following is a reconciliation of Net income and Net income as a percent of net sales to Adjusted EBITDA and Adjusted EBITDA as a percent of net sales and a reconciliation of Net cash provided by operating activities to Adjusted free cash flow:</w:t>
      </w:r>
    </w:p>
    <w:tbl>
      <w:tblPr>
        <w:tblW w:w="7659" w:type="dxa"/>
        <w:jc w:val="left"/>
        <w:tblInd w:w="0" w:type="dxa"/>
        <w:tblCellMar>
          <w:top w:w="28" w:type="dxa"/>
          <w:left w:w="28" w:type="dxa"/>
          <w:bottom w:w="28" w:type="dxa"/>
          <w:right w:w="28" w:type="dxa"/>
        </w:tblCellMar>
      </w:tblPr>
      <w:tblGrid>
        <w:gridCol w:w="5206"/>
        <w:gridCol w:w="146"/>
        <w:gridCol w:w="211"/>
        <w:gridCol w:w="481"/>
        <w:gridCol w:w="286"/>
        <w:gridCol w:w="146"/>
        <w:gridCol w:w="211"/>
        <w:gridCol w:w="481"/>
        <w:gridCol w:w="491"/>
      </w:tblGrid>
      <w:tr>
        <w:trPr/>
        <w:tc>
          <w:tcPr>
            <w:tcW w:w="52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06" w:type="dxa"/>
            <w:tcBorders/>
            <w:shd w:fill="auto" w:val="clear"/>
            <w:vAlign w:val="center"/>
          </w:tcPr>
          <w:p>
            <w:pPr>
              <w:pStyle w:val="TableContents"/>
              <w:spacing w:before="0" w:after="0"/>
              <w:ind w:left="0" w:right="0" w:hanging="0"/>
              <w:jc w:val="left"/>
              <w:rPr>
                <w:rFonts w:ascii="Arial;sans-serif" w:hAnsi="Arial;sans-serif"/>
                <w:b/>
                <w:i/>
                <w:sz w:val="16"/>
              </w:rPr>
            </w:pPr>
            <w:r>
              <w:rPr>
                <w:rFonts w:ascii="Arial;sans-serif" w:hAnsi="Arial;sans-serif"/>
                <w:b/>
                <w:i/>
                <w:sz w:val="16"/>
              </w:rPr>
              <w:t>(unaudited, dollars in millions)</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Net income (GAAP)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170</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129</w:t>
            </w:r>
          </w:p>
        </w:tc>
        <w:tc>
          <w:tcPr>
            <w:tcW w:w="491" w:type="dxa"/>
            <w:tcBorders/>
            <w:shd w:fill="auto" w:val="clear"/>
            <w:vAlign w:val="center"/>
          </w:tcPr>
          <w:p>
            <w:pPr>
              <w:pStyle w:val="TableContents"/>
              <w:spacing w:before="0" w:after="0"/>
              <w:ind w:left="0" w:right="0" w:hanging="0"/>
              <w:jc w:val="left"/>
              <w:rPr/>
            </w:pPr>
            <w:r>
              <w:rPr/>
              <w:t> </w:t>
            </w:r>
          </w:p>
        </w:tc>
      </w:tr>
      <w:tr>
        <w:trPr/>
        <w:tc>
          <w:tcPr>
            <w:tcW w:w="52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plus:</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80"/>
              <w:jc w:val="right"/>
              <w:rPr/>
            </w:pPr>
            <w:r>
              <w:rPr/>
              <w:t> </w:t>
            </w:r>
          </w:p>
        </w:tc>
      </w:tr>
      <w:tr>
        <w:trPr/>
        <w:tc>
          <w:tcPr>
            <w:tcW w:w="52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42</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w:t>
            </w:r>
          </w:p>
        </w:tc>
        <w:tc>
          <w:tcPr>
            <w:tcW w:w="491" w:type="dxa"/>
            <w:tcBorders/>
            <w:shd w:fill="auto" w:val="clear"/>
            <w:vAlign w:val="center"/>
          </w:tcPr>
          <w:p>
            <w:pPr>
              <w:pStyle w:val="TableContents"/>
              <w:spacing w:before="0" w:after="0"/>
              <w:ind w:left="0" w:right="0" w:firstLine="280"/>
              <w:jc w:val="left"/>
              <w:rPr/>
            </w:pPr>
            <w:r>
              <w:rPr/>
              <w:t> </w:t>
            </w:r>
          </w:p>
        </w:tc>
      </w:tr>
      <w:tr>
        <w:trPr/>
        <w:tc>
          <w:tcPr>
            <w:tcW w:w="52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28</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491" w:type="dxa"/>
            <w:tcBorders/>
            <w:shd w:fill="auto" w:val="clear"/>
            <w:vAlign w:val="center"/>
          </w:tcPr>
          <w:p>
            <w:pPr>
              <w:pStyle w:val="TableContents"/>
              <w:spacing w:before="0" w:after="0"/>
              <w:ind w:left="0" w:right="0" w:firstLine="280"/>
              <w:jc w:val="left"/>
              <w:rPr/>
            </w:pPr>
            <w:r>
              <w:rPr/>
              <w:t> </w:t>
            </w:r>
          </w:p>
        </w:tc>
      </w:tr>
      <w:tr>
        <w:trPr/>
        <w:tc>
          <w:tcPr>
            <w:tcW w:w="52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Depreciation of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26</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491" w:type="dxa"/>
            <w:tcBorders/>
            <w:shd w:fill="auto" w:val="clear"/>
            <w:vAlign w:val="center"/>
          </w:tcPr>
          <w:p>
            <w:pPr>
              <w:pStyle w:val="TableContents"/>
              <w:spacing w:before="0" w:after="0"/>
              <w:ind w:left="0" w:right="0" w:firstLine="280"/>
              <w:jc w:val="left"/>
              <w:rPr/>
            </w:pPr>
            <w:r>
              <w:rPr/>
              <w:t> </w:t>
            </w:r>
          </w:p>
        </w:tc>
      </w:tr>
      <w:tr>
        <w:trPr/>
        <w:tc>
          <w:tcPr>
            <w:tcW w:w="52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Amortization of intangible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491" w:type="dxa"/>
            <w:tcBorders/>
            <w:shd w:fill="auto" w:val="clear"/>
            <w:vAlign w:val="center"/>
          </w:tcPr>
          <w:p>
            <w:pPr>
              <w:pStyle w:val="TableContents"/>
              <w:spacing w:before="0" w:after="0"/>
              <w:ind w:left="0" w:right="0" w:firstLine="280"/>
              <w:jc w:val="left"/>
              <w:rPr/>
            </w:pPr>
            <w:r>
              <w:rPr/>
              <w:t> </w:t>
            </w:r>
          </w:p>
        </w:tc>
      </w:tr>
      <w:tr>
        <w:trPr/>
        <w:tc>
          <w:tcPr>
            <w:tcW w:w="52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Stock-based compensation expense (a)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491" w:type="dxa"/>
            <w:tcBorders/>
            <w:shd w:fill="auto" w:val="clear"/>
            <w:vAlign w:val="center"/>
          </w:tcPr>
          <w:p>
            <w:pPr>
              <w:pStyle w:val="TableContents"/>
              <w:spacing w:before="0" w:after="0"/>
              <w:ind w:left="0" w:right="0" w:firstLine="280"/>
              <w:jc w:val="left"/>
              <w:rPr/>
            </w:pPr>
            <w:r>
              <w:rPr/>
              <w:t> </w:t>
            </w:r>
          </w:p>
        </w:tc>
      </w:tr>
      <w:tr>
        <w:trPr/>
        <w:tc>
          <w:tcPr>
            <w:tcW w:w="52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Unrealized (gain) loss on marketable securities (b)</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28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491" w:type="dxa"/>
            <w:tcBorders/>
            <w:shd w:fill="auto" w:val="clear"/>
            <w:vAlign w:val="center"/>
          </w:tcPr>
          <w:p>
            <w:pPr>
              <w:pStyle w:val="TableContents"/>
              <w:spacing w:before="0" w:after="0"/>
              <w:ind w:left="0" w:right="0" w:firstLine="280"/>
              <w:jc w:val="left"/>
              <w:rPr/>
            </w:pPr>
            <w:r>
              <w:rPr/>
              <w:t> </w:t>
            </w:r>
          </w:p>
        </w:tc>
      </w:tr>
      <w:tr>
        <w:trPr/>
        <w:tc>
          <w:tcPr>
            <w:tcW w:w="52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Technology-related investment gain (c)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w:t>
            </w:r>
          </w:p>
        </w:tc>
        <w:tc>
          <w:tcPr>
            <w:tcW w:w="28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49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52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Unrealized loss on foreign exchange (d)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491" w:type="dxa"/>
            <w:tcBorders/>
            <w:shd w:fill="auto" w:val="clear"/>
            <w:vAlign w:val="center"/>
          </w:tcPr>
          <w:p>
            <w:pPr>
              <w:pStyle w:val="TableContents"/>
              <w:spacing w:before="0" w:after="0"/>
              <w:ind w:left="0" w:right="0" w:firstLine="280"/>
              <w:jc w:val="left"/>
              <w:rPr/>
            </w:pPr>
            <w:r>
              <w:rPr/>
              <w:t> </w:t>
            </w:r>
          </w:p>
        </w:tc>
      </w:tr>
      <w:tr>
        <w:trPr/>
        <w:tc>
          <w:tcPr>
            <w:tcW w:w="52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Acquisition-related earnouts (e)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Adjusted EBITDA (Non-GAAP)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276</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244</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Net sales (GAAP)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741</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677</w:t>
            </w:r>
          </w:p>
        </w:tc>
        <w:tc>
          <w:tcPr>
            <w:tcW w:w="491" w:type="dxa"/>
            <w:tcBorders/>
            <w:shd w:fill="auto" w:val="clear"/>
            <w:vAlign w:val="center"/>
          </w:tcPr>
          <w:p>
            <w:pPr>
              <w:pStyle w:val="TableContents"/>
              <w:spacing w:before="0" w:after="0"/>
              <w:ind w:left="0" w:right="0" w:hanging="0"/>
              <w:jc w:val="left"/>
              <w:rPr/>
            </w:pPr>
            <w:r>
              <w:rPr/>
              <w:t> </w:t>
            </w:r>
          </w:p>
        </w:tc>
      </w:tr>
      <w:tr>
        <w:trPr/>
        <w:tc>
          <w:tcPr>
            <w:tcW w:w="52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Net income as a percent of net sales (GAAP)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22.9</w:t>
            </w:r>
          </w:p>
        </w:tc>
        <w:tc>
          <w:tcPr>
            <w:tcW w:w="28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19.1</w:t>
            </w:r>
          </w:p>
        </w:tc>
        <w:tc>
          <w:tcPr>
            <w:tcW w:w="4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2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Adjusted EBITDA as a percent of net sales (Non-GAAP)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37.2</w:t>
            </w:r>
          </w:p>
        </w:tc>
        <w:tc>
          <w:tcPr>
            <w:tcW w:w="28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36.0</w:t>
            </w:r>
          </w:p>
        </w:tc>
        <w:tc>
          <w:tcPr>
            <w:tcW w:w="4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2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Net cash provided by operating activities (GAAP)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193</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162</w:t>
            </w:r>
          </w:p>
        </w:tc>
        <w:tc>
          <w:tcPr>
            <w:tcW w:w="491" w:type="dxa"/>
            <w:tcBorders/>
            <w:shd w:fill="auto" w:val="clear"/>
            <w:vAlign w:val="center"/>
          </w:tcPr>
          <w:p>
            <w:pPr>
              <w:pStyle w:val="TableContents"/>
              <w:spacing w:before="0" w:after="0"/>
              <w:ind w:left="0" w:right="0" w:hanging="0"/>
              <w:jc w:val="left"/>
              <w:rPr/>
            </w:pPr>
            <w:r>
              <w:rPr/>
              <w:t> </w:t>
            </w:r>
          </w:p>
        </w:tc>
      </w:tr>
      <w:tr>
        <w:trPr/>
        <w:tc>
          <w:tcPr>
            <w:tcW w:w="52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Deductions to reconcile to Adjusted free cash flow:</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hanging="0"/>
              <w:jc w:val="right"/>
              <w:rPr/>
            </w:pPr>
            <w:r>
              <w:rPr/>
              <w:t> </w:t>
            </w:r>
          </w:p>
        </w:tc>
      </w:tr>
      <w:tr>
        <w:trPr/>
        <w:tc>
          <w:tcPr>
            <w:tcW w:w="52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Additions of long-lived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(24</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20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Adjusted free cash flow (Non-GAAP)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169</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142</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 w:hAnsi="Arial"/>
          <w:b w:val="false"/>
          <w:sz w:val="20"/>
        </w:rPr>
      </w:pPr>
      <w:r>
        <w:rPr>
          <w:rFonts w:ascii="Arial" w:hAnsi="Arial"/>
          <w:b w:val="false"/>
          <w:sz w:val="20"/>
        </w:rPr>
        <w:t>(a)</w:t>
      </w:r>
    </w:p>
    <w:p>
      <w:pPr>
        <w:pStyle w:val="TextBody"/>
        <w:jc w:val="left"/>
        <w:rPr>
          <w:rFonts w:ascii="Arial;sans-serif" w:hAnsi="Arial;sans-serif"/>
          <w:b w:val="false"/>
          <w:sz w:val="20"/>
        </w:rPr>
      </w:pPr>
      <w:r>
        <w:rPr>
          <w:rFonts w:ascii="Arial;sans-serif" w:hAnsi="Arial;sans-serif"/>
          <w:b w:val="false"/>
          <w:sz w:val="20"/>
        </w:rPr>
        <w:t>Represents stock-based compensation expense (recorded in Cost of sales, Selling, general and administrative, and Engineering — research and development).</w:t>
      </w:r>
    </w:p>
    <w:p>
      <w:pPr>
        <w:pStyle w:val="TextBody"/>
        <w:spacing w:before="180" w:after="0"/>
        <w:jc w:val="center"/>
        <w:rPr>
          <w:rFonts w:ascii="Arial;sans-serif" w:hAnsi="Arial;sans-serif"/>
          <w:b w:val="false"/>
          <w:sz w:val="20"/>
        </w:rPr>
      </w:pPr>
      <w:r>
        <w:rPr>
          <w:rFonts w:ascii="Arial;sans-serif" w:hAnsi="Arial;sans-serif"/>
          <w:b w:val="false"/>
          <w:sz w:val="20"/>
        </w:rPr>
        <w:t>24</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left"/>
        <w:rPr>
          <w:rFonts w:ascii="Arial" w:hAnsi="Arial"/>
          <w:b w:val="false"/>
          <w:sz w:val="20"/>
        </w:rPr>
      </w:pPr>
      <w:r>
        <w:rPr>
          <w:rFonts w:ascii="Arial" w:hAnsi="Arial"/>
          <w:b w:val="false"/>
          <w:sz w:val="20"/>
        </w:rPr>
        <w:t>(b)</w:t>
      </w:r>
    </w:p>
    <w:p>
      <w:pPr>
        <w:pStyle w:val="TextBody"/>
        <w:spacing w:before="0" w:after="0"/>
        <w:jc w:val="left"/>
        <w:rPr>
          <w:rFonts w:ascii="Arial;sans-serif" w:hAnsi="Arial;sans-serif"/>
          <w:b w:val="false"/>
          <w:sz w:val="20"/>
        </w:rPr>
      </w:pPr>
      <w:r>
        <w:rPr>
          <w:rFonts w:ascii="Arial;sans-serif" w:hAnsi="Arial;sans-serif"/>
          <w:b w:val="false"/>
          <w:sz w:val="20"/>
        </w:rPr>
        <w:t>Represents (gains) losses (recorded in Other income (expense), net) related to an investment in the common stock of Jing-Jin Electric Technologies Co. Ltd.</w:t>
      </w:r>
    </w:p>
    <w:p>
      <w:pPr>
        <w:pStyle w:val="TextBody"/>
        <w:spacing w:before="0" w:after="0"/>
        <w:jc w:val="left"/>
        <w:rPr>
          <w:rFonts w:ascii="Arial" w:hAnsi="Arial"/>
          <w:b w:val="false"/>
          <w:sz w:val="20"/>
        </w:rPr>
      </w:pPr>
      <w:r>
        <w:rPr>
          <w:rFonts w:ascii="Arial" w:hAnsi="Arial"/>
          <w:b w:val="false"/>
          <w:sz w:val="20"/>
        </w:rPr>
        <w:t>(c)</w:t>
      </w:r>
    </w:p>
    <w:p>
      <w:pPr>
        <w:pStyle w:val="TextBody"/>
        <w:spacing w:before="0" w:after="0"/>
        <w:jc w:val="left"/>
        <w:rPr>
          <w:rFonts w:ascii="Arial;sans-serif" w:hAnsi="Arial;sans-serif"/>
          <w:b w:val="false"/>
          <w:sz w:val="20"/>
        </w:rPr>
      </w:pPr>
      <w:r>
        <w:rPr>
          <w:rFonts w:ascii="Arial;sans-serif" w:hAnsi="Arial;sans-serif"/>
          <w:b w:val="false"/>
          <w:sz w:val="20"/>
        </w:rPr>
        <w:t>Represents a gain (recorded in Other income (expense), net) related to investments in co-development agreements to expand our position in propulsion solution technologies.</w:t>
      </w:r>
    </w:p>
    <w:p>
      <w:pPr>
        <w:pStyle w:val="TextBody"/>
        <w:spacing w:before="0" w:after="0"/>
        <w:jc w:val="left"/>
        <w:rPr>
          <w:rFonts w:ascii="Arial" w:hAnsi="Arial"/>
          <w:b w:val="false"/>
          <w:sz w:val="20"/>
        </w:rPr>
      </w:pPr>
      <w:r>
        <w:rPr>
          <w:rFonts w:ascii="Arial" w:hAnsi="Arial"/>
          <w:b w:val="false"/>
          <w:sz w:val="20"/>
        </w:rPr>
        <w:t>(d)</w:t>
      </w:r>
    </w:p>
    <w:p>
      <w:pPr>
        <w:pStyle w:val="TextBody"/>
        <w:spacing w:before="0" w:after="0"/>
        <w:jc w:val="left"/>
        <w:rPr>
          <w:rFonts w:ascii="Arial;sans-serif" w:hAnsi="Arial;sans-serif"/>
          <w:b w:val="false"/>
          <w:sz w:val="20"/>
        </w:rPr>
      </w:pPr>
      <w:r>
        <w:rPr>
          <w:rFonts w:ascii="Arial;sans-serif" w:hAnsi="Arial;sans-serif"/>
          <w:b w:val="false"/>
          <w:sz w:val="20"/>
        </w:rPr>
        <w:t>Represents losses (recorded in Other income (expense), net) on intercompany financing transactions related to investments in plant assets for our India facility.</w:t>
      </w:r>
    </w:p>
    <w:p>
      <w:pPr>
        <w:pStyle w:val="TextBody"/>
        <w:spacing w:before="0" w:after="0"/>
        <w:jc w:val="left"/>
        <w:rPr>
          <w:rFonts w:ascii="Arial" w:hAnsi="Arial"/>
          <w:b w:val="false"/>
          <w:sz w:val="20"/>
        </w:rPr>
      </w:pPr>
      <w:r>
        <w:rPr>
          <w:rFonts w:ascii="Arial" w:hAnsi="Arial"/>
          <w:b w:val="false"/>
          <w:sz w:val="20"/>
        </w:rPr>
        <w:t>(e)</w:t>
      </w:r>
    </w:p>
    <w:p>
      <w:pPr>
        <w:pStyle w:val="TextBody"/>
        <w:jc w:val="left"/>
        <w:rPr>
          <w:rFonts w:ascii="Arial;sans-serif" w:hAnsi="Arial;sans-serif"/>
          <w:b w:val="false"/>
          <w:sz w:val="20"/>
        </w:rPr>
      </w:pPr>
      <w:r>
        <w:rPr>
          <w:rFonts w:ascii="Arial;sans-serif" w:hAnsi="Arial;sans-serif"/>
          <w:b w:val="false"/>
          <w:sz w:val="20"/>
        </w:rPr>
        <w:t>Represents expenses (recorded in Selling, general and administrative and Engineering – research and development) for earnouts related to our acquisition of Vantage Power Limited.</w:t>
      </w:r>
    </w:p>
    <w:p>
      <w:pPr>
        <w:pStyle w:val="TextBody"/>
        <w:spacing w:before="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25</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Results of Operations</w:t>
      </w:r>
    </w:p>
    <w:p>
      <w:pPr>
        <w:pStyle w:val="TextBody"/>
        <w:spacing w:before="120" w:after="0"/>
        <w:jc w:val="left"/>
        <w:rPr>
          <w:rFonts w:ascii="Arial;sans-serif" w:hAnsi="Arial;sans-serif"/>
          <w:b/>
          <w:i/>
          <w:sz w:val="20"/>
        </w:rPr>
      </w:pPr>
      <w:r>
        <w:rPr>
          <w:rFonts w:ascii="Arial;sans-serif" w:hAnsi="Arial;sans-serif"/>
          <w:b/>
          <w:i/>
          <w:sz w:val="20"/>
        </w:rPr>
        <w:t>Comparison of three months ended March 31, 2023 and 2022</w:t>
      </w:r>
    </w:p>
    <w:p>
      <w:pPr>
        <w:pStyle w:val="TextBody"/>
        <w:spacing w:before="120" w:after="0"/>
        <w:jc w:val="left"/>
        <w:rPr>
          <w:rFonts w:ascii="Arial;sans-serif" w:hAnsi="Arial;sans-serif"/>
          <w:b w:val="false"/>
          <w:sz w:val="20"/>
        </w:rPr>
      </w:pPr>
      <w:r>
        <w:rPr>
          <w:rFonts w:ascii="Arial;sans-serif" w:hAnsi="Arial;sans-serif"/>
          <w:b w:val="false"/>
          <w:sz w:val="20"/>
        </w:rPr>
        <w:t>The following table sets forth certain financial information for the three months ended March 31, 2023 and 2022. The following table and discussion should be read in conjunction with the information contained in our condensed consolidated financial statements and the notes thereto included in Part I, Item 1 of this Quarterly Report on Form 10-Q.</w:t>
      </w:r>
    </w:p>
    <w:p>
      <w:pPr>
        <w:pStyle w:val="TextBody"/>
        <w:spacing w:before="0" w:after="0"/>
        <w:jc w:val="left"/>
        <w:rPr/>
      </w:pPr>
      <w:r>
        <w:rPr/>
        <w:t> </w:t>
      </w:r>
    </w:p>
    <w:tbl>
      <w:tblPr>
        <w:tblW w:w="9008" w:type="dxa"/>
        <w:jc w:val="left"/>
        <w:tblInd w:w="0" w:type="dxa"/>
        <w:tblCellMar>
          <w:top w:w="28" w:type="dxa"/>
          <w:left w:w="28" w:type="dxa"/>
          <w:bottom w:w="28" w:type="dxa"/>
          <w:right w:w="28" w:type="dxa"/>
        </w:tblCellMar>
      </w:tblPr>
      <w:tblGrid>
        <w:gridCol w:w="3751"/>
        <w:gridCol w:w="146"/>
        <w:gridCol w:w="211"/>
        <w:gridCol w:w="421"/>
        <w:gridCol w:w="166"/>
        <w:gridCol w:w="146"/>
        <w:gridCol w:w="262"/>
        <w:gridCol w:w="758"/>
        <w:gridCol w:w="286"/>
        <w:gridCol w:w="146"/>
        <w:gridCol w:w="211"/>
        <w:gridCol w:w="421"/>
        <w:gridCol w:w="166"/>
        <w:gridCol w:w="146"/>
        <w:gridCol w:w="262"/>
        <w:gridCol w:w="758"/>
        <w:gridCol w:w="751"/>
      </w:tblGrid>
      <w:tr>
        <w:trPr/>
        <w:tc>
          <w:tcPr>
            <w:tcW w:w="37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37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60"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i/>
                <w:sz w:val="16"/>
              </w:rPr>
            </w:pPr>
            <w:r>
              <w:rPr>
                <w:rFonts w:ascii="Arial;sans-serif" w:hAnsi="Arial;sans-serif"/>
                <w:b/>
                <w:i/>
                <w:sz w:val="16"/>
              </w:rPr>
              <w:t>(unaudited, dollars in millions)</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w:t>
              <w:br/>
              <w:t>of net sales</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w:t>
              <w:br/>
              <w:t>of net sales</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5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100</w:t>
            </w:r>
          </w:p>
        </w:tc>
        <w:tc>
          <w:tcPr>
            <w:tcW w:w="28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5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51</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5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49</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5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w:t>
            </w:r>
          </w:p>
        </w:tc>
        <w:tc>
          <w:tcPr>
            <w:tcW w:w="75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firstLine="280"/>
              <w:jc w:val="right"/>
              <w:rPr/>
            </w:pPr>
            <w:r>
              <w:rPr/>
              <w:t> </w:t>
            </w:r>
          </w:p>
        </w:tc>
      </w:tr>
      <w:tr>
        <w:trPr/>
        <w:tc>
          <w:tcPr>
            <w:tcW w:w="375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5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12</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5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751" w:type="dxa"/>
            <w:tcBorders/>
            <w:shd w:fill="auto" w:val="clear"/>
            <w:vAlign w:val="center"/>
          </w:tcPr>
          <w:p>
            <w:pPr>
              <w:pStyle w:val="TableContents"/>
              <w:spacing w:before="0" w:after="0"/>
              <w:ind w:left="0" w:right="0" w:firstLine="280"/>
              <w:jc w:val="left"/>
              <w:rPr/>
            </w:pPr>
            <w:r>
              <w:rPr/>
              <w:t> </w:t>
            </w:r>
          </w:p>
        </w:tc>
      </w:tr>
      <w:tr>
        <w:trPr/>
        <w:tc>
          <w:tcPr>
            <w:tcW w:w="375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Engineering — 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3751"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18</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5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31</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5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w:t>
            </w:r>
          </w:p>
        </w:tc>
        <w:tc>
          <w:tcPr>
            <w:tcW w:w="75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(28</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5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w:t>
            </w:r>
          </w:p>
        </w:tc>
        <w:tc>
          <w:tcPr>
            <w:tcW w:w="28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5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58"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29</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5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75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(6</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23</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Net sales</w:t>
      </w:r>
    </w:p>
    <w:p>
      <w:pPr>
        <w:pStyle w:val="TextBody"/>
        <w:spacing w:before="120" w:after="0"/>
        <w:jc w:val="left"/>
        <w:rPr>
          <w:rFonts w:ascii="Arial;sans-serif" w:hAnsi="Arial;sans-serif"/>
          <w:b w:val="false"/>
          <w:sz w:val="20"/>
        </w:rPr>
      </w:pPr>
      <w:r>
        <w:rPr>
          <w:rFonts w:ascii="Arial;sans-serif" w:hAnsi="Arial;sans-serif"/>
          <w:b w:val="false"/>
          <w:sz w:val="20"/>
        </w:rPr>
        <w:t>Net sales for the quarter ended March 31, 2023 were $741 million compared to $677 million for the quarter ended March 31, 2022, an increase of 9%. The increase was principally driven by a $44 million, or 32%, increase in net sales in the Service Parts, Support Equipment and Other end market principally driven by higher demand for global service parts and support equipment, higher demand for aluminum die cast components and price increases on certain products, a $30 million, or 9%, increase in net sales in the North America On-Highway end market principally driven by strength in customer demand for medium-duty and Class 8 vocational trucks and price increases on certain products, partially offset by a $8 million, or 23%, decrease in net sales in the Defense end market principally driven by lower demand for Tracked vehicle applications, a $1 million, or 2%, decrease in net sales in the Global Off-Highway end market principally driven by higher demand for hydraulic fracturing applications in the North American energy sector and lower demand in the energy sector outside of North America, and a $1 million, or 1%, decrease in net sales in the Outside North America On-Highway end market.</w:t>
      </w:r>
    </w:p>
    <w:p>
      <w:pPr>
        <w:pStyle w:val="TextBody"/>
        <w:spacing w:before="120" w:after="0"/>
        <w:jc w:val="left"/>
        <w:rPr>
          <w:rFonts w:ascii="Arial;sans-serif" w:hAnsi="Arial;sans-serif"/>
          <w:b/>
          <w:i/>
          <w:sz w:val="20"/>
        </w:rPr>
      </w:pPr>
      <w:r>
        <w:rPr>
          <w:rFonts w:ascii="Arial;sans-serif" w:hAnsi="Arial;sans-serif"/>
          <w:b/>
          <w:i/>
          <w:sz w:val="20"/>
        </w:rPr>
        <w:t>Cost of sales</w:t>
      </w:r>
    </w:p>
    <w:p>
      <w:pPr>
        <w:pStyle w:val="TextBody"/>
        <w:spacing w:before="120" w:after="0"/>
        <w:jc w:val="left"/>
        <w:rPr>
          <w:rFonts w:ascii="Arial;sans-serif" w:hAnsi="Arial;sans-serif"/>
          <w:b w:val="false"/>
          <w:sz w:val="20"/>
        </w:rPr>
      </w:pPr>
      <w:r>
        <w:rPr>
          <w:rFonts w:ascii="Arial;sans-serif" w:hAnsi="Arial;sans-serif"/>
          <w:b w:val="false"/>
          <w:sz w:val="20"/>
        </w:rPr>
        <w:t>Cost of sales for the quarter ended March 31, 2023 was $380 million compared to $357 million for the quarter ended March 31, 2022, an increase of 6%. The increase was principally driven by increased direct material and manufacturing expense commensurate with increased net sales and higher direct material costs.</w:t>
      </w:r>
    </w:p>
    <w:p>
      <w:pPr>
        <w:pStyle w:val="TextBody"/>
        <w:spacing w:before="120" w:after="0"/>
        <w:jc w:val="left"/>
        <w:rPr>
          <w:rFonts w:ascii="Arial;sans-serif" w:hAnsi="Arial;sans-serif"/>
          <w:b/>
          <w:i/>
          <w:sz w:val="20"/>
        </w:rPr>
      </w:pPr>
      <w:r>
        <w:rPr>
          <w:rFonts w:ascii="Arial;sans-serif" w:hAnsi="Arial;sans-serif"/>
          <w:b/>
          <w:i/>
          <w:sz w:val="20"/>
        </w:rPr>
        <w:t>Gross profit</w:t>
      </w:r>
    </w:p>
    <w:p>
      <w:pPr>
        <w:pStyle w:val="TextBody"/>
        <w:spacing w:before="120" w:after="0"/>
        <w:jc w:val="left"/>
        <w:rPr>
          <w:rFonts w:ascii="Arial;sans-serif" w:hAnsi="Arial;sans-serif"/>
          <w:b w:val="false"/>
          <w:sz w:val="20"/>
        </w:rPr>
      </w:pPr>
      <w:r>
        <w:rPr>
          <w:rFonts w:ascii="Arial;sans-serif" w:hAnsi="Arial;sans-serif"/>
          <w:b w:val="false"/>
          <w:sz w:val="20"/>
        </w:rPr>
        <w:t>Gross profit for the quarter ended March 31, 2023 was $361 million compared to $320 million for the quarter ended March 31, 2022, an increase of 13%. The increase was principally driven by $56 million of price increases on certain products, partially offset by $10 million of higher manufacturing expense and $8 million of higher direct material costs. Gross profit as a percent of net sales for the three months ended March 31, 2023 increased 140 basis points compared to the same period in 2022 principally driven by price increases on certain products, partially offset by increased cost of goods sold.</w:t>
      </w:r>
    </w:p>
    <w:p>
      <w:pPr>
        <w:pStyle w:val="TextBody"/>
        <w:spacing w:before="180" w:after="0"/>
        <w:jc w:val="center"/>
        <w:rPr>
          <w:rFonts w:ascii="Arial;sans-serif" w:hAnsi="Arial;sans-serif"/>
          <w:b w:val="false"/>
          <w:sz w:val="20"/>
        </w:rPr>
      </w:pPr>
      <w:r>
        <w:rPr>
          <w:rFonts w:ascii="Arial;sans-serif" w:hAnsi="Arial;sans-serif"/>
          <w:b w:val="false"/>
          <w:sz w:val="20"/>
        </w:rPr>
        <w:t>26</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20" w:after="0"/>
        <w:jc w:val="left"/>
        <w:rPr>
          <w:rFonts w:ascii="Arial;sans-serif" w:hAnsi="Arial;sans-serif"/>
          <w:b/>
          <w:i/>
          <w:sz w:val="20"/>
        </w:rPr>
      </w:pPr>
      <w:r>
        <w:rPr>
          <w:rFonts w:ascii="Arial;sans-serif" w:hAnsi="Arial;sans-serif"/>
          <w:b/>
          <w:i/>
          <w:sz w:val="20"/>
        </w:rPr>
        <w:t>Selling, general and administrative</w:t>
      </w:r>
    </w:p>
    <w:p>
      <w:pPr>
        <w:pStyle w:val="TextBody"/>
        <w:spacing w:before="120" w:after="0"/>
        <w:jc w:val="left"/>
        <w:rPr>
          <w:rFonts w:ascii="Arial;sans-serif" w:hAnsi="Arial;sans-serif"/>
          <w:b w:val="false"/>
          <w:sz w:val="20"/>
        </w:rPr>
      </w:pPr>
      <w:r>
        <w:rPr>
          <w:rFonts w:ascii="Arial;sans-serif" w:hAnsi="Arial;sans-serif"/>
          <w:b w:val="false"/>
          <w:sz w:val="20"/>
        </w:rPr>
        <w:t>Selling, general and administrative expenses for the quarter ended March 31, 2023 were $87 million compared to $75 million for the quarter ended March 31, 2022, an increase of 16%. The increase was principally driven by $4 million of higher commercial activities spending and $3 million of increased product warranty expense.</w:t>
      </w:r>
    </w:p>
    <w:p>
      <w:pPr>
        <w:pStyle w:val="TextBody"/>
        <w:spacing w:before="120" w:after="0"/>
        <w:jc w:val="left"/>
        <w:rPr>
          <w:rFonts w:ascii="Arial;sans-serif" w:hAnsi="Arial;sans-serif"/>
          <w:b/>
          <w:i/>
          <w:sz w:val="20"/>
        </w:rPr>
      </w:pPr>
      <w:r>
        <w:rPr>
          <w:rFonts w:ascii="Arial;sans-serif" w:hAnsi="Arial;sans-serif"/>
          <w:b/>
          <w:i/>
          <w:sz w:val="20"/>
        </w:rPr>
        <w:t>Engineering — research and development</w:t>
      </w:r>
    </w:p>
    <w:p>
      <w:pPr>
        <w:pStyle w:val="TextBody"/>
        <w:spacing w:before="120" w:after="0"/>
        <w:jc w:val="left"/>
        <w:rPr>
          <w:rFonts w:ascii="Arial;sans-serif" w:hAnsi="Arial;sans-serif"/>
          <w:b w:val="false"/>
          <w:sz w:val="20"/>
        </w:rPr>
      </w:pPr>
      <w:r>
        <w:rPr>
          <w:rFonts w:ascii="Arial;sans-serif" w:hAnsi="Arial;sans-serif"/>
          <w:b w:val="false"/>
          <w:sz w:val="20"/>
        </w:rPr>
        <w:t>Engineering expenses for the quarter ended March 31, 2023 were $44 million compared to $43 million for the quarter ended March 31, 2022.</w:t>
      </w:r>
    </w:p>
    <w:p>
      <w:pPr>
        <w:pStyle w:val="TextBody"/>
        <w:spacing w:before="120" w:after="0"/>
        <w:jc w:val="left"/>
        <w:rPr>
          <w:rFonts w:ascii="Arial;sans-serif" w:hAnsi="Arial;sans-serif"/>
          <w:b/>
          <w:i/>
          <w:sz w:val="20"/>
        </w:rPr>
      </w:pPr>
      <w:r>
        <w:rPr>
          <w:rFonts w:ascii="Arial;sans-serif" w:hAnsi="Arial;sans-serif"/>
          <w:b/>
          <w:i/>
          <w:sz w:val="20"/>
        </w:rPr>
        <w:t>Interest expense, net</w:t>
      </w:r>
    </w:p>
    <w:p>
      <w:pPr>
        <w:pStyle w:val="TextBody"/>
        <w:spacing w:before="120" w:after="0"/>
        <w:jc w:val="left"/>
        <w:rPr>
          <w:rFonts w:ascii="Times New Roman" w:hAnsi="Times New Roman"/>
          <w:sz w:val="20"/>
        </w:rPr>
      </w:pPr>
      <w:r>
        <w:rPr>
          <w:rFonts w:ascii="Arial;sans-serif" w:hAnsi="Arial;sans-serif"/>
          <w:b w:val="false"/>
          <w:sz w:val="20"/>
        </w:rPr>
        <w:t>Interest expense, net for the quarter ended March 31, 2023 was $28 million compared to $29 million for the quarter ended March 31, 2022, a decrease of 3%. The decrease was principally driven by $6 million of favorable impact from interest rate hedges and $2 million of higher interest income on cash and cash equivalents, partially offset by $7 million of higher interest expense on ATI's Term Loan due to higher variable interest rates.</w:t>
      </w:r>
      <w:r>
        <w:rPr>
          <w:rFonts w:ascii="Times New Roman" w:hAnsi="Times New Roman"/>
          <w:sz w:val="20"/>
        </w:rPr>
        <w:t xml:space="preserve"> </w:t>
      </w:r>
    </w:p>
    <w:p>
      <w:pPr>
        <w:pStyle w:val="TextBody"/>
        <w:spacing w:before="120" w:after="0"/>
        <w:jc w:val="left"/>
        <w:rPr>
          <w:rFonts w:ascii="Arial;sans-serif" w:hAnsi="Arial;sans-serif"/>
          <w:b/>
          <w:i/>
          <w:sz w:val="20"/>
        </w:rPr>
      </w:pPr>
      <w:r>
        <w:rPr>
          <w:rFonts w:ascii="Arial;sans-serif" w:hAnsi="Arial;sans-serif"/>
          <w:b/>
          <w:i/>
          <w:sz w:val="20"/>
        </w:rPr>
        <w:t>Other income (expense), net</w:t>
      </w:r>
    </w:p>
    <w:p>
      <w:pPr>
        <w:pStyle w:val="TextBody"/>
        <w:spacing w:before="120" w:after="0"/>
        <w:jc w:val="left"/>
        <w:rPr>
          <w:rFonts w:ascii="Arial;sans-serif" w:hAnsi="Arial;sans-serif"/>
          <w:b w:val="false"/>
          <w:sz w:val="20"/>
        </w:rPr>
      </w:pPr>
      <w:r>
        <w:rPr>
          <w:rFonts w:ascii="Arial;sans-serif" w:hAnsi="Arial;sans-serif"/>
          <w:b w:val="false"/>
          <w:sz w:val="20"/>
        </w:rPr>
        <w:t>Other income (expense), net for the quarter ended March 31, 2023 was $10 million compared to ($10) million for the quarter ended March 31, 2022. The change was principally driven by $18 million of favorable change in marketable securities.</w:t>
      </w:r>
    </w:p>
    <w:p>
      <w:pPr>
        <w:pStyle w:val="TextBody"/>
        <w:spacing w:before="120" w:after="0"/>
        <w:jc w:val="left"/>
        <w:rPr>
          <w:rFonts w:ascii="Arial;sans-serif" w:hAnsi="Arial;sans-serif"/>
          <w:b/>
          <w:i/>
          <w:sz w:val="20"/>
        </w:rPr>
      </w:pPr>
      <w:r>
        <w:rPr>
          <w:rFonts w:ascii="Arial;sans-serif" w:hAnsi="Arial;sans-serif"/>
          <w:b/>
          <w:i/>
          <w:sz w:val="20"/>
        </w:rPr>
        <w:t>Income tax expense</w:t>
      </w:r>
    </w:p>
    <w:p>
      <w:pPr>
        <w:pStyle w:val="TextBody"/>
        <w:spacing w:before="120" w:after="0"/>
        <w:jc w:val="left"/>
        <w:rPr>
          <w:rFonts w:ascii="Times New Roman" w:hAnsi="Times New Roman"/>
          <w:sz w:val="20"/>
        </w:rPr>
      </w:pPr>
      <w:r>
        <w:rPr>
          <w:rFonts w:ascii="Arial;sans-serif" w:hAnsi="Arial;sans-serif"/>
          <w:b w:val="false"/>
          <w:sz w:val="20"/>
        </w:rPr>
        <w:t>Income tax expense for the three months ended March 31, 2023 was $42 million, resulting in an effective tax rate of 20%, compared to $34 million of income tax expense and an effective tax rate of 21% for the three months ended March 31, 2022. The increase in income tax expense was principally driven by increased taxable income.</w:t>
      </w:r>
      <w:r>
        <w:rPr>
          <w:rFonts w:ascii="Times New Roman" w:hAnsi="Times New Roman"/>
          <w:sz w:val="20"/>
        </w:rPr>
        <w:t xml:space="preserve"> </w:t>
      </w:r>
    </w:p>
    <w:p>
      <w:pPr>
        <w:pStyle w:val="TextBody"/>
        <w:spacing w:before="120" w:after="0"/>
        <w:jc w:val="left"/>
        <w:rPr>
          <w:rFonts w:ascii="Arial;sans-serif" w:hAnsi="Arial;sans-serif"/>
          <w:b/>
          <w:sz w:val="20"/>
        </w:rPr>
      </w:pPr>
      <w:r>
        <w:rPr>
          <w:rFonts w:ascii="Arial;sans-serif" w:hAnsi="Arial;sans-serif"/>
          <w:b/>
          <w:sz w:val="20"/>
        </w:rPr>
        <w:t>Liquidity and Capital Resources</w:t>
      </w:r>
    </w:p>
    <w:p>
      <w:pPr>
        <w:pStyle w:val="TextBody"/>
        <w:spacing w:before="120" w:after="0"/>
        <w:jc w:val="left"/>
        <w:rPr>
          <w:rFonts w:ascii="Arial;sans-serif" w:hAnsi="Arial;sans-serif"/>
          <w:b w:val="false"/>
          <w:sz w:val="20"/>
        </w:rPr>
      </w:pPr>
      <w:r>
        <w:rPr>
          <w:rFonts w:ascii="Arial;sans-serif" w:hAnsi="Arial;sans-serif"/>
          <w:b w:val="false"/>
          <w:sz w:val="20"/>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$344 million and $232 million as of March 31, 2023 and December 31, 2022, respectively. Of the available cash and cash equivalents, $142 million was deposited in operating accounts and $202 million was invested in U.S. government backed securities as of March 31, 2023, compared to $121 million deposited in operating accounts and $111 million invested in U.S. government backed securities as of December 31, 2022.</w:t>
      </w:r>
    </w:p>
    <w:p>
      <w:pPr>
        <w:pStyle w:val="TextBody"/>
        <w:spacing w:before="120" w:after="0"/>
        <w:jc w:val="left"/>
        <w:rPr>
          <w:rFonts w:ascii="Arial;sans-serif" w:hAnsi="Arial;sans-serif"/>
          <w:b w:val="false"/>
          <w:sz w:val="20"/>
        </w:rPr>
      </w:pPr>
      <w:r>
        <w:rPr>
          <w:rFonts w:ascii="Arial;sans-serif" w:hAnsi="Arial;sans-serif"/>
          <w:b w:val="false"/>
          <w:sz w:val="20"/>
        </w:rPr>
        <w:t>As of March 31, 2023, the total of cash held by foreign subsidiaries was $71 million, the majority of which was at our subsidiaries located in China, the Netherlands, India and Japan.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initiatives or operating needs with local resources.</w:t>
      </w:r>
    </w:p>
    <w:p>
      <w:pPr>
        <w:pStyle w:val="TextBody"/>
        <w:spacing w:before="180" w:after="0"/>
        <w:jc w:val="left"/>
        <w:rPr>
          <w:rFonts w:ascii="Arial;sans-serif" w:hAnsi="Arial;sans-serif"/>
          <w:b w:val="false"/>
          <w:sz w:val="20"/>
        </w:rPr>
      </w:pPr>
      <w:r>
        <w:rPr>
          <w:rFonts w:ascii="Arial;sans-serif" w:hAnsi="Arial;sans-serif"/>
          <w:b w:val="false"/>
          <w:sz w:val="20"/>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pStyle w:val="TextBody"/>
        <w:spacing w:before="180" w:after="0"/>
        <w:jc w:val="center"/>
        <w:rPr>
          <w:rFonts w:ascii="Arial;sans-serif" w:hAnsi="Arial;sans-serif"/>
          <w:b w:val="false"/>
          <w:sz w:val="20"/>
        </w:rPr>
      </w:pPr>
      <w:r>
        <w:rPr>
          <w:rFonts w:ascii="Arial;sans-serif" w:hAnsi="Arial;sans-serif"/>
          <w:b w:val="false"/>
          <w:sz w:val="20"/>
        </w:rPr>
        <w:t>27</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80" w:after="0"/>
        <w:jc w:val="left"/>
        <w:rPr>
          <w:rFonts w:ascii="Arial;sans-serif" w:hAnsi="Arial;sans-serif"/>
          <w:b w:val="false"/>
          <w:sz w:val="20"/>
        </w:rPr>
      </w:pPr>
      <w:r>
        <w:rPr>
          <w:rFonts w:ascii="Arial;sans-serif" w:hAnsi="Arial;sans-serif"/>
          <w:b w:val="false"/>
          <w:sz w:val="20"/>
        </w:rPr>
        <w:t>Our liquidity requirements are significant, primarily due to our debt service requirements. As of March 31, 2023, we had $623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$2 million of minimum required quarterly principal payments on ATI’s Term Loan through its maturity date of March 2026 and periodic interest payments on ATI’s Term Loan and the Senior Notes. There are no required quarterly principal payments on the Senior Notes. Long-term debt service liquidity requirements also consist of the payment in full of any remaining principal balance of ATI’s Term Loan and the Senior Notes upon their respective maturity dates.</w:t>
      </w:r>
    </w:p>
    <w:p>
      <w:pPr>
        <w:pStyle w:val="TextBody"/>
        <w:spacing w:before="180" w:after="0"/>
        <w:jc w:val="left"/>
        <w:rPr>
          <w:rFonts w:ascii="Times New Roman" w:hAnsi="Times New Roman"/>
          <w:sz w:val="20"/>
        </w:rPr>
      </w:pPr>
      <w:r>
        <w:rPr>
          <w:rFonts w:ascii="Arial;sans-serif" w:hAnsi="Arial;sans-serif"/>
          <w:b w:val="false"/>
          <w:sz w:val="20"/>
        </w:rPr>
        <w:t>We made $1 million and $2 million of principal payments on the Term Loan during the three months ended March 31, 2023 and 2022, respectively. Our ability to make payments on and refinance our indebtedness and to fund planned capital expenditures and growth initiatives will depend on our ability to generate cash in the future.</w:t>
      </w:r>
      <w:r>
        <w:rPr>
          <w:rFonts w:ascii="Times New Roman" w:hAnsi="Times New Roman"/>
          <w:sz w:val="20"/>
        </w:rPr>
        <w:t xml:space="preserve"> </w:t>
      </w:r>
    </w:p>
    <w:p>
      <w:pPr>
        <w:pStyle w:val="TextBody"/>
        <w:spacing w:before="180" w:after="0"/>
        <w:jc w:val="left"/>
        <w:rPr>
          <w:rFonts w:ascii="Arial;sans-serif" w:hAnsi="Arial;sans-serif"/>
          <w:b w:val="false"/>
          <w:sz w:val="20"/>
        </w:rPr>
      </w:pPr>
      <w:r>
        <w:rPr>
          <w:rFonts w:ascii="Arial;sans-serif" w:hAnsi="Arial;sans-serif"/>
          <w:b w:val="false"/>
          <w:sz w:val="20"/>
        </w:rPr>
        <w:t>The Senior Secured Credit Facility provides for a $650 million Revolving Credit Facility, net of an allowance for up to $75 million in outstanding letter of credit commitments. As of March 31, 2023, we had $644 million available under the Revolving Credit Facility, net of $6 million in letters of credit. As of March 31, 2023,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March 31, 2023, our first lien net leverage ratio was 0.28x.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pStyle w:val="TextBody"/>
        <w:spacing w:before="180" w:after="0"/>
        <w:jc w:val="left"/>
        <w:rPr>
          <w:rFonts w:ascii="Arial;sans-serif" w:hAnsi="Arial;sans-serif"/>
          <w:b w:val="false"/>
          <w:sz w:val="20"/>
        </w:rPr>
      </w:pPr>
      <w:r>
        <w:rPr>
          <w:rFonts w:ascii="Arial;sans-serif" w:hAnsi="Arial;sans-serif"/>
          <w:b w:val="false"/>
          <w:sz w:val="20"/>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March 31, 2023, we are in compliance with all covenants under the Senior Secured Credit Facility and indentures governing the Senior Notes.</w:t>
      </w:r>
    </w:p>
    <w:p>
      <w:pPr>
        <w:pStyle w:val="TextBody"/>
        <w:spacing w:before="180" w:after="0"/>
        <w:jc w:val="left"/>
        <w:rPr>
          <w:rFonts w:ascii="Arial;sans-serif" w:hAnsi="Arial;sans-serif"/>
          <w:b w:val="false"/>
          <w:sz w:val="20"/>
        </w:rPr>
      </w:pPr>
      <w:r>
        <w:rPr>
          <w:rFonts w:ascii="Arial;sans-serif" w:hAnsi="Arial;sans-serif"/>
          <w:b w:val="false"/>
          <w:sz w:val="20"/>
        </w:rPr>
        <w:t>Our credit ratings and outlook are reviewed periodically by Moody’s Investors Service, Inc. (“Moody’s”) and Fitch Ratings, Inc. (“Fitch”). As of March 31, 2023, our credit ratings from both Moody's and Fitch are shown in the table below:</w:t>
      </w:r>
    </w:p>
    <w:p>
      <w:pPr>
        <w:pStyle w:val="TextBody"/>
        <w:spacing w:before="0" w:after="0"/>
        <w:jc w:val="left"/>
        <w:rPr/>
      </w:pPr>
      <w:r>
        <w:rPr/>
        <w:t> </w:t>
      </w:r>
    </w:p>
    <w:tbl>
      <w:tblPr>
        <w:tblW w:w="3655" w:type="dxa"/>
        <w:jc w:val="left"/>
        <w:tblInd w:w="0" w:type="dxa"/>
        <w:tblCellMar>
          <w:top w:w="28" w:type="dxa"/>
          <w:left w:w="28" w:type="dxa"/>
          <w:bottom w:w="28" w:type="dxa"/>
          <w:right w:w="28" w:type="dxa"/>
        </w:tblCellMar>
      </w:tblPr>
      <w:tblGrid>
        <w:gridCol w:w="1966"/>
        <w:gridCol w:w="146"/>
        <w:gridCol w:w="781"/>
        <w:gridCol w:w="146"/>
        <w:gridCol w:w="616"/>
      </w:tblGrid>
      <w:tr>
        <w:trPr/>
        <w:tc>
          <w:tcPr>
            <w:tcW w:w="1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19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 2023</w:t>
            </w:r>
          </w:p>
        </w:tc>
      </w:tr>
      <w:tr>
        <w:trPr/>
        <w:tc>
          <w:tcPr>
            <w:tcW w:w="1966" w:type="dxa"/>
            <w:tcBorders/>
            <w:shd w:fill="auto" w:val="clear"/>
            <w:vAlign w:val="center"/>
          </w:tcPr>
          <w:p>
            <w:pPr>
              <w:pStyle w:val="TableContents"/>
              <w:spacing w:before="0" w:after="0"/>
              <w:ind w:left="0" w:right="0" w:hanging="0"/>
              <w:jc w:val="left"/>
              <w:rPr>
                <w:rFonts w:ascii="Arial;sans-serif" w:hAnsi="Arial;sans-serif"/>
                <w:b/>
                <w:i/>
                <w:sz w:val="16"/>
              </w:rPr>
            </w:pPr>
            <w:r>
              <w:rPr>
                <w:rFonts w:ascii="Arial;sans-serif" w:hAnsi="Arial;sans-serif"/>
                <w:b/>
                <w:i/>
                <w:sz w:val="16"/>
              </w:rPr>
              <w:t>Credit Ratings</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Moody's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Fitch</w:t>
            </w:r>
          </w:p>
        </w:tc>
      </w:tr>
      <w:tr>
        <w:trPr/>
        <w:tc>
          <w:tcPr>
            <w:tcW w:w="19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Corporate Credit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Ba1</w:t>
            </w:r>
          </w:p>
        </w:tc>
        <w:tc>
          <w:tcPr>
            <w:tcW w:w="146" w:type="dxa"/>
            <w:tcBorders/>
            <w:shd w:fill="auto" w:val="clear"/>
            <w:vAlign w:val="center"/>
          </w:tcPr>
          <w:p>
            <w:pPr>
              <w:pStyle w:val="TableContents"/>
              <w:spacing w:before="0" w:after="0"/>
              <w:ind w:left="0" w:right="0" w:hanging="0"/>
              <w:jc w:val="center"/>
              <w:rPr/>
            </w:pPr>
            <w:r>
              <w:rPr/>
              <w:t> </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BB+</w:t>
            </w:r>
          </w:p>
        </w:tc>
      </w:tr>
      <w:tr>
        <w:trPr/>
        <w:tc>
          <w:tcPr>
            <w:tcW w:w="19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Term Loan</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Baa2</w:t>
            </w:r>
          </w:p>
        </w:tc>
        <w:tc>
          <w:tcPr>
            <w:tcW w:w="146" w:type="dxa"/>
            <w:tcBorders/>
            <w:shd w:fill="auto" w:val="clear"/>
            <w:vAlign w:val="center"/>
          </w:tcPr>
          <w:p>
            <w:pPr>
              <w:pStyle w:val="TableContents"/>
              <w:spacing w:before="0" w:after="0"/>
              <w:ind w:left="0" w:right="0" w:hanging="0"/>
              <w:jc w:val="center"/>
              <w:rPr/>
            </w:pPr>
            <w:r>
              <w:rPr/>
              <w:t> </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BBB-</w:t>
            </w:r>
          </w:p>
        </w:tc>
      </w:tr>
      <w:tr>
        <w:trPr/>
        <w:tc>
          <w:tcPr>
            <w:tcW w:w="19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4.75% Senior Notes</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Ba2</w:t>
            </w:r>
          </w:p>
        </w:tc>
        <w:tc>
          <w:tcPr>
            <w:tcW w:w="146" w:type="dxa"/>
            <w:tcBorders/>
            <w:shd w:fill="auto" w:val="clear"/>
            <w:vAlign w:val="center"/>
          </w:tcPr>
          <w:p>
            <w:pPr>
              <w:pStyle w:val="TableContents"/>
              <w:spacing w:before="0" w:after="0"/>
              <w:ind w:left="0" w:right="0" w:hanging="0"/>
              <w:jc w:val="center"/>
              <w:rPr/>
            </w:pPr>
            <w:r>
              <w:rPr/>
              <w:t> </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BB+</w:t>
            </w:r>
          </w:p>
        </w:tc>
      </w:tr>
      <w:tr>
        <w:trPr/>
        <w:tc>
          <w:tcPr>
            <w:tcW w:w="19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5.875% Senior Notes</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Ba2</w:t>
            </w:r>
          </w:p>
        </w:tc>
        <w:tc>
          <w:tcPr>
            <w:tcW w:w="146" w:type="dxa"/>
            <w:tcBorders/>
            <w:shd w:fill="auto" w:val="clear"/>
            <w:vAlign w:val="center"/>
          </w:tcPr>
          <w:p>
            <w:pPr>
              <w:pStyle w:val="TableContents"/>
              <w:spacing w:before="0" w:after="0"/>
              <w:ind w:left="0" w:right="0" w:hanging="0"/>
              <w:jc w:val="center"/>
              <w:rPr/>
            </w:pPr>
            <w:r>
              <w:rPr/>
              <w:t> </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BB+</w:t>
            </w:r>
          </w:p>
        </w:tc>
      </w:tr>
      <w:tr>
        <w:trPr/>
        <w:tc>
          <w:tcPr>
            <w:tcW w:w="19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3.75% Senior Notes</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Ba2</w:t>
            </w:r>
          </w:p>
        </w:tc>
        <w:tc>
          <w:tcPr>
            <w:tcW w:w="146" w:type="dxa"/>
            <w:tcBorders/>
            <w:shd w:fill="auto" w:val="clear"/>
            <w:vAlign w:val="center"/>
          </w:tcPr>
          <w:p>
            <w:pPr>
              <w:pStyle w:val="TableContents"/>
              <w:spacing w:before="0" w:after="0"/>
              <w:ind w:left="0" w:right="0" w:hanging="0"/>
              <w:jc w:val="center"/>
              <w:rPr/>
            </w:pPr>
            <w:r>
              <w:rPr/>
              <w:t> </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BB+</w:t>
            </w:r>
          </w:p>
        </w:tc>
      </w:tr>
    </w:tbl>
    <w:p>
      <w:pPr>
        <w:pStyle w:val="TextBody"/>
        <w:spacing w:before="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28</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80" w:after="0"/>
        <w:jc w:val="left"/>
        <w:rPr>
          <w:rFonts w:ascii="Arial;sans-serif" w:hAnsi="Arial;sans-serif"/>
          <w:b w:val="false"/>
          <w:sz w:val="20"/>
        </w:rPr>
      </w:pPr>
      <w:r>
        <w:rPr>
          <w:rFonts w:ascii="Arial;sans-serif" w:hAnsi="Arial;sans-serif"/>
          <w:b w:val="false"/>
          <w:sz w:val="20"/>
        </w:rPr>
        <w:t>Our Board of Directors has authorized us to repurchase up to $4,000 million of our common stock pursuant to a stock repurchase program (the "Repurchase Program"). During the three months ended March 31, 2023, we repurchased approximately $40 million of our common stock under the Repurchase Program. All of the repurchase transactions during the three months ended March 31, 2023 were settled in cash during the same period. As of March 31, 2023, we had approximately $995 million available under the Repurchase Program.</w:t>
      </w:r>
    </w:p>
    <w:p>
      <w:pPr>
        <w:pStyle w:val="TextBody"/>
        <w:spacing w:before="12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29</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20" w:after="0"/>
        <w:jc w:val="left"/>
        <w:rPr>
          <w:rFonts w:ascii="Arial;sans-serif" w:hAnsi="Arial;sans-serif"/>
          <w:b w:val="false"/>
          <w:sz w:val="20"/>
        </w:rPr>
      </w:pPr>
      <w:r>
        <w:rPr>
          <w:rFonts w:ascii="Arial;sans-serif" w:hAnsi="Arial;sans-serif"/>
          <w:b w:val="false"/>
          <w:sz w:val="20"/>
        </w:rPr>
        <w:t>The following table shows our sources and uses of funds for the three months ended March 31, 2023 and 2022 (dollars in millions):</w:t>
      </w:r>
    </w:p>
    <w:p>
      <w:pPr>
        <w:pStyle w:val="TextBody"/>
        <w:spacing w:before="0" w:after="0"/>
        <w:jc w:val="left"/>
        <w:rPr/>
      </w:pPr>
      <w:r>
        <w:rPr/>
        <w:t> </w:t>
      </w:r>
    </w:p>
    <w:tbl>
      <w:tblPr>
        <w:tblW w:w="5951" w:type="dxa"/>
        <w:jc w:val="left"/>
        <w:tblInd w:w="0" w:type="dxa"/>
        <w:tblCellMar>
          <w:top w:w="28" w:type="dxa"/>
          <w:left w:w="28" w:type="dxa"/>
          <w:bottom w:w="28" w:type="dxa"/>
          <w:right w:w="28" w:type="dxa"/>
        </w:tblCellMar>
      </w:tblPr>
      <w:tblGrid>
        <w:gridCol w:w="3841"/>
        <w:gridCol w:w="146"/>
        <w:gridCol w:w="226"/>
        <w:gridCol w:w="451"/>
        <w:gridCol w:w="178"/>
        <w:gridCol w:w="156"/>
        <w:gridCol w:w="226"/>
        <w:gridCol w:w="516"/>
        <w:gridCol w:w="211"/>
      </w:tblGrid>
      <w:tr>
        <w:trPr/>
        <w:tc>
          <w:tcPr>
            <w:tcW w:w="3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8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41" w:type="dxa"/>
            <w:tcBorders/>
            <w:shd w:fill="auto" w:val="clear"/>
            <w:vAlign w:val="center"/>
          </w:tcPr>
          <w:p>
            <w:pPr>
              <w:pStyle w:val="TableContents"/>
              <w:spacing w:before="0" w:after="0"/>
              <w:ind w:left="0" w:right="0" w:hanging="0"/>
              <w:jc w:val="left"/>
              <w:rPr>
                <w:rFonts w:ascii="Arial;sans-serif" w:hAnsi="Arial;sans-serif"/>
                <w:b/>
                <w:i/>
                <w:sz w:val="16"/>
              </w:rPr>
            </w:pPr>
            <w:r>
              <w:rPr>
                <w:rFonts w:ascii="Arial;sans-serif" w:hAnsi="Arial;sans-serif"/>
                <w:b/>
                <w:i/>
                <w:sz w:val="16"/>
              </w:rPr>
              <w:t>Statements of Cash Flows Data</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4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flows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193</w:t>
            </w:r>
          </w:p>
        </w:tc>
        <w:tc>
          <w:tcPr>
            <w:tcW w:w="178"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162</w:t>
            </w:r>
          </w:p>
        </w:tc>
        <w:tc>
          <w:tcPr>
            <w:tcW w:w="211" w:type="dxa"/>
            <w:tcBorders/>
            <w:shd w:fill="auto" w:val="clear"/>
            <w:vAlign w:val="center"/>
          </w:tcPr>
          <w:p>
            <w:pPr>
              <w:pStyle w:val="TableContents"/>
              <w:spacing w:before="0" w:after="0"/>
              <w:ind w:left="0" w:right="0" w:hanging="0"/>
              <w:jc w:val="left"/>
              <w:rPr/>
            </w:pPr>
            <w:r>
              <w:rPr/>
              <w:t> </w:t>
            </w:r>
          </w:p>
        </w:tc>
      </w:tr>
      <w:tr>
        <w:trPr/>
        <w:tc>
          <w:tcPr>
            <w:tcW w:w="384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flows used for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(22</w:t>
            </w:r>
          </w:p>
        </w:tc>
        <w:tc>
          <w:tcPr>
            <w:tcW w:w="17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84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flows used for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4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(59</w:t>
            </w:r>
          </w:p>
        </w:tc>
        <w:tc>
          <w:tcPr>
            <w:tcW w:w="178"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(106</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Generally, cash provided by operating activities has been adequate to fund our operations. We have significant liquidity, including $344 million of cash and cash equivalents and $644 million available under the Revolving Credit Facility, net of $6 million of letters of credit, as of March 31, 2023. At this time, we believe cash provided by operating activities, cash and cash equivalents and borrowing capacity under the Revolving Credit Facility will be sufficient to meet our known and anticipated cash requirements for the next twelve months and thereafter.</w:t>
      </w:r>
    </w:p>
    <w:p>
      <w:pPr>
        <w:pStyle w:val="TextBody"/>
        <w:spacing w:before="120" w:after="0"/>
        <w:jc w:val="left"/>
        <w:rPr>
          <w:rFonts w:ascii="Arial;sans-serif" w:hAnsi="Arial;sans-serif"/>
          <w:b/>
          <w:i/>
          <w:sz w:val="20"/>
        </w:rPr>
      </w:pPr>
      <w:r>
        <w:rPr>
          <w:rFonts w:ascii="Arial;sans-serif" w:hAnsi="Arial;sans-serif"/>
          <w:b/>
          <w:i/>
          <w:sz w:val="20"/>
        </w:rPr>
        <w:t>Cash provided by operating activities</w:t>
      </w:r>
    </w:p>
    <w:p>
      <w:pPr>
        <w:pStyle w:val="TextBody"/>
        <w:spacing w:before="120" w:after="0"/>
        <w:jc w:val="left"/>
        <w:rPr>
          <w:rFonts w:ascii="Arial;sans-serif" w:hAnsi="Arial;sans-serif"/>
          <w:b w:val="false"/>
          <w:sz w:val="20"/>
        </w:rPr>
      </w:pPr>
      <w:r>
        <w:rPr>
          <w:rFonts w:ascii="Arial;sans-serif" w:hAnsi="Arial;sans-serif"/>
          <w:b w:val="false"/>
          <w:sz w:val="20"/>
        </w:rPr>
        <w:t>Operating activities for the three months ended March 31, 2023 generated $193 million of cash compared to $162 million for the three months ended March 31, 2022. The increase was principally driven by higher gross profit, partially offset by higher operating working capital requirements.</w:t>
      </w:r>
    </w:p>
    <w:p>
      <w:pPr>
        <w:pStyle w:val="TextBody"/>
        <w:spacing w:before="120" w:after="0"/>
        <w:jc w:val="left"/>
        <w:rPr>
          <w:rFonts w:ascii="Arial;sans-serif" w:hAnsi="Arial;sans-serif"/>
          <w:b/>
          <w:i/>
          <w:sz w:val="20"/>
        </w:rPr>
      </w:pPr>
      <w:r>
        <w:rPr>
          <w:rFonts w:ascii="Arial;sans-serif" w:hAnsi="Arial;sans-serif"/>
          <w:b/>
          <w:i/>
          <w:sz w:val="20"/>
        </w:rPr>
        <w:t>Cash used for investing activities</w:t>
      </w:r>
    </w:p>
    <w:p>
      <w:pPr>
        <w:pStyle w:val="TextBody"/>
        <w:spacing w:before="120" w:after="0"/>
        <w:jc w:val="left"/>
        <w:rPr>
          <w:rFonts w:ascii="Arial;sans-serif" w:hAnsi="Arial;sans-serif"/>
          <w:b w:val="false"/>
          <w:sz w:val="20"/>
        </w:rPr>
      </w:pPr>
      <w:r>
        <w:rPr>
          <w:rFonts w:ascii="Arial;sans-serif" w:hAnsi="Arial;sans-serif"/>
          <w:b w:val="false"/>
          <w:sz w:val="20"/>
        </w:rPr>
        <w:t>Investing activities for the three months ended March 31, 2023 used $22 million of cash compared to $38 million for the three months ended March 31, 2022. The decrease was principally driven by $23 million in cash paid for business acquisitions during the first quarter of 2022 that did not reoccur in the first quarter of 2023, partially offset by a $4 million increase in capital expenditures and $4 million of lower proceeds from technology-related investments.</w:t>
      </w:r>
    </w:p>
    <w:p>
      <w:pPr>
        <w:pStyle w:val="TextBody"/>
        <w:spacing w:before="120" w:after="0"/>
        <w:jc w:val="left"/>
        <w:rPr>
          <w:rFonts w:ascii="Arial;sans-serif" w:hAnsi="Arial;sans-serif"/>
          <w:b/>
          <w:i/>
          <w:sz w:val="20"/>
        </w:rPr>
      </w:pPr>
      <w:r>
        <w:rPr>
          <w:rFonts w:ascii="Arial;sans-serif" w:hAnsi="Arial;sans-serif"/>
          <w:b/>
          <w:i/>
          <w:sz w:val="20"/>
        </w:rPr>
        <w:t>Cash used for financing activities</w:t>
      </w:r>
    </w:p>
    <w:p>
      <w:pPr>
        <w:pStyle w:val="TextBody"/>
        <w:spacing w:before="120" w:after="0"/>
        <w:jc w:val="left"/>
        <w:rPr>
          <w:rFonts w:ascii="Arial;sans-serif" w:hAnsi="Arial;sans-serif"/>
          <w:b w:val="false"/>
          <w:sz w:val="20"/>
        </w:rPr>
      </w:pPr>
      <w:r>
        <w:rPr>
          <w:rFonts w:ascii="Arial;sans-serif" w:hAnsi="Arial;sans-serif"/>
          <w:b w:val="false"/>
          <w:sz w:val="20"/>
        </w:rPr>
        <w:t>Financing activities for the three months ended March 31, 2023 used $59 million of cash compared to $106 million for the three months ended March 31, 2022. The decrease was principally driven by $41 million of decreased stock repurchases under the Repurchase Program and $9 million of higher proceeds from the exercise of stock options.</w:t>
      </w:r>
    </w:p>
    <w:p>
      <w:pPr>
        <w:pStyle w:val="TextBody"/>
        <w:spacing w:before="240" w:after="0"/>
        <w:jc w:val="left"/>
        <w:rPr>
          <w:rFonts w:ascii="Arial;sans-serif" w:hAnsi="Arial;sans-serif"/>
          <w:b/>
          <w:sz w:val="20"/>
        </w:rPr>
      </w:pPr>
      <w:r>
        <w:rPr>
          <w:rFonts w:ascii="Arial;sans-serif" w:hAnsi="Arial;sans-serif"/>
          <w:b/>
          <w:sz w:val="20"/>
        </w:rPr>
        <w:t>Contingencies</w:t>
      </w:r>
    </w:p>
    <w:p>
      <w:pPr>
        <w:pStyle w:val="TextBody"/>
        <w:spacing w:before="120" w:after="0"/>
        <w:jc w:val="left"/>
        <w:rPr>
          <w:rFonts w:ascii="Arial;sans-serif" w:hAnsi="Arial;sans-serif"/>
          <w:b w:val="false"/>
          <w:sz w:val="20"/>
        </w:rPr>
      </w:pPr>
      <w:r>
        <w:rPr>
          <w:rFonts w:ascii="Arial;sans-serif" w:hAnsi="Arial;sans-serif"/>
          <w:b w:val="false"/>
          <w:sz w:val="20"/>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pStyle w:val="TextBody"/>
        <w:spacing w:before="18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30</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left"/>
        <w:rPr>
          <w:rFonts w:ascii="Arial;sans-serif" w:hAnsi="Arial;sans-serif"/>
          <w:b/>
          <w:sz w:val="20"/>
        </w:rPr>
      </w:pPr>
      <w:r>
        <w:rPr>
          <w:rFonts w:ascii="Arial;sans-serif" w:hAnsi="Arial;sans-serif"/>
          <w:b/>
          <w:sz w:val="20"/>
        </w:rPr>
        <w:t>Critical Accounting Policies and Significant Accounting Estimates</w:t>
      </w:r>
    </w:p>
    <w:p>
      <w:pPr>
        <w:pStyle w:val="TextBody"/>
        <w:spacing w:before="120" w:after="0"/>
        <w:jc w:val="left"/>
        <w:rPr>
          <w:rFonts w:ascii="Arial;sans-serif" w:hAnsi="Arial;sans-serif"/>
          <w:b w:val="false"/>
          <w:sz w:val="20"/>
        </w:rPr>
      </w:pPr>
      <w:r>
        <w:rPr>
          <w:rFonts w:ascii="Arial;sans-serif" w:hAnsi="Arial;sans-serif"/>
          <w:b w:val="false"/>
          <w:sz w:val="20"/>
        </w:rPr>
        <w:t>A discussion of our critical accounting policies and significant accounting estimates is included in Part II, Item 7, “Management’s Discussion and Analysis of Financial Condition and Results of Operations” in our Annual Report on Form 10-K for the year ended December 31, 2022 as filed with the Securities and Exchange Commission on February 16, 2023.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months ended March 31, 2023.</w:t>
      </w:r>
    </w:p>
    <w:p>
      <w:pPr>
        <w:pStyle w:val="TextBody"/>
        <w:spacing w:before="240" w:after="0"/>
        <w:jc w:val="left"/>
        <w:rPr>
          <w:rFonts w:ascii="Arial;sans-serif" w:hAnsi="Arial;sans-serif"/>
          <w:b/>
          <w:sz w:val="20"/>
        </w:rPr>
      </w:pPr>
      <w:r>
        <w:rPr>
          <w:rFonts w:ascii="Arial;sans-serif" w:hAnsi="Arial;sans-serif"/>
          <w:b/>
          <w:sz w:val="20"/>
        </w:rPr>
        <w:t>Recently Issued Accounting Pronouncements</w:t>
      </w:r>
    </w:p>
    <w:p>
      <w:pPr>
        <w:pStyle w:val="TextBody"/>
        <w:spacing w:before="120" w:after="0"/>
        <w:jc w:val="left"/>
        <w:rPr>
          <w:rFonts w:ascii="Arial;sans-serif" w:hAnsi="Arial;sans-serif"/>
          <w:b w:val="false"/>
          <w:sz w:val="20"/>
        </w:rPr>
      </w:pPr>
      <w:r>
        <w:rPr>
          <w:rFonts w:ascii="Arial;sans-serif" w:hAnsi="Arial;sans-serif"/>
          <w:b w:val="false"/>
          <w:sz w:val="20"/>
        </w:rPr>
        <w:t>See "Note B. Summary of Significant Accounting Policies” in Part I, Item 1, of this Quarterly Report on Form 10-Q.</w:t>
      </w:r>
    </w:p>
    <w:p>
      <w:pPr>
        <w:pStyle w:val="TextBody"/>
        <w:spacing w:before="180" w:after="0"/>
        <w:jc w:val="center"/>
        <w:rPr>
          <w:rFonts w:ascii="Arial;sans-serif" w:hAnsi="Arial;sans-serif"/>
          <w:b w:val="false"/>
          <w:sz w:val="20"/>
        </w:rPr>
      </w:pPr>
      <w:r>
        <w:rPr>
          <w:rFonts w:ascii="Arial;sans-serif" w:hAnsi="Arial;sans-serif"/>
          <w:b w:val="false"/>
          <w:sz w:val="20"/>
        </w:rPr>
        <w:t>31</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80" w:after="0"/>
        <w:jc w:val="left"/>
        <w:rPr>
          <w:rFonts w:ascii="Arial;sans-serif" w:hAnsi="Arial;sans-serif"/>
          <w:b/>
          <w:sz w:val="20"/>
        </w:rPr>
      </w:pPr>
      <w:r>
        <w:rPr>
          <w:rFonts w:ascii="Arial;sans-serif" w:hAnsi="Arial;sans-serif"/>
          <w:b/>
          <w:sz w:val="20"/>
        </w:rPr>
        <w:t>Cautionary Note Regarding Forward-Looking Statements</w:t>
      </w:r>
    </w:p>
    <w:p>
      <w:pPr>
        <w:pStyle w:val="TextBody"/>
        <w:spacing w:before="120" w:after="0"/>
        <w:jc w:val="left"/>
        <w:rPr>
          <w:rFonts w:ascii="Arial;sans-serif" w:hAnsi="Arial;sans-serif"/>
          <w:b w:val="false"/>
          <w:sz w:val="20"/>
        </w:rPr>
      </w:pPr>
      <w:r>
        <w:rPr>
          <w:rFonts w:ascii="Arial;sans-serif" w:hAnsi="Arial;sans-serif"/>
          <w:b w:val="false"/>
          <w:sz w:val="20"/>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wars and pandemics; global economic volatility; general economic and industry conditions, including the risk of recession; labor strikes, work stoppages or similar labor disputes, which could significantly disrupt our operations or those of our principal customers or suppliers; the duration and spread of the COVID-19 pandemic, including new variants of the virus and the pace and availability of vaccines and boosters, mitigating efforts deployed by government agencies and the public at large, and the overall impact from such outbreak on economic conditions, financial market volatility and our business, including but not limited to the operations of our manufacturing and other facilities, the availability of labor, our supply chain, our distribution processes and demand for our products and the corresponding impacts to our net sales and cash flow; the highly cyclical industries in which certain of our end users operate; uncertainty in the global regulatory and business environments in which we operate;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pStyle w:val="TextBody"/>
        <w:spacing w:before="120" w:after="0"/>
        <w:jc w:val="left"/>
        <w:rPr>
          <w:rFonts w:ascii="Arial;sans-serif" w:hAnsi="Arial;sans-serif"/>
          <w:b w:val="false"/>
          <w:sz w:val="20"/>
        </w:rPr>
      </w:pPr>
      <w:bookmarkStart w:id="12" w:name="end_of_mda"/>
      <w:bookmarkEnd w:id="12"/>
      <w:r>
        <w:rPr>
          <w:rFonts w:ascii="Arial;sans-serif" w:hAnsi="Arial;sans-serif"/>
          <w:b w:val="false"/>
          <w:sz w:val="20"/>
        </w:rPr>
        <w:t>Important factors that could cause actual results to differ materially from our expectations are disclosed in Part I, Item 1A of our Annual Report on Form 10-K for the year ended December 31, 2022 as filed with the Securities and Exchange Commission on February 16, 2023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other Securities and Exchange Commission filings or public communications. You should evaluate all forward-looking statements made in this Quarterly Report on Form 10-Q in the context of these risks and uncertainties.</w:t>
      </w:r>
    </w:p>
    <w:p>
      <w:pPr>
        <w:pStyle w:val="TextBody"/>
        <w:spacing w:before="180" w:after="0"/>
        <w:jc w:val="center"/>
        <w:rPr>
          <w:rFonts w:ascii="Arial;sans-serif" w:hAnsi="Arial;sans-serif"/>
          <w:b w:val="false"/>
          <w:sz w:val="20"/>
        </w:rPr>
      </w:pPr>
      <w:r>
        <w:rPr>
          <w:rFonts w:ascii="Arial;sans-serif" w:hAnsi="Arial;sans-serif"/>
          <w:b w:val="false"/>
          <w:sz w:val="20"/>
        </w:rPr>
        <w:t>32</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left"/>
        <w:rPr/>
      </w:pPr>
      <w:r>
        <w:rPr/>
        <w:t> </w:t>
      </w:r>
    </w:p>
    <w:tbl>
      <w:tblPr>
        <w:tblW w:w="6452" w:type="dxa"/>
        <w:jc w:val="left"/>
        <w:tblInd w:w="0" w:type="dxa"/>
        <w:tblCellMar>
          <w:top w:w="28" w:type="dxa"/>
          <w:left w:w="28" w:type="dxa"/>
          <w:bottom w:w="28" w:type="dxa"/>
          <w:right w:w="28" w:type="dxa"/>
        </w:tblCellMar>
      </w:tblPr>
      <w:tblGrid>
        <w:gridCol w:w="826"/>
        <w:gridCol w:w="5626"/>
      </w:tblGrid>
      <w:tr>
        <w:trPr/>
        <w:tc>
          <w:tcPr>
            <w:tcW w:w="826" w:type="dxa"/>
            <w:tcBorders/>
            <w:shd w:fill="auto" w:val="clear"/>
            <w:vAlign w:val="center"/>
          </w:tcPr>
          <w:p>
            <w:pPr>
              <w:pStyle w:val="TableContents"/>
              <w:spacing w:before="0" w:after="283"/>
              <w:rPr>
                <w:sz w:val="4"/>
                <w:szCs w:val="4"/>
              </w:rPr>
            </w:pPr>
            <w:r>
              <w:rPr>
                <w:sz w:val="4"/>
                <w:szCs w:val="4"/>
              </w:rPr>
            </w:r>
          </w:p>
        </w:tc>
        <w:tc>
          <w:tcPr>
            <w:tcW w:w="5626" w:type="dxa"/>
            <w:tcBorders/>
            <w:shd w:fill="auto" w:val="clear"/>
            <w:vAlign w:val="center"/>
          </w:tcPr>
          <w:p>
            <w:pPr>
              <w:pStyle w:val="TableContents"/>
              <w:spacing w:before="0" w:after="283"/>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ITEM 3.</w:t>
            </w:r>
          </w:p>
        </w:tc>
        <w:tc>
          <w:tcPr>
            <w:tcW w:w="5626" w:type="dxa"/>
            <w:tcBorders/>
            <w:shd w:fill="auto" w:val="clear"/>
            <w:vAlign w:val="center"/>
          </w:tcPr>
          <w:p>
            <w:pPr>
              <w:pStyle w:val="TableContents"/>
              <w:spacing w:before="0" w:after="0"/>
              <w:ind w:left="0" w:right="0" w:hanging="0"/>
              <w:jc w:val="left"/>
              <w:rPr>
                <w:rFonts w:ascii="Times New Roman" w:hAnsi="Times New Roman"/>
                <w:sz w:val="20"/>
              </w:rPr>
            </w:pPr>
            <w:bookmarkStart w:id="13" w:name="quantitativeandqualitativedisclosures"/>
            <w:bookmarkEnd w:id="13"/>
            <w:r>
              <w:rPr>
                <w:rFonts w:ascii="Arial;sans-serif" w:hAnsi="Arial;sans-serif"/>
                <w:b/>
                <w:sz w:val="20"/>
              </w:rPr>
              <w:t xml:space="preserve">Quantitative and Qualitative </w:t>
            </w:r>
            <w:bookmarkStart w:id="14" w:name="quantitative_qualitative_disclosures_abo"/>
            <w:bookmarkEnd w:id="14"/>
            <w:r>
              <w:rPr>
                <w:rFonts w:ascii="Arial;sans-serif" w:hAnsi="Arial;sans-serif"/>
                <w:b/>
                <w:sz w:val="20"/>
              </w:rPr>
              <w:t>Disclosures About Market Risk</w:t>
            </w:r>
          </w:p>
        </w:tc>
      </w:tr>
    </w:tbl>
    <w:p>
      <w:pPr>
        <w:pStyle w:val="TextBody"/>
        <w:spacing w:before="120" w:after="0"/>
        <w:jc w:val="left"/>
        <w:rPr>
          <w:rFonts w:ascii="Arial;sans-serif" w:hAnsi="Arial;sans-serif"/>
          <w:b w:val="false"/>
          <w:sz w:val="20"/>
        </w:rPr>
      </w:pPr>
      <w:r>
        <w:rPr>
          <w:rFonts w:ascii="Arial;sans-serif" w:hAnsi="Arial;sans-serif"/>
          <w:b w:val="false"/>
          <w:sz w:val="20"/>
        </w:rPr>
        <w:t>Our exposure to market risk consists of changes in interest rates, foreign currency rate fluctuations and movements in commodity prices.</w:t>
      </w:r>
    </w:p>
    <w:p>
      <w:pPr>
        <w:pStyle w:val="TextBody"/>
        <w:spacing w:before="120" w:after="0"/>
        <w:jc w:val="left"/>
        <w:rPr>
          <w:rFonts w:ascii="Arial;sans-serif" w:hAnsi="Arial;sans-serif"/>
          <w:b/>
          <w:i/>
          <w:sz w:val="20"/>
        </w:rPr>
      </w:pPr>
      <w:r>
        <w:rPr>
          <w:rFonts w:ascii="Arial;sans-serif" w:hAnsi="Arial;sans-serif"/>
          <w:b/>
          <w:i/>
          <w:sz w:val="20"/>
        </w:rPr>
        <w:t>Interest Rate Risk</w:t>
      </w:r>
    </w:p>
    <w:p>
      <w:pPr>
        <w:pStyle w:val="TextBody"/>
        <w:spacing w:before="120" w:after="0"/>
        <w:jc w:val="left"/>
        <w:rPr>
          <w:rFonts w:ascii="Arial;sans-serif" w:hAnsi="Arial;sans-serif"/>
          <w:b w:val="false"/>
          <w:sz w:val="20"/>
        </w:rPr>
      </w:pPr>
      <w:r>
        <w:rPr>
          <w:rFonts w:ascii="Arial;sans-serif" w:hAnsi="Arial;sans-serif"/>
          <w:b w:val="false"/>
          <w:sz w:val="20"/>
        </w:rPr>
        <w:t>Our principal interest rate exposure relates to outstanding amounts under our Senior Secured Credit Facility. Our Senior Secured Credit Facility provides for variable rate borrowings of up to $1,267 million, including $644 million under our Revolving Credit Facility, net of $6 million of letters of credit. As of March 31, 2023, we held interest rate swap contracts that, in the aggregate, effectively hedge $500 million of the variable rate debt associated with the Term Loan at the London Interbank Offered Rate fixed rates of 3.04% and 2.82% through September 2025. A one-eighth percent increase or decrease in assumed interest rates for the Senior Secured Credit Facility, if fully drawn as of March 31, 2023, would have an impact of approximately $1 million on interest expense per year. As of March 31, 2023, we had no outstanding borrowings against the Revolving Credit Facility.</w:t>
      </w:r>
    </w:p>
    <w:p>
      <w:pPr>
        <w:pStyle w:val="TextBody"/>
        <w:spacing w:before="120" w:after="0"/>
        <w:jc w:val="left"/>
        <w:rPr>
          <w:rFonts w:ascii="Arial;sans-serif" w:hAnsi="Arial;sans-serif"/>
          <w:b/>
          <w:i/>
          <w:sz w:val="20"/>
        </w:rPr>
      </w:pPr>
      <w:r>
        <w:rPr>
          <w:rFonts w:ascii="Arial;sans-serif" w:hAnsi="Arial;sans-serif"/>
          <w:b/>
          <w:i/>
          <w:sz w:val="20"/>
        </w:rPr>
        <w:t>Exchange Rate Risk</w:t>
      </w:r>
    </w:p>
    <w:p>
      <w:pPr>
        <w:pStyle w:val="TextBody"/>
        <w:spacing w:before="120" w:after="0"/>
        <w:jc w:val="left"/>
        <w:rPr>
          <w:rFonts w:ascii="Arial;sans-serif" w:hAnsi="Arial;sans-serif"/>
          <w:b w:val="false"/>
          <w:sz w:val="20"/>
        </w:rPr>
      </w:pPr>
      <w:r>
        <w:rPr>
          <w:rFonts w:ascii="Arial;sans-serif" w:hAnsi="Arial;sans-serif"/>
          <w:b w:val="false"/>
          <w:sz w:val="20"/>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pStyle w:val="TextBody"/>
        <w:spacing w:before="120" w:after="0"/>
        <w:jc w:val="left"/>
        <w:rPr>
          <w:rFonts w:ascii="Arial;sans-serif" w:hAnsi="Arial;sans-serif"/>
          <w:b w:val="false"/>
          <w:sz w:val="20"/>
        </w:rPr>
      </w:pPr>
      <w:r>
        <w:rPr>
          <w:rFonts w:ascii="Arial;sans-serif" w:hAnsi="Arial;sans-serif"/>
          <w:b w:val="false"/>
          <w:sz w:val="20"/>
        </w:rPr>
        <w:t>Assuming current levels of foreign currency transactions, a 10% aggregate increase or decrease in the Chinese Yuan Renminbi, Euro, Indian Rupee, and Japanese Yen would correspondingly change our earnings, net of tax, by an estimated $7 million per year. We believe our other direct exposure to foreign currencies is immaterial.</w:t>
      </w:r>
    </w:p>
    <w:p>
      <w:pPr>
        <w:pStyle w:val="TextBody"/>
        <w:spacing w:before="180" w:after="0"/>
        <w:jc w:val="center"/>
        <w:rPr>
          <w:rFonts w:ascii="Arial;sans-serif" w:hAnsi="Arial;sans-serif"/>
          <w:b w:val="false"/>
          <w:sz w:val="20"/>
        </w:rPr>
      </w:pPr>
      <w:r>
        <w:rPr>
          <w:rFonts w:ascii="Arial;sans-serif" w:hAnsi="Arial;sans-serif"/>
          <w:b w:val="false"/>
          <w:sz w:val="20"/>
        </w:rPr>
        <w:t>33</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20" w:after="0"/>
        <w:jc w:val="left"/>
        <w:rPr>
          <w:rFonts w:ascii="Arial;sans-serif" w:hAnsi="Arial;sans-serif"/>
          <w:b/>
          <w:i/>
          <w:sz w:val="20"/>
        </w:rPr>
      </w:pPr>
      <w:r>
        <w:rPr>
          <w:rFonts w:ascii="Arial;sans-serif" w:hAnsi="Arial;sans-serif"/>
          <w:b/>
          <w:i/>
          <w:sz w:val="20"/>
        </w:rPr>
        <w:t>Commodity Price Risk</w:t>
      </w:r>
    </w:p>
    <w:p>
      <w:pPr>
        <w:pStyle w:val="TextBody"/>
        <w:spacing w:before="120" w:after="0"/>
        <w:jc w:val="left"/>
        <w:rPr>
          <w:rFonts w:ascii="Arial;sans-serif" w:hAnsi="Arial;sans-serif"/>
          <w:b w:val="false"/>
          <w:sz w:val="20"/>
        </w:rPr>
      </w:pPr>
      <w:r>
        <w:rPr>
          <w:rFonts w:ascii="Arial;sans-serif" w:hAnsi="Arial;sans-serif"/>
          <w:b w:val="false"/>
          <w:sz w:val="20"/>
        </w:rPr>
        <w:t>We are subject to changes in our cost of sales caused by movements in underlying commodity prices. As of March 31, 2023, approximately 67% of our cost of sales consisted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pStyle w:val="TextBody"/>
        <w:spacing w:before="120" w:after="0"/>
        <w:jc w:val="left"/>
        <w:rPr>
          <w:rFonts w:ascii="Arial;sans-serif" w:hAnsi="Arial;sans-serif"/>
          <w:b w:val="false"/>
          <w:sz w:val="20"/>
        </w:rPr>
      </w:pPr>
      <w:r>
        <w:rPr>
          <w:rFonts w:ascii="Arial;sans-serif" w:hAnsi="Arial;sans-serif"/>
          <w:b w:val="false"/>
          <w:sz w:val="20"/>
        </w:rPr>
        <w:t>Assuming current levels of commodity purchases, a 10% variation in the price of aluminum and steel would correspondingly change our earnings by approximately $9 million and $12 million per year, respectively.</w:t>
      </w:r>
    </w:p>
    <w:p>
      <w:pPr>
        <w:pStyle w:val="TextBody"/>
        <w:spacing w:before="120" w:after="0"/>
        <w:jc w:val="left"/>
        <w:rPr>
          <w:rFonts w:ascii="Arial;sans-serif" w:hAnsi="Arial;sans-serif"/>
          <w:b w:val="false"/>
          <w:sz w:val="20"/>
        </w:rPr>
      </w:pPr>
      <w:r>
        <w:rPr>
          <w:rFonts w:ascii="Arial;sans-serif" w:hAnsi="Arial;sans-serif"/>
          <w:b w:val="false"/>
          <w:sz w:val="20"/>
        </w:rPr>
        <w:t>Many of our LTAs have incorporated a cost-sharing arrangement related to potential future commodity price fluctuations. For purposes of the sensitivity analysis above, the impact of these cost sharing arrangements has not been included.</w:t>
      </w:r>
    </w:p>
    <w:p>
      <w:pPr>
        <w:pStyle w:val="TextBody"/>
        <w:spacing w:before="180" w:after="0"/>
        <w:jc w:val="center"/>
        <w:rPr>
          <w:rFonts w:ascii="Arial;sans-serif" w:hAnsi="Arial;sans-serif"/>
          <w:b w:val="false"/>
          <w:sz w:val="20"/>
        </w:rPr>
      </w:pPr>
      <w:r>
        <w:rPr>
          <w:rFonts w:ascii="Arial;sans-serif" w:hAnsi="Arial;sans-serif"/>
          <w:b w:val="false"/>
          <w:sz w:val="20"/>
        </w:rPr>
        <w:t>34</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120" w:after="0"/>
        <w:jc w:val="left"/>
        <w:rPr/>
      </w:pPr>
      <w:r>
        <w:rPr/>
        <w:t> </w:t>
      </w:r>
    </w:p>
    <w:tbl>
      <w:tblPr>
        <w:tblW w:w="3287" w:type="dxa"/>
        <w:jc w:val="left"/>
        <w:tblInd w:w="0" w:type="dxa"/>
        <w:tblCellMar>
          <w:top w:w="28" w:type="dxa"/>
          <w:left w:w="28" w:type="dxa"/>
          <w:bottom w:w="28" w:type="dxa"/>
          <w:right w:w="28" w:type="dxa"/>
        </w:tblCellMar>
      </w:tblPr>
      <w:tblGrid>
        <w:gridCol w:w="826"/>
        <w:gridCol w:w="2461"/>
      </w:tblGrid>
      <w:tr>
        <w:trPr/>
        <w:tc>
          <w:tcPr>
            <w:tcW w:w="826"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ITEM 4.</w:t>
            </w:r>
          </w:p>
        </w:tc>
        <w:tc>
          <w:tcPr>
            <w:tcW w:w="2461" w:type="dxa"/>
            <w:tcBorders/>
            <w:shd w:fill="auto" w:val="clear"/>
            <w:vAlign w:val="center"/>
          </w:tcPr>
          <w:p>
            <w:pPr>
              <w:pStyle w:val="TableContents"/>
              <w:spacing w:before="0" w:after="0"/>
              <w:ind w:left="0" w:right="0" w:hanging="0"/>
              <w:jc w:val="left"/>
              <w:rPr>
                <w:rFonts w:ascii="Times New Roman" w:hAnsi="Times New Roman"/>
                <w:sz w:val="20"/>
              </w:rPr>
            </w:pPr>
            <w:bookmarkStart w:id="15" w:name="controlsandprocedures"/>
            <w:bookmarkEnd w:id="15"/>
            <w:r>
              <w:rPr>
                <w:rFonts w:ascii="Arial;sans-serif" w:hAnsi="Arial;sans-serif"/>
                <w:b/>
                <w:sz w:val="20"/>
              </w:rPr>
              <w:t>Controls and</w:t>
            </w:r>
            <w:bookmarkStart w:id="16" w:name="controls_procedures"/>
            <w:bookmarkEnd w:id="16"/>
            <w:r>
              <w:rPr>
                <w:rFonts w:ascii="Times New Roman" w:hAnsi="Times New Roman"/>
                <w:sz w:val="20"/>
              </w:rPr>
              <w:t> </w:t>
            </w:r>
            <w:r>
              <w:rPr>
                <w:rFonts w:ascii="Arial;sans-serif" w:hAnsi="Arial;sans-serif"/>
                <w:b/>
                <w:sz w:val="20"/>
              </w:rPr>
              <w:t>Procedures</w:t>
            </w:r>
          </w:p>
        </w:tc>
      </w:tr>
    </w:tbl>
    <w:p>
      <w:pPr>
        <w:pStyle w:val="TextBody"/>
        <w:spacing w:before="240" w:after="0"/>
        <w:jc w:val="left"/>
        <w:rPr>
          <w:rFonts w:ascii="Arial;sans-serif" w:hAnsi="Arial;sans-serif"/>
          <w:b/>
          <w:sz w:val="20"/>
        </w:rPr>
      </w:pPr>
      <w:r>
        <w:rPr>
          <w:rFonts w:ascii="Arial;sans-serif" w:hAnsi="Arial;sans-serif"/>
          <w:b/>
          <w:sz w:val="20"/>
        </w:rPr>
        <w:t>Evaluation of Disclosure Controls and Procedures</w:t>
      </w:r>
    </w:p>
    <w:p>
      <w:pPr>
        <w:pStyle w:val="TextBody"/>
        <w:spacing w:before="120" w:after="0"/>
        <w:jc w:val="left"/>
        <w:rPr>
          <w:rFonts w:ascii="Arial;sans-serif" w:hAnsi="Arial;sans-serif"/>
          <w:b w:val="false"/>
          <w:sz w:val="20"/>
        </w:rPr>
      </w:pPr>
      <w:r>
        <w:rPr>
          <w:rFonts w:ascii="Arial;sans-serif" w:hAnsi="Arial;sans-serif"/>
          <w:b w:val="false"/>
          <w:sz w:val="20"/>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spacing w:before="120" w:after="0"/>
        <w:jc w:val="left"/>
        <w:rPr>
          <w:rFonts w:ascii="Arial;sans-serif" w:hAnsi="Arial;sans-serif"/>
          <w:b w:val="false"/>
          <w:sz w:val="20"/>
        </w:rPr>
      </w:pPr>
      <w:r>
        <w:rPr>
          <w:rFonts w:ascii="Arial;sans-serif" w:hAnsi="Arial;sans-serif"/>
          <w:b w:val="false"/>
          <w:sz w:val="20"/>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spacing w:before="240" w:after="0"/>
        <w:jc w:val="left"/>
        <w:rPr>
          <w:rFonts w:ascii="Arial;sans-serif" w:hAnsi="Arial;sans-serif"/>
          <w:b/>
          <w:sz w:val="20"/>
        </w:rPr>
      </w:pPr>
      <w:r>
        <w:rPr>
          <w:rFonts w:ascii="Arial;sans-serif" w:hAnsi="Arial;sans-serif"/>
          <w:b/>
          <w:sz w:val="20"/>
        </w:rPr>
        <w:t>Changes in Internal Control over Financial Reporting</w:t>
      </w:r>
    </w:p>
    <w:p>
      <w:pPr>
        <w:pStyle w:val="TextBody"/>
        <w:spacing w:before="120" w:after="0"/>
        <w:jc w:val="left"/>
        <w:rPr>
          <w:rFonts w:ascii="Arial;sans-serif" w:hAnsi="Arial;sans-serif"/>
          <w:b w:val="false"/>
          <w:sz w:val="20"/>
        </w:rPr>
      </w:pPr>
      <w:r>
        <w:rPr>
          <w:rFonts w:ascii="Arial;sans-serif" w:hAnsi="Arial;sans-serif"/>
          <w:b w:val="false"/>
          <w:sz w:val="20"/>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pStyle w:val="TextBody"/>
        <w:spacing w:before="180" w:after="0"/>
        <w:jc w:val="center"/>
        <w:rPr>
          <w:rFonts w:ascii="Arial;sans-serif" w:hAnsi="Arial;sans-serif"/>
          <w:b w:val="false"/>
          <w:sz w:val="20"/>
        </w:rPr>
      </w:pPr>
      <w:r>
        <w:rPr>
          <w:rFonts w:ascii="Arial;sans-serif" w:hAnsi="Arial;sans-serif"/>
          <w:b w:val="false"/>
          <w:sz w:val="20"/>
        </w:rPr>
        <w:t>35</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tbl>
      <w:tblPr>
        <w:tblW w:w="3076" w:type="dxa"/>
        <w:jc w:val="left"/>
        <w:tblInd w:w="0" w:type="dxa"/>
        <w:tblCellMar>
          <w:top w:w="28" w:type="dxa"/>
          <w:left w:w="28" w:type="dxa"/>
          <w:bottom w:w="28" w:type="dxa"/>
          <w:right w:w="28" w:type="dxa"/>
        </w:tblCellMar>
      </w:tblPr>
      <w:tblGrid>
        <w:gridCol w:w="3076"/>
      </w:tblGrid>
      <w:tr>
        <w:trPr/>
        <w:tc>
          <w:tcPr>
            <w:tcW w:w="3076" w:type="dxa"/>
            <w:tcBorders/>
            <w:shd w:fill="auto" w:val="clear"/>
            <w:vAlign w:val="center"/>
          </w:tcPr>
          <w:p>
            <w:pPr>
              <w:pStyle w:val="TableContents"/>
              <w:spacing w:before="0" w:after="283"/>
              <w:rPr>
                <w:sz w:val="4"/>
                <w:szCs w:val="4"/>
              </w:rPr>
            </w:pPr>
            <w:r>
              <w:rPr>
                <w:sz w:val="4"/>
                <w:szCs w:val="4"/>
              </w:rPr>
            </w:r>
          </w:p>
        </w:tc>
      </w:tr>
      <w:tr>
        <w:trPr/>
        <w:tc>
          <w:tcPr>
            <w:tcW w:w="3076"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hanging="0"/>
              <w:jc w:val="center"/>
              <w:rPr>
                <w:rFonts w:ascii="Times New Roman" w:hAnsi="Times New Roman"/>
                <w:sz w:val="20"/>
              </w:rPr>
            </w:pPr>
            <w:bookmarkStart w:id="17" w:name="part_ii_or_information"/>
            <w:bookmarkEnd w:id="17"/>
            <w:r>
              <w:rPr>
                <w:rFonts w:ascii="Arial;sans-serif" w:hAnsi="Arial;sans-serif"/>
                <w:b/>
                <w:sz w:val="20"/>
              </w:rPr>
              <w:t>PART II. OTHER</w:t>
            </w:r>
            <w:r>
              <w:rPr>
                <w:rFonts w:ascii="Times New Roman" w:hAnsi="Times New Roman"/>
                <w:sz w:val="20"/>
              </w:rPr>
              <w:t> </w:t>
            </w:r>
            <w:r>
              <w:rPr>
                <w:rFonts w:ascii="Arial;sans-serif" w:hAnsi="Arial;sans-serif"/>
                <w:b/>
                <w:sz w:val="20"/>
              </w:rPr>
              <w:t>INFORMATION</w:t>
            </w:r>
          </w:p>
        </w:tc>
      </w:tr>
    </w:tbl>
    <w:p>
      <w:pPr>
        <w:pStyle w:val="TextBody"/>
        <w:spacing w:before="240" w:after="0"/>
        <w:jc w:val="left"/>
        <w:rPr>
          <w:rFonts w:ascii="Times New Roman" w:hAnsi="Times New Roman"/>
          <w:sz w:val="20"/>
        </w:rPr>
      </w:pPr>
      <w:bookmarkStart w:id="18" w:name="item_1_legal_proceedings"/>
      <w:bookmarkEnd w:id="18"/>
      <w:r>
        <w:rPr>
          <w:rFonts w:ascii="Arial;sans-serif" w:hAnsi="Arial;sans-serif"/>
          <w:b/>
          <w:sz w:val="20"/>
        </w:rPr>
        <w:t>Item 1. Legal</w:t>
      </w:r>
      <w:r>
        <w:rPr>
          <w:rFonts w:ascii="Times New Roman" w:hAnsi="Times New Roman"/>
          <w:sz w:val="20"/>
        </w:rPr>
        <w:t xml:space="preserve"> </w:t>
      </w:r>
      <w:r>
        <w:rPr>
          <w:rFonts w:ascii="Arial;sans-serif" w:hAnsi="Arial;sans-serif"/>
          <w:b/>
          <w:sz w:val="20"/>
        </w:rPr>
        <w:t>Proceedings</w:t>
      </w:r>
    </w:p>
    <w:p>
      <w:pPr>
        <w:pStyle w:val="TextBody"/>
        <w:spacing w:before="120" w:after="0"/>
        <w:jc w:val="left"/>
        <w:rPr>
          <w:rFonts w:ascii="Arial;sans-serif" w:hAnsi="Arial;sans-serif"/>
          <w:b w:val="false"/>
          <w:sz w:val="20"/>
        </w:rPr>
      </w:pPr>
      <w:r>
        <w:rPr>
          <w:rFonts w:ascii="Arial;sans-serif" w:hAnsi="Arial;sans-serif"/>
          <w:b w:val="false"/>
          <w:sz w:val="20"/>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pStyle w:val="TextBody"/>
        <w:spacing w:before="240" w:after="0"/>
        <w:jc w:val="left"/>
        <w:rPr>
          <w:rFonts w:ascii="Arial;sans-serif" w:hAnsi="Arial;sans-serif"/>
          <w:b/>
          <w:sz w:val="20"/>
        </w:rPr>
      </w:pPr>
      <w:bookmarkStart w:id="19" w:name="item_1a_risk_factors"/>
      <w:bookmarkEnd w:id="19"/>
      <w:r>
        <w:rPr>
          <w:rFonts w:ascii="Arial;sans-serif" w:hAnsi="Arial;sans-serif"/>
          <w:b/>
          <w:sz w:val="20"/>
        </w:rPr>
        <w:t>Item 1A. Risk Factors</w:t>
      </w:r>
    </w:p>
    <w:p>
      <w:pPr>
        <w:pStyle w:val="TextBody"/>
        <w:spacing w:before="120" w:after="0"/>
        <w:jc w:val="left"/>
        <w:rPr>
          <w:rFonts w:ascii="Arial;sans-serif" w:hAnsi="Arial;sans-serif"/>
          <w:b w:val="false"/>
          <w:sz w:val="20"/>
        </w:rPr>
      </w:pPr>
      <w:r>
        <w:rPr>
          <w:rFonts w:ascii="Arial;sans-serif" w:hAnsi="Arial;sans-serif"/>
          <w:b w:val="false"/>
          <w:sz w:val="20"/>
        </w:rPr>
        <w:t>There have been no material changes from our risk factors as previously reported in Part I, Item 1A of our Annual Report on Form 10-K for the year ended December 31, 2022 as filed with the Securities and Exchange Commission on February 16, 2023.</w:t>
      </w:r>
    </w:p>
    <w:p>
      <w:pPr>
        <w:pStyle w:val="TextBody"/>
        <w:spacing w:before="180" w:after="0"/>
        <w:jc w:val="center"/>
        <w:rPr>
          <w:rFonts w:ascii="Arial;sans-serif" w:hAnsi="Arial;sans-serif"/>
          <w:b w:val="false"/>
          <w:sz w:val="20"/>
        </w:rPr>
      </w:pPr>
      <w:r>
        <w:rPr>
          <w:rFonts w:ascii="Arial;sans-serif" w:hAnsi="Arial;sans-serif"/>
          <w:b w:val="false"/>
          <w:sz w:val="20"/>
        </w:rPr>
        <w:t>36</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240" w:after="0"/>
        <w:jc w:val="left"/>
        <w:rPr>
          <w:rFonts w:ascii="Arial;sans-serif" w:hAnsi="Arial;sans-serif"/>
          <w:b/>
          <w:sz w:val="20"/>
        </w:rPr>
      </w:pPr>
      <w:bookmarkStart w:id="20" w:name="item_2_unregistered_sales_equity_securit"/>
      <w:bookmarkEnd w:id="20"/>
      <w:r>
        <w:rPr>
          <w:rFonts w:ascii="Arial;sans-serif" w:hAnsi="Arial;sans-serif"/>
          <w:b/>
          <w:sz w:val="20"/>
        </w:rPr>
        <w:t>Item 2. Unregistered Sales of Equity Securities and Use of Proceeds</w:t>
      </w:r>
    </w:p>
    <w:p>
      <w:pPr>
        <w:pStyle w:val="TextBody"/>
        <w:spacing w:before="120" w:after="0"/>
        <w:jc w:val="left"/>
        <w:rPr>
          <w:rFonts w:ascii="Arial;sans-serif" w:hAnsi="Arial;sans-serif"/>
          <w:b w:val="false"/>
          <w:sz w:val="20"/>
        </w:rPr>
      </w:pPr>
      <w:r>
        <w:rPr>
          <w:rFonts w:ascii="Arial;sans-serif" w:hAnsi="Arial;sans-serif"/>
          <w:b w:val="false"/>
          <w:sz w:val="20"/>
        </w:rPr>
        <w:t>The following table sets forth information related to our repurchases of our common stock on a monthly basis in the three months ended March 31, 2023:</w:t>
      </w:r>
    </w:p>
    <w:p>
      <w:pPr>
        <w:pStyle w:val="TextBody"/>
        <w:spacing w:before="0" w:after="0"/>
        <w:jc w:val="left"/>
        <w:rPr/>
      </w:pPr>
      <w:r>
        <w:rPr/>
        <w:t> </w:t>
      </w:r>
    </w:p>
    <w:tbl>
      <w:tblPr>
        <w:tblW w:w="9146" w:type="dxa"/>
        <w:jc w:val="left"/>
        <w:tblInd w:w="0" w:type="dxa"/>
        <w:tblCellMar>
          <w:top w:w="28" w:type="dxa"/>
          <w:left w:w="28" w:type="dxa"/>
          <w:bottom w:w="28" w:type="dxa"/>
          <w:right w:w="28" w:type="dxa"/>
        </w:tblCellMar>
      </w:tblPr>
      <w:tblGrid>
        <w:gridCol w:w="2851"/>
        <w:gridCol w:w="146"/>
        <w:gridCol w:w="183"/>
        <w:gridCol w:w="1002"/>
        <w:gridCol w:w="146"/>
        <w:gridCol w:w="146"/>
        <w:gridCol w:w="234"/>
        <w:gridCol w:w="651"/>
        <w:gridCol w:w="146"/>
        <w:gridCol w:w="146"/>
        <w:gridCol w:w="183"/>
        <w:gridCol w:w="1002"/>
        <w:gridCol w:w="146"/>
        <w:gridCol w:w="146"/>
        <w:gridCol w:w="211"/>
        <w:gridCol w:w="1336"/>
        <w:gridCol w:w="471"/>
      </w:tblGrid>
      <w:tr>
        <w:trPr/>
        <w:tc>
          <w:tcPr>
            <w:tcW w:w="2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 Number</w:t>
              <w:br/>
              <w:t>of Shares</w:t>
              <w:br/>
              <w:t>Purchased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Average</w:t>
              <w:br/>
              <w:t>Price Paid</w:t>
              <w:br/>
              <w:t>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 Number</w:t>
              <w:br/>
              <w:t>of Shares</w:t>
              <w:br/>
              <w:t>Purchased</w:t>
              <w:br/>
              <w:t>as Part of</w:t>
              <w:br/>
              <w:t>Publicly</w:t>
              <w:br/>
              <w:t>Announced</w:t>
              <w:br/>
              <w:t>Plans or</w:t>
              <w:br/>
              <w:t>Programs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47"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Approximate</w:t>
              <w:br/>
              <w:t>Dollar Value of</w:t>
              <w:br/>
              <w:t>Shares that May</w:t>
              <w:br/>
              <w:t>Yet Be Purchased</w:t>
              <w:br/>
              <w:t>Under Plans(1)</w:t>
            </w:r>
          </w:p>
        </w:tc>
        <w:tc>
          <w:tcPr>
            <w:tcW w:w="471" w:type="dxa"/>
            <w:tcBorders/>
            <w:shd w:fill="auto" w:val="cle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January 1 – January 31, 2023</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3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1,035,130,253</w:t>
            </w:r>
          </w:p>
        </w:tc>
        <w:tc>
          <w:tcPr>
            <w:tcW w:w="47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February 1 – February 28, 2023</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3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1,035,130,253</w:t>
            </w:r>
          </w:p>
        </w:tc>
        <w:tc>
          <w:tcPr>
            <w:tcW w:w="47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March 1 – March 31, 2023</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894,778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894,778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3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995,131,604</w:t>
            </w:r>
          </w:p>
        </w:tc>
        <w:tc>
          <w:tcPr>
            <w:tcW w:w="471" w:type="dxa"/>
            <w:tcBorders/>
            <w:shd w:fill="auto" w:val="clear"/>
            <w:vAlign w:val="center"/>
          </w:tcPr>
          <w:p>
            <w:pPr>
              <w:pStyle w:val="TableContents"/>
              <w:spacing w:before="0" w:after="0"/>
              <w:ind w:left="0" w:right="0" w:firstLine="280"/>
              <w:jc w:val="left"/>
              <w:rPr/>
            </w:pPr>
            <w:r>
              <w:rPr/>
              <w:t> </w:t>
            </w:r>
          </w:p>
        </w:tc>
      </w:tr>
      <w:tr>
        <w:trPr/>
        <w:tc>
          <w:tcPr>
            <w:tcW w:w="285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894,778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894,778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7" w:type="dxa"/>
            <w:gridSpan w:val="2"/>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rFonts w:ascii="Arial" w:hAnsi="Arial"/>
          <w:b w:val="false"/>
          <w:sz w:val="20"/>
        </w:rPr>
      </w:pPr>
      <w:r>
        <w:rPr>
          <w:rFonts w:ascii="Arial" w:hAnsi="Arial"/>
          <w:b w:val="false"/>
          <w:sz w:val="20"/>
        </w:rPr>
        <w:t>(1)</w:t>
      </w:r>
    </w:p>
    <w:p>
      <w:pPr>
        <w:pStyle w:val="TextBody"/>
        <w:jc w:val="left"/>
        <w:rPr>
          <w:rFonts w:ascii="Arial;sans-serif" w:hAnsi="Arial;sans-serif"/>
          <w:b w:val="false"/>
          <w:sz w:val="20"/>
        </w:rPr>
      </w:pPr>
      <w:r>
        <w:rPr>
          <w:rFonts w:ascii="Arial;sans-serif" w:hAnsi="Arial;sans-serif"/>
          <w:b w:val="false"/>
          <w:sz w:val="20"/>
        </w:rPr>
        <w:t>These values reflect the amounts that may be repurchased under the Repurchase Program approved by the Board of Directors on November 14, 2016 and the increases approved by the Board of Directors on November 8, 2017, July 30, 2018, May 9, 2019 and February 24, 2022, which in the aggregate total authorized repurchases of $4,000 million. The Repurchase Program has no termination date.</w:t>
      </w:r>
    </w:p>
    <w:p>
      <w:pPr>
        <w:pStyle w:val="TextBody"/>
        <w:spacing w:before="180" w:after="0"/>
        <w:jc w:val="center"/>
        <w:rPr>
          <w:rFonts w:ascii="Arial;sans-serif" w:hAnsi="Arial;sans-serif"/>
          <w:b w:val="false"/>
          <w:sz w:val="20"/>
        </w:rPr>
      </w:pPr>
      <w:r>
        <w:rPr>
          <w:rFonts w:ascii="Arial;sans-serif" w:hAnsi="Arial;sans-serif"/>
          <w:b w:val="false"/>
          <w:sz w:val="20"/>
        </w:rPr>
        <w:t>37</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tbl>
      <w:tblPr>
        <w:tblW w:w="1667" w:type="dxa"/>
        <w:jc w:val="left"/>
        <w:tblInd w:w="0" w:type="dxa"/>
        <w:tblCellMar>
          <w:top w:w="28" w:type="dxa"/>
          <w:left w:w="28" w:type="dxa"/>
          <w:bottom w:w="28" w:type="dxa"/>
          <w:right w:w="28" w:type="dxa"/>
        </w:tblCellMar>
      </w:tblPr>
      <w:tblGrid>
        <w:gridCol w:w="751"/>
        <w:gridCol w:w="916"/>
      </w:tblGrid>
      <w:tr>
        <w:trPr/>
        <w:tc>
          <w:tcPr>
            <w:tcW w:w="75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r>
      <w:tr>
        <w:trPr/>
        <w:tc>
          <w:tcPr>
            <w:tcW w:w="751" w:type="dxa"/>
            <w:tcBorders>
              <w:top w:val="single" w:sz="8" w:space="0" w:color="000000"/>
              <w:bottom w:val="single" w:sz="8" w:space="0" w:color="000000"/>
            </w:tcBorders>
            <w:shd w:fill="auto" w:val="clear"/>
            <w:tcMar>
              <w:left w:w="0" w:type="dxa"/>
              <w:right w:w="0" w:type="dxa"/>
            </w:tcMar>
            <w:vAlign w:val="center"/>
          </w:tcPr>
          <w:p>
            <w:pPr>
              <w:pStyle w:val="TableContents"/>
              <w:spacing w:before="40" w:after="40"/>
              <w:ind w:left="0" w:right="0" w:hanging="0"/>
              <w:jc w:val="left"/>
              <w:rPr>
                <w:rFonts w:ascii="Arial;sans-serif" w:hAnsi="Arial;sans-serif"/>
                <w:b/>
                <w:sz w:val="20"/>
              </w:rPr>
            </w:pPr>
            <w:r>
              <w:rPr>
                <w:rFonts w:ascii="Arial;sans-serif" w:hAnsi="Arial;sans-serif"/>
                <w:b/>
                <w:sz w:val="20"/>
              </w:rPr>
              <w:t>Item 6.</w:t>
            </w:r>
          </w:p>
        </w:tc>
        <w:tc>
          <w:tcPr>
            <w:tcW w:w="916" w:type="dxa"/>
            <w:tcBorders>
              <w:top w:val="single" w:sz="8" w:space="0" w:color="000000"/>
              <w:bottom w:val="single" w:sz="8" w:space="0" w:color="000000"/>
            </w:tcBorders>
            <w:shd w:fill="auto" w:val="clear"/>
            <w:tcMar>
              <w:left w:w="0" w:type="dxa"/>
              <w:right w:w="0" w:type="dxa"/>
            </w:tcMar>
            <w:vAlign w:val="center"/>
          </w:tcPr>
          <w:p>
            <w:pPr>
              <w:pStyle w:val="TableContents"/>
              <w:spacing w:before="40" w:after="40"/>
              <w:ind w:left="0" w:right="0" w:hanging="0"/>
              <w:jc w:val="left"/>
              <w:rPr>
                <w:rFonts w:ascii="Arial;sans-serif" w:hAnsi="Arial;sans-serif"/>
                <w:b/>
                <w:sz w:val="20"/>
              </w:rPr>
            </w:pPr>
            <w:bookmarkStart w:id="21" w:name="exhibits"/>
            <w:bookmarkEnd w:id="21"/>
            <w:r>
              <w:rPr>
                <w:rFonts w:ascii="Arial;sans-serif" w:hAnsi="Arial;sans-serif"/>
                <w:b/>
                <w:sz w:val="20"/>
              </w:rPr>
              <w:t>Exhibits</w:t>
            </w:r>
          </w:p>
        </w:tc>
      </w:tr>
    </w:tbl>
    <w:p>
      <w:pPr>
        <w:pStyle w:val="TextBody"/>
        <w:spacing w:before="120" w:after="0"/>
        <w:jc w:val="left"/>
        <w:rPr>
          <w:rFonts w:ascii="Arial;sans-serif" w:hAnsi="Arial;sans-serif"/>
          <w:b w:val="false"/>
          <w:sz w:val="20"/>
        </w:rPr>
      </w:pPr>
      <w:r>
        <w:rPr>
          <w:rFonts w:ascii="Arial;sans-serif" w:hAnsi="Arial;sans-serif"/>
          <w:b w:val="false"/>
          <w:sz w:val="20"/>
        </w:rPr>
        <w:t>(a) Exhibits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51"/>
        <w:gridCol w:w="9454"/>
      </w:tblGrid>
      <w:tr>
        <w:trPr/>
        <w:tc>
          <w:tcPr>
            <w:tcW w:w="751" w:type="dxa"/>
            <w:tcBorders/>
            <w:shd w:fill="auto" w:val="clear"/>
            <w:vAlign w:val="center"/>
          </w:tcPr>
          <w:p>
            <w:pPr>
              <w:pStyle w:val="TableContents"/>
              <w:spacing w:before="0" w:after="283"/>
              <w:rPr>
                <w:sz w:val="4"/>
                <w:szCs w:val="4"/>
              </w:rPr>
            </w:pPr>
            <w:r>
              <w:rPr>
                <w:sz w:val="4"/>
                <w:szCs w:val="4"/>
              </w:rPr>
            </w:r>
          </w:p>
        </w:tc>
        <w:tc>
          <w:tcPr>
            <w:tcW w:w="9454" w:type="dxa"/>
            <w:tcBorders/>
            <w:shd w:fill="auto" w:val="clear"/>
            <w:vAlign w:val="cente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before="0" w:after="0"/>
              <w:ind w:left="0" w:right="0" w:hanging="0"/>
              <w:jc w:val="center"/>
              <w:rPr>
                <w:rFonts w:ascii="Arial;sans-serif" w:hAnsi="Arial;sans-serif"/>
                <w:b/>
                <w:sz w:val="16"/>
                <w:u w:val="single"/>
              </w:rPr>
            </w:pPr>
            <w:r>
              <w:rPr>
                <w:rFonts w:ascii="Arial;sans-serif" w:hAnsi="Arial;sans-serif"/>
                <w:b/>
                <w:sz w:val="16"/>
                <w:u w:val="single"/>
              </w:rPr>
              <w:t>Exhibit</w:t>
            </w:r>
          </w:p>
          <w:p>
            <w:pPr>
              <w:pStyle w:val="TableContents"/>
              <w:spacing w:before="0" w:after="0"/>
              <w:ind w:left="0" w:right="0" w:hanging="0"/>
              <w:jc w:val="center"/>
              <w:rPr>
                <w:rFonts w:ascii="Arial;sans-serif" w:hAnsi="Arial;sans-serif"/>
                <w:b/>
                <w:sz w:val="16"/>
                <w:u w:val="single"/>
              </w:rPr>
            </w:pPr>
            <w:r>
              <w:rPr>
                <w:rFonts w:ascii="Arial;sans-serif" w:hAnsi="Arial;sans-serif"/>
                <w:b/>
                <w:sz w:val="16"/>
                <w:u w:val="single"/>
              </w:rPr>
              <w:t>Number</w:t>
            </w:r>
          </w:p>
        </w:tc>
        <w:tc>
          <w:tcPr>
            <w:tcW w:w="9454"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16"/>
                <w:u w:val="single"/>
              </w:rPr>
            </w:pPr>
            <w:r>
              <w:rPr>
                <w:rFonts w:ascii="Arial;sans-serif" w:hAnsi="Arial;sans-serif"/>
                <w:b/>
                <w:sz w:val="16"/>
                <w:u w:val="single"/>
              </w:rPr>
              <w:t>Description</w:t>
            </w:r>
          </w:p>
        </w:tc>
      </w:tr>
      <w:tr>
        <w:trPr/>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w:t>
            </w:r>
          </w:p>
        </w:tc>
        <w:tc>
          <w:tcPr>
            <w:tcW w:w="945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Arial;sans-serif" w:hAnsi="Arial;sans-serif"/>
                  <w:b w:val="false"/>
                  <w:sz w:val="20"/>
                  <w:u w:val="single"/>
                </w:rPr>
                <w:t>Amendment No. 3 to Credit Agreement, dated February 28, 2023, by and among Allison Transmission Inc., Allison Transmission Holdings, Inc., and Citibank N.A., as administrative agent, to the Second Amended and Restated Credit Agreement, dated as of March 29, 2019, among Allison Transmission Holdings, Inc., Allison Transmission, Inc., as borrower, the several banks and other financial institutions or entities from time to time parties thereto as lenders and Citibank, N.A., as administrative agent (incorporated by reference to Exhibit 10.1 to the Registrant’s Current Report on Form 8-K filed March 6, 2023)</w:t>
              </w:r>
            </w:hyperlink>
          </w:p>
        </w:tc>
      </w:tr>
      <w:tr>
        <w:trPr/>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31.1</w:t>
            </w:r>
          </w:p>
        </w:tc>
        <w:tc>
          <w:tcPr>
            <w:tcW w:w="945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lsn-ex31_1.htm">
              <w:r>
                <w:rPr>
                  <w:rStyle w:val="InternetLink"/>
                  <w:rFonts w:ascii="Arial;sans-serif" w:hAnsi="Arial;sans-serif"/>
                  <w:b w:val="false"/>
                  <w:sz w:val="20"/>
                  <w:u w:val="single"/>
                </w:rPr>
                <w:t>Certification of Chief Executive Officer pursuant to Rule 13a-14(a)/15d-14(a) as adopted pursuant to Section 302 of the Sarbanes-Oxley Act of 2002 (filed herewith)</w:t>
              </w:r>
            </w:hyperlink>
          </w:p>
        </w:tc>
      </w:tr>
      <w:tr>
        <w:trPr/>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31.2</w:t>
            </w:r>
          </w:p>
        </w:tc>
        <w:tc>
          <w:tcPr>
            <w:tcW w:w="945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lsn-ex31_2.htm">
              <w:r>
                <w:rPr>
                  <w:rStyle w:val="InternetLink"/>
                  <w:rFonts w:ascii="Arial;sans-serif" w:hAnsi="Arial;sans-serif"/>
                  <w:b w:val="false"/>
                  <w:sz w:val="20"/>
                  <w:u w:val="single"/>
                </w:rPr>
                <w:t>Certification of Chief Financial Officer pursuant to Rule 13a-14(a)/15d-14(a) as adopted pursuant to Section 302 of the Sarbanes-Oxley Act of 2002 (filed herewith)</w:t>
              </w:r>
            </w:hyperlink>
          </w:p>
        </w:tc>
      </w:tr>
      <w:tr>
        <w:trPr/>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32.1</w:t>
            </w:r>
          </w:p>
        </w:tc>
        <w:tc>
          <w:tcPr>
            <w:tcW w:w="945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lsn-ex32_1.htm">
              <w:r>
                <w:rPr>
                  <w:rStyle w:val="InternetLink"/>
                  <w:rFonts w:ascii="Arial;sans-serif" w:hAnsi="Arial;sans-serif"/>
                  <w:b w:val="false"/>
                  <w:sz w:val="20"/>
                  <w:u w:val="single"/>
                </w:rPr>
                <w:t>Certification of Periodic Report by Chief Executive Officer and Chief Financial Officer pursuant to 18 U.S.C. Section 1350, as adopted pursuant to Section 906 of the Sarbanes-Oxley Act of 2002 (filed herewith)</w:t>
              </w:r>
            </w:hyperlink>
          </w:p>
        </w:tc>
      </w:tr>
      <w:tr>
        <w:trPr/>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w:t>
            </w:r>
          </w:p>
        </w:tc>
        <w:tc>
          <w:tcPr>
            <w:tcW w:w="945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The following financial information from the Registrant’s Quarterly Report on Form 10-Q for the quarter ended March 31, 2023, formatted in Inline XBRL (eXtensible Business Reporting Language): (i) the Condensed Consolidated Balance Sheets; (ii) the Condensed Consolidated Statements of Comprehensive Income; (iii) the Condensed Consolidated Statements of Cash Flows; (iv) the Condensed Consolidated Statements of Stockholders’ Equity; and (v) the Notes to Condensed Consolidated Financial Statements</w:t>
            </w:r>
          </w:p>
        </w:tc>
      </w:tr>
      <w:tr>
        <w:trPr/>
        <w:tc>
          <w:tcPr>
            <w:tcW w:w="751" w:type="dxa"/>
            <w:tcBorders/>
            <w:shd w:fill="auto" w:val="clear"/>
            <w:vAlign w:val="center"/>
          </w:tcPr>
          <w:p>
            <w:pPr>
              <w:pStyle w:val="TableContents"/>
              <w:spacing w:before="0" w:after="0"/>
              <w:ind w:left="0" w:right="0" w:hanging="0"/>
              <w:jc w:val="left"/>
              <w:rPr/>
            </w:pPr>
            <w:r>
              <w:rPr/>
              <w:t> </w:t>
            </w:r>
          </w:p>
        </w:tc>
        <w:tc>
          <w:tcPr>
            <w:tcW w:w="94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104</w:t>
            </w:r>
          </w:p>
        </w:tc>
        <w:tc>
          <w:tcPr>
            <w:tcW w:w="945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Cover Page Interactive Data File – The cover page from the Registrant’s Quarterly Report on Form 10-Q for the quarter ended March 31, 2023, formatted in Inline XBRL and contained in Exhibit 101</w:t>
            </w:r>
          </w:p>
        </w:tc>
      </w:tr>
    </w:tbl>
    <w:p>
      <w:pPr>
        <w:pStyle w:val="TextBody"/>
        <w:spacing w:before="4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38</w:t>
      </w:r>
    </w:p>
    <w:p>
      <w:pPr>
        <w:pStyle w:val="HorizontalLine"/>
        <w:rPr/>
      </w:pPr>
      <w:r>
        <w:rPr/>
      </w:r>
    </w:p>
    <w:p>
      <w:pPr>
        <w:pStyle w:val="TextBody"/>
        <w:spacing w:before="0" w:after="0"/>
        <w:jc w:val="left"/>
        <w:rPr/>
      </w:pPr>
      <w:hyperlink w:anchor="table_of_contents">
        <w:r>
          <w:rPr>
            <w:rStyle w:val="InternetLink"/>
            <w:rFonts w:ascii="Arial;sans-serif" w:hAnsi="Arial;sans-serif"/>
            <w:b w:val="false"/>
            <w:sz w:val="20"/>
            <w:u w:val="single"/>
          </w:rPr>
          <w:t>Table of Contents</w:t>
        </w:r>
      </w:hyperlink>
    </w:p>
    <w:p>
      <w:pPr>
        <w:pStyle w:val="TextBody"/>
        <w:spacing w:before="0" w:after="0"/>
        <w:jc w:val="left"/>
        <w:rPr/>
      </w:pPr>
      <w:r>
        <w:rPr/>
        <w:t> </w:t>
      </w:r>
    </w:p>
    <w:p>
      <w:pPr>
        <w:pStyle w:val="TextBody"/>
        <w:spacing w:before="0" w:after="0"/>
        <w:jc w:val="center"/>
        <w:rPr>
          <w:rFonts w:ascii="Arial;sans-serif" w:hAnsi="Arial;sans-serif"/>
          <w:b/>
          <w:sz w:val="20"/>
        </w:rPr>
      </w:pPr>
      <w:bookmarkStart w:id="22" w:name="signatures"/>
      <w:bookmarkEnd w:id="22"/>
      <w:r>
        <w:rPr>
          <w:rFonts w:ascii="Arial;sans-serif" w:hAnsi="Arial;sans-serif"/>
          <w:b/>
          <w:sz w:val="20"/>
        </w:rPr>
        <w:t>SIGNATURES</w:t>
      </w:r>
    </w:p>
    <w:p>
      <w:pPr>
        <w:pStyle w:val="TextBody"/>
        <w:spacing w:before="240" w:after="0"/>
        <w:jc w:val="left"/>
        <w:rPr>
          <w:rFonts w:ascii="Arial;sans-serif" w:hAnsi="Arial;sans-serif"/>
          <w:b w:val="false"/>
          <w:sz w:val="20"/>
        </w:rPr>
      </w:pPr>
      <w:r>
        <w:rPr>
          <w:rFonts w:ascii="Arial;sans-serif" w:hAnsi="Arial;sans-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302"/>
        <w:gridCol w:w="380"/>
        <w:gridCol w:w="1987"/>
        <w:gridCol w:w="2952"/>
        <w:gridCol w:w="3584"/>
      </w:tblGrid>
      <w:tr>
        <w:trPr/>
        <w:tc>
          <w:tcPr>
            <w:tcW w:w="1302"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987" w:type="dxa"/>
            <w:tcBorders/>
            <w:shd w:fill="auto" w:val="clear"/>
            <w:vAlign w:val="center"/>
          </w:tcPr>
          <w:p>
            <w:pPr>
              <w:pStyle w:val="TableContents"/>
              <w:spacing w:before="0" w:after="283"/>
              <w:rPr>
                <w:sz w:val="4"/>
                <w:szCs w:val="4"/>
              </w:rPr>
            </w:pPr>
            <w:r>
              <w:rPr>
                <w:sz w:val="4"/>
                <w:szCs w:val="4"/>
              </w:rPr>
            </w:r>
          </w:p>
        </w:tc>
        <w:tc>
          <w:tcPr>
            <w:tcW w:w="2952" w:type="dxa"/>
            <w:tcBorders/>
            <w:shd w:fill="auto" w:val="clear"/>
            <w:vAlign w:val="center"/>
          </w:tcPr>
          <w:p>
            <w:pPr>
              <w:pStyle w:val="TableContents"/>
              <w:spacing w:before="0" w:after="283"/>
              <w:rPr>
                <w:sz w:val="4"/>
                <w:szCs w:val="4"/>
              </w:rPr>
            </w:pPr>
            <w:r>
              <w:rPr>
                <w:sz w:val="4"/>
                <w:szCs w:val="4"/>
              </w:rPr>
            </w:r>
          </w:p>
        </w:tc>
        <w:tc>
          <w:tcPr>
            <w:tcW w:w="3584" w:type="dxa"/>
            <w:tcBorders/>
            <w:shd w:fill="auto" w:val="clear"/>
            <w:vAlign w:val="center"/>
          </w:tcPr>
          <w:p>
            <w:pPr>
              <w:pStyle w:val="TableContents"/>
              <w:spacing w:before="0" w:after="283"/>
              <w:rPr>
                <w:sz w:val="4"/>
                <w:szCs w:val="4"/>
              </w:rPr>
            </w:pPr>
            <w:r>
              <w:rPr>
                <w:sz w:val="4"/>
                <w:szCs w:val="4"/>
              </w:rPr>
            </w:r>
          </w:p>
        </w:tc>
      </w:tr>
      <w:tr>
        <w:trPr/>
        <w:tc>
          <w:tcPr>
            <w:tcW w:w="1302"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8523" w:type="dxa"/>
            <w:gridSpan w:val="3"/>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ALLISON TRANSMISSION HOLDINGS, INC.</w:t>
            </w:r>
          </w:p>
        </w:tc>
      </w:tr>
      <w:tr>
        <w:trPr/>
        <w:tc>
          <w:tcPr>
            <w:tcW w:w="1302"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8523" w:type="dxa"/>
            <w:gridSpan w:val="3"/>
            <w:tcBorders/>
            <w:shd w:fill="auto" w:val="clear"/>
            <w:vAlign w:val="center"/>
          </w:tcPr>
          <w:p>
            <w:pPr>
              <w:pStyle w:val="TableContents"/>
              <w:spacing w:before="0" w:after="0"/>
              <w:ind w:left="0" w:right="0" w:hanging="0"/>
              <w:jc w:val="left"/>
              <w:rPr/>
            </w:pPr>
            <w:r>
              <w:rPr/>
              <w:t> </w:t>
            </w:r>
          </w:p>
        </w:tc>
      </w:tr>
      <w:tr>
        <w:trPr/>
        <w:tc>
          <w:tcPr>
            <w:tcW w:w="130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Date: April 28, 2023</w:t>
            </w:r>
          </w:p>
        </w:tc>
        <w:tc>
          <w:tcPr>
            <w:tcW w:w="3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852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 David S. Graziosi</w:t>
            </w:r>
          </w:p>
        </w:tc>
      </w:tr>
      <w:tr>
        <w:trPr/>
        <w:tc>
          <w:tcPr>
            <w:tcW w:w="1302" w:type="dxa"/>
            <w:tcBorders/>
            <w:shd w:fill="auto" w:val="clear"/>
            <w:vAlign w:val="center"/>
          </w:tcPr>
          <w:p>
            <w:pPr>
              <w:pStyle w:val="TableContents"/>
              <w:spacing w:before="0" w:after="0"/>
              <w:ind w:left="0" w:right="0" w:hanging="0"/>
              <w:jc w:val="left"/>
              <w:rPr/>
            </w:pPr>
            <w:r>
              <w:rPr/>
              <w:t> </w:t>
            </w:r>
          </w:p>
        </w:tc>
        <w:tc>
          <w:tcPr>
            <w:tcW w:w="3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8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52" w:type="dxa"/>
            <w:tcBorders/>
            <w:shd w:fill="auto" w:val="clear"/>
            <w:vAlign w:val="center"/>
          </w:tcPr>
          <w:p>
            <w:pPr>
              <w:pStyle w:val="TableContents"/>
              <w:spacing w:before="0" w:after="0"/>
              <w:ind w:left="0" w:right="0" w:hanging="0"/>
              <w:jc w:val="left"/>
              <w:rPr/>
            </w:pPr>
            <w:r>
              <w:rPr/>
              <w:t> </w:t>
            </w:r>
          </w:p>
        </w:tc>
        <w:tc>
          <w:tcPr>
            <w:tcW w:w="3584" w:type="dxa"/>
            <w:tcBorders/>
            <w:shd w:fill="auto" w:val="clear"/>
            <w:vAlign w:val="center"/>
          </w:tcPr>
          <w:p>
            <w:pPr>
              <w:pStyle w:val="TableContents"/>
              <w:spacing w:before="0" w:after="0"/>
              <w:ind w:left="0" w:right="0" w:hanging="0"/>
              <w:jc w:val="left"/>
              <w:rPr/>
            </w:pPr>
            <w:r>
              <w:rPr/>
              <w:t> </w:t>
            </w:r>
          </w:p>
        </w:tc>
      </w:tr>
      <w:tr>
        <w:trPr/>
        <w:tc>
          <w:tcPr>
            <w:tcW w:w="1302" w:type="dxa"/>
            <w:tcBorders/>
            <w:shd w:fill="auto" w:val="clear"/>
            <w:vAlign w:val="center"/>
          </w:tcPr>
          <w:p>
            <w:pPr>
              <w:pStyle w:val="TableContents"/>
              <w:spacing w:before="0" w:after="0"/>
              <w:ind w:left="0" w:right="0" w:hanging="0"/>
              <w:jc w:val="left"/>
              <w:rPr/>
            </w:pPr>
            <w:r>
              <w:rPr/>
              <w:t> </w:t>
            </w:r>
          </w:p>
        </w:tc>
        <w:tc>
          <w:tcPr>
            <w:tcW w:w="3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87"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Name:</w:t>
            </w:r>
          </w:p>
        </w:tc>
        <w:tc>
          <w:tcPr>
            <w:tcW w:w="6536" w:type="dxa"/>
            <w:gridSpan w:val="2"/>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David S. Graziosi</w:t>
            </w:r>
          </w:p>
        </w:tc>
      </w:tr>
      <w:tr>
        <w:trPr/>
        <w:tc>
          <w:tcPr>
            <w:tcW w:w="1302"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3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87"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Title:</w:t>
            </w:r>
          </w:p>
        </w:tc>
        <w:tc>
          <w:tcPr>
            <w:tcW w:w="6536" w:type="dxa"/>
            <w:gridSpan w:val="2"/>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Chairman, President and Chief Executive Officer</w:t>
            </w:r>
          </w:p>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(Principal Executive Officer)</w:t>
            </w:r>
          </w:p>
        </w:tc>
      </w:tr>
      <w:tr>
        <w:trPr/>
        <w:tc>
          <w:tcPr>
            <w:tcW w:w="1302" w:type="dxa"/>
            <w:tcBorders/>
            <w:shd w:fill="auto" w:val="clear"/>
            <w:vAlign w:val="center"/>
          </w:tcPr>
          <w:p>
            <w:pPr>
              <w:pStyle w:val="TableContents"/>
              <w:spacing w:before="0" w:after="0"/>
              <w:ind w:left="0" w:right="0" w:hanging="0"/>
              <w:jc w:val="left"/>
              <w:rPr/>
            </w:pPr>
            <w:r>
              <w:rPr/>
              <w:t> </w:t>
            </w:r>
          </w:p>
        </w:tc>
        <w:tc>
          <w:tcPr>
            <w:tcW w:w="3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87" w:type="dxa"/>
            <w:tcBorders/>
            <w:shd w:fill="auto" w:val="clear"/>
            <w:vAlign w:val="center"/>
          </w:tcPr>
          <w:p>
            <w:pPr>
              <w:pStyle w:val="TableContents"/>
              <w:spacing w:before="0" w:after="0"/>
              <w:ind w:left="0" w:right="0" w:hanging="0"/>
              <w:jc w:val="center"/>
              <w:rPr/>
            </w:pPr>
            <w:r>
              <w:rPr/>
              <w:t> </w:t>
            </w:r>
          </w:p>
        </w:tc>
        <w:tc>
          <w:tcPr>
            <w:tcW w:w="6536" w:type="dxa"/>
            <w:gridSpan w:val="2"/>
            <w:tcBorders/>
            <w:shd w:fill="auto" w:val="clear"/>
            <w:vAlign w:val="center"/>
          </w:tcPr>
          <w:p>
            <w:pPr>
              <w:pStyle w:val="TableContents"/>
              <w:spacing w:before="0" w:after="0"/>
              <w:ind w:left="0" w:right="0" w:hanging="0"/>
              <w:jc w:val="left"/>
              <w:rPr/>
            </w:pPr>
            <w:r>
              <w:rPr/>
              <w:t> </w:t>
            </w:r>
          </w:p>
        </w:tc>
      </w:tr>
      <w:tr>
        <w:trPr/>
        <w:tc>
          <w:tcPr>
            <w:tcW w:w="130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Date: April 28, 2023</w:t>
            </w:r>
          </w:p>
        </w:tc>
        <w:tc>
          <w:tcPr>
            <w:tcW w:w="3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852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 G. Frederick Bohley</w:t>
            </w:r>
          </w:p>
        </w:tc>
      </w:tr>
      <w:tr>
        <w:trPr/>
        <w:tc>
          <w:tcPr>
            <w:tcW w:w="1302" w:type="dxa"/>
            <w:tcBorders/>
            <w:shd w:fill="auto" w:val="clear"/>
            <w:vAlign w:val="center"/>
          </w:tcPr>
          <w:p>
            <w:pPr>
              <w:pStyle w:val="TableContents"/>
              <w:spacing w:before="0" w:after="0"/>
              <w:ind w:left="0" w:right="0" w:hanging="0"/>
              <w:jc w:val="left"/>
              <w:rPr/>
            </w:pPr>
            <w:r>
              <w:rPr/>
              <w:t> </w:t>
            </w:r>
          </w:p>
        </w:tc>
        <w:tc>
          <w:tcPr>
            <w:tcW w:w="3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8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52" w:type="dxa"/>
            <w:tcBorders/>
            <w:shd w:fill="auto" w:val="clear"/>
            <w:vAlign w:val="center"/>
          </w:tcPr>
          <w:p>
            <w:pPr>
              <w:pStyle w:val="TableContents"/>
              <w:spacing w:before="0" w:after="0"/>
              <w:ind w:left="0" w:right="0" w:hanging="0"/>
              <w:jc w:val="left"/>
              <w:rPr/>
            </w:pPr>
            <w:r>
              <w:rPr/>
              <w:t> </w:t>
            </w:r>
          </w:p>
        </w:tc>
        <w:tc>
          <w:tcPr>
            <w:tcW w:w="3584" w:type="dxa"/>
            <w:tcBorders/>
            <w:shd w:fill="auto" w:val="clear"/>
            <w:vAlign w:val="center"/>
          </w:tcPr>
          <w:p>
            <w:pPr>
              <w:pStyle w:val="TableContents"/>
              <w:spacing w:before="0" w:after="0"/>
              <w:ind w:left="0" w:right="0" w:hanging="0"/>
              <w:jc w:val="left"/>
              <w:rPr/>
            </w:pPr>
            <w:r>
              <w:rPr/>
              <w:t> </w:t>
            </w:r>
          </w:p>
        </w:tc>
      </w:tr>
      <w:tr>
        <w:trPr/>
        <w:tc>
          <w:tcPr>
            <w:tcW w:w="1302" w:type="dxa"/>
            <w:tcBorders/>
            <w:shd w:fill="auto" w:val="clear"/>
            <w:vAlign w:val="center"/>
          </w:tcPr>
          <w:p>
            <w:pPr>
              <w:pStyle w:val="TableContents"/>
              <w:spacing w:before="0" w:after="0"/>
              <w:ind w:left="0" w:right="0" w:hanging="0"/>
              <w:jc w:val="left"/>
              <w:rPr/>
            </w:pPr>
            <w:r>
              <w:rPr/>
              <w:t> </w:t>
            </w:r>
          </w:p>
        </w:tc>
        <w:tc>
          <w:tcPr>
            <w:tcW w:w="3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87"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Name:</w:t>
            </w:r>
          </w:p>
        </w:tc>
        <w:tc>
          <w:tcPr>
            <w:tcW w:w="6536" w:type="dxa"/>
            <w:gridSpan w:val="2"/>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 Frederick Bohley</w:t>
            </w:r>
          </w:p>
        </w:tc>
      </w:tr>
      <w:tr>
        <w:trPr/>
        <w:tc>
          <w:tcPr>
            <w:tcW w:w="1302" w:type="dxa"/>
            <w:tcBorders/>
            <w:shd w:fill="auto" w:val="clear"/>
            <w:vAlign w:val="center"/>
          </w:tcPr>
          <w:p>
            <w:pPr>
              <w:pStyle w:val="TableContents"/>
              <w:spacing w:before="0" w:after="0"/>
              <w:ind w:left="0" w:right="0" w:hanging="0"/>
              <w:jc w:val="left"/>
              <w:rPr/>
            </w:pPr>
            <w:r>
              <w:rPr/>
              <w:t> </w:t>
            </w:r>
          </w:p>
        </w:tc>
        <w:tc>
          <w:tcPr>
            <w:tcW w:w="3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87"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Title:</w:t>
            </w:r>
          </w:p>
        </w:tc>
        <w:tc>
          <w:tcPr>
            <w:tcW w:w="6536" w:type="dxa"/>
            <w:gridSpan w:val="2"/>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Senior Vice President, Chief Financial Officer and Treasurer (Principal Financial Officer and Principal Accounting Officer)</w:t>
            </w:r>
          </w:p>
        </w:tc>
      </w:tr>
    </w:tbl>
    <w:p>
      <w:pPr>
        <w:pStyle w:val="TextBody"/>
        <w:spacing w:before="0" w:after="0"/>
        <w:jc w:val="left"/>
        <w:rPr/>
      </w:pPr>
      <w:r>
        <w:rPr/>
        <w:t> </w:t>
      </w:r>
    </w:p>
    <w:p>
      <w:pPr>
        <w:pStyle w:val="TextBody"/>
        <w:spacing w:before="180" w:after="0"/>
        <w:jc w:val="center"/>
        <w:rPr>
          <w:rFonts w:ascii="Arial;sans-serif" w:hAnsi="Arial;sans-serif"/>
          <w:b w:val="false"/>
          <w:sz w:val="20"/>
        </w:rPr>
      </w:pPr>
      <w:r>
        <w:rPr>
          <w:rFonts w:ascii="Arial;sans-serif" w:hAnsi="Arial;sans-serif"/>
          <w:b w:val="false"/>
          <w:sz w:val="20"/>
        </w:rPr>
        <w:t>39</w:t>
      </w:r>
    </w:p>
    <w:p>
      <w:pPr>
        <w:pStyle w:val="HorizontalLine"/>
        <w:rPr/>
      </w:pPr>
      <w:r>
        <w:rPr/>
      </w:r>
      <w:r>
        <w:br w:type="page"/>
      </w:r>
    </w:p>
    <w:p>
      <w:pPr>
        <w:pStyle w:val="TextBody"/>
        <w:spacing w:before="0" w:after="0"/>
        <w:jc w:val="right"/>
        <w:rPr>
          <w:rFonts w:ascii="Times New Roman;serif" w:hAnsi="Times New Roman;serif"/>
          <w:b/>
          <w:sz w:val="20"/>
        </w:rPr>
      </w:pPr>
      <w:bookmarkStart w:id="23" w:name="alsn-ex31_1.htm"/>
      <w:bookmarkStart w:id="24" w:name="ksalsnex31_1"/>
      <w:bookmarkEnd w:id="23"/>
      <w:bookmarkEnd w:id="24"/>
      <w:r>
        <w:rPr>
          <w:rFonts w:ascii="Times New Roman;serif" w:hAnsi="Times New Roman;serif"/>
          <w:b/>
          <w:sz w:val="20"/>
        </w:rPr>
        <w:t>Exhibit 31.1</w:t>
      </w:r>
    </w:p>
    <w:p>
      <w:pPr>
        <w:pStyle w:val="TextBody"/>
        <w:spacing w:before="180" w:after="0"/>
        <w:jc w:val="center"/>
        <w:rPr>
          <w:rFonts w:ascii="Times New Roman" w:hAnsi="Times New Roman"/>
          <w:sz w:val="20"/>
        </w:rPr>
      </w:pPr>
      <w:r>
        <w:rPr>
          <w:rFonts w:ascii="Times New Roman;serif" w:hAnsi="Times New Roman;serif"/>
          <w:b/>
          <w:sz w:val="20"/>
        </w:rPr>
        <w:t>CERTIFICATION PURSUANT TO RULE 13a-14(a)/15d-14(a) OF THE SECURITIES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EXCHANGE ACT OF 1934, AS ADOPTED PURSUANT TO SECTION 302 OF THE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SARBANES-OXLEY ACT OF 2002</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 David S. Graziosi, certify that:</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rFonts w:ascii="Times New Roman;serif" w:hAnsi="Times New Roman;serif"/>
          <w:b w:val="false"/>
          <w:sz w:val="20"/>
        </w:rPr>
      </w:pPr>
      <w:r>
        <w:rPr>
          <w:rFonts w:ascii="Times New Roman;serif" w:hAnsi="Times New Roman;serif"/>
          <w:b w:val="false"/>
          <w:sz w:val="20"/>
        </w:rPr>
        <w:t>I have reviewed this Quarterly Report on Form 10-Q of Allison Transmission Holdings, Inc.;</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c)</w:t>
      </w:r>
    </w:p>
    <w:p>
      <w:pPr>
        <w:pStyle w:val="TextBody"/>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d)</w:t>
      </w:r>
    </w:p>
    <w:p>
      <w:pPr>
        <w:pStyle w:val="TextBody"/>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bl>
      <w:tblPr>
        <w:tblW w:w="4752" w:type="dxa"/>
        <w:jc w:val="left"/>
        <w:tblInd w:w="0" w:type="dxa"/>
        <w:tblCellMar>
          <w:top w:w="28" w:type="dxa"/>
          <w:left w:w="28" w:type="dxa"/>
          <w:bottom w:w="28" w:type="dxa"/>
          <w:right w:w="28" w:type="dxa"/>
        </w:tblCellMar>
      </w:tblPr>
      <w:tblGrid>
        <w:gridCol w:w="4561"/>
        <w:gridCol w:w="191"/>
      </w:tblGrid>
      <w:tr>
        <w:trPr/>
        <w:tc>
          <w:tcPr>
            <w:tcW w:w="45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Dated: April 28, 2023</w:t>
            </w:r>
          </w:p>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561"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56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David S. Graziosi</w:t>
            </w:r>
          </w:p>
        </w:tc>
        <w:tc>
          <w:tcPr>
            <w:tcW w:w="1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 David S. Graziosi</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Chairman, President and Chief Executive Officer</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pPr>
      <w:r>
        <w:rPr/>
        <w:t> </w:t>
      </w:r>
    </w:p>
    <w:p>
      <w:pPr>
        <w:pStyle w:val="HorizontalLine"/>
        <w:rPr/>
      </w:pPr>
      <w:r>
        <w:rPr/>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180" w:after="0"/>
        <w:jc w:val="center"/>
        <w:rPr/>
      </w:pPr>
      <w:r>
        <w:rPr/>
        <w:t> </w:t>
      </w:r>
    </w:p>
    <w:p>
      <w:pPr>
        <w:pStyle w:val="TextBody"/>
        <w:spacing w:before="180" w:after="0"/>
        <w:jc w:val="center"/>
        <w:rPr/>
      </w:pPr>
      <w:r>
        <w:rPr/>
        <w:t> </w:t>
      </w:r>
    </w:p>
    <w:p>
      <w:pPr>
        <w:pStyle w:val="TextBody"/>
        <w:spacing w:before="0" w:after="0"/>
        <w:jc w:val="center"/>
        <w:rPr/>
      </w:pPr>
      <w:r>
        <w:rPr/>
        <w:t> </w:t>
      </w:r>
    </w:p>
    <w:p>
      <w:pPr>
        <w:pStyle w:val="TextBody"/>
        <w:spacing w:before="0" w:after="0"/>
        <w:jc w:val="center"/>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25" w:name="alsn-ex31_2.htm"/>
      <w:bookmarkStart w:id="26" w:name="ksalsnex31_2"/>
      <w:bookmarkEnd w:id="25"/>
      <w:bookmarkEnd w:id="26"/>
      <w:r>
        <w:rPr>
          <w:rFonts w:ascii="Times New Roman;serif" w:hAnsi="Times New Roman;serif"/>
          <w:b/>
          <w:sz w:val="20"/>
        </w:rPr>
        <w:t>Exhibit 31.2</w:t>
      </w:r>
    </w:p>
    <w:p>
      <w:pPr>
        <w:pStyle w:val="TextBody"/>
        <w:spacing w:before="180" w:after="0"/>
        <w:jc w:val="center"/>
        <w:rPr>
          <w:rFonts w:ascii="Times New Roman" w:hAnsi="Times New Roman"/>
          <w:sz w:val="20"/>
        </w:rPr>
      </w:pPr>
      <w:r>
        <w:rPr>
          <w:rFonts w:ascii="Times New Roman;serif" w:hAnsi="Times New Roman;serif"/>
          <w:b/>
          <w:sz w:val="20"/>
        </w:rPr>
        <w:t>CERTIFICATION PURSUANT TO RULE 13a-14(a)/15d-14(a) OF THE SECURITIES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EXCHANGE ACT OF 1934, AS ADOPTED PURSUANT TO SECTION 302 OF THE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SARBANES-OXLEY ACT OF 2002</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 G. Frederick Bohley, certify that:</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rFonts w:ascii="Times New Roman;serif" w:hAnsi="Times New Roman;serif"/>
          <w:b w:val="false"/>
          <w:sz w:val="20"/>
        </w:rPr>
      </w:pPr>
      <w:r>
        <w:rPr>
          <w:rFonts w:ascii="Times New Roman;serif" w:hAnsi="Times New Roman;serif"/>
          <w:b w:val="false"/>
          <w:sz w:val="20"/>
        </w:rPr>
        <w:t>I have reviewed this Quarterly Report on Form 10-Q of Allison Transmission Holdings, Inc.;</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c)</w:t>
      </w:r>
    </w:p>
    <w:p>
      <w:pPr>
        <w:pStyle w:val="TextBody"/>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d)</w:t>
      </w:r>
    </w:p>
    <w:p>
      <w:pPr>
        <w:pStyle w:val="TextBody"/>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p>
      <w:pPr>
        <w:pStyle w:val="TextBody"/>
        <w:spacing w:before="0" w:after="0"/>
        <w:jc w:val="left"/>
        <w:rPr/>
      </w:pPr>
      <w:r>
        <w:rPr/>
        <w:t> </w:t>
      </w:r>
    </w:p>
    <w:tbl>
      <w:tblPr>
        <w:tblW w:w="5635" w:type="dxa"/>
        <w:jc w:val="left"/>
        <w:tblInd w:w="0" w:type="dxa"/>
        <w:tblCellMar>
          <w:top w:w="28" w:type="dxa"/>
          <w:left w:w="28" w:type="dxa"/>
          <w:bottom w:w="28" w:type="dxa"/>
          <w:right w:w="28" w:type="dxa"/>
        </w:tblCellMar>
      </w:tblPr>
      <w:tblGrid>
        <w:gridCol w:w="2223"/>
        <w:gridCol w:w="1953"/>
        <w:gridCol w:w="1268"/>
        <w:gridCol w:w="191"/>
      </w:tblGrid>
      <w:tr>
        <w:trPr/>
        <w:tc>
          <w:tcPr>
            <w:tcW w:w="2223"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Dated: April 28, 2023</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2223" w:type="dxa"/>
            <w:tcBorders/>
            <w:shd w:fill="auto" w:val="clear"/>
            <w:vAlign w:val="center"/>
          </w:tcPr>
          <w:p>
            <w:pPr>
              <w:pStyle w:val="TableContents"/>
              <w:spacing w:before="0" w:after="283"/>
              <w:ind w:left="0" w:right="0" w:hanging="0"/>
              <w:rPr>
                <w:sz w:val="4"/>
                <w:szCs w:val="4"/>
              </w:rPr>
            </w:pPr>
            <w:r>
              <w:rPr>
                <w:sz w:val="4"/>
                <w:szCs w:val="4"/>
              </w:rPr>
            </w:r>
          </w:p>
        </w:tc>
        <w:tc>
          <w:tcPr>
            <w:tcW w:w="3412" w:type="dxa"/>
            <w:gridSpan w:val="3"/>
            <w:tcBorders/>
            <w:shd w:fill="auto" w:val="clear"/>
            <w:vAlign w:val="center"/>
          </w:tcPr>
          <w:p>
            <w:pPr>
              <w:pStyle w:val="TableContents"/>
              <w:spacing w:before="0" w:after="283"/>
              <w:ind w:left="0" w:right="0" w:hanging="0"/>
              <w:rPr>
                <w:sz w:val="4"/>
                <w:szCs w:val="4"/>
              </w:rPr>
            </w:pPr>
            <w:r>
              <w:rPr>
                <w:sz w:val="4"/>
                <w:szCs w:val="4"/>
              </w:rPr>
            </w:r>
          </w:p>
        </w:tc>
      </w:tr>
      <w:tr>
        <w:trPr/>
        <w:tc>
          <w:tcPr>
            <w:tcW w:w="4176"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G. Frederick Bohley</w:t>
            </w:r>
          </w:p>
        </w:tc>
        <w:tc>
          <w:tcPr>
            <w:tcW w:w="1459"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44" w:type="dxa"/>
            <w:gridSpan w:val="3"/>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 G. Frederick Bohley</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5444" w:type="dxa"/>
            <w:gridSpan w:val="3"/>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 Senior Vice President, Chief Financial Officer and Treasurer</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5444" w:type="dxa"/>
            <w:gridSpan w:val="3"/>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t> </w:t>
      </w:r>
    </w:p>
    <w:p>
      <w:pPr>
        <w:pStyle w:val="HorizontalLine"/>
        <w:rPr/>
      </w:pPr>
      <w:r>
        <w:rPr/>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180" w:after="0"/>
        <w:jc w:val="center"/>
        <w:rPr/>
      </w:pPr>
      <w:r>
        <w:rPr/>
        <w:t> </w:t>
      </w:r>
    </w:p>
    <w:p>
      <w:pPr>
        <w:pStyle w:val="TextBody"/>
        <w:spacing w:before="0" w:after="0"/>
        <w:jc w:val="center"/>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27" w:name="alsn-ex32_1.htm"/>
      <w:bookmarkStart w:id="28" w:name="ksalsnex32_1"/>
      <w:bookmarkEnd w:id="27"/>
      <w:bookmarkEnd w:id="28"/>
      <w:r>
        <w:rPr>
          <w:rFonts w:ascii="Times New Roman;serif" w:hAnsi="Times New Roman;serif"/>
          <w:b/>
          <w:sz w:val="20"/>
        </w:rPr>
        <w:t>Exhibit 32.1</w:t>
      </w:r>
    </w:p>
    <w:p>
      <w:pPr>
        <w:pStyle w:val="TextBody"/>
        <w:spacing w:before="0" w:after="0"/>
        <w:jc w:val="right"/>
        <w:rPr/>
      </w:pPr>
      <w:r>
        <w:rPr/>
        <w:t> </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connection with the Quarterly Report of Allison Transmission Holdings, Inc. (the “Company”) on Form 10-Q for the quarter ending March 31, 2023 as filed with the Securities and Exchange Commission on the date hereof (the “Report”), we, David S. Graziosi, Chairman, President and Chief Executive Officer of the Company, and G. Frederick Bohley, Senior Vice President, Chief Financial Officer and Treasurer of the Company, certify, pursuant to 18 U.S.C. § 1350 as adopted pursuant to § 906 of the Sarbanes-Oxley Act of 2002, that:</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tbl>
      <w:tblPr>
        <w:tblW w:w="5142" w:type="dxa"/>
        <w:jc w:val="left"/>
        <w:tblInd w:w="0" w:type="dxa"/>
        <w:tblCellMar>
          <w:top w:w="28" w:type="dxa"/>
          <w:left w:w="28" w:type="dxa"/>
          <w:bottom w:w="28" w:type="dxa"/>
          <w:right w:w="28" w:type="dxa"/>
        </w:tblCellMar>
      </w:tblPr>
      <w:tblGrid>
        <w:gridCol w:w="4951"/>
        <w:gridCol w:w="191"/>
      </w:tblGrid>
      <w:tr>
        <w:trPr/>
        <w:tc>
          <w:tcPr>
            <w:tcW w:w="495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Dated: April 28, 2023</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951"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951"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95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David S. Graziosi</w:t>
            </w:r>
          </w:p>
        </w:tc>
        <w:tc>
          <w:tcPr>
            <w:tcW w:w="1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David S. Graziosi</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Chairman, President and Chief Executive Officer</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951"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Dated: April 28, 2023</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951"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95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95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G. Frederick Bohley</w:t>
            </w:r>
          </w:p>
        </w:tc>
        <w:tc>
          <w:tcPr>
            <w:tcW w:w="1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 Frederick Bohley</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Senior Vice President, Chief Financial Officer and Treasurer</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(Principal Financial Officer)</w:t>
      </w:r>
    </w:p>
    <w:p>
      <w:pPr>
        <w:pStyle w:val="TextBody"/>
        <w:spacing w:before="0" w:after="0"/>
        <w:jc w:val="both"/>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charset w:val="00"/>
    <w:family w:val="auto"/>
    <w:pitch w:val="default"/>
  </w:font>
  <w:font w:name="Arial">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11207/000119312523061359/d476711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15025</Words>
  <CharactersWithSpaces>96974</CharactersWithSpaces>
  <Paragraphs>4390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