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ind w:left="580" w:right="120" w:hanging="559"/>
        <w:spacing w:after="0" w:line="234"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580" w:right="120" w:hanging="559"/>
        <w:spacing w:after="0" w:line="237"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001-35456</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ALLISON TRANSMISSION HOLDINGS,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tbl>
      <w:tblPr>
        <w:tblLayout w:type="fixed"/>
        <w:tblInd w:w="1360" w:type="dxa"/>
        <w:tblCellMar>
          <w:top w:w="0" w:type="dxa"/>
          <w:left w:w="0" w:type="dxa"/>
          <w:bottom w:w="0" w:type="dxa"/>
          <w:right w:w="0" w:type="dxa"/>
        </w:tblCellMar>
      </w:tblPr>
      <w:tr>
        <w:trPr>
          <w:trHeight w:val="239"/>
        </w:trPr>
        <w:tc>
          <w:tcPr>
            <w:tcW w:w="3280" w:type="dxa"/>
            <w:vAlign w:val="bottom"/>
          </w:tcPr>
          <w:p>
            <w:pPr>
              <w:jc w:val="center"/>
              <w:ind w:right="279"/>
              <w:spacing w:after="0"/>
              <w:rPr>
                <w:sz w:val="20"/>
                <w:szCs w:val="20"/>
                <w:color w:val="auto"/>
              </w:rPr>
            </w:pPr>
            <w:r>
              <w:rPr>
                <w:rFonts w:ascii="Arial" w:cs="Arial" w:eastAsia="Arial" w:hAnsi="Arial"/>
                <w:sz w:val="18"/>
                <w:szCs w:val="18"/>
                <w:b w:val="1"/>
                <w:bCs w:val="1"/>
                <w:color w:val="auto"/>
              </w:rPr>
              <w:t>Delaware</w:t>
            </w:r>
          </w:p>
        </w:tc>
        <w:tc>
          <w:tcPr>
            <w:tcW w:w="4500" w:type="dxa"/>
            <w:vAlign w:val="bottom"/>
          </w:tcPr>
          <w:p>
            <w:pPr>
              <w:jc w:val="right"/>
              <w:ind w:right="139"/>
              <w:spacing w:after="0"/>
              <w:rPr>
                <w:sz w:val="20"/>
                <w:szCs w:val="20"/>
                <w:color w:val="auto"/>
              </w:rPr>
            </w:pPr>
            <w:r>
              <w:rPr>
                <w:rFonts w:ascii="Arial" w:cs="Arial" w:eastAsia="Arial" w:hAnsi="Arial"/>
                <w:sz w:val="18"/>
                <w:szCs w:val="18"/>
                <w:b w:val="1"/>
                <w:bCs w:val="1"/>
                <w:color w:val="auto"/>
              </w:rPr>
              <w:t>26-0414014</w:t>
            </w:r>
          </w:p>
        </w:tc>
      </w:tr>
      <w:tr>
        <w:trPr>
          <w:trHeight w:val="234"/>
        </w:trPr>
        <w:tc>
          <w:tcPr>
            <w:tcW w:w="3280" w:type="dxa"/>
            <w:vAlign w:val="bottom"/>
          </w:tcPr>
          <w:p>
            <w:pPr>
              <w:jc w:val="center"/>
              <w:ind w:right="279"/>
              <w:spacing w:after="0"/>
              <w:rPr>
                <w:sz w:val="20"/>
                <w:szCs w:val="20"/>
                <w:color w:val="auto"/>
              </w:rPr>
            </w:pPr>
            <w:r>
              <w:rPr>
                <w:rFonts w:ascii="Arial" w:cs="Arial" w:eastAsia="Arial" w:hAnsi="Arial"/>
                <w:sz w:val="14"/>
                <w:szCs w:val="14"/>
                <w:color w:val="auto"/>
              </w:rPr>
              <w:t>(State or Other Jurisdiction of Incorporation or</w:t>
            </w:r>
          </w:p>
        </w:tc>
        <w:tc>
          <w:tcPr>
            <w:tcW w:w="4500" w:type="dxa"/>
            <w:vAlign w:val="bottom"/>
          </w:tcPr>
          <w:p>
            <w:pPr>
              <w:jc w:val="center"/>
              <w:ind w:left="2999"/>
              <w:spacing w:after="0"/>
              <w:rPr>
                <w:sz w:val="20"/>
                <w:szCs w:val="20"/>
                <w:color w:val="auto"/>
              </w:rPr>
            </w:pPr>
            <w:r>
              <w:rPr>
                <w:rFonts w:ascii="Arial" w:cs="Arial" w:eastAsia="Arial" w:hAnsi="Arial"/>
                <w:sz w:val="14"/>
                <w:szCs w:val="14"/>
                <w:color w:val="auto"/>
              </w:rPr>
              <w:t>(I.R.S. Employer</w:t>
            </w:r>
          </w:p>
        </w:tc>
      </w:tr>
      <w:tr>
        <w:trPr>
          <w:trHeight w:val="186"/>
        </w:trPr>
        <w:tc>
          <w:tcPr>
            <w:tcW w:w="3280" w:type="dxa"/>
            <w:vAlign w:val="bottom"/>
          </w:tcPr>
          <w:p>
            <w:pPr>
              <w:jc w:val="center"/>
              <w:ind w:right="299"/>
              <w:spacing w:after="0"/>
              <w:rPr>
                <w:sz w:val="20"/>
                <w:szCs w:val="20"/>
                <w:color w:val="auto"/>
              </w:rPr>
            </w:pPr>
            <w:r>
              <w:rPr>
                <w:rFonts w:ascii="Arial" w:cs="Arial" w:eastAsia="Arial" w:hAnsi="Arial"/>
                <w:sz w:val="14"/>
                <w:szCs w:val="14"/>
                <w:color w:val="auto"/>
              </w:rPr>
              <w:t>Organization)</w:t>
            </w:r>
          </w:p>
        </w:tc>
        <w:tc>
          <w:tcPr>
            <w:tcW w:w="4500" w:type="dxa"/>
            <w:vAlign w:val="bottom"/>
          </w:tcPr>
          <w:p>
            <w:pPr>
              <w:jc w:val="center"/>
              <w:ind w:left="2999"/>
              <w:spacing w:after="0"/>
              <w:rPr>
                <w:sz w:val="20"/>
                <w:szCs w:val="20"/>
                <w:color w:val="auto"/>
              </w:rPr>
            </w:pPr>
            <w:r>
              <w:rPr>
                <w:rFonts w:ascii="Arial" w:cs="Arial" w:eastAsia="Arial" w:hAnsi="Arial"/>
                <w:sz w:val="14"/>
                <w:szCs w:val="14"/>
                <w:color w:val="auto"/>
              </w:rPr>
              <w:t>Identification Number)</w:t>
            </w:r>
          </w:p>
        </w:tc>
      </w:tr>
      <w:tr>
        <w:trPr>
          <w:trHeight w:val="404"/>
        </w:trPr>
        <w:tc>
          <w:tcPr>
            <w:tcW w:w="3280" w:type="dxa"/>
            <w:vAlign w:val="bottom"/>
          </w:tcPr>
          <w:p>
            <w:pPr>
              <w:jc w:val="center"/>
              <w:ind w:right="299"/>
              <w:spacing w:after="0"/>
              <w:rPr>
                <w:sz w:val="20"/>
                <w:szCs w:val="20"/>
                <w:color w:val="auto"/>
              </w:rPr>
            </w:pPr>
            <w:r>
              <w:rPr>
                <w:rFonts w:ascii="Arial" w:cs="Arial" w:eastAsia="Arial" w:hAnsi="Arial"/>
                <w:sz w:val="18"/>
                <w:szCs w:val="18"/>
                <w:b w:val="1"/>
                <w:bCs w:val="1"/>
                <w:color w:val="auto"/>
                <w:w w:val="99"/>
              </w:rPr>
              <w:t>One Allison Way</w:t>
            </w:r>
          </w:p>
        </w:tc>
        <w:tc>
          <w:tcPr>
            <w:tcW w:w="4500" w:type="dxa"/>
            <w:vAlign w:val="bottom"/>
          </w:tcPr>
          <w:p>
            <w:pPr>
              <w:spacing w:after="0"/>
              <w:rPr>
                <w:sz w:val="24"/>
                <w:szCs w:val="24"/>
                <w:color w:val="auto"/>
              </w:rPr>
            </w:pPr>
          </w:p>
        </w:tc>
      </w:tr>
      <w:tr>
        <w:trPr>
          <w:trHeight w:val="270"/>
        </w:trPr>
        <w:tc>
          <w:tcPr>
            <w:tcW w:w="3280" w:type="dxa"/>
            <w:vAlign w:val="bottom"/>
          </w:tcPr>
          <w:p>
            <w:pPr>
              <w:jc w:val="center"/>
              <w:ind w:right="319"/>
              <w:spacing w:after="0"/>
              <w:rPr>
                <w:sz w:val="20"/>
                <w:szCs w:val="20"/>
                <w:color w:val="auto"/>
              </w:rPr>
            </w:pPr>
            <w:r>
              <w:rPr>
                <w:rFonts w:ascii="Arial" w:cs="Arial" w:eastAsia="Arial" w:hAnsi="Arial"/>
                <w:sz w:val="18"/>
                <w:szCs w:val="18"/>
                <w:b w:val="1"/>
                <w:bCs w:val="1"/>
                <w:color w:val="auto"/>
                <w:w w:val="99"/>
              </w:rPr>
              <w:t>Indianapolis, IN</w:t>
            </w:r>
          </w:p>
        </w:tc>
        <w:tc>
          <w:tcPr>
            <w:tcW w:w="4500" w:type="dxa"/>
            <w:vAlign w:val="bottom"/>
          </w:tcPr>
          <w:p>
            <w:pPr>
              <w:jc w:val="right"/>
              <w:ind w:right="379"/>
              <w:spacing w:after="0"/>
              <w:rPr>
                <w:sz w:val="20"/>
                <w:szCs w:val="20"/>
                <w:color w:val="auto"/>
              </w:rPr>
            </w:pPr>
            <w:r>
              <w:rPr>
                <w:rFonts w:ascii="Arial" w:cs="Arial" w:eastAsia="Arial" w:hAnsi="Arial"/>
                <w:sz w:val="18"/>
                <w:szCs w:val="18"/>
                <w:b w:val="1"/>
                <w:bCs w:val="1"/>
                <w:color w:val="auto"/>
              </w:rPr>
              <w:t>46222</w:t>
            </w:r>
          </w:p>
        </w:tc>
      </w:tr>
      <w:tr>
        <w:trPr>
          <w:trHeight w:val="231"/>
        </w:trPr>
        <w:tc>
          <w:tcPr>
            <w:tcW w:w="3280" w:type="dxa"/>
            <w:vAlign w:val="bottom"/>
          </w:tcPr>
          <w:p>
            <w:pPr>
              <w:jc w:val="center"/>
              <w:ind w:right="279"/>
              <w:spacing w:after="0"/>
              <w:rPr>
                <w:sz w:val="20"/>
                <w:szCs w:val="20"/>
                <w:color w:val="auto"/>
              </w:rPr>
            </w:pPr>
            <w:r>
              <w:rPr>
                <w:rFonts w:ascii="Arial" w:cs="Arial" w:eastAsia="Arial" w:hAnsi="Arial"/>
                <w:sz w:val="14"/>
                <w:szCs w:val="14"/>
                <w:color w:val="auto"/>
              </w:rPr>
              <w:t>(Address of Principal Executive Offices)</w:t>
            </w:r>
          </w:p>
        </w:tc>
        <w:tc>
          <w:tcPr>
            <w:tcW w:w="4500" w:type="dxa"/>
            <w:vAlign w:val="bottom"/>
          </w:tcPr>
          <w:p>
            <w:pPr>
              <w:jc w:val="center"/>
              <w:ind w:left="3019"/>
              <w:spacing w:after="0"/>
              <w:rPr>
                <w:sz w:val="20"/>
                <w:szCs w:val="20"/>
                <w:color w:val="auto"/>
              </w:rPr>
            </w:pPr>
            <w:r>
              <w:rPr>
                <w:rFonts w:ascii="Arial" w:cs="Arial" w:eastAsia="Arial" w:hAnsi="Arial"/>
                <w:sz w:val="14"/>
                <w:szCs w:val="14"/>
                <w:color w:val="auto"/>
              </w:rPr>
              <w:t>(Zip Code)</w:t>
            </w:r>
          </w:p>
        </w:tc>
      </w:tr>
      <w:tr>
        <w:trPr>
          <w:trHeight w:val="323"/>
        </w:trPr>
        <w:tc>
          <w:tcPr>
            <w:tcW w:w="3280" w:type="dxa"/>
            <w:vAlign w:val="bottom"/>
          </w:tcPr>
          <w:p>
            <w:pPr>
              <w:spacing w:after="0"/>
              <w:rPr>
                <w:sz w:val="24"/>
                <w:szCs w:val="24"/>
                <w:color w:val="auto"/>
              </w:rPr>
            </w:pPr>
          </w:p>
        </w:tc>
        <w:tc>
          <w:tcPr>
            <w:tcW w:w="4500" w:type="dxa"/>
            <w:vAlign w:val="bottom"/>
          </w:tcPr>
          <w:p>
            <w:pPr>
              <w:jc w:val="right"/>
              <w:ind w:right="2819"/>
              <w:spacing w:after="0"/>
              <w:rPr>
                <w:sz w:val="20"/>
                <w:szCs w:val="20"/>
                <w:color w:val="auto"/>
              </w:rPr>
            </w:pPr>
            <w:r>
              <w:rPr>
                <w:rFonts w:ascii="Arial" w:cs="Arial" w:eastAsia="Arial" w:hAnsi="Arial"/>
                <w:sz w:val="18"/>
                <w:szCs w:val="18"/>
                <w:b w:val="1"/>
                <w:bCs w:val="1"/>
                <w:color w:val="auto"/>
              </w:rPr>
              <w:t>(317) 242-5000</w:t>
            </w:r>
          </w:p>
        </w:tc>
      </w:tr>
    </w:tbl>
    <w:p>
      <w:pPr>
        <w:spacing w:after="0" w:line="7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jc w:val="center"/>
              <w:spacing w:after="0"/>
              <w:rPr>
                <w:sz w:val="20"/>
                <w:szCs w:val="20"/>
                <w:color w:val="auto"/>
              </w:rPr>
            </w:pPr>
            <w:r>
              <w:rPr>
                <w:rFonts w:ascii="Arial" w:cs="Arial" w:eastAsia="Arial" w:hAnsi="Arial"/>
                <w:sz w:val="14"/>
                <w:szCs w:val="14"/>
                <w:color w:val="auto"/>
              </w:rPr>
              <w:t>Name of Each Exchange</w:t>
            </w:r>
          </w:p>
        </w:tc>
      </w:tr>
      <w:tr>
        <w:trPr>
          <w:trHeight w:val="171"/>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14"/>
                <w:szCs w:val="14"/>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80" w:type="dxa"/>
            <w:vAlign w:val="bottom"/>
          </w:tcPr>
          <w:p>
            <w:pPr>
              <w:spacing w:after="0"/>
              <w:rPr>
                <w:sz w:val="14"/>
                <w:szCs w:val="14"/>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on which Registered</w:t>
            </w:r>
          </w:p>
        </w:tc>
      </w:tr>
      <w:tr>
        <w:trPr>
          <w:trHeight w:val="277"/>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rPr>
              <w:t>Common stock, $0.01 par value</w:t>
            </w: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7"/>
              </w:rPr>
              <w:t>ALSN</w:t>
            </w:r>
          </w:p>
        </w:tc>
        <w:tc>
          <w:tcPr>
            <w:tcW w:w="8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9"/>
              </w:rPr>
              <w:t>New York Stock Exchange</w:t>
            </w:r>
          </w:p>
        </w:tc>
      </w:tr>
    </w:tbl>
    <w:p>
      <w:pPr>
        <w:spacing w:after="0" w:line="26" w:lineRule="exact"/>
        <w:rPr>
          <w:sz w:val="24"/>
          <w:szCs w:val="24"/>
          <w:color w:val="auto"/>
        </w:rPr>
      </w:pPr>
    </w:p>
    <w:p>
      <w:pPr>
        <w:ind w:right="260" w:firstLine="499"/>
        <w:spacing w:after="0" w:line="21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700" w:val="left"/>
          <w:tab w:leader="none" w:pos="642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40" w:lineRule="exact"/>
        <w:rPr>
          <w:sz w:val="24"/>
          <w:szCs w:val="24"/>
          <w:color w:val="auto"/>
        </w:rPr>
      </w:pPr>
    </w:p>
    <w:p>
      <w:pPr>
        <w:jc w:val="both"/>
        <w:ind w:right="660" w:firstLine="499"/>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right="480" w:firstLine="499"/>
        <w:spacing w:after="0" w:line="22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520" w:type="dxa"/>
        <w:tblCellMar>
          <w:top w:w="0" w:type="dxa"/>
          <w:left w:w="0" w:type="dxa"/>
          <w:bottom w:w="0" w:type="dxa"/>
          <w:right w:w="0" w:type="dxa"/>
        </w:tblCellMar>
      </w:tblPr>
      <w:tr>
        <w:trPr>
          <w:trHeight w:val="209"/>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3"/>
        </w:trPr>
        <w:tc>
          <w:tcPr>
            <w:tcW w:w="200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16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240"/>
              <w:spacing w:after="0" w:line="202" w:lineRule="exact"/>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2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560" w:firstLine="499"/>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00" w:right="240"/>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April 14, 2022, there were 97,064,646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160" w:type="dxa"/>
            <w:vAlign w:val="bottom"/>
            <w:gridSpan w:val="8"/>
          </w:tcPr>
          <w:p>
            <w:pPr>
              <w:jc w:val="center"/>
              <w:ind w:right="4200"/>
              <w:spacing w:after="0"/>
              <w:rPr>
                <w:sz w:val="20"/>
                <w:szCs w:val="20"/>
                <w:color w:val="auto"/>
              </w:rPr>
            </w:pPr>
            <w:r>
              <w:rPr>
                <w:rFonts w:ascii="Arial" w:cs="Arial" w:eastAsia="Arial" w:hAnsi="Arial"/>
                <w:sz w:val="18"/>
                <w:szCs w:val="18"/>
                <w:b w:val="1"/>
                <w:bCs w:val="1"/>
                <w:color w:val="auto"/>
              </w:rPr>
              <w:t>INDEX</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vMerge w:val="restart"/>
          </w:tcPr>
          <w:p>
            <w:pPr>
              <w:spacing w:after="0"/>
              <w:rPr>
                <w:sz w:val="24"/>
                <w:szCs w:val="24"/>
                <w:color w:val="auto"/>
              </w:rPr>
            </w:pPr>
          </w:p>
        </w:tc>
        <w:tc>
          <w:tcPr>
            <w:tcW w:w="2960" w:type="dxa"/>
            <w:vAlign w:val="bottom"/>
            <w:gridSpan w:val="8"/>
            <w:vMerge w:val="restart"/>
          </w:tcPr>
          <w:p>
            <w:pPr>
              <w:jc w:val="center"/>
              <w:spacing w:after="0"/>
              <w:rPr>
                <w:rFonts w:ascii="Arial" w:cs="Arial" w:eastAsia="Arial" w:hAnsi="Arial"/>
                <w:sz w:val="18"/>
                <w:szCs w:val="18"/>
                <w:b w:val="1"/>
                <w:bCs w:val="1"/>
                <w:color w:val="0000FF"/>
                <w:w w:val="99"/>
              </w:rPr>
            </w:pPr>
            <w:hyperlink w:anchor="page3">
              <w:r>
                <w:rPr>
                  <w:rFonts w:ascii="Arial" w:cs="Arial" w:eastAsia="Arial" w:hAnsi="Arial"/>
                  <w:sz w:val="18"/>
                  <w:szCs w:val="18"/>
                  <w:b w:val="1"/>
                  <w:bCs w:val="1"/>
                  <w:color w:val="0000FF"/>
                  <w:w w:val="99"/>
                </w:rPr>
                <w:t>PART I. FINANCIAL INFORMATION</w:t>
              </w:r>
            </w:hyperlink>
          </w:p>
        </w:tc>
        <w:tc>
          <w:tcPr>
            <w:tcW w:w="3220" w:type="dxa"/>
            <w:vAlign w:val="bottom"/>
            <w:gridSpan w:val="2"/>
            <w:vMerge w:val="restart"/>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174"/>
        </w:trPr>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960" w:type="dxa"/>
            <w:vAlign w:val="bottom"/>
            <w:tcBorders>
              <w:bottom w:val="single" w:sz="8" w:color="0000FF"/>
            </w:tcBorders>
            <w:gridSpan w:val="8"/>
            <w:vMerge w:val="continue"/>
          </w:tcPr>
          <w:p>
            <w:pPr>
              <w:spacing w:after="0"/>
              <w:rPr>
                <w:sz w:val="14"/>
                <w:szCs w:val="14"/>
                <w:color w:val="auto"/>
              </w:rPr>
            </w:pPr>
          </w:p>
        </w:tc>
        <w:tc>
          <w:tcPr>
            <w:tcW w:w="322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 – 6</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tcPr>
          <w:p>
            <w:pPr>
              <w:spacing w:after="0"/>
              <w:rPr>
                <w:sz w:val="24"/>
                <w:szCs w:val="24"/>
                <w:color w:val="auto"/>
              </w:rPr>
            </w:pPr>
          </w:p>
        </w:tc>
        <w:tc>
          <w:tcPr>
            <w:tcW w:w="932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tcPr>
          <w:p>
            <w:pPr>
              <w:spacing w:after="0"/>
              <w:rPr>
                <w:sz w:val="24"/>
                <w:szCs w:val="24"/>
                <w:color w:val="auto"/>
              </w:rPr>
            </w:pPr>
          </w:p>
        </w:tc>
        <w:tc>
          <w:tcPr>
            <w:tcW w:w="932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tcPr>
          <w:p>
            <w:pPr>
              <w:spacing w:after="0"/>
              <w:rPr>
                <w:sz w:val="24"/>
                <w:szCs w:val="24"/>
                <w:color w:val="auto"/>
              </w:rPr>
            </w:pPr>
          </w:p>
        </w:tc>
        <w:tc>
          <w:tcPr>
            <w:tcW w:w="932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tcPr>
          <w:p>
            <w:pPr>
              <w:spacing w:after="0"/>
              <w:rPr>
                <w:sz w:val="24"/>
                <w:szCs w:val="24"/>
                <w:color w:val="auto"/>
              </w:rPr>
            </w:pPr>
          </w:p>
        </w:tc>
        <w:tc>
          <w:tcPr>
            <w:tcW w:w="932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Stockholders’ Equity</w:t>
              </w:r>
            </w:hyperlink>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tcPr>
          <w:p>
            <w:pPr>
              <w:spacing w:after="0"/>
              <w:rPr>
                <w:sz w:val="24"/>
                <w:szCs w:val="24"/>
                <w:color w:val="auto"/>
              </w:rPr>
            </w:pPr>
          </w:p>
        </w:tc>
        <w:tc>
          <w:tcPr>
            <w:tcW w:w="4460" w:type="dxa"/>
            <w:vAlign w:val="bottom"/>
            <w:gridSpan w:val="10"/>
          </w:tcPr>
          <w:p>
            <w:pPr>
              <w:spacing w:after="0"/>
              <w:rPr>
                <w:rFonts w:ascii="Arial" w:cs="Arial" w:eastAsia="Arial" w:hAnsi="Arial"/>
                <w:sz w:val="18"/>
                <w:szCs w:val="18"/>
                <w:color w:val="0000FF"/>
                <w:w w:val="98"/>
              </w:rPr>
            </w:pPr>
            <w:hyperlink w:anchor="page7">
              <w:r>
                <w:rPr>
                  <w:rFonts w:ascii="Arial" w:cs="Arial" w:eastAsia="Arial" w:hAnsi="Arial"/>
                  <w:sz w:val="18"/>
                  <w:szCs w:val="18"/>
                  <w:color w:val="0000FF"/>
                  <w:w w:val="98"/>
                </w:rPr>
                <w:t>Notes to Condensed Consolidated Financial Statements</w:t>
              </w:r>
            </w:hyperlink>
          </w:p>
        </w:tc>
        <w:tc>
          <w:tcPr>
            <w:tcW w:w="22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1140" w:type="dxa"/>
            <w:vAlign w:val="bottom"/>
            <w:gridSpan w:val="2"/>
            <w:vMerge w:val="restart"/>
          </w:tcPr>
          <w:p>
            <w:pPr>
              <w:spacing w:after="0"/>
              <w:rPr>
                <w:sz w:val="24"/>
                <w:szCs w:val="24"/>
                <w:color w:val="auto"/>
              </w:rPr>
            </w:pPr>
          </w:p>
        </w:tc>
        <w:tc>
          <w:tcPr>
            <w:tcW w:w="1100" w:type="dxa"/>
            <w:vAlign w:val="bottom"/>
            <w:gridSpan w:val="2"/>
            <w:vMerge w:val="restart"/>
          </w:tcPr>
          <w:p>
            <w:pPr>
              <w:spacing w:after="0"/>
              <w:rPr>
                <w:sz w:val="24"/>
                <w:szCs w:val="24"/>
                <w:color w:val="auto"/>
              </w:rPr>
            </w:pPr>
          </w:p>
        </w:tc>
        <w:tc>
          <w:tcPr>
            <w:tcW w:w="2260" w:type="dxa"/>
            <w:vAlign w:val="bottom"/>
            <w:vMerge w:val="restart"/>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7 – 21</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26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320" w:type="dxa"/>
            <w:vAlign w:val="bottom"/>
            <w:gridSpan w:val="17"/>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22 – 33</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320" w:type="dxa"/>
            <w:vAlign w:val="bottom"/>
            <w:gridSpan w:val="1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Quantitative and Qualitative Disclosures About Market Risk</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34 – 35</w:t>
            </w:r>
          </w:p>
        </w:tc>
        <w:tc>
          <w:tcPr>
            <w:tcW w:w="0" w:type="dxa"/>
            <w:vAlign w:val="bottom"/>
          </w:tcPr>
          <w:p>
            <w:pPr>
              <w:spacing w:after="0"/>
              <w:rPr>
                <w:sz w:val="1"/>
                <w:szCs w:val="1"/>
                <w:color w:val="auto"/>
              </w:rPr>
            </w:pPr>
          </w:p>
        </w:tc>
      </w:tr>
      <w:tr>
        <w:trPr>
          <w:trHeight w:val="385"/>
        </w:trPr>
        <w:tc>
          <w:tcPr>
            <w:tcW w:w="96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196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7"/>
              </w:rPr>
            </w:pPr>
            <w:hyperlink w:anchor="page36">
              <w:r>
                <w:rPr>
                  <w:rFonts w:ascii="Arial" w:cs="Arial" w:eastAsia="Arial" w:hAnsi="Arial"/>
                  <w:sz w:val="18"/>
                  <w:szCs w:val="18"/>
                  <w:color w:val="0000FF"/>
                  <w:w w:val="97"/>
                </w:rPr>
                <w:t>Controls and Procedures</w:t>
              </w:r>
            </w:hyperlink>
          </w:p>
        </w:tc>
        <w:tc>
          <w:tcPr>
            <w:tcW w:w="1360" w:type="dxa"/>
            <w:vAlign w:val="bottom"/>
            <w:tcBorders>
              <w:top w:val="single" w:sz="8" w:color="0000FF"/>
              <w:bottom w:val="single" w:sz="8" w:color="0000FF"/>
            </w:tcBorders>
            <w:gridSpan w:val="2"/>
            <w:vMerge w:val="restart"/>
          </w:tcPr>
          <w:p>
            <w:pPr>
              <w:spacing w:after="0"/>
              <w:rPr>
                <w:sz w:val="24"/>
                <w:szCs w:val="24"/>
                <w:color w:val="auto"/>
              </w:rPr>
            </w:pPr>
          </w:p>
        </w:tc>
        <w:tc>
          <w:tcPr>
            <w:tcW w:w="1360" w:type="dxa"/>
            <w:vAlign w:val="bottom"/>
            <w:tcBorders>
              <w:top w:val="single" w:sz="8" w:color="0000FF"/>
            </w:tcBorders>
            <w:gridSpan w:val="3"/>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3360" w:type="dxa"/>
            <w:vAlign w:val="bottom"/>
            <w:gridSpan w:val="3"/>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36</w:t>
            </w:r>
          </w:p>
        </w:tc>
        <w:tc>
          <w:tcPr>
            <w:tcW w:w="0" w:type="dxa"/>
            <w:vAlign w:val="bottom"/>
          </w:tcPr>
          <w:p>
            <w:pPr>
              <w:spacing w:after="0"/>
              <w:rPr>
                <w:sz w:val="1"/>
                <w:szCs w:val="1"/>
                <w:color w:val="auto"/>
              </w:rPr>
            </w:pPr>
          </w:p>
        </w:tc>
      </w:tr>
      <w:tr>
        <w:trPr>
          <w:trHeight w:val="74"/>
        </w:trPr>
        <w:tc>
          <w:tcPr>
            <w:tcW w:w="9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gridSpan w:val="2"/>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640" w:type="dxa"/>
            <w:vAlign w:val="bottom"/>
            <w:gridSpan w:val="6"/>
            <w:vMerge w:val="restart"/>
          </w:tcPr>
          <w:p>
            <w:pPr>
              <w:jc w:val="center"/>
              <w:spacing w:after="0"/>
              <w:rPr>
                <w:rFonts w:ascii="Arial" w:cs="Arial" w:eastAsia="Arial" w:hAnsi="Arial"/>
                <w:sz w:val="18"/>
                <w:szCs w:val="18"/>
                <w:b w:val="1"/>
                <w:bCs w:val="1"/>
                <w:color w:val="0000FF"/>
                <w:w w:val="98"/>
              </w:rPr>
            </w:pPr>
            <w:hyperlink w:anchor="page37">
              <w:r>
                <w:rPr>
                  <w:rFonts w:ascii="Arial" w:cs="Arial" w:eastAsia="Arial" w:hAnsi="Arial"/>
                  <w:sz w:val="18"/>
                  <w:szCs w:val="18"/>
                  <w:b w:val="1"/>
                  <w:bCs w:val="1"/>
                  <w:color w:val="0000FF"/>
                  <w:w w:val="98"/>
                </w:rPr>
                <w:t>PART II. OTHER INFORMATION</w:t>
              </w:r>
            </w:hyperlink>
          </w:p>
        </w:tc>
        <w:tc>
          <w:tcPr>
            <w:tcW w:w="3360" w:type="dxa"/>
            <w:vAlign w:val="bottom"/>
            <w:gridSpan w:val="3"/>
            <w:vMerge w:val="restart"/>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9"/>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tcBorders>
              <w:bottom w:val="single" w:sz="8" w:color="0000FF"/>
            </w:tcBorders>
            <w:gridSpan w:val="6"/>
            <w:vMerge w:val="continue"/>
          </w:tcPr>
          <w:p>
            <w:pPr>
              <w:spacing w:after="0"/>
              <w:rPr>
                <w:sz w:val="24"/>
                <w:szCs w:val="24"/>
                <w:color w:val="auto"/>
              </w:rPr>
            </w:pPr>
          </w:p>
        </w:tc>
        <w:tc>
          <w:tcPr>
            <w:tcW w:w="336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1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320" w:type="dxa"/>
            <w:vAlign w:val="bottom"/>
            <w:gridSpan w:val="1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Risk Factors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820" w:type="dxa"/>
            <w:vAlign w:val="bottom"/>
            <w:gridSpan w:val="9"/>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320" w:type="dxa"/>
            <w:vAlign w:val="bottom"/>
            <w:gridSpan w:val="17"/>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Unregistered Sales of Equity Securities and Use of Proceeds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960" w:type="dxa"/>
            <w:vAlign w:val="bottom"/>
            <w:gridSpan w:val="10"/>
            <w:shd w:val="clear" w:color="auto" w:fill="0000FF"/>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320" w:type="dxa"/>
            <w:vAlign w:val="bottom"/>
            <w:gridSpan w:val="1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39</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60" w:type="dxa"/>
            <w:vAlign w:val="bottom"/>
            <w:gridSpan w:val="1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tcPr>
          <w:p>
            <w:pPr>
              <w:spacing w:after="0"/>
              <w:rPr>
                <w:sz w:val="24"/>
                <w:szCs w:val="24"/>
                <w:color w:val="auto"/>
              </w:rPr>
            </w:pPr>
          </w:p>
        </w:tc>
        <w:tc>
          <w:tcPr>
            <w:tcW w:w="9320" w:type="dxa"/>
            <w:vAlign w:val="bottom"/>
            <w:gridSpan w:val="17"/>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Signatures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Allison Transmission Holdings, Inc.</w:t>
      </w:r>
    </w:p>
    <w:p>
      <w:pPr>
        <w:spacing w:after="0" w:line="3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jc w:val="right"/>
              <w:ind w:right="491"/>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3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145</w:t>
            </w:r>
          </w:p>
        </w:tc>
        <w:tc>
          <w:tcPr>
            <w:tcW w:w="4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3"/>
        </w:trPr>
        <w:tc>
          <w:tcPr>
            <w:tcW w:w="7600" w:type="dxa"/>
            <w:vAlign w:val="bottom"/>
          </w:tcPr>
          <w:p>
            <w:pPr>
              <w:ind w:left="280"/>
              <w:spacing w:after="0" w:line="202" w:lineRule="exact"/>
              <w:rPr>
                <w:sz w:val="20"/>
                <w:szCs w:val="20"/>
                <w:color w:val="auto"/>
              </w:rPr>
            </w:pPr>
            <w:r>
              <w:rPr>
                <w:rFonts w:ascii="Arial" w:cs="Arial" w:eastAsia="Arial" w:hAnsi="Arial"/>
                <w:sz w:val="18"/>
                <w:szCs w:val="18"/>
                <w:color w:val="auto"/>
              </w:rPr>
              <w:t>Accounts receivable – net of allowances for doubtful accounts of $4 and $3, respectively</w:t>
            </w:r>
          </w:p>
        </w:tc>
        <w:tc>
          <w:tcPr>
            <w:tcW w:w="320" w:type="dxa"/>
            <w:vAlign w:val="bottom"/>
          </w:tcPr>
          <w:p>
            <w:pPr>
              <w:spacing w:after="0"/>
              <w:rPr>
                <w:sz w:val="17"/>
                <w:szCs w:val="17"/>
                <w:color w:val="auto"/>
              </w:rPr>
            </w:pPr>
          </w:p>
        </w:tc>
        <w:tc>
          <w:tcPr>
            <w:tcW w:w="142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343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Inventories</w:t>
            </w: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210</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7600" w:type="dxa"/>
            <w:vAlign w:val="bottom"/>
          </w:tcPr>
          <w:p>
            <w:pPr>
              <w:ind w:left="280"/>
              <w:spacing w:after="0" w:line="202" w:lineRule="exact"/>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47</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745</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17"/>
                <w:szCs w:val="17"/>
                <w:color w:val="auto"/>
              </w:rPr>
            </w:pPr>
          </w:p>
        </w:tc>
        <w:tc>
          <w:tcPr>
            <w:tcW w:w="142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708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913</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7"/>
                <w:szCs w:val="17"/>
                <w:color w:val="auto"/>
              </w:rPr>
            </w:pPr>
          </w:p>
        </w:tc>
        <w:tc>
          <w:tcPr>
            <w:tcW w:w="142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2,077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Marketable securities</w:t>
            </w: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31</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53</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6"/>
        </w:trPr>
        <w:tc>
          <w:tcPr>
            <w:tcW w:w="7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4,527</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228</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Product warranty liability</w:t>
            </w: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30</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7600" w:type="dxa"/>
            <w:vAlign w:val="bottom"/>
          </w:tcPr>
          <w:p>
            <w:pPr>
              <w:ind w:left="280"/>
              <w:spacing w:after="0" w:line="202" w:lineRule="exact"/>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17"/>
                <w:szCs w:val="17"/>
                <w:color w:val="auto"/>
              </w:rPr>
            </w:pPr>
          </w:p>
        </w:tc>
        <w:tc>
          <w:tcPr>
            <w:tcW w:w="142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Deferred revenue</w:t>
            </w: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35</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7600" w:type="dxa"/>
            <w:vAlign w:val="bottom"/>
          </w:tcPr>
          <w:p>
            <w:pPr>
              <w:ind w:left="280"/>
              <w:spacing w:after="0" w:line="202" w:lineRule="exact"/>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190</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489</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Product warranty liability</w:t>
            </w:r>
          </w:p>
        </w:tc>
        <w:tc>
          <w:tcPr>
            <w:tcW w:w="320" w:type="dxa"/>
            <w:vAlign w:val="bottom"/>
          </w:tcPr>
          <w:p>
            <w:pPr>
              <w:spacing w:after="0"/>
              <w:rPr>
                <w:sz w:val="17"/>
                <w:szCs w:val="17"/>
                <w:color w:val="auto"/>
              </w:rPr>
            </w:pPr>
          </w:p>
        </w:tc>
        <w:tc>
          <w:tcPr>
            <w:tcW w:w="142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23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97</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7"/>
                <w:szCs w:val="17"/>
                <w:color w:val="auto"/>
              </w:rPr>
            </w:pPr>
          </w:p>
        </w:tc>
        <w:tc>
          <w:tcPr>
            <w:tcW w:w="142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2,503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525</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211</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3,848</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 (see Note P)</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STOCKHOLDERS’ EQUITY</w:t>
            </w: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280"/>
              <w:spacing w:after="0" w:line="175" w:lineRule="exact"/>
              <w:rPr>
                <w:sz w:val="20"/>
                <w:szCs w:val="20"/>
                <w:color w:val="auto"/>
              </w:rPr>
            </w:pPr>
            <w:r>
              <w:rPr>
                <w:rFonts w:ascii="Arial" w:cs="Arial" w:eastAsia="Arial" w:hAnsi="Arial"/>
                <w:sz w:val="18"/>
                <w:szCs w:val="18"/>
                <w:color w:val="auto"/>
              </w:rPr>
              <w:t>Common stock, $0.01 par value, 1,880,000,000 shares authorized, 97,064,390 shares</w:t>
            </w:r>
          </w:p>
        </w:tc>
        <w:tc>
          <w:tcPr>
            <w:tcW w:w="320" w:type="dxa"/>
            <w:vAlign w:val="bottom"/>
          </w:tcPr>
          <w:p>
            <w:pPr>
              <w:spacing w:after="0"/>
              <w:rPr>
                <w:sz w:val="15"/>
                <w:szCs w:val="15"/>
                <w:color w:val="auto"/>
              </w:rPr>
            </w:pPr>
          </w:p>
        </w:tc>
        <w:tc>
          <w:tcPr>
            <w:tcW w:w="14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80"/>
              <w:spacing w:after="0" w:line="203" w:lineRule="exact"/>
              <w:rPr>
                <w:sz w:val="20"/>
                <w:szCs w:val="20"/>
                <w:color w:val="auto"/>
              </w:rPr>
            </w:pPr>
            <w:r>
              <w:rPr>
                <w:rFonts w:ascii="Arial" w:cs="Arial" w:eastAsia="Arial" w:hAnsi="Arial"/>
                <w:sz w:val="18"/>
                <w:szCs w:val="18"/>
                <w:color w:val="auto"/>
              </w:rPr>
              <w:t>issued and outstanding and 99,262,951 shares issued and outstanding, respectively</w:t>
            </w:r>
          </w:p>
        </w:tc>
        <w:tc>
          <w:tcPr>
            <w:tcW w:w="3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11"/>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760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Non-voting common stock, $0.01 par value, 20,000,000 shares authorized, none issued</w:t>
            </w:r>
          </w:p>
        </w:tc>
        <w:tc>
          <w:tcPr>
            <w:tcW w:w="320" w:type="dxa"/>
            <w:vAlign w:val="bottom"/>
            <w:shd w:val="clear" w:color="auto" w:fill="CFF0FC"/>
          </w:tcPr>
          <w:p>
            <w:pPr>
              <w:spacing w:after="0"/>
              <w:rPr>
                <w:sz w:val="15"/>
                <w:szCs w:val="15"/>
                <w:color w:val="auto"/>
              </w:rPr>
            </w:pPr>
          </w:p>
        </w:tc>
        <w:tc>
          <w:tcPr>
            <w:tcW w:w="142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and outstanding</w:t>
            </w:r>
          </w:p>
        </w:tc>
        <w:tc>
          <w:tcPr>
            <w:tcW w:w="320" w:type="dxa"/>
            <w:vAlign w:val="bottom"/>
            <w:shd w:val="clear" w:color="auto" w:fill="CFF0FC"/>
          </w:tcPr>
          <w:p>
            <w:pPr>
              <w:spacing w:after="0"/>
              <w:rPr>
                <w:sz w:val="17"/>
                <w:szCs w:val="17"/>
                <w:color w:val="auto"/>
              </w:rPr>
            </w:pPr>
          </w:p>
        </w:tc>
        <w:tc>
          <w:tcPr>
            <w:tcW w:w="142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600" w:type="dxa"/>
            <w:vAlign w:val="bottom"/>
          </w:tcPr>
          <w:p>
            <w:pPr>
              <w:ind w:left="280"/>
              <w:spacing w:after="0" w:line="175" w:lineRule="exact"/>
              <w:rPr>
                <w:sz w:val="20"/>
                <w:szCs w:val="20"/>
                <w:color w:val="auto"/>
              </w:rPr>
            </w:pPr>
            <w:r>
              <w:rPr>
                <w:rFonts w:ascii="Arial" w:cs="Arial" w:eastAsia="Arial" w:hAnsi="Arial"/>
                <w:sz w:val="18"/>
                <w:szCs w:val="18"/>
                <w:color w:val="auto"/>
              </w:rPr>
              <w:t>Preferred stock, $0.01 par value, 100,000,000 shares authorized, none issued and</w:t>
            </w:r>
          </w:p>
        </w:tc>
        <w:tc>
          <w:tcPr>
            <w:tcW w:w="320" w:type="dxa"/>
            <w:vAlign w:val="bottom"/>
          </w:tcPr>
          <w:p>
            <w:pPr>
              <w:spacing w:after="0"/>
              <w:rPr>
                <w:sz w:val="15"/>
                <w:szCs w:val="15"/>
                <w:color w:val="auto"/>
              </w:rPr>
            </w:pPr>
          </w:p>
        </w:tc>
        <w:tc>
          <w:tcPr>
            <w:tcW w:w="14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80"/>
              <w:spacing w:after="0" w:line="203" w:lineRule="exact"/>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Paid in capital</w:t>
            </w: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1,832</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03"/>
        </w:trPr>
        <w:tc>
          <w:tcPr>
            <w:tcW w:w="7600" w:type="dxa"/>
            <w:vAlign w:val="bottom"/>
          </w:tcPr>
          <w:p>
            <w:pPr>
              <w:ind w:left="280"/>
              <w:spacing w:after="0" w:line="202" w:lineRule="exact"/>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(1,098 )</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(1,126 )</w:t>
            </w:r>
          </w:p>
        </w:tc>
        <w:tc>
          <w:tcPr>
            <w:tcW w:w="0" w:type="dxa"/>
            <w:vAlign w:val="bottom"/>
          </w:tcPr>
          <w:p>
            <w:pPr>
              <w:spacing w:after="0"/>
              <w:rPr>
                <w:sz w:val="1"/>
                <w:szCs w:val="1"/>
                <w:color w:val="auto"/>
              </w:rPr>
            </w:pPr>
          </w:p>
        </w:tc>
      </w:tr>
      <w:tr>
        <w:trPr>
          <w:trHeight w:val="203"/>
        </w:trPr>
        <w:tc>
          <w:tcPr>
            <w:tcW w:w="76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Accumulated other comprehensive loss, net of tax</w:t>
            </w: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(56 )</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b w:val="1"/>
                <w:bCs w:val="1"/>
                <w:color w:val="auto"/>
              </w:rPr>
              <w:t>679</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36"/>
        </w:trPr>
        <w:tc>
          <w:tcPr>
            <w:tcW w:w="7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 &amp; STOCKHOLDERS’ EQUITY</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4,527</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-3505835</wp:posOffset>
            </wp:positionV>
            <wp:extent cx="111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-3488055</wp:posOffset>
            </wp:positionV>
            <wp:extent cx="111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-296545</wp:posOffset>
            </wp:positionV>
            <wp:extent cx="11112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111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111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183"/>
        </w:trPr>
        <w:tc>
          <w:tcPr>
            <w:tcW w:w="7660" w:type="dxa"/>
            <w:vAlign w:val="bottom"/>
          </w:tcPr>
          <w:p>
            <w:pPr>
              <w:spacing w:after="0"/>
              <w:rPr>
                <w:sz w:val="15"/>
                <w:szCs w:val="15"/>
                <w:color w:val="auto"/>
              </w:rPr>
            </w:pPr>
          </w:p>
        </w:tc>
        <w:tc>
          <w:tcPr>
            <w:tcW w:w="1120" w:type="dxa"/>
            <w:vAlign w:val="bottom"/>
          </w:tcPr>
          <w:p>
            <w:pPr>
              <w:jc w:val="right"/>
              <w:ind w:right="55"/>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5"/>
                <w:szCs w:val="15"/>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sales</w:t>
            </w:r>
          </w:p>
        </w:tc>
        <w:tc>
          <w:tcPr>
            <w:tcW w:w="1120" w:type="dxa"/>
            <w:vAlign w:val="bottom"/>
            <w:tcBorders>
              <w:top w:val="single" w:sz="8" w:color="auto"/>
            </w:tcBorders>
            <w:shd w:val="clear" w:color="auto" w:fill="CFF0FC"/>
          </w:tcPr>
          <w:p>
            <w:pPr>
              <w:jc w:val="right"/>
              <w:ind w:right="915"/>
              <w:spacing w:after="0" w:line="196" w:lineRule="exact"/>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677</w:t>
            </w:r>
          </w:p>
        </w:tc>
        <w:tc>
          <w:tcPr>
            <w:tcW w:w="18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ind w:right="890"/>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588</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1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357</w:t>
            </w:r>
          </w:p>
        </w:tc>
        <w:tc>
          <w:tcPr>
            <w:tcW w:w="1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297</w:t>
            </w: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Gross profit</w:t>
            </w:r>
          </w:p>
        </w:tc>
        <w:tc>
          <w:tcPr>
            <w:tcW w:w="11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320</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291</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1120" w:type="dxa"/>
            <w:vAlign w:val="bottom"/>
          </w:tcPr>
          <w:p>
            <w:pPr>
              <w:spacing w:after="0"/>
              <w:rPr>
                <w:sz w:val="17"/>
                <w:szCs w:val="17"/>
                <w:color w:val="auto"/>
              </w:rPr>
            </w:pPr>
          </w:p>
        </w:tc>
        <w:tc>
          <w:tcPr>
            <w:tcW w:w="6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75</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73</w:t>
            </w:r>
          </w:p>
        </w:tc>
      </w:tr>
      <w:tr>
        <w:trPr>
          <w:trHeight w:val="203"/>
        </w:trPr>
        <w:tc>
          <w:tcPr>
            <w:tcW w:w="7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Engineering — research and development</w:t>
            </w:r>
          </w:p>
        </w:tc>
        <w:tc>
          <w:tcPr>
            <w:tcW w:w="1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43</w:t>
            </w:r>
          </w:p>
        </w:tc>
        <w:tc>
          <w:tcPr>
            <w:tcW w:w="1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38</w:t>
            </w: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Operating income</w:t>
            </w:r>
          </w:p>
        </w:tc>
        <w:tc>
          <w:tcPr>
            <w:tcW w:w="1120" w:type="dxa"/>
            <w:vAlign w:val="bottom"/>
          </w:tcPr>
          <w:p>
            <w:pPr>
              <w:spacing w:after="0"/>
              <w:rPr>
                <w:sz w:val="17"/>
                <w:szCs w:val="17"/>
                <w:color w:val="auto"/>
              </w:rPr>
            </w:pPr>
          </w:p>
        </w:tc>
        <w:tc>
          <w:tcPr>
            <w:tcW w:w="60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202</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180</w:t>
            </w: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1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(29 )</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(29 )</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Other (expense) income, net</w:t>
            </w:r>
          </w:p>
        </w:tc>
        <w:tc>
          <w:tcPr>
            <w:tcW w:w="1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(10 )</w:t>
            </w:r>
          </w:p>
        </w:tc>
        <w:tc>
          <w:tcPr>
            <w:tcW w:w="1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w:t>
            </w: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Income before income taxes</w:t>
            </w:r>
          </w:p>
        </w:tc>
        <w:tc>
          <w:tcPr>
            <w:tcW w:w="11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163</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154</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1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(34 )</w:t>
            </w:r>
          </w:p>
        </w:tc>
        <w:tc>
          <w:tcPr>
            <w:tcW w:w="1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(34 )</w:t>
            </w:r>
          </w:p>
        </w:tc>
      </w:tr>
      <w:tr>
        <w:trPr>
          <w:trHeight w:val="23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1120" w:type="dxa"/>
            <w:vAlign w:val="bottom"/>
            <w:tcBorders>
              <w:bottom w:val="single" w:sz="8" w:color="auto"/>
            </w:tcBorders>
            <w:shd w:val="clear" w:color="auto" w:fill="CFF0FC"/>
          </w:tcPr>
          <w:p>
            <w:pPr>
              <w:jc w:val="right"/>
              <w:ind w:right="915"/>
              <w:spacing w:after="0" w:line="196" w:lineRule="exact"/>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129</w:t>
            </w:r>
          </w:p>
        </w:tc>
        <w:tc>
          <w:tcPr>
            <w:tcW w:w="18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890"/>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120</w:t>
            </w: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Basic earnings per share attributable to common stockholders</w:t>
            </w:r>
          </w:p>
        </w:tc>
        <w:tc>
          <w:tcPr>
            <w:tcW w:w="1120" w:type="dxa"/>
            <w:vAlign w:val="bottom"/>
            <w:tcBorders>
              <w:bottom w:val="single" w:sz="8" w:color="auto"/>
            </w:tcBorders>
          </w:tcPr>
          <w:p>
            <w:pPr>
              <w:jc w:val="right"/>
              <w:ind w:right="915"/>
              <w:spacing w:after="0" w:line="183" w:lineRule="exact"/>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8"/>
                <w:szCs w:val="18"/>
                <w:b w:val="1"/>
                <w:bCs w:val="1"/>
                <w:color w:val="auto"/>
              </w:rPr>
              <w:t>1.32</w:t>
            </w:r>
          </w:p>
        </w:tc>
        <w:tc>
          <w:tcPr>
            <w:tcW w:w="180" w:type="dxa"/>
            <w:vAlign w:val="bottom"/>
          </w:tcPr>
          <w:p>
            <w:pPr>
              <w:spacing w:after="0"/>
              <w:rPr>
                <w:sz w:val="15"/>
                <w:szCs w:val="15"/>
                <w:color w:val="auto"/>
              </w:rPr>
            </w:pPr>
          </w:p>
        </w:tc>
        <w:tc>
          <w:tcPr>
            <w:tcW w:w="1100" w:type="dxa"/>
            <w:vAlign w:val="bottom"/>
            <w:tcBorders>
              <w:bottom w:val="single" w:sz="8" w:color="auto"/>
            </w:tcBorders>
          </w:tcPr>
          <w:p>
            <w:pPr>
              <w:jc w:val="right"/>
              <w:ind w:right="890"/>
              <w:spacing w:after="0" w:line="183"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rPr>
              <w:t>1.08</w:t>
            </w:r>
          </w:p>
        </w:tc>
      </w:tr>
      <w:tr>
        <w:trPr>
          <w:trHeight w:val="20"/>
        </w:trPr>
        <w:tc>
          <w:tcPr>
            <w:tcW w:w="7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76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Diluted earnings per share attributable to common stockholders</w:t>
            </w:r>
          </w:p>
        </w:tc>
        <w:tc>
          <w:tcPr>
            <w:tcW w:w="1120" w:type="dxa"/>
            <w:vAlign w:val="bottom"/>
            <w:tcBorders>
              <w:top w:val="single" w:sz="8" w:color="auto"/>
              <w:bottom w:val="single" w:sz="8" w:color="auto"/>
            </w:tcBorders>
            <w:shd w:val="clear" w:color="auto" w:fill="CFF0FC"/>
          </w:tcPr>
          <w:p>
            <w:pPr>
              <w:jc w:val="right"/>
              <w:ind w:right="915"/>
              <w:spacing w:after="0" w:line="183" w:lineRule="exact"/>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shd w:val="clear" w:color="auto" w:fill="CFF0FC"/>
          </w:tcPr>
          <w:p>
            <w:pPr>
              <w:jc w:val="right"/>
              <w:ind w:right="30"/>
              <w:spacing w:after="0" w:line="183" w:lineRule="exact"/>
              <w:rPr>
                <w:sz w:val="20"/>
                <w:szCs w:val="20"/>
                <w:color w:val="auto"/>
              </w:rPr>
            </w:pPr>
            <w:r>
              <w:rPr>
                <w:rFonts w:ascii="Arial" w:cs="Arial" w:eastAsia="Arial" w:hAnsi="Arial"/>
                <w:sz w:val="18"/>
                <w:szCs w:val="18"/>
                <w:b w:val="1"/>
                <w:bCs w:val="1"/>
                <w:color w:val="auto"/>
              </w:rPr>
              <w:t>1.30</w:t>
            </w: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890"/>
              <w:spacing w:after="0" w:line="183"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FF0FC"/>
          </w:tcPr>
          <w:p>
            <w:pPr>
              <w:jc w:val="right"/>
              <w:ind w:right="10"/>
              <w:spacing w:after="0" w:line="183" w:lineRule="exact"/>
              <w:rPr>
                <w:sz w:val="20"/>
                <w:szCs w:val="20"/>
                <w:color w:val="auto"/>
              </w:rPr>
            </w:pPr>
            <w:r>
              <w:rPr>
                <w:rFonts w:ascii="Arial" w:cs="Arial" w:eastAsia="Arial" w:hAnsi="Arial"/>
                <w:sz w:val="18"/>
                <w:szCs w:val="18"/>
                <w:color w:val="auto"/>
              </w:rPr>
              <w:t>1.07</w:t>
            </w: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Comprehensive income, net of tax</w:t>
            </w:r>
          </w:p>
        </w:tc>
        <w:tc>
          <w:tcPr>
            <w:tcW w:w="1120" w:type="dxa"/>
            <w:vAlign w:val="bottom"/>
          </w:tcPr>
          <w:p>
            <w:pPr>
              <w:jc w:val="right"/>
              <w:ind w:right="915"/>
              <w:spacing w:after="0" w:line="183" w:lineRule="exact"/>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ind w:right="30"/>
              <w:spacing w:after="0" w:line="183" w:lineRule="exact"/>
              <w:rPr>
                <w:sz w:val="20"/>
                <w:szCs w:val="20"/>
                <w:color w:val="auto"/>
              </w:rPr>
            </w:pPr>
            <w:r>
              <w:rPr>
                <w:rFonts w:ascii="Arial" w:cs="Arial" w:eastAsia="Arial" w:hAnsi="Arial"/>
                <w:sz w:val="18"/>
                <w:szCs w:val="18"/>
                <w:b w:val="1"/>
                <w:bCs w:val="1"/>
                <w:color w:val="auto"/>
              </w:rPr>
              <w:t>146</w:t>
            </w:r>
          </w:p>
        </w:tc>
        <w:tc>
          <w:tcPr>
            <w:tcW w:w="1280" w:type="dxa"/>
            <w:vAlign w:val="bottom"/>
            <w:gridSpan w:val="2"/>
          </w:tcPr>
          <w:p>
            <w:pPr>
              <w:jc w:val="right"/>
              <w:ind w:right="890"/>
              <w:spacing w:after="0" w:line="183"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line="183" w:lineRule="exact"/>
              <w:rPr>
                <w:sz w:val="20"/>
                <w:szCs w:val="20"/>
                <w:color w:val="auto"/>
              </w:rPr>
            </w:pPr>
            <w:r>
              <w:rPr>
                <w:rFonts w:ascii="Arial" w:cs="Arial" w:eastAsia="Arial" w:hAnsi="Arial"/>
                <w:sz w:val="18"/>
                <w:szCs w:val="18"/>
                <w:color w:val="auto"/>
              </w:rPr>
              <w:t>123</w:t>
            </w:r>
          </w:p>
        </w:tc>
      </w:tr>
      <w:tr>
        <w:trPr>
          <w:trHeight w:val="20"/>
        </w:trPr>
        <w:tc>
          <w:tcPr>
            <w:tcW w:w="7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-1282065</wp:posOffset>
            </wp:positionV>
            <wp:extent cx="12001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-488315</wp:posOffset>
            </wp:positionV>
            <wp:extent cx="120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-471170</wp:posOffset>
            </wp:positionV>
            <wp:extent cx="120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-179705</wp:posOffset>
            </wp:positionV>
            <wp:extent cx="1200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-162560</wp:posOffset>
            </wp:positionV>
            <wp:extent cx="120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183"/>
        </w:trPr>
        <w:tc>
          <w:tcPr>
            <w:tcW w:w="766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5"/>
                <w:szCs w:val="15"/>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1120" w:type="dxa"/>
            <w:vAlign w:val="bottom"/>
          </w:tcPr>
          <w:p>
            <w:pPr>
              <w:jc w:val="right"/>
              <w:ind w:right="916"/>
              <w:spacing w:after="0" w:line="202" w:lineRule="exact"/>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129</w:t>
            </w:r>
          </w:p>
        </w:tc>
        <w:tc>
          <w:tcPr>
            <w:tcW w:w="1280" w:type="dxa"/>
            <w:vAlign w:val="bottom"/>
            <w:gridSpan w:val="2"/>
          </w:tcPr>
          <w:p>
            <w:pPr>
              <w:jc w:val="right"/>
              <w:ind w:right="89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120</w:t>
            </w:r>
          </w:p>
        </w:tc>
      </w:tr>
      <w:tr>
        <w:trPr>
          <w:trHeight w:val="203"/>
        </w:trPr>
        <w:tc>
          <w:tcPr>
            <w:tcW w:w="76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r>
      <w:tr>
        <w:trPr>
          <w:trHeight w:val="203"/>
        </w:trPr>
        <w:tc>
          <w:tcPr>
            <w:tcW w:w="7660" w:type="dxa"/>
            <w:vAlign w:val="bottom"/>
          </w:tcPr>
          <w:p>
            <w:pPr>
              <w:ind w:left="28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1120" w:type="dxa"/>
            <w:vAlign w:val="bottom"/>
          </w:tcPr>
          <w:p>
            <w:pPr>
              <w:spacing w:after="0"/>
              <w:rPr>
                <w:sz w:val="17"/>
                <w:szCs w:val="17"/>
                <w:color w:val="auto"/>
              </w:rPr>
            </w:pPr>
          </w:p>
        </w:tc>
        <w:tc>
          <w:tcPr>
            <w:tcW w:w="6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27</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w:t>
            </w:r>
          </w:p>
        </w:tc>
      </w:tr>
      <w:tr>
        <w:trPr>
          <w:trHeight w:val="203"/>
        </w:trPr>
        <w:tc>
          <w:tcPr>
            <w:tcW w:w="76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Unrealized loss on marketable securities</w:t>
            </w:r>
          </w:p>
        </w:tc>
        <w:tc>
          <w:tcPr>
            <w:tcW w:w="11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15</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60" w:type="dxa"/>
            <w:vAlign w:val="bottom"/>
          </w:tcPr>
          <w:p>
            <w:pPr>
              <w:ind w:left="280"/>
              <w:spacing w:after="0" w:line="202" w:lineRule="exact"/>
              <w:rPr>
                <w:sz w:val="20"/>
                <w:szCs w:val="20"/>
                <w:color w:val="auto"/>
              </w:rPr>
            </w:pPr>
            <w:r>
              <w:rPr>
                <w:rFonts w:ascii="Arial" w:cs="Arial" w:eastAsia="Arial" w:hAnsi="Arial"/>
                <w:sz w:val="18"/>
                <w:szCs w:val="18"/>
                <w:color w:val="auto"/>
              </w:rPr>
              <w:t>Amortization of intangible assets</w:t>
            </w:r>
          </w:p>
        </w:tc>
        <w:tc>
          <w:tcPr>
            <w:tcW w:w="1120" w:type="dxa"/>
            <w:vAlign w:val="bottom"/>
          </w:tcPr>
          <w:p>
            <w:pPr>
              <w:spacing w:after="0"/>
              <w:rPr>
                <w:sz w:val="17"/>
                <w:szCs w:val="17"/>
                <w:color w:val="auto"/>
              </w:rPr>
            </w:pPr>
          </w:p>
        </w:tc>
        <w:tc>
          <w:tcPr>
            <w:tcW w:w="6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11</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w:t>
            </w:r>
          </w:p>
        </w:tc>
      </w:tr>
      <w:tr>
        <w:trPr>
          <w:trHeight w:val="203"/>
        </w:trPr>
        <w:tc>
          <w:tcPr>
            <w:tcW w:w="76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Technology-related investments gain</w:t>
            </w:r>
          </w:p>
        </w:tc>
        <w:tc>
          <w:tcPr>
            <w:tcW w:w="1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(6 )</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60" w:type="dxa"/>
            <w:vAlign w:val="bottom"/>
          </w:tcPr>
          <w:p>
            <w:pPr>
              <w:ind w:left="280"/>
              <w:spacing w:after="0" w:line="202" w:lineRule="exact"/>
              <w:rPr>
                <w:sz w:val="20"/>
                <w:szCs w:val="20"/>
                <w:color w:val="auto"/>
              </w:rPr>
            </w:pPr>
            <w:r>
              <w:rPr>
                <w:rFonts w:ascii="Arial" w:cs="Arial" w:eastAsia="Arial" w:hAnsi="Arial"/>
                <w:sz w:val="18"/>
                <w:szCs w:val="18"/>
                <w:color w:val="auto"/>
              </w:rPr>
              <w:t>Deferred income taxes</w:t>
            </w:r>
          </w:p>
        </w:tc>
        <w:tc>
          <w:tcPr>
            <w:tcW w:w="1120" w:type="dxa"/>
            <w:vAlign w:val="bottom"/>
          </w:tcPr>
          <w:p>
            <w:pPr>
              <w:spacing w:after="0"/>
              <w:rPr>
                <w:sz w:val="17"/>
                <w:szCs w:val="17"/>
                <w:color w:val="auto"/>
              </w:rPr>
            </w:pPr>
          </w:p>
        </w:tc>
        <w:tc>
          <w:tcPr>
            <w:tcW w:w="6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5</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w:t>
            </w:r>
          </w:p>
        </w:tc>
      </w:tr>
      <w:tr>
        <w:trPr>
          <w:trHeight w:val="202"/>
        </w:trPr>
        <w:tc>
          <w:tcPr>
            <w:tcW w:w="76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3</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w:t>
            </w:r>
          </w:p>
        </w:tc>
      </w:tr>
      <w:tr>
        <w:trPr>
          <w:trHeight w:val="203"/>
        </w:trPr>
        <w:tc>
          <w:tcPr>
            <w:tcW w:w="7660" w:type="dxa"/>
            <w:vAlign w:val="bottom"/>
          </w:tcPr>
          <w:p>
            <w:pPr>
              <w:ind w:left="280"/>
              <w:spacing w:after="0" w:line="202" w:lineRule="exact"/>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7"/>
                <w:szCs w:val="17"/>
                <w:color w:val="auto"/>
              </w:rPr>
            </w:pPr>
          </w:p>
        </w:tc>
        <w:tc>
          <w:tcPr>
            <w:tcW w:w="6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Changes in assets and liabilities:</w:t>
            </w:r>
          </w:p>
        </w:tc>
        <w:tc>
          <w:tcPr>
            <w:tcW w:w="1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r>
      <w:tr>
        <w:trPr>
          <w:trHeight w:val="203"/>
        </w:trPr>
        <w:tc>
          <w:tcPr>
            <w:tcW w:w="7660" w:type="dxa"/>
            <w:vAlign w:val="bottom"/>
          </w:tcPr>
          <w:p>
            <w:pPr>
              <w:ind w:left="280"/>
              <w:spacing w:after="0" w:line="202" w:lineRule="exact"/>
              <w:rPr>
                <w:sz w:val="20"/>
                <w:szCs w:val="20"/>
                <w:color w:val="auto"/>
              </w:rPr>
            </w:pPr>
            <w:r>
              <w:rPr>
                <w:rFonts w:ascii="Arial" w:cs="Arial" w:eastAsia="Arial" w:hAnsi="Arial"/>
                <w:sz w:val="18"/>
                <w:szCs w:val="18"/>
                <w:color w:val="auto"/>
              </w:rPr>
              <w:t>Accounts receivable</w:t>
            </w:r>
          </w:p>
        </w:tc>
        <w:tc>
          <w:tcPr>
            <w:tcW w:w="1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(44 )</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(66 )</w:t>
            </w:r>
          </w:p>
        </w:tc>
      </w:tr>
      <w:tr>
        <w:trPr>
          <w:trHeight w:val="203"/>
        </w:trPr>
        <w:tc>
          <w:tcPr>
            <w:tcW w:w="76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Inventories</w:t>
            </w:r>
          </w:p>
        </w:tc>
        <w:tc>
          <w:tcPr>
            <w:tcW w:w="1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(6 )</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(14 )</w:t>
            </w:r>
          </w:p>
        </w:tc>
      </w:tr>
      <w:tr>
        <w:trPr>
          <w:trHeight w:val="203"/>
        </w:trPr>
        <w:tc>
          <w:tcPr>
            <w:tcW w:w="7660" w:type="dxa"/>
            <w:vAlign w:val="bottom"/>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1120" w:type="dxa"/>
            <w:vAlign w:val="bottom"/>
          </w:tcPr>
          <w:p>
            <w:pPr>
              <w:spacing w:after="0"/>
              <w:rPr>
                <w:sz w:val="17"/>
                <w:szCs w:val="17"/>
                <w:color w:val="auto"/>
              </w:rPr>
            </w:pPr>
          </w:p>
        </w:tc>
        <w:tc>
          <w:tcPr>
            <w:tcW w:w="6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43</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w:t>
            </w:r>
          </w:p>
        </w:tc>
      </w:tr>
      <w:tr>
        <w:trPr>
          <w:trHeight w:val="203"/>
        </w:trPr>
        <w:tc>
          <w:tcPr>
            <w:tcW w:w="76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assets and liabilities</w:t>
            </w:r>
          </w:p>
        </w:tc>
        <w:tc>
          <w:tcPr>
            <w:tcW w:w="1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(16 )</w:t>
            </w:r>
          </w:p>
        </w:tc>
        <w:tc>
          <w:tcPr>
            <w:tcW w:w="1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34</w:t>
            </w:r>
          </w:p>
        </w:tc>
      </w:tr>
      <w:tr>
        <w:trPr>
          <w:trHeight w:val="196"/>
        </w:trPr>
        <w:tc>
          <w:tcPr>
            <w:tcW w:w="7660" w:type="dxa"/>
            <w:vAlign w:val="bottom"/>
          </w:tcPr>
          <w:p>
            <w:pPr>
              <w:ind w:left="5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120" w:type="dxa"/>
            <w:vAlign w:val="bottom"/>
          </w:tcPr>
          <w:p>
            <w:pPr>
              <w:spacing w:after="0"/>
              <w:rPr>
                <w:sz w:val="17"/>
                <w:szCs w:val="17"/>
                <w:color w:val="auto"/>
              </w:rPr>
            </w:pPr>
          </w:p>
        </w:tc>
        <w:tc>
          <w:tcPr>
            <w:tcW w:w="60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163</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131</w:t>
            </w: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r>
      <w:tr>
        <w:trPr>
          <w:trHeight w:val="203"/>
        </w:trPr>
        <w:tc>
          <w:tcPr>
            <w:tcW w:w="7660" w:type="dxa"/>
            <w:vAlign w:val="bottom"/>
          </w:tcPr>
          <w:p>
            <w:pPr>
              <w:ind w:left="280"/>
              <w:spacing w:after="0" w:line="202" w:lineRule="exact"/>
              <w:rPr>
                <w:sz w:val="20"/>
                <w:szCs w:val="20"/>
                <w:color w:val="auto"/>
              </w:rPr>
            </w:pPr>
            <w:r>
              <w:rPr>
                <w:rFonts w:ascii="Arial" w:cs="Arial" w:eastAsia="Arial" w:hAnsi="Arial"/>
                <w:sz w:val="18"/>
                <w:szCs w:val="18"/>
                <w:color w:val="auto"/>
              </w:rPr>
              <w:t>Business acquisitions</w:t>
            </w:r>
          </w:p>
        </w:tc>
        <w:tc>
          <w:tcPr>
            <w:tcW w:w="1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(23 )</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Additions of long-lived assets</w:t>
            </w:r>
          </w:p>
        </w:tc>
        <w:tc>
          <w:tcPr>
            <w:tcW w:w="1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(20 )</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(24 )</w:t>
            </w:r>
          </w:p>
        </w:tc>
      </w:tr>
      <w:tr>
        <w:trPr>
          <w:trHeight w:val="202"/>
        </w:trPr>
        <w:tc>
          <w:tcPr>
            <w:tcW w:w="7660" w:type="dxa"/>
            <w:vAlign w:val="bottom"/>
          </w:tcPr>
          <w:p>
            <w:pPr>
              <w:ind w:left="280"/>
              <w:spacing w:after="0" w:line="202" w:lineRule="exact"/>
              <w:rPr>
                <w:sz w:val="20"/>
                <w:szCs w:val="20"/>
                <w:color w:val="auto"/>
              </w:rPr>
            </w:pPr>
            <w:r>
              <w:rPr>
                <w:rFonts w:ascii="Arial" w:cs="Arial" w:eastAsia="Arial" w:hAnsi="Arial"/>
                <w:sz w:val="18"/>
                <w:szCs w:val="18"/>
                <w:color w:val="auto"/>
              </w:rPr>
              <w:t>Proceeds from technology-related investments</w:t>
            </w:r>
          </w:p>
        </w:tc>
        <w:tc>
          <w:tcPr>
            <w:tcW w:w="1120" w:type="dxa"/>
            <w:vAlign w:val="bottom"/>
          </w:tcPr>
          <w:p>
            <w:pPr>
              <w:spacing w:after="0"/>
              <w:rPr>
                <w:sz w:val="17"/>
                <w:szCs w:val="17"/>
                <w:color w:val="auto"/>
              </w:rPr>
            </w:pPr>
          </w:p>
        </w:tc>
        <w:tc>
          <w:tcPr>
            <w:tcW w:w="6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Investment in equity method investee</w:t>
            </w:r>
          </w:p>
        </w:tc>
        <w:tc>
          <w:tcPr>
            <w:tcW w:w="1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(1 )</w:t>
            </w:r>
          </w:p>
        </w:tc>
        <w:tc>
          <w:tcPr>
            <w:tcW w:w="1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7660" w:type="dxa"/>
            <w:vAlign w:val="bottom"/>
          </w:tcPr>
          <w:p>
            <w:pPr>
              <w:ind w:left="520"/>
              <w:spacing w:after="0" w:line="196" w:lineRule="exact"/>
              <w:rPr>
                <w:sz w:val="20"/>
                <w:szCs w:val="20"/>
                <w:color w:val="auto"/>
              </w:rPr>
            </w:pPr>
            <w:r>
              <w:rPr>
                <w:rFonts w:ascii="Arial" w:cs="Arial" w:eastAsia="Arial" w:hAnsi="Arial"/>
                <w:sz w:val="18"/>
                <w:szCs w:val="18"/>
                <w:color w:val="auto"/>
              </w:rPr>
              <w:t>Net cash used for investing activities</w:t>
            </w:r>
          </w:p>
        </w:tc>
        <w:tc>
          <w:tcPr>
            <w:tcW w:w="1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(38 )</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(24 )</w:t>
            </w:r>
          </w:p>
        </w:tc>
      </w:tr>
      <w:tr>
        <w:trPr>
          <w:trHeight w:val="202"/>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r>
      <w:tr>
        <w:trPr>
          <w:trHeight w:val="203"/>
        </w:trPr>
        <w:tc>
          <w:tcPr>
            <w:tcW w:w="7660" w:type="dxa"/>
            <w:vAlign w:val="bottom"/>
          </w:tcPr>
          <w:p>
            <w:pPr>
              <w:ind w:left="280"/>
              <w:spacing w:after="0" w:line="202" w:lineRule="exact"/>
              <w:rPr>
                <w:sz w:val="20"/>
                <w:szCs w:val="20"/>
                <w:color w:val="auto"/>
              </w:rPr>
            </w:pPr>
            <w:r>
              <w:rPr>
                <w:rFonts w:ascii="Arial" w:cs="Arial" w:eastAsia="Arial" w:hAnsi="Arial"/>
                <w:sz w:val="18"/>
                <w:szCs w:val="18"/>
                <w:color w:val="auto"/>
              </w:rPr>
              <w:t>Borrowings on revolving credit facility</w:t>
            </w:r>
          </w:p>
        </w:tc>
        <w:tc>
          <w:tcPr>
            <w:tcW w:w="1120" w:type="dxa"/>
            <w:vAlign w:val="bottom"/>
          </w:tcPr>
          <w:p>
            <w:pPr>
              <w:spacing w:after="0"/>
              <w:rPr>
                <w:sz w:val="17"/>
                <w:szCs w:val="17"/>
                <w:color w:val="auto"/>
              </w:rPr>
            </w:pPr>
          </w:p>
        </w:tc>
        <w:tc>
          <w:tcPr>
            <w:tcW w:w="6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95</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Payments on revolving credit facility</w:t>
            </w:r>
          </w:p>
        </w:tc>
        <w:tc>
          <w:tcPr>
            <w:tcW w:w="1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(95 )</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60" w:type="dxa"/>
            <w:vAlign w:val="bottom"/>
          </w:tcPr>
          <w:p>
            <w:pPr>
              <w:ind w:left="280"/>
              <w:spacing w:after="0" w:line="202" w:lineRule="exact"/>
              <w:rPr>
                <w:sz w:val="20"/>
                <w:szCs w:val="20"/>
                <w:color w:val="auto"/>
              </w:rPr>
            </w:pPr>
            <w:r>
              <w:rPr>
                <w:rFonts w:ascii="Arial" w:cs="Arial" w:eastAsia="Arial" w:hAnsi="Arial"/>
                <w:sz w:val="18"/>
                <w:szCs w:val="18"/>
                <w:color w:val="auto"/>
              </w:rPr>
              <w:t>Repurchases of common stock</w:t>
            </w:r>
          </w:p>
        </w:tc>
        <w:tc>
          <w:tcPr>
            <w:tcW w:w="1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(81 )</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(96 )</w:t>
            </w:r>
          </w:p>
        </w:tc>
      </w:tr>
      <w:tr>
        <w:trPr>
          <w:trHeight w:val="203"/>
        </w:trPr>
        <w:tc>
          <w:tcPr>
            <w:tcW w:w="76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Dividend payments</w:t>
            </w:r>
          </w:p>
        </w:tc>
        <w:tc>
          <w:tcPr>
            <w:tcW w:w="1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(20 )</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(21 )</w:t>
            </w:r>
          </w:p>
        </w:tc>
      </w:tr>
      <w:tr>
        <w:trPr>
          <w:trHeight w:val="203"/>
        </w:trPr>
        <w:tc>
          <w:tcPr>
            <w:tcW w:w="7660" w:type="dxa"/>
            <w:vAlign w:val="bottom"/>
          </w:tcPr>
          <w:p>
            <w:pPr>
              <w:ind w:left="280"/>
              <w:spacing w:after="0" w:line="202" w:lineRule="exact"/>
              <w:rPr>
                <w:sz w:val="20"/>
                <w:szCs w:val="20"/>
                <w:color w:val="auto"/>
              </w:rPr>
            </w:pPr>
            <w:r>
              <w:rPr>
                <w:rFonts w:ascii="Arial" w:cs="Arial" w:eastAsia="Arial" w:hAnsi="Arial"/>
                <w:sz w:val="18"/>
                <w:szCs w:val="18"/>
                <w:color w:val="auto"/>
              </w:rPr>
              <w:t>Taxes paid related to net share settlement of equity awards</w:t>
            </w:r>
          </w:p>
        </w:tc>
        <w:tc>
          <w:tcPr>
            <w:tcW w:w="1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(3 )</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(3 )</w:t>
            </w:r>
          </w:p>
        </w:tc>
      </w:tr>
      <w:tr>
        <w:trPr>
          <w:trHeight w:val="203"/>
        </w:trPr>
        <w:tc>
          <w:tcPr>
            <w:tcW w:w="76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Payments on long-term debt</w:t>
            </w:r>
          </w:p>
        </w:tc>
        <w:tc>
          <w:tcPr>
            <w:tcW w:w="1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(2 )</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r>
      <w:tr>
        <w:trPr>
          <w:trHeight w:val="203"/>
        </w:trPr>
        <w:tc>
          <w:tcPr>
            <w:tcW w:w="7660" w:type="dxa"/>
            <w:vAlign w:val="bottom"/>
          </w:tcPr>
          <w:p>
            <w:pPr>
              <w:ind w:left="280"/>
              <w:spacing w:after="0" w:line="202" w:lineRule="exact"/>
              <w:rPr>
                <w:sz w:val="20"/>
                <w:szCs w:val="20"/>
                <w:color w:val="auto"/>
              </w:rPr>
            </w:pPr>
            <w:r>
              <w:rPr>
                <w:rFonts w:ascii="Arial" w:cs="Arial" w:eastAsia="Arial" w:hAnsi="Arial"/>
                <w:sz w:val="18"/>
                <w:szCs w:val="18"/>
                <w:color w:val="auto"/>
              </w:rPr>
              <w:t>Proceeds from exercise of stock options</w:t>
            </w:r>
          </w:p>
        </w:tc>
        <w:tc>
          <w:tcPr>
            <w:tcW w:w="1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w:t>
            </w:r>
          </w:p>
        </w:tc>
      </w:tr>
      <w:tr>
        <w:trPr>
          <w:trHeight w:val="196"/>
        </w:trPr>
        <w:tc>
          <w:tcPr>
            <w:tcW w:w="766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Net cash used for financing activities</w:t>
            </w:r>
          </w:p>
        </w:tc>
        <w:tc>
          <w:tcPr>
            <w:tcW w:w="1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(106 )</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(121 )</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Effect of exchange rate changes on cash</w:t>
            </w:r>
          </w:p>
        </w:tc>
        <w:tc>
          <w:tcPr>
            <w:tcW w:w="1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(1 )</w:t>
            </w:r>
          </w:p>
        </w:tc>
        <w:tc>
          <w:tcPr>
            <w:tcW w:w="1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(1 )</w:t>
            </w:r>
          </w:p>
        </w:tc>
      </w:tr>
      <w:tr>
        <w:trPr>
          <w:trHeight w:val="196"/>
        </w:trPr>
        <w:tc>
          <w:tcPr>
            <w:tcW w:w="766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1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18</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(15 )</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127</w:t>
            </w:r>
          </w:p>
        </w:tc>
        <w:tc>
          <w:tcPr>
            <w:tcW w:w="1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310</w:t>
            </w:r>
          </w:p>
        </w:tc>
      </w:tr>
      <w:tr>
        <w:trPr>
          <w:trHeight w:val="23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1120" w:type="dxa"/>
            <w:vAlign w:val="bottom"/>
            <w:tcBorders>
              <w:bottom w:val="single" w:sz="8" w:color="auto"/>
            </w:tcBorders>
            <w:shd w:val="clear" w:color="auto" w:fill="CFF0FC"/>
          </w:tcPr>
          <w:p>
            <w:pPr>
              <w:jc w:val="right"/>
              <w:ind w:right="916"/>
              <w:spacing w:after="0" w:line="196" w:lineRule="exact"/>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145</w:t>
            </w:r>
          </w:p>
        </w:tc>
        <w:tc>
          <w:tcPr>
            <w:tcW w:w="18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890"/>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295</w:t>
            </w: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8"/>
                <w:szCs w:val="18"/>
                <w:color w:val="auto"/>
              </w:rPr>
              <w:t>Supplemental disclosures:</w:t>
            </w: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03"/>
        </w:trPr>
        <w:tc>
          <w:tcPr>
            <w:tcW w:w="766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Interest paid</w:t>
            </w:r>
          </w:p>
        </w:tc>
        <w:tc>
          <w:tcPr>
            <w:tcW w:w="1120" w:type="dxa"/>
            <w:vAlign w:val="bottom"/>
            <w:shd w:val="clear" w:color="auto" w:fill="CFF0FC"/>
          </w:tcPr>
          <w:p>
            <w:pPr>
              <w:jc w:val="right"/>
              <w:ind w:right="916"/>
              <w:spacing w:after="0" w:line="202" w:lineRule="exact"/>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26</w:t>
            </w:r>
          </w:p>
        </w:tc>
        <w:tc>
          <w:tcPr>
            <w:tcW w:w="1280" w:type="dxa"/>
            <w:vAlign w:val="bottom"/>
            <w:gridSpan w:val="2"/>
            <w:shd w:val="clear" w:color="auto" w:fill="CFF0FC"/>
          </w:tcPr>
          <w:p>
            <w:pPr>
              <w:jc w:val="right"/>
              <w:ind w:right="89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7</w:t>
            </w:r>
          </w:p>
        </w:tc>
      </w:tr>
      <w:tr>
        <w:trPr>
          <w:trHeight w:val="239"/>
        </w:trPr>
        <w:tc>
          <w:tcPr>
            <w:tcW w:w="7660" w:type="dxa"/>
            <w:vAlign w:val="bottom"/>
          </w:tcPr>
          <w:p>
            <w:pPr>
              <w:ind w:left="520"/>
              <w:spacing w:after="0"/>
              <w:rPr>
                <w:sz w:val="20"/>
                <w:szCs w:val="20"/>
                <w:color w:val="auto"/>
              </w:rPr>
            </w:pPr>
            <w:r>
              <w:rPr>
                <w:rFonts w:ascii="Arial" w:cs="Arial" w:eastAsia="Arial" w:hAnsi="Arial"/>
                <w:sz w:val="18"/>
                <w:szCs w:val="18"/>
                <w:color w:val="auto"/>
              </w:rPr>
              <w:t>Income taxes paid</w:t>
            </w:r>
          </w:p>
        </w:tc>
        <w:tc>
          <w:tcPr>
            <w:tcW w:w="1120" w:type="dxa"/>
            <w:vAlign w:val="bottom"/>
          </w:tcPr>
          <w:p>
            <w:pPr>
              <w:jc w:val="right"/>
              <w:ind w:right="916"/>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28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-3045460</wp:posOffset>
            </wp:positionV>
            <wp:extent cx="12001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-2265680</wp:posOffset>
            </wp:positionV>
            <wp:extent cx="12001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-433705</wp:posOffset>
            </wp:positionV>
            <wp:extent cx="120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-416560</wp:posOffset>
            </wp:positionV>
            <wp:extent cx="120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center"/>
              <w:ind w:right="192"/>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12"/>
              <w:spacing w:after="0"/>
              <w:rPr>
                <w:sz w:val="20"/>
                <w:szCs w:val="20"/>
                <w:color w:val="auto"/>
              </w:rPr>
            </w:pPr>
            <w:r>
              <w:rPr>
                <w:rFonts w:ascii="Arial" w:cs="Arial" w:eastAsia="Arial" w:hAnsi="Arial"/>
                <w:sz w:val="14"/>
                <w:szCs w:val="14"/>
                <w:b w:val="1"/>
                <w:bCs w:val="1"/>
                <w:color w:val="auto"/>
              </w:rPr>
              <w:t>Non-voting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52"/>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8"/>
              </w:rPr>
              <w:t>Common</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32"/>
              <w:spacing w:after="0" w:line="14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2"/>
                <w:szCs w:val="12"/>
                <w:color w:val="auto"/>
              </w:rPr>
            </w:pPr>
          </w:p>
        </w:tc>
        <w:tc>
          <w:tcPr>
            <w:tcW w:w="1220" w:type="dxa"/>
            <w:vAlign w:val="bottom"/>
            <w:gridSpan w:val="2"/>
            <w:vMerge w:val="restart"/>
          </w:tcPr>
          <w:p>
            <w:pPr>
              <w:jc w:val="right"/>
              <w:ind w:right="11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99"/>
              </w:rPr>
              <w:t>(Deficit)</w:t>
            </w:r>
          </w:p>
        </w:tc>
        <w:tc>
          <w:tcPr>
            <w:tcW w:w="100" w:type="dxa"/>
            <w:vAlign w:val="bottom"/>
          </w:tcPr>
          <w:p>
            <w:pPr>
              <w:spacing w:after="0"/>
              <w:rPr>
                <w:sz w:val="12"/>
                <w:szCs w:val="12"/>
                <w:color w:val="auto"/>
              </w:rPr>
            </w:pPr>
          </w:p>
        </w:tc>
        <w:tc>
          <w:tcPr>
            <w:tcW w:w="14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(Loss) Income, net</w:t>
            </w: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of tax</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ind w:left="60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1,818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(974 )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(89 )</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03"/>
        </w:trPr>
        <w:tc>
          <w:tcPr>
            <w:tcW w:w="3060" w:type="dxa"/>
            <w:vAlign w:val="bottom"/>
          </w:tcPr>
          <w:p>
            <w:pPr>
              <w:ind w:left="28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5"/>
        </w:trPr>
        <w:tc>
          <w:tcPr>
            <w:tcW w:w="306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Pension and OPEB liability</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adjustment</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ind w:left="60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ind w:left="52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(2 )</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175"/>
        </w:trPr>
        <w:tc>
          <w:tcPr>
            <w:tcW w:w="3060" w:type="dxa"/>
            <w:vAlign w:val="bottom"/>
          </w:tcPr>
          <w:p>
            <w:pPr>
              <w:ind w:left="280"/>
              <w:spacing w:after="0" w:line="175" w:lineRule="exact"/>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280"/>
              <w:spacing w:after="0" w:line="203" w:lineRule="exact"/>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60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ind w:left="52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(6 )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3"/>
        </w:trPr>
        <w:tc>
          <w:tcPr>
            <w:tcW w:w="30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3060" w:type="dxa"/>
            <w:vAlign w:val="bottom"/>
          </w:tcPr>
          <w:p>
            <w:pPr>
              <w:ind w:left="280"/>
              <w:spacing w:after="0" w:line="202" w:lineRule="exact"/>
              <w:rPr>
                <w:sz w:val="20"/>
                <w:szCs w:val="20"/>
                <w:color w:val="auto"/>
              </w:rPr>
            </w:pPr>
            <w:r>
              <w:rPr>
                <w:rFonts w:ascii="Arial" w:cs="Arial" w:eastAsia="Arial" w:hAnsi="Arial"/>
                <w:sz w:val="18"/>
                <w:szCs w:val="18"/>
                <w:color w:val="auto"/>
              </w:rPr>
              <w:t>Issuance of common stock</w:t>
            </w: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3"/>
        </w:trPr>
        <w:tc>
          <w:tcPr>
            <w:tcW w:w="30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Repurchase of common stock</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3"/>
        </w:trPr>
        <w:tc>
          <w:tcPr>
            <w:tcW w:w="3060" w:type="dxa"/>
            <w:vAlign w:val="bottom"/>
          </w:tcPr>
          <w:p>
            <w:pPr>
              <w:ind w:left="280"/>
              <w:spacing w:after="0" w:line="202" w:lineRule="exact"/>
              <w:rPr>
                <w:sz w:val="20"/>
                <w:szCs w:val="20"/>
                <w:color w:val="auto"/>
              </w:rPr>
            </w:pPr>
            <w:r>
              <w:rPr>
                <w:rFonts w:ascii="Arial" w:cs="Arial" w:eastAsia="Arial" w:hAnsi="Arial"/>
                <w:sz w:val="18"/>
                <w:szCs w:val="18"/>
                <w:color w:val="auto"/>
              </w:rPr>
              <w:t>Dividends on common stock</w:t>
            </w: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3"/>
        </w:trPr>
        <w:tc>
          <w:tcPr>
            <w:tcW w:w="30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ind w:left="60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ind w:left="52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120</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3060" w:type="dxa"/>
            <w:vAlign w:val="bottom"/>
          </w:tcPr>
          <w:p>
            <w:pPr>
              <w:ind w:left="20"/>
              <w:spacing w:after="0" w:line="196" w:lineRule="exact"/>
              <w:rPr>
                <w:sz w:val="20"/>
                <w:szCs w:val="20"/>
                <w:color w:val="auto"/>
              </w:rPr>
            </w:pPr>
            <w:r>
              <w:rPr>
                <w:rFonts w:ascii="Arial" w:cs="Arial" w:eastAsia="Arial" w:hAnsi="Arial"/>
                <w:sz w:val="18"/>
                <w:szCs w:val="18"/>
                <w:color w:val="auto"/>
              </w:rPr>
              <w:t>Balance at March 31, 2021</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ind w:left="60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ind w:left="52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1,820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(971 )</w:t>
            </w: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(86 )</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Balance at December 31, 2021</w:t>
            </w: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ind w:left="600"/>
              <w:spacing w:after="0" w:line="18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ind w:left="520"/>
              <w:spacing w:after="0" w:line="18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ind w:right="12"/>
              <w:spacing w:after="0" w:line="183" w:lineRule="exact"/>
              <w:rPr>
                <w:sz w:val="20"/>
                <w:szCs w:val="20"/>
                <w:color w:val="auto"/>
              </w:rPr>
            </w:pPr>
            <w:r>
              <w:rPr>
                <w:rFonts w:ascii="Arial" w:cs="Arial" w:eastAsia="Arial" w:hAnsi="Arial"/>
                <w:sz w:val="18"/>
                <w:szCs w:val="18"/>
                <w:color w:val="auto"/>
              </w:rPr>
              <w:t>1,832</w:t>
            </w: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(1,126 )</w:t>
            </w:r>
          </w:p>
        </w:tc>
        <w:tc>
          <w:tcPr>
            <w:tcW w:w="1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ind w:left="20"/>
              <w:spacing w:after="0" w:line="183"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(73 )</w:t>
            </w:r>
          </w:p>
        </w:tc>
        <w:tc>
          <w:tcPr>
            <w:tcW w:w="8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34"/>
              <w:spacing w:after="0" w:line="183"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ind w:right="11"/>
              <w:spacing w:after="0" w:line="183" w:lineRule="exact"/>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3"/>
        </w:trPr>
        <w:tc>
          <w:tcPr>
            <w:tcW w:w="3060" w:type="dxa"/>
            <w:vAlign w:val="bottom"/>
          </w:tcPr>
          <w:p>
            <w:pPr>
              <w:ind w:left="28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60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ind w:left="52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75"/>
        </w:trPr>
        <w:tc>
          <w:tcPr>
            <w:tcW w:w="306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Pension and OPEB liability</w:t>
            </w:r>
          </w:p>
        </w:tc>
        <w:tc>
          <w:tcPr>
            <w:tcW w:w="12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ind w:left="6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vMerge w:val="restart"/>
            <w:shd w:val="clear" w:color="auto" w:fill="CFF0FC"/>
          </w:tcPr>
          <w:p>
            <w:pPr>
              <w:ind w:lef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ind w:right="1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03"/>
        </w:trPr>
        <w:tc>
          <w:tcPr>
            <w:tcW w:w="306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adjustment</w:t>
            </w:r>
          </w:p>
        </w:tc>
        <w:tc>
          <w:tcPr>
            <w:tcW w:w="12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280"/>
              <w:spacing w:after="0" w:line="202" w:lineRule="exact"/>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60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ind w:left="52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03"/>
        </w:trPr>
        <w:tc>
          <w:tcPr>
            <w:tcW w:w="30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Issuance of common stock</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(3 )</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03"/>
        </w:trPr>
        <w:tc>
          <w:tcPr>
            <w:tcW w:w="3060" w:type="dxa"/>
            <w:vAlign w:val="bottom"/>
          </w:tcPr>
          <w:p>
            <w:pPr>
              <w:ind w:left="280"/>
              <w:spacing w:after="0" w:line="202" w:lineRule="exact"/>
              <w:rPr>
                <w:sz w:val="20"/>
                <w:szCs w:val="20"/>
                <w:color w:val="auto"/>
              </w:rPr>
            </w:pPr>
            <w:r>
              <w:rPr>
                <w:rFonts w:ascii="Arial" w:cs="Arial" w:eastAsia="Arial" w:hAnsi="Arial"/>
                <w:sz w:val="18"/>
                <w:szCs w:val="18"/>
                <w:color w:val="auto"/>
              </w:rPr>
              <w:t>Repurchase of common stock</w:t>
            </w: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60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ind w:left="52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(81 )</w:t>
            </w:r>
          </w:p>
        </w:tc>
        <w:tc>
          <w:tcPr>
            <w:tcW w:w="0" w:type="dxa"/>
            <w:vAlign w:val="bottom"/>
          </w:tcPr>
          <w:p>
            <w:pPr>
              <w:spacing w:after="0"/>
              <w:rPr>
                <w:sz w:val="1"/>
                <w:szCs w:val="1"/>
                <w:color w:val="auto"/>
              </w:rPr>
            </w:pPr>
          </w:p>
        </w:tc>
      </w:tr>
      <w:tr>
        <w:trPr>
          <w:trHeight w:val="203"/>
        </w:trPr>
        <w:tc>
          <w:tcPr>
            <w:tcW w:w="30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Dividends on common stock</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(20 )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(20 )</w:t>
            </w:r>
          </w:p>
        </w:tc>
        <w:tc>
          <w:tcPr>
            <w:tcW w:w="0" w:type="dxa"/>
            <w:vAlign w:val="bottom"/>
          </w:tcPr>
          <w:p>
            <w:pPr>
              <w:spacing w:after="0"/>
              <w:rPr>
                <w:sz w:val="1"/>
                <w:szCs w:val="1"/>
                <w:color w:val="auto"/>
              </w:rPr>
            </w:pPr>
          </w:p>
        </w:tc>
      </w:tr>
      <w:tr>
        <w:trPr>
          <w:trHeight w:val="203"/>
        </w:trPr>
        <w:tc>
          <w:tcPr>
            <w:tcW w:w="3060" w:type="dxa"/>
            <w:vAlign w:val="bottom"/>
          </w:tcPr>
          <w:p>
            <w:pPr>
              <w:ind w:left="280"/>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60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52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36"/>
        </w:trPr>
        <w:tc>
          <w:tcPr>
            <w:tcW w:w="30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March 31, 2022</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FF0FC"/>
          </w:tcPr>
          <w:p>
            <w:pPr>
              <w:ind w:left="600"/>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FF0FC"/>
          </w:tcPr>
          <w:p>
            <w:pPr>
              <w:ind w:left="520"/>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b w:val="1"/>
                <w:bCs w:val="1"/>
                <w:color w:val="auto"/>
              </w:rPr>
              <w:t>1,832</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(1,098 )</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(56 )</w:t>
            </w: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679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-1462405</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-1462405</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-1462405</wp:posOffset>
            </wp:positionV>
            <wp:extent cx="6032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-1462405</wp:posOffset>
            </wp:positionV>
            <wp:extent cx="6032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-1462405</wp:posOffset>
            </wp:positionV>
            <wp:extent cx="5969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-1462405</wp:posOffset>
            </wp:positionV>
            <wp:extent cx="5969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596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59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59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596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Allison Transmission Holdings, Inc.</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166" w:lineRule="exact"/>
        <w:rPr>
          <w:sz w:val="20"/>
          <w:szCs w:val="20"/>
          <w:color w:val="auto"/>
        </w:rPr>
      </w:pPr>
    </w:p>
    <w:p>
      <w:pPr>
        <w:ind w:right="60" w:firstLine="499"/>
        <w:spacing w:after="0" w:line="285" w:lineRule="auto"/>
        <w:rPr>
          <w:sz w:val="20"/>
          <w:szCs w:val="20"/>
          <w:color w:val="auto"/>
        </w:rPr>
      </w:pPr>
      <w:r>
        <w:rPr>
          <w:rFonts w:ascii="Arial" w:cs="Arial" w:eastAsia="Arial" w:hAnsi="Arial"/>
          <w:sz w:val="18"/>
          <w:szCs w:val="18"/>
          <w:color w:val="auto"/>
        </w:rPr>
        <w:t>Allison Transmission Holdings, Inc. and its subsidiaries (“Allison” or the “Company”)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97" w:lineRule="exact"/>
        <w:rPr>
          <w:sz w:val="20"/>
          <w:szCs w:val="20"/>
          <w:color w:val="auto"/>
        </w:rPr>
      </w:pPr>
    </w:p>
    <w:p>
      <w:pPr>
        <w:jc w:val="both"/>
        <w:ind w:right="220" w:firstLine="499"/>
        <w:spacing w:after="0" w:line="287" w:lineRule="auto"/>
        <w:rPr>
          <w:sz w:val="20"/>
          <w:szCs w:val="20"/>
          <w:color w:val="auto"/>
        </w:rPr>
      </w:pPr>
      <w:r>
        <w:rPr>
          <w:rFonts w:ascii="Arial" w:cs="Arial" w:eastAsia="Arial" w:hAnsi="Arial"/>
          <w:sz w:val="18"/>
          <w:szCs w:val="18"/>
          <w:color w:val="auto"/>
        </w:rPr>
        <w:t>Although approximately 76% of revenues were generated in North America in 2021, the Company has a global presence by serving customers in Asia, Europe, South America and Africa. The Company serves customers through an independent network of approximately 1,400 independent distributor and dealer locations worldwide.</w:t>
      </w:r>
    </w:p>
    <w:p>
      <w:pPr>
        <w:spacing w:after="0" w:line="94" w:lineRule="exact"/>
        <w:rPr>
          <w:sz w:val="20"/>
          <w:szCs w:val="20"/>
          <w:color w:val="auto"/>
        </w:rPr>
      </w:pPr>
    </w:p>
    <w:p>
      <w:pPr>
        <w:ind w:firstLine="499"/>
        <w:spacing w:after="0" w:line="283" w:lineRule="auto"/>
        <w:rPr>
          <w:sz w:val="20"/>
          <w:szCs w:val="20"/>
          <w:color w:val="auto"/>
        </w:rPr>
      </w:pPr>
      <w:r>
        <w:rPr>
          <w:rFonts w:ascii="Arial" w:cs="Arial" w:eastAsia="Arial" w:hAnsi="Arial"/>
          <w:sz w:val="18"/>
          <w:szCs w:val="18"/>
          <w:color w:val="auto"/>
        </w:rPr>
        <w:t>During the first quarter of 2022, the COVID-19 pandemic continued to cause supply chain, labor and raw material constraints that created volatility in the Company's performance and impacted global markets and supply chains. As a result, the Company experienced, and expects to continue to experience, raw material and component part price inflation, increased freight and logistics costs and increased overtime expense as a result of labor shortages. In addition, despite increased customer demand the Company's net sales for the first quarter of 2022 were negatively impacted as a result of its customers’ inability to secure components from the broader commercial vehicle supply base which resulted in reduced commercial vehicle build schedules. The Company expects that commercial vehicle build schedules will continue to be negatively impacted by the availability of components.</w:t>
      </w:r>
    </w:p>
    <w:p>
      <w:pPr>
        <w:spacing w:after="0" w:line="101" w:lineRule="exact"/>
        <w:rPr>
          <w:sz w:val="20"/>
          <w:szCs w:val="20"/>
          <w:color w:val="auto"/>
        </w:rPr>
      </w:pPr>
    </w:p>
    <w:p>
      <w:pPr>
        <w:ind w:right="180" w:firstLine="499"/>
        <w:spacing w:after="0" w:line="284" w:lineRule="auto"/>
        <w:rPr>
          <w:sz w:val="20"/>
          <w:szCs w:val="20"/>
          <w:color w:val="auto"/>
        </w:rPr>
      </w:pPr>
      <w:r>
        <w:rPr>
          <w:rFonts w:ascii="Arial" w:cs="Arial" w:eastAsia="Arial" w:hAnsi="Arial"/>
          <w:sz w:val="18"/>
          <w:szCs w:val="18"/>
          <w:color w:val="auto"/>
        </w:rPr>
        <w:t>To limit the spread of variants and sub-variants of COVID-19, governments continue to take various actions that may impact the Company's employees, operations and supply base, including the administration or mandate of vaccinations, travel bans and restrictions, quarantines, curfews, stay-at-home orders, social distancing guidelines and business shutdowns and closures. The Company continues to take a variety of measures, when and where appropriate based on transmission rates and the presence of variants and sub-variants of COVID-19 in the locations in which it operates, to promote the safety and security of its employees and to maintain operations with as minimal impact as possible to our stakeholders.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66" w:lineRule="exact"/>
        <w:rPr>
          <w:sz w:val="20"/>
          <w:szCs w:val="20"/>
          <w:color w:val="auto"/>
        </w:rPr>
      </w:pPr>
    </w:p>
    <w:p>
      <w:pPr>
        <w:ind w:right="40" w:firstLine="499"/>
        <w:spacing w:after="0" w:line="284"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2" w:right="39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27"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These condensed consolidated financial statements present the financial position, results of comprehensive income, cash flows and statements of stockholders’ equity of the Company. Certain immaterial reclassifications have been made in the condensed consolidated financial statements of prior periods to conform to the current period presentation. These reclassifications had no material impact on previously reported net income, total stockholders’ equity or cash flows. The condensed consolidated financial statements should be read in conjunction with the audited consolidated financial statements included in the Company’s Form 10-K for the year ended December 31, 2021 as filed with the Securities and Exchange Commission on February 17, 2022. The interim period financial results for the three-month periods presented are not necessarily indicative of results to be expected for any other interim period or for the entire year.</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6" w:lineRule="exact"/>
        <w:rPr>
          <w:sz w:val="20"/>
          <w:szCs w:val="20"/>
          <w:color w:val="auto"/>
        </w:rPr>
      </w:pPr>
    </w:p>
    <w:p>
      <w:pPr>
        <w:ind w:firstLine="494"/>
        <w:spacing w:after="0" w:line="28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 life intangibles, definite life intangibles, long-lived asset impairment tests, useful lives for depreciation and amortization, warranty liabilities, core deposit liabilities, environmental liabilities, determination of discount rate and other assumptions for pension and other post-retirement benefit ("OPEB") expense, determination of discount rate and period for leases,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Due to the uncertainty surrounding global economic conditions, including the ongoing COVID-19 pandemic and its impact on our supply chain, demand for our products, and the cost and availability of raw materials, labor, and transport, actual results could differ materially from these estimates and assumptions used in preparation of the financial statements including, but not limited to, future cash flows associated with goodwill, indefinite life intangibles, definite life intangibles, long-lived impairment tests, determination of discount rate and other assumptions for pension and OPEB expense and income taxes. Changes in estimates are recorded in results of operations in the period that the events or circumstances giving rise to such changes occur.</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66" w:lineRule="exact"/>
        <w:rPr>
          <w:sz w:val="20"/>
          <w:szCs w:val="20"/>
          <w:color w:val="auto"/>
        </w:rPr>
      </w:pPr>
    </w:p>
    <w:p>
      <w:pPr>
        <w:ind w:right="100" w:firstLine="499"/>
        <w:spacing w:after="0" w:line="285" w:lineRule="auto"/>
        <w:rPr>
          <w:sz w:val="20"/>
          <w:szCs w:val="20"/>
          <w:color w:val="auto"/>
        </w:rPr>
      </w:pPr>
      <w:r>
        <w:rPr>
          <w:rFonts w:ascii="Arial" w:cs="Arial" w:eastAsia="Arial" w:hAnsi="Arial"/>
          <w:sz w:val="18"/>
          <w:szCs w:val="18"/>
          <w:color w:val="auto"/>
        </w:rPr>
        <w:t>In October 2021, the Financial Accounting Standards Board ("FASB") issued authoritative accounting guidance that requires contract assets and contract liabilities acquired in a business combination to be recognized as if the acquirer originated the contracts. The guidance will be effective for the Company in fiscal year 2023, and the Company does not plan to early adopt. The guidance will be applied prospectively to acquisitions occurring on or after the effective date.</w:t>
      </w: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52" w:right="41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REVENUE</w:t>
      </w:r>
    </w:p>
    <w:p>
      <w:pPr>
        <w:spacing w:after="0" w:line="153" w:lineRule="exact"/>
        <w:rPr>
          <w:sz w:val="20"/>
          <w:szCs w:val="20"/>
          <w:color w:val="auto"/>
        </w:rPr>
      </w:pPr>
    </w:p>
    <w:p>
      <w:pPr>
        <w:ind w:right="20" w:firstLine="494"/>
        <w:spacing w:after="0" w:line="284" w:lineRule="auto"/>
        <w:rPr>
          <w:sz w:val="20"/>
          <w:szCs w:val="20"/>
          <w:color w:val="auto"/>
        </w:rPr>
      </w:pPr>
      <w:r>
        <w:rPr>
          <w:rFonts w:ascii="Arial" w:cs="Arial" w:eastAsia="Arial" w:hAnsi="Arial"/>
          <w:sz w:val="18"/>
          <w:szCs w:val="18"/>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96" w:lineRule="exact"/>
        <w:rPr>
          <w:sz w:val="20"/>
          <w:szCs w:val="20"/>
          <w:color w:val="auto"/>
        </w:rPr>
      </w:pPr>
    </w:p>
    <w:p>
      <w:pPr>
        <w:ind w:right="200" w:firstLine="494"/>
        <w:spacing w:after="0" w:line="287" w:lineRule="auto"/>
        <w:rPr>
          <w:sz w:val="20"/>
          <w:szCs w:val="20"/>
          <w:color w:val="auto"/>
        </w:rPr>
      </w:pPr>
      <w:r>
        <w:rPr>
          <w:rFonts w:ascii="Arial" w:cs="Arial" w:eastAsia="Arial" w:hAnsi="Arial"/>
          <w:sz w:val="18"/>
          <w:szCs w:val="18"/>
          <w:color w:val="auto"/>
        </w:rPr>
        <w:t>Some of the Company's contracts include multiple performance obligations, most commonly the sale of both a transmission and extended transmission coverage ("ETC"). The Company allocates the contract’s transaction price to each performance obligation based on the standalone selling price of each distinct good or service in the contract.</w:t>
      </w:r>
    </w:p>
    <w:p>
      <w:pPr>
        <w:spacing w:after="0" w:line="94" w:lineRule="exact"/>
        <w:rPr>
          <w:sz w:val="20"/>
          <w:szCs w:val="20"/>
          <w:color w:val="auto"/>
        </w:rPr>
      </w:pPr>
    </w:p>
    <w:p>
      <w:pPr>
        <w:ind w:right="480" w:firstLine="494"/>
        <w:spacing w:after="0" w:line="284" w:lineRule="auto"/>
        <w:rPr>
          <w:sz w:val="20"/>
          <w:szCs w:val="20"/>
          <w:color w:val="auto"/>
        </w:rPr>
      </w:pPr>
      <w:r>
        <w:rPr>
          <w:rFonts w:ascii="Arial" w:cs="Arial" w:eastAsia="Arial" w:hAnsi="Arial"/>
          <w:sz w:val="18"/>
          <w:szCs w:val="18"/>
          <w:color w:val="auto"/>
        </w:rPr>
        <w:t>The Company may also use volume-based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historically on a quarterly basis. The Company estimates the impact of all other incentives based on the related sales and market conditions in the end market vocation. The Company recorded no material adjustments based on variable consideration during either of the three months ended March 31, 2022 or 2021.</w:t>
      </w:r>
    </w:p>
    <w:p>
      <w:pPr>
        <w:spacing w:after="0" w:line="98" w:lineRule="exact"/>
        <w:rPr>
          <w:sz w:val="20"/>
          <w:szCs w:val="20"/>
          <w:color w:val="auto"/>
        </w:rPr>
      </w:pPr>
    </w:p>
    <w:p>
      <w:pPr>
        <w:ind w:right="60" w:firstLine="494"/>
        <w:spacing w:after="0" w:line="284" w:lineRule="auto"/>
        <w:rPr>
          <w:sz w:val="20"/>
          <w:szCs w:val="20"/>
          <w:color w:val="auto"/>
        </w:rPr>
      </w:pPr>
      <w:r>
        <w:rPr>
          <w:rFonts w:ascii="Arial" w:cs="Arial" w:eastAsia="Arial" w:hAnsi="Arial"/>
          <w:sz w:val="18"/>
          <w:szCs w:val="18"/>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March 31, 2022 and December 31, 2021. See "Note J. Deferred Revenue” for more information, including the amount of revenue earned during each of the three months ended March 31, 2022 and 2021 that had been previously deferred. The Company had no material contract assets as of either March 31, 2022 or December 31, 2021.</w:t>
      </w:r>
    </w:p>
    <w:p>
      <w:pPr>
        <w:spacing w:after="0" w:line="98" w:lineRule="exact"/>
        <w:rPr>
          <w:sz w:val="20"/>
          <w:szCs w:val="20"/>
          <w:color w:val="auto"/>
        </w:rPr>
      </w:pPr>
    </w:p>
    <w:p>
      <w:pPr>
        <w:jc w:val="both"/>
        <w:ind w:right="80" w:firstLine="494"/>
        <w:spacing w:after="0" w:line="287" w:lineRule="auto"/>
        <w:rPr>
          <w:sz w:val="20"/>
          <w:szCs w:val="20"/>
          <w:color w:val="auto"/>
        </w:rPr>
      </w:pPr>
      <w:r>
        <w:rPr>
          <w:rFonts w:ascii="Arial" w:cs="Arial" w:eastAsia="Arial" w:hAnsi="Arial"/>
          <w:sz w:val="18"/>
          <w:szCs w:val="18"/>
          <w:color w:val="auto"/>
        </w:rPr>
        <w:t>The Company has one operating segment and reportable segment. The Company is in one line of business, which is the manufacture and distribution of vehicle propulsion solutions. The following presents disaggregated revenue by categories that best depict how the nature, amount, timing and uncertainty of revenue and cash flows are affected by economic factors (dollars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169"/>
        </w:trPr>
        <w:tc>
          <w:tcPr>
            <w:tcW w:w="4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40" w:type="dxa"/>
            <w:vAlign w:val="bottom"/>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4"/>
                <w:szCs w:val="14"/>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r>
      <w:tr>
        <w:trPr>
          <w:trHeight w:val="196"/>
        </w:trPr>
        <w:tc>
          <w:tcPr>
            <w:tcW w:w="4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North America On-Highway</w:t>
            </w:r>
          </w:p>
        </w:tc>
        <w:tc>
          <w:tcPr>
            <w:tcW w:w="310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ind w:right="959"/>
              <w:spacing w:after="0" w:line="196" w:lineRule="exact"/>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346</w:t>
            </w:r>
          </w:p>
        </w:tc>
        <w:tc>
          <w:tcPr>
            <w:tcW w:w="16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ind w:right="930"/>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319</w:t>
            </w: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North America Off-Highway</w:t>
            </w:r>
          </w:p>
        </w:tc>
        <w:tc>
          <w:tcPr>
            <w:tcW w:w="3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18</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4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Defense</w:t>
            </w:r>
          </w:p>
        </w:tc>
        <w:tc>
          <w:tcPr>
            <w:tcW w:w="3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35</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w:t>
            </w: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Outside North America On-Highway</w:t>
            </w:r>
          </w:p>
        </w:tc>
        <w:tc>
          <w:tcPr>
            <w:tcW w:w="3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109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r>
      <w:tr>
        <w:trPr>
          <w:trHeight w:val="203"/>
        </w:trPr>
        <w:tc>
          <w:tcPr>
            <w:tcW w:w="4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Outside North America Off-Highway</w:t>
            </w:r>
          </w:p>
        </w:tc>
        <w:tc>
          <w:tcPr>
            <w:tcW w:w="3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30</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Service Parts, Support Equipment and Other</w:t>
            </w:r>
          </w:p>
        </w:tc>
        <w:tc>
          <w:tcPr>
            <w:tcW w:w="3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139</w:t>
            </w:r>
          </w:p>
        </w:tc>
        <w:tc>
          <w:tcPr>
            <w:tcW w:w="1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w:t>
            </w:r>
          </w:p>
        </w:tc>
      </w:tr>
      <w:tr>
        <w:trPr>
          <w:trHeight w:val="236"/>
        </w:trPr>
        <w:tc>
          <w:tcPr>
            <w:tcW w:w="4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Net Sales</w:t>
            </w:r>
          </w:p>
        </w:tc>
        <w:tc>
          <w:tcPr>
            <w:tcW w:w="31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959"/>
              <w:spacing w:after="0" w:line="196" w:lineRule="exact"/>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677</w:t>
            </w:r>
          </w:p>
        </w:tc>
        <w:tc>
          <w:tcPr>
            <w:tcW w:w="16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930"/>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588</w:t>
            </w:r>
          </w:p>
        </w:tc>
      </w:tr>
      <w:tr>
        <w:trPr>
          <w:trHeight w:val="615"/>
        </w:trPr>
        <w:tc>
          <w:tcPr>
            <w:tcW w:w="4580" w:type="dxa"/>
            <w:vAlign w:val="bottom"/>
          </w:tcPr>
          <w:p>
            <w:pPr>
              <w:spacing w:after="0"/>
              <w:rPr>
                <w:sz w:val="24"/>
                <w:szCs w:val="24"/>
                <w:color w:val="auto"/>
              </w:rPr>
            </w:pPr>
          </w:p>
        </w:tc>
        <w:tc>
          <w:tcPr>
            <w:tcW w:w="3100" w:type="dxa"/>
            <w:vAlign w:val="bottom"/>
          </w:tcPr>
          <w:p>
            <w:pPr>
              <w:jc w:val="right"/>
              <w:ind w:right="191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28"/>
        </w:trPr>
        <w:tc>
          <w:tcPr>
            <w:tcW w:w="4580" w:type="dxa"/>
            <w:vAlign w:val="bottom"/>
            <w:tcBorders>
              <w:bottom w:val="single" w:sz="8" w:color="9A9A9A"/>
            </w:tcBorders>
          </w:tcPr>
          <w:p>
            <w:pPr>
              <w:spacing w:after="0"/>
              <w:rPr>
                <w:sz w:val="11"/>
                <w:szCs w:val="11"/>
                <w:color w:val="auto"/>
              </w:rPr>
            </w:pPr>
          </w:p>
        </w:tc>
        <w:tc>
          <w:tcPr>
            <w:tcW w:w="3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-522605</wp:posOffset>
            </wp:positionV>
            <wp:extent cx="1117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-505460</wp:posOffset>
            </wp:positionV>
            <wp:extent cx="1117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INVENTORIES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315"/>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660" w:type="dxa"/>
            <w:vAlign w:val="bottom"/>
          </w:tcPr>
          <w:p>
            <w:pPr>
              <w:spacing w:after="0"/>
              <w:rPr>
                <w:sz w:val="16"/>
                <w:szCs w:val="16"/>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Purchased parts and raw materials</w:t>
            </w:r>
          </w:p>
        </w:tc>
        <w:tc>
          <w:tcPr>
            <w:tcW w:w="1240" w:type="dxa"/>
            <w:vAlign w:val="bottom"/>
            <w:shd w:val="clear" w:color="auto" w:fill="CFF0FC"/>
          </w:tcPr>
          <w:p>
            <w:pPr>
              <w:jc w:val="right"/>
              <w:ind w:right="1039"/>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105</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Work in progress</w:t>
            </w:r>
          </w:p>
        </w:tc>
        <w:tc>
          <w:tcPr>
            <w:tcW w:w="1240" w:type="dxa"/>
            <w:vAlign w:val="bottom"/>
          </w:tcPr>
          <w:p>
            <w:pPr>
              <w:spacing w:after="0"/>
              <w:rPr>
                <w:sz w:val="17"/>
                <w:szCs w:val="17"/>
                <w:color w:val="auto"/>
              </w:rPr>
            </w:pPr>
          </w:p>
        </w:tc>
        <w:tc>
          <w:tcPr>
            <w:tcW w:w="4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Service parts</w:t>
            </w:r>
          </w:p>
        </w:tc>
        <w:tc>
          <w:tcPr>
            <w:tcW w:w="124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42</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Finished goods</w:t>
            </w:r>
          </w:p>
        </w:tc>
        <w:tc>
          <w:tcPr>
            <w:tcW w:w="1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55</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w:t>
            </w:r>
          </w:p>
        </w:tc>
      </w:tr>
      <w:tr>
        <w:trPr>
          <w:trHeight w:val="236"/>
        </w:trPr>
        <w:tc>
          <w:tcPr>
            <w:tcW w:w="766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inventories</w:t>
            </w:r>
          </w:p>
        </w:tc>
        <w:tc>
          <w:tcPr>
            <w:tcW w:w="1240" w:type="dxa"/>
            <w:vAlign w:val="bottom"/>
            <w:tcBorders>
              <w:bottom w:val="single" w:sz="8" w:color="auto"/>
            </w:tcBorders>
            <w:shd w:val="clear" w:color="auto" w:fill="CFF0FC"/>
          </w:tcPr>
          <w:p>
            <w:pPr>
              <w:jc w:val="right"/>
              <w:ind w:right="1039"/>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210</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-24765</wp:posOffset>
            </wp:positionV>
            <wp:extent cx="120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20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36" w:lineRule="exact"/>
        <w:rPr>
          <w:sz w:val="20"/>
          <w:szCs w:val="20"/>
          <w:color w:val="auto"/>
        </w:rPr>
      </w:pPr>
    </w:p>
    <w:p>
      <w:pPr>
        <w:ind w:right="200" w:firstLine="494"/>
        <w:spacing w:after="0" w:line="287"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GOODWILL AND OTHER INTANGIBLE ASSETS</w:t>
      </w:r>
    </w:p>
    <w:p>
      <w:pPr>
        <w:spacing w:after="0" w:line="153" w:lineRule="exact"/>
        <w:rPr>
          <w:sz w:val="20"/>
          <w:szCs w:val="20"/>
          <w:color w:val="auto"/>
        </w:rPr>
      </w:pPr>
    </w:p>
    <w:p>
      <w:pPr>
        <w:ind w:right="240" w:firstLine="494"/>
        <w:spacing w:after="0" w:line="293" w:lineRule="auto"/>
        <w:rPr>
          <w:sz w:val="20"/>
          <w:szCs w:val="20"/>
          <w:color w:val="auto"/>
        </w:rPr>
      </w:pPr>
      <w:r>
        <w:rPr>
          <w:rFonts w:ascii="Arial" w:cs="Arial" w:eastAsia="Arial" w:hAnsi="Arial"/>
          <w:sz w:val="18"/>
          <w:szCs w:val="18"/>
          <w:color w:val="auto"/>
        </w:rPr>
        <w:t>As of March 31, 2022 and December 31, 2021, the carrying value of the Company’s Goodwill was $2,077 million and $2,064 million, respectively.</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Intangible</w:t>
            </w:r>
          </w:p>
        </w:tc>
        <w:tc>
          <w:tcPr>
            <w:tcW w:w="100" w:type="dxa"/>
            <w:vAlign w:val="bottom"/>
          </w:tcPr>
          <w:p>
            <w:pPr>
              <w:spacing w:after="0"/>
              <w:rPr>
                <w:sz w:val="11"/>
                <w:szCs w:val="11"/>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9"/>
              </w:rPr>
              <w:t>Intangible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115"/>
              <w:spacing w:after="0" w:line="129" w:lineRule="exact"/>
              <w:rPr>
                <w:sz w:val="20"/>
                <w:szCs w:val="20"/>
                <w:color w:val="auto"/>
              </w:rPr>
            </w:pPr>
            <w:r>
              <w:rPr>
                <w:rFonts w:ascii="Arial" w:cs="Arial" w:eastAsia="Arial" w:hAnsi="Arial"/>
                <w:sz w:val="14"/>
                <w:szCs w:val="14"/>
                <w:b w:val="1"/>
                <w:bCs w:val="1"/>
                <w:color w:val="auto"/>
              </w:rPr>
              <w:t>Intangible</w:t>
            </w:r>
          </w:p>
        </w:tc>
        <w:tc>
          <w:tcPr>
            <w:tcW w:w="100" w:type="dxa"/>
            <w:vAlign w:val="bottom"/>
          </w:tcPr>
          <w:p>
            <w:pPr>
              <w:spacing w:after="0"/>
              <w:rPr>
                <w:sz w:val="11"/>
                <w:szCs w:val="11"/>
                <w:color w:val="auto"/>
              </w:rPr>
            </w:pPr>
          </w:p>
        </w:tc>
        <w:tc>
          <w:tcPr>
            <w:tcW w:w="12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9"/>
              </w:rPr>
              <w:t>Intangible</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 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2"/>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0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assets, net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15"/>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amortization</w:t>
            </w:r>
          </w:p>
        </w:tc>
        <w:tc>
          <w:tcPr>
            <w:tcW w:w="10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assets, net</w:t>
            </w:r>
          </w:p>
        </w:tc>
        <w:tc>
          <w:tcPr>
            <w:tcW w:w="0" w:type="dxa"/>
            <w:vAlign w:val="bottom"/>
          </w:tcPr>
          <w:p>
            <w:pPr>
              <w:spacing w:after="0"/>
              <w:rPr>
                <w:sz w:val="1"/>
                <w:szCs w:val="1"/>
                <w:color w:val="auto"/>
              </w:rPr>
            </w:pPr>
          </w:p>
        </w:tc>
      </w:tr>
      <w:tr>
        <w:trPr>
          <w:trHeight w:val="196"/>
        </w:trPr>
        <w:tc>
          <w:tcPr>
            <w:tcW w:w="4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intangible assets:</w:t>
            </w: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Trade name</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791</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791</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791</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02"/>
        </w:trPr>
        <w:tc>
          <w:tcPr>
            <w:tcW w:w="4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In-process research and development</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 — commercial</w:t>
            </w:r>
          </w:p>
        </w:tc>
        <w:tc>
          <w:tcPr>
            <w:tcW w:w="120" w:type="dxa"/>
            <w:vAlign w:val="bottom"/>
          </w:tcPr>
          <w:p>
            <w:pPr>
              <w:spacing w:after="0"/>
              <w:rPr>
                <w:sz w:val="17"/>
                <w:szCs w:val="17"/>
                <w:color w:val="auto"/>
              </w:rPr>
            </w:pP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839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(761 )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(751 )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Proprietary technology</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484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(477 )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478</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(477 )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 — defense</w:t>
            </w:r>
          </w:p>
        </w:tc>
        <w:tc>
          <w:tcPr>
            <w:tcW w:w="120" w:type="dxa"/>
            <w:vAlign w:val="bottom"/>
          </w:tcPr>
          <w:p>
            <w:pPr>
              <w:spacing w:after="0"/>
              <w:rPr>
                <w:sz w:val="17"/>
                <w:szCs w:val="17"/>
                <w:color w:val="auto"/>
              </w:rPr>
            </w:pP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Non-compete agreements</w:t>
            </w: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280" w:type="dxa"/>
            <w:vAlign w:val="bottom"/>
          </w:tcPr>
          <w:p>
            <w:pPr>
              <w:ind w:left="280"/>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2,202</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(1,289 )</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913</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2,195</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(1,278 )</w:t>
            </w:r>
          </w:p>
        </w:tc>
        <w:tc>
          <w:tcPr>
            <w:tcW w:w="1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-159385</wp:posOffset>
            </wp:positionV>
            <wp:extent cx="685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-159385</wp:posOffset>
            </wp:positionV>
            <wp:extent cx="685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-159385</wp:posOffset>
            </wp:positionV>
            <wp:extent cx="6032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-159385</wp:posOffset>
            </wp:positionV>
            <wp:extent cx="6032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-159385</wp:posOffset>
            </wp:positionV>
            <wp:extent cx="5969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36" w:lineRule="exact"/>
        <w:rPr>
          <w:sz w:val="20"/>
          <w:szCs w:val="20"/>
          <w:color w:val="auto"/>
        </w:rPr>
      </w:pPr>
    </w:p>
    <w:p>
      <w:pPr>
        <w:ind w:right="260" w:firstLine="494"/>
        <w:spacing w:after="0" w:line="293" w:lineRule="auto"/>
        <w:rPr>
          <w:sz w:val="20"/>
          <w:szCs w:val="20"/>
          <w:color w:val="auto"/>
        </w:rPr>
      </w:pPr>
      <w:r>
        <w:rPr>
          <w:rFonts w:ascii="Arial" w:cs="Arial" w:eastAsia="Arial" w:hAnsi="Arial"/>
          <w:sz w:val="18"/>
          <w:szCs w:val="18"/>
          <w:color w:val="auto"/>
        </w:rPr>
        <w:t>As of March 31, 2022 and December 31, 2021, the carrying value of the Company’s Goodwill and Intangible assets, net was $2,990 million and $2,981 million, respectively.</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other intangible assets for the next five fiscal years is expected to be (dollars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9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16"/>
                <w:szCs w:val="16"/>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2025</w:t>
            </w:r>
          </w:p>
        </w:tc>
        <w:tc>
          <w:tcPr>
            <w:tcW w:w="320" w:type="dxa"/>
            <w:vAlign w:val="bottom"/>
          </w:tcPr>
          <w:p>
            <w:pPr>
              <w:spacing w:after="0"/>
              <w:rPr>
                <w:sz w:val="16"/>
                <w:szCs w:val="16"/>
                <w:color w:val="auto"/>
              </w:rPr>
            </w:pPr>
          </w:p>
        </w:tc>
        <w:tc>
          <w:tcPr>
            <w:tcW w:w="940" w:type="dxa"/>
            <w:vAlign w:val="bottom"/>
            <w:gridSpan w:val="3"/>
          </w:tcPr>
          <w:p>
            <w:pPr>
              <w:ind w:left="500"/>
              <w:spacing w:after="0"/>
              <w:rPr>
                <w:sz w:val="20"/>
                <w:szCs w:val="20"/>
                <w:color w:val="auto"/>
              </w:rPr>
            </w:pPr>
            <w:r>
              <w:rPr>
                <w:rFonts w:ascii="Arial" w:cs="Arial" w:eastAsia="Arial" w:hAnsi="Arial"/>
                <w:sz w:val="14"/>
                <w:szCs w:val="14"/>
                <w:b w:val="1"/>
                <w:bCs w:val="1"/>
                <w:color w:val="auto"/>
              </w:rPr>
              <w:t>2026</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333"/>
              <w:spacing w:after="0"/>
              <w:rPr>
                <w:sz w:val="20"/>
                <w:szCs w:val="20"/>
                <w:color w:val="auto"/>
              </w:rPr>
            </w:pPr>
            <w:r>
              <w:rPr>
                <w:rFonts w:ascii="Arial" w:cs="Arial" w:eastAsia="Arial" w:hAnsi="Arial"/>
                <w:sz w:val="14"/>
                <w:szCs w:val="14"/>
                <w:b w:val="1"/>
                <w:bCs w:val="1"/>
                <w:color w:val="auto"/>
                <w:w w:val="96"/>
              </w:rPr>
              <w:t>2027</w:t>
            </w:r>
          </w:p>
        </w:tc>
      </w:tr>
      <w:tr>
        <w:trPr>
          <w:trHeight w:val="236"/>
        </w:trPr>
        <w:tc>
          <w:tcPr>
            <w:tcW w:w="50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Amortization expense</w:t>
            </w: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45</w:t>
            </w:r>
          </w:p>
        </w:tc>
        <w:tc>
          <w:tcPr>
            <w:tcW w:w="1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ind w:right="63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r>
      <w:tr>
        <w:trPr>
          <w:trHeight w:val="318"/>
        </w:trPr>
        <w:tc>
          <w:tcPr>
            <w:tcW w:w="11240" w:type="dxa"/>
            <w:vAlign w:val="bottom"/>
            <w:gridSpan w:val="16"/>
          </w:tcPr>
          <w:p>
            <w:pPr>
              <w:ind w:left="500"/>
              <w:spacing w:after="0"/>
              <w:rPr>
                <w:sz w:val="20"/>
                <w:szCs w:val="20"/>
                <w:color w:val="auto"/>
              </w:rPr>
            </w:pPr>
            <w:r>
              <w:rPr>
                <w:rFonts w:ascii="Arial" w:cs="Arial" w:eastAsia="Arial" w:hAnsi="Arial"/>
                <w:sz w:val="18"/>
                <w:szCs w:val="18"/>
                <w:color w:val="auto"/>
              </w:rPr>
              <w:t>The following presents a summary of the changes in the goodwill of the Company's single operating and reporting segment (dollars in</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millions):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540"/>
        </w:trPr>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center"/>
              <w:ind w:left="99"/>
              <w:spacing w:after="0"/>
              <w:rPr>
                <w:sz w:val="20"/>
                <w:szCs w:val="20"/>
                <w:color w:val="auto"/>
              </w:rPr>
            </w:pPr>
            <w:r>
              <w:rPr>
                <w:rFonts w:ascii="Arial" w:cs="Arial" w:eastAsia="Arial" w:hAnsi="Arial"/>
                <w:sz w:val="14"/>
                <w:szCs w:val="14"/>
                <w:b w:val="1"/>
                <w:bCs w:val="1"/>
                <w:color w:val="auto"/>
              </w:rPr>
              <w:t>Goodwill</w:t>
            </w:r>
          </w:p>
        </w:tc>
        <w:tc>
          <w:tcPr>
            <w:tcW w:w="740" w:type="dxa"/>
            <w:vAlign w:val="bottom"/>
            <w:tcBorders>
              <w:bottom w:val="single" w:sz="8" w:color="auto"/>
            </w:tcBorders>
          </w:tcPr>
          <w:p>
            <w:pPr>
              <w:spacing w:after="0"/>
              <w:rPr>
                <w:sz w:val="24"/>
                <w:szCs w:val="24"/>
                <w:color w:val="auto"/>
              </w:rPr>
            </w:pPr>
          </w:p>
        </w:tc>
      </w:tr>
      <w:tr>
        <w:trPr>
          <w:trHeight w:val="196"/>
        </w:trPr>
        <w:tc>
          <w:tcPr>
            <w:tcW w:w="5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spacing w:after="0"/>
              <w:rPr>
                <w:sz w:val="17"/>
                <w:szCs w:val="17"/>
                <w:color w:val="auto"/>
              </w:rPr>
            </w:pPr>
          </w:p>
        </w:tc>
        <w:tc>
          <w:tcPr>
            <w:tcW w:w="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2,064</w:t>
            </w:r>
          </w:p>
        </w:tc>
      </w:tr>
      <w:tr>
        <w:trPr>
          <w:trHeight w:val="203"/>
        </w:trPr>
        <w:tc>
          <w:tcPr>
            <w:tcW w:w="5080" w:type="dxa"/>
            <w:vAlign w:val="bottom"/>
          </w:tcPr>
          <w:p>
            <w:pPr>
              <w:ind w:left="140"/>
              <w:spacing w:after="0" w:line="202" w:lineRule="exact"/>
              <w:rPr>
                <w:sz w:val="20"/>
                <w:szCs w:val="20"/>
                <w:color w:val="auto"/>
              </w:rPr>
            </w:pPr>
            <w:r>
              <w:rPr>
                <w:rFonts w:ascii="Arial" w:cs="Arial" w:eastAsia="Arial" w:hAnsi="Arial"/>
                <w:sz w:val="18"/>
                <w:szCs w:val="18"/>
                <w:color w:val="auto"/>
              </w:rPr>
              <w:t>Acquisitions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w:t>
            </w:r>
          </w:p>
        </w:tc>
      </w:tr>
      <w:tr>
        <w:trPr>
          <w:trHeight w:val="203"/>
        </w:trPr>
        <w:tc>
          <w:tcPr>
            <w:tcW w:w="508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r>
      <w:tr>
        <w:trPr>
          <w:trHeight w:val="196"/>
        </w:trPr>
        <w:tc>
          <w:tcPr>
            <w:tcW w:w="5080" w:type="dxa"/>
            <w:vAlign w:val="bottom"/>
          </w:tcPr>
          <w:p>
            <w:pPr>
              <w:ind w:left="20"/>
              <w:spacing w:after="0" w:line="196" w:lineRule="exact"/>
              <w:rPr>
                <w:sz w:val="20"/>
                <w:szCs w:val="20"/>
                <w:color w:val="auto"/>
              </w:rPr>
            </w:pPr>
            <w:r>
              <w:rPr>
                <w:rFonts w:ascii="Arial" w:cs="Arial" w:eastAsia="Arial" w:hAnsi="Arial"/>
                <w:sz w:val="18"/>
                <w:szCs w:val="18"/>
                <w:color w:val="auto"/>
              </w:rPr>
              <w:t>Net current period impact to goodwill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3"/>
          </w:tcPr>
          <w:p>
            <w:pPr>
              <w:ind w:left="460"/>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13</w:t>
            </w:r>
          </w:p>
        </w:tc>
      </w:tr>
      <w:tr>
        <w:trPr>
          <w:trHeight w:val="196"/>
        </w:trPr>
        <w:tc>
          <w:tcPr>
            <w:tcW w:w="5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March 31, 2022</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2,077</w:t>
            </w:r>
          </w:p>
        </w:tc>
      </w:tr>
      <w:tr>
        <w:trPr>
          <w:trHeight w:val="823"/>
        </w:trPr>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41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29"/>
        </w:trPr>
        <w:tc>
          <w:tcPr>
            <w:tcW w:w="50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-2022475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-2005330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-2022475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-2005330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-2022475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-2005330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-2022475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-2005330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FAIR VALUE OF FINANCIAL INSTRUMENTS</w:t>
      </w:r>
    </w:p>
    <w:p>
      <w:pPr>
        <w:spacing w:after="0" w:line="153" w:lineRule="exact"/>
        <w:rPr>
          <w:sz w:val="20"/>
          <w:szCs w:val="20"/>
          <w:color w:val="auto"/>
        </w:rPr>
      </w:pPr>
    </w:p>
    <w:p>
      <w:pPr>
        <w:ind w:right="120" w:firstLine="494"/>
        <w:spacing w:after="0" w:line="283" w:lineRule="auto"/>
        <w:rPr>
          <w:sz w:val="20"/>
          <w:szCs w:val="20"/>
          <w:color w:val="auto"/>
        </w:rPr>
      </w:pPr>
      <w:r>
        <w:rPr>
          <w:rFonts w:ascii="Arial" w:cs="Arial" w:eastAsia="Arial" w:hAnsi="Arial"/>
          <w:sz w:val="18"/>
          <w:szCs w:val="18"/>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97" w:lineRule="exact"/>
        <w:rPr>
          <w:sz w:val="20"/>
          <w:szCs w:val="20"/>
          <w:color w:val="auto"/>
        </w:rPr>
      </w:pPr>
    </w:p>
    <w:p>
      <w:pPr>
        <w:ind w:right="300" w:firstLine="494"/>
        <w:spacing w:after="0" w:line="287"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94" w:lineRule="exact"/>
        <w:rPr>
          <w:sz w:val="20"/>
          <w:szCs w:val="20"/>
          <w:color w:val="auto"/>
        </w:rPr>
      </w:pPr>
    </w:p>
    <w:p>
      <w:pPr>
        <w:ind w:right="20" w:firstLine="494"/>
        <w:spacing w:after="0" w:line="283" w:lineRule="auto"/>
        <w:rPr>
          <w:sz w:val="20"/>
          <w:szCs w:val="20"/>
          <w:color w:val="auto"/>
        </w:rPr>
      </w:pPr>
      <w:r>
        <w:rPr>
          <w:rFonts w:ascii="Arial" w:cs="Arial" w:eastAsia="Arial" w:hAnsi="Arial"/>
          <w:sz w:val="18"/>
          <w:szCs w:val="18"/>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01"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March 31, 2022 and December 31, 2021, the Company did not have any Level 3 financial assets or liabilities.</w:t>
      </w:r>
    </w:p>
    <w:p>
      <w:pPr>
        <w:spacing w:after="0" w:line="98" w:lineRule="exact"/>
        <w:rPr>
          <w:sz w:val="20"/>
          <w:szCs w:val="20"/>
          <w:color w:val="auto"/>
        </w:rPr>
      </w:pPr>
    </w:p>
    <w:p>
      <w:pPr>
        <w:ind w:right="100" w:firstLine="494"/>
        <w:spacing w:after="0" w:line="284" w:lineRule="auto"/>
        <w:rPr>
          <w:sz w:val="20"/>
          <w:szCs w:val="20"/>
          <w:color w:val="auto"/>
        </w:rPr>
      </w:pPr>
      <w:r>
        <w:rPr>
          <w:rFonts w:ascii="Arial" w:cs="Arial" w:eastAsia="Arial" w:hAnsi="Arial"/>
          <w:sz w:val="18"/>
          <w:szCs w:val="18"/>
          <w:color w:val="auto"/>
        </w:rPr>
        <w:t>The Company’s assets and liabilities that are measured at fair value include marketable securities, derivative instruments, assets held in a rabbi trust and a deferred compensation obligation. The Company's marketable securities consist of publicly traded stock of Jing-Jin Electric Technologies Co. Ltd., which has a readily determinable fair value.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98" w:lineRule="exact"/>
        <w:rPr>
          <w:sz w:val="20"/>
          <w:szCs w:val="20"/>
          <w:color w:val="auto"/>
        </w:rPr>
      </w:pPr>
    </w:p>
    <w:p>
      <w:pPr>
        <w:ind w:right="240" w:firstLine="494"/>
        <w:spacing w:after="0" w:line="285" w:lineRule="auto"/>
        <w:rPr>
          <w:sz w:val="20"/>
          <w:szCs w:val="20"/>
          <w:color w:val="auto"/>
        </w:rPr>
      </w:pPr>
      <w:r>
        <w:rPr>
          <w:rFonts w:ascii="Arial" w:cs="Arial" w:eastAsia="Arial" w:hAnsi="Arial"/>
          <w:sz w:val="18"/>
          <w:szCs w:val="18"/>
          <w:color w:val="auto"/>
        </w:rPr>
        <w:t>The Company’s valuation techniques used to calculate the fair value of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97" w:lineRule="exact"/>
        <w:rPr>
          <w:sz w:val="20"/>
          <w:szCs w:val="20"/>
          <w:color w:val="auto"/>
        </w:rPr>
      </w:pPr>
    </w:p>
    <w:p>
      <w:pPr>
        <w:ind w:right="20" w:firstLine="494"/>
        <w:spacing w:after="0" w:line="287" w:lineRule="auto"/>
        <w:rPr>
          <w:sz w:val="20"/>
          <w:szCs w:val="20"/>
          <w:color w:val="auto"/>
        </w:rPr>
      </w:pPr>
      <w:r>
        <w:rPr>
          <w:rFonts w:ascii="Arial" w:cs="Arial" w:eastAsia="Arial" w:hAnsi="Arial"/>
          <w:sz w:val="18"/>
          <w:szCs w:val="18"/>
          <w:color w:val="auto"/>
        </w:rPr>
        <w:t>The Company uses valuations from the issuing financial institutions for the fair value measurement of interest rate swaps. The floating-to-fixed interest rate swaps are based on the London Interbank Offered Rate (“LIBOR”), which is observable at commonly quoted intervals. The fair values are included in other current and non-current assets and liabilities in the Condensed Consolidated Balance Sheets.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27" w:lineRule="exact"/>
        <w:rPr>
          <w:sz w:val="20"/>
          <w:szCs w:val="20"/>
          <w:color w:val="auto"/>
        </w:rPr>
      </w:pPr>
    </w:p>
    <w:p>
      <w:pPr>
        <w:ind w:right="240" w:firstLine="494"/>
        <w:spacing w:after="0" w:line="293"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March 31, 2022 and December 31, 2021 (dollars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Fair Value Measurements Using</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920" w:type="dxa"/>
            <w:vAlign w:val="bottom"/>
          </w:tcPr>
          <w:p>
            <w:pPr>
              <w:spacing w:after="0"/>
              <w:rPr>
                <w:sz w:val="11"/>
                <w:szCs w:val="11"/>
                <w:color w:val="auto"/>
              </w:rPr>
            </w:pPr>
          </w:p>
        </w:tc>
        <w:tc>
          <w:tcPr>
            <w:tcW w:w="2300" w:type="dxa"/>
            <w:vAlign w:val="bottom"/>
            <w:gridSpan w:val="4"/>
          </w:tcPr>
          <w:p>
            <w:pPr>
              <w:jc w:val="center"/>
              <w:ind w:left="283"/>
              <w:spacing w:after="0" w:line="129" w:lineRule="exact"/>
              <w:rPr>
                <w:sz w:val="20"/>
                <w:szCs w:val="20"/>
                <w:color w:val="auto"/>
              </w:rPr>
            </w:pPr>
            <w:r>
              <w:rPr>
                <w:rFonts w:ascii="Arial" w:cs="Arial" w:eastAsia="Arial" w:hAnsi="Arial"/>
                <w:sz w:val="14"/>
                <w:szCs w:val="14"/>
                <w:b w:val="1"/>
                <w:bCs w:val="1"/>
                <w:color w:val="auto"/>
              </w:rPr>
              <w:t>Quoted Prices in Active</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0" w:type="dxa"/>
            <w:vAlign w:val="bottom"/>
            <w:gridSpan w:val="4"/>
          </w:tcPr>
          <w:p>
            <w:pPr>
              <w:jc w:val="center"/>
              <w:ind w:left="80"/>
              <w:spacing w:after="0" w:line="129" w:lineRule="exact"/>
              <w:rPr>
                <w:sz w:val="20"/>
                <w:szCs w:val="20"/>
                <w:color w:val="auto"/>
              </w:rPr>
            </w:pPr>
            <w:r>
              <w:rPr>
                <w:rFonts w:ascii="Arial" w:cs="Arial" w:eastAsia="Arial" w:hAnsi="Arial"/>
                <w:sz w:val="14"/>
                <w:szCs w:val="14"/>
                <w:b w:val="1"/>
                <w:bCs w:val="1"/>
                <w:color w:val="auto"/>
              </w:rPr>
              <w:t>Significant Other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2300" w:type="dxa"/>
            <w:vAlign w:val="bottom"/>
            <w:gridSpan w:val="4"/>
          </w:tcPr>
          <w:p>
            <w:pPr>
              <w:jc w:val="center"/>
              <w:ind w:left="263"/>
              <w:spacing w:after="0" w:line="149" w:lineRule="exact"/>
              <w:rPr>
                <w:sz w:val="20"/>
                <w:szCs w:val="20"/>
                <w:color w:val="auto"/>
              </w:rPr>
            </w:pPr>
            <w:r>
              <w:rPr>
                <w:rFonts w:ascii="Arial" w:cs="Arial" w:eastAsia="Arial" w:hAnsi="Arial"/>
                <w:sz w:val="14"/>
                <w:szCs w:val="14"/>
                <w:b w:val="1"/>
                <w:bCs w:val="1"/>
                <w:color w:val="auto"/>
              </w:rPr>
              <w:t>Markets for Identical</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4"/>
          </w:tcPr>
          <w:p>
            <w:pPr>
              <w:jc w:val="center"/>
              <w:ind w:left="60"/>
              <w:spacing w:after="0" w:line="149" w:lineRule="exact"/>
              <w:rPr>
                <w:sz w:val="20"/>
                <w:szCs w:val="20"/>
                <w:color w:val="auto"/>
              </w:rPr>
            </w:pPr>
            <w:r>
              <w:rPr>
                <w:rFonts w:ascii="Arial" w:cs="Arial" w:eastAsia="Arial" w:hAnsi="Arial"/>
                <w:sz w:val="14"/>
                <w:szCs w:val="14"/>
                <w:b w:val="1"/>
                <w:bCs w:val="1"/>
                <w:color w:val="auto"/>
              </w:rPr>
              <w:t>Observable Inputs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2300" w:type="dxa"/>
            <w:vAlign w:val="bottom"/>
            <w:tcBorders>
              <w:bottom w:val="single" w:sz="8" w:color="auto"/>
            </w:tcBorders>
            <w:gridSpan w:val="4"/>
          </w:tcPr>
          <w:p>
            <w:pPr>
              <w:jc w:val="center"/>
              <w:ind w:left="283"/>
              <w:spacing w:after="0"/>
              <w:rPr>
                <w:sz w:val="20"/>
                <w:szCs w:val="20"/>
                <w:color w:val="auto"/>
              </w:rPr>
            </w:pPr>
            <w:r>
              <w:rPr>
                <w:rFonts w:ascii="Arial" w:cs="Arial" w:eastAsia="Arial" w:hAnsi="Arial"/>
                <w:sz w:val="14"/>
                <w:szCs w:val="14"/>
                <w:b w:val="1"/>
                <w:bCs w:val="1"/>
                <w:color w:val="auto"/>
              </w:rPr>
              <w:t>Assets (Level 1)</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center"/>
              <w:ind w:left="60"/>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vMerge w:val="continue"/>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92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right"/>
              <w:ind w:right="130"/>
              <w:spacing w:after="0" w:line="12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right"/>
              <w:ind w:right="300"/>
              <w:spacing w:after="0" w:line="129"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1"/>
                <w:szCs w:val="11"/>
                <w:color w:val="auto"/>
              </w:rPr>
            </w:pPr>
          </w:p>
        </w:tc>
        <w:tc>
          <w:tcPr>
            <w:tcW w:w="1240" w:type="dxa"/>
            <w:vAlign w:val="bottom"/>
            <w:gridSpan w:val="3"/>
          </w:tcPr>
          <w:p>
            <w:pPr>
              <w:jc w:val="right"/>
              <w:ind w:right="95"/>
              <w:spacing w:after="0" w:line="12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940" w:type="dxa"/>
            <w:vAlign w:val="bottom"/>
            <w:gridSpan w:val="2"/>
          </w:tcPr>
          <w:p>
            <w:pPr>
              <w:ind w:left="260"/>
              <w:spacing w:after="0" w:line="129"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113"/>
              <w:spacing w:after="0" w:line="129"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10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2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Marketable securities</w:t>
            </w:r>
          </w:p>
        </w:tc>
        <w:tc>
          <w:tcPr>
            <w:tcW w:w="960" w:type="dxa"/>
            <w:vAlign w:val="bottom"/>
            <w:tcBorders>
              <w:top w:val="single" w:sz="8" w:color="auto"/>
            </w:tcBorders>
            <w:shd w:val="clear" w:color="auto" w:fill="CFF0FC"/>
          </w:tcPr>
          <w:p>
            <w:pPr>
              <w:jc w:val="right"/>
              <w:ind w:right="763"/>
              <w:spacing w:after="0" w:line="196" w:lineRule="exact"/>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ind w:right="636"/>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ind w:right="236"/>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ind w:right="616"/>
              <w:spacing w:after="0" w:line="196" w:lineRule="exact"/>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line="202" w:lineRule="exact"/>
              <w:rPr>
                <w:sz w:val="20"/>
                <w:szCs w:val="20"/>
                <w:color w:val="auto"/>
              </w:rPr>
            </w:pPr>
            <w:r>
              <w:rPr>
                <w:rFonts w:ascii="Arial" w:cs="Arial" w:eastAsia="Arial" w:hAnsi="Arial"/>
                <w:sz w:val="18"/>
                <w:szCs w:val="18"/>
                <w:color w:val="auto"/>
              </w:rPr>
              <w:t>Derivative liabilities, net</w:t>
            </w:r>
          </w:p>
        </w:tc>
        <w:tc>
          <w:tcPr>
            <w:tcW w:w="960" w:type="dxa"/>
            <w:vAlign w:val="bottom"/>
          </w:tcPr>
          <w:p>
            <w:pPr>
              <w:spacing w:after="0"/>
              <w:rPr>
                <w:sz w:val="17"/>
                <w:szCs w:val="17"/>
                <w:color w:val="auto"/>
              </w:rPr>
            </w:pPr>
          </w:p>
        </w:tc>
        <w:tc>
          <w:tcPr>
            <w:tcW w:w="3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(6 )</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1"/>
              </w:rPr>
              <w:t>(31 )</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(6 )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Rabbi trust assets</w:t>
            </w: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line="202" w:lineRule="exact"/>
              <w:rPr>
                <w:sz w:val="20"/>
                <w:szCs w:val="20"/>
                <w:color w:val="auto"/>
              </w:rPr>
            </w:pPr>
            <w:r>
              <w:rPr>
                <w:rFonts w:ascii="Arial" w:cs="Arial" w:eastAsia="Arial" w:hAnsi="Arial"/>
                <w:sz w:val="18"/>
                <w:szCs w:val="18"/>
                <w:color w:val="auto"/>
              </w:rPr>
              <w:t>Deferred compensation obligation</w:t>
            </w:r>
          </w:p>
        </w:tc>
        <w:tc>
          <w:tcPr>
            <w:tcW w:w="9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91"/>
              </w:rPr>
              <w:t>(18 )</w:t>
            </w:r>
          </w:p>
        </w:tc>
        <w:tc>
          <w:tcPr>
            <w:tcW w:w="1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(19 )</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w w:val="86"/>
              </w:rPr>
              <w:t>(18 )</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6"/>
        </w:trPr>
        <w:tc>
          <w:tcPr>
            <w:tcW w:w="292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FF0FC"/>
          </w:tcPr>
          <w:p>
            <w:pPr>
              <w:jc w:val="right"/>
              <w:ind w:right="763"/>
              <w:spacing w:after="0" w:line="196" w:lineRule="exact"/>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636"/>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46</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(6 )</w:t>
            </w:r>
          </w:p>
        </w:tc>
        <w:tc>
          <w:tcPr>
            <w:tcW w:w="1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36"/>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1"/>
              </w:rPr>
              <w:t>(31 )</w:t>
            </w:r>
          </w:p>
        </w:tc>
        <w:tc>
          <w:tcPr>
            <w:tcW w:w="12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616"/>
              <w:spacing w:after="0" w:line="196" w:lineRule="exact"/>
              <w:rPr>
                <w:sz w:val="20"/>
                <w:szCs w:val="20"/>
                <w:color w:val="auto"/>
              </w:rPr>
            </w:pPr>
            <w:r>
              <w:rPr>
                <w:rFonts w:ascii="Arial" w:cs="Arial" w:eastAsia="Arial" w:hAnsi="Arial"/>
                <w:sz w:val="18"/>
                <w:szCs w:val="18"/>
                <w:b w:val="1"/>
                <w:bCs w:val="1"/>
                <w:color w:val="auto"/>
                <w:w w:val="79"/>
              </w:rPr>
              <w:t>$</w:t>
            </w:r>
          </w:p>
        </w:tc>
        <w:tc>
          <w:tcPr>
            <w:tcW w:w="14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669"/>
        </w:trPr>
        <w:tc>
          <w:tcPr>
            <w:tcW w:w="2920" w:type="dxa"/>
            <w:vAlign w:val="bottom"/>
          </w:tcPr>
          <w:p>
            <w:pPr>
              <w:spacing w:after="0"/>
              <w:rPr>
                <w:sz w:val="20"/>
                <w:szCs w:val="20"/>
                <w:color w:val="auto"/>
              </w:rPr>
            </w:pPr>
            <w:r>
              <w:rPr>
                <w:rFonts w:ascii="Arial" w:cs="Arial" w:eastAsia="Arial" w:hAnsi="Arial"/>
                <w:sz w:val="18"/>
                <w:szCs w:val="18"/>
                <w:b w:val="1"/>
                <w:bCs w:val="1"/>
                <w:color w:val="auto"/>
              </w:rPr>
              <w:t>NOTE G. DEBT</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660" w:type="dxa"/>
            <w:vAlign w:val="bottom"/>
            <w:gridSpan w:val="6"/>
          </w:tcPr>
          <w:p>
            <w:pPr>
              <w:ind w:left="500"/>
              <w:spacing w:after="0"/>
              <w:rPr>
                <w:sz w:val="20"/>
                <w:szCs w:val="20"/>
                <w:color w:val="auto"/>
              </w:rPr>
            </w:pPr>
            <w:r>
              <w:rPr>
                <w:rFonts w:ascii="Arial" w:cs="Arial" w:eastAsia="Arial" w:hAnsi="Arial"/>
                <w:sz w:val="18"/>
                <w:szCs w:val="18"/>
                <w:color w:val="auto"/>
                <w:w w:val="99"/>
              </w:rPr>
              <w:t>Long-term debt and maturities are as follows (dollars in millions):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3"/>
          </w:tcPr>
          <w:p>
            <w:pPr>
              <w:jc w:val="right"/>
              <w:ind w:right="33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2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Long-term debt:</w:t>
            </w: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Senior Secured Credit Facility Term Loan, variable, due 2026</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gridSpan w:val="3"/>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920" w:type="dxa"/>
            <w:vAlign w:val="bottom"/>
            <w:gridSpan w:val="2"/>
          </w:tcPr>
          <w:p>
            <w:pPr>
              <w:jc w:val="right"/>
              <w:ind w:right="36"/>
              <w:spacing w:after="0" w:line="202" w:lineRule="exact"/>
              <w:rPr>
                <w:sz w:val="20"/>
                <w:szCs w:val="20"/>
                <w:color w:val="auto"/>
              </w:rPr>
            </w:pPr>
            <w:r>
              <w:rPr>
                <w:rFonts w:ascii="Arial" w:cs="Arial" w:eastAsia="Arial" w:hAnsi="Arial"/>
                <w:sz w:val="18"/>
                <w:szCs w:val="18"/>
                <w:b w:val="1"/>
                <w:bCs w:val="1"/>
                <w:color w:val="auto"/>
              </w:rPr>
              <w:t>630</w:t>
            </w:r>
          </w:p>
        </w:tc>
        <w:tc>
          <w:tcPr>
            <w:tcW w:w="140" w:type="dxa"/>
            <w:vAlign w:val="bottom"/>
          </w:tcPr>
          <w:p>
            <w:pPr>
              <w:spacing w:after="0"/>
              <w:rPr>
                <w:sz w:val="17"/>
                <w:szCs w:val="17"/>
                <w:color w:val="auto"/>
              </w:rPr>
            </w:pPr>
          </w:p>
        </w:tc>
        <w:tc>
          <w:tcPr>
            <w:tcW w:w="34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Senior Notes, fixed 4.75%, due 2027</w:t>
            </w: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36"/>
              <w:spacing w:after="0" w:line="202" w:lineRule="exact"/>
              <w:rPr>
                <w:sz w:val="20"/>
                <w:szCs w:val="20"/>
                <w:color w:val="auto"/>
              </w:rPr>
            </w:pPr>
            <w:r>
              <w:rPr>
                <w:rFonts w:ascii="Arial" w:cs="Arial" w:eastAsia="Arial" w:hAnsi="Arial"/>
                <w:sz w:val="18"/>
                <w:szCs w:val="18"/>
                <w:b w:val="1"/>
                <w:bCs w:val="1"/>
                <w:color w:val="auto"/>
              </w:rPr>
              <w:t>400</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38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Senior Notes, fixed 5.875%, due 2029</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36"/>
              <w:spacing w:after="0" w:line="202" w:lineRule="exact"/>
              <w:rPr>
                <w:sz w:val="20"/>
                <w:szCs w:val="20"/>
                <w:color w:val="auto"/>
              </w:rPr>
            </w:pPr>
            <w:r>
              <w:rPr>
                <w:rFonts w:ascii="Arial" w:cs="Arial" w:eastAsia="Arial" w:hAnsi="Arial"/>
                <w:sz w:val="18"/>
                <w:szCs w:val="18"/>
                <w:b w:val="1"/>
                <w:bCs w:val="1"/>
                <w:color w:val="auto"/>
              </w:rPr>
              <w:t>500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3"/>
        </w:trPr>
        <w:tc>
          <w:tcPr>
            <w:tcW w:w="388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Senior Notes, fixed 3.75%, due 2031</w:t>
            </w:r>
          </w:p>
        </w:tc>
        <w:tc>
          <w:tcPr>
            <w:tcW w:w="3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2"/>
            <w:shd w:val="clear" w:color="auto" w:fill="CFF0FC"/>
          </w:tcPr>
          <w:p>
            <w:pPr>
              <w:jc w:val="right"/>
              <w:ind w:right="36"/>
              <w:spacing w:after="0" w:line="202" w:lineRule="exact"/>
              <w:rPr>
                <w:sz w:val="20"/>
                <w:szCs w:val="20"/>
                <w:color w:val="auto"/>
              </w:rPr>
            </w:pPr>
            <w:r>
              <w:rPr>
                <w:rFonts w:ascii="Arial" w:cs="Arial" w:eastAsia="Arial" w:hAnsi="Arial"/>
                <w:sz w:val="18"/>
                <w:szCs w:val="18"/>
                <w:b w:val="1"/>
                <w:bCs w:val="1"/>
                <w:color w:val="auto"/>
              </w:rPr>
              <w:t>1,000</w:t>
            </w:r>
          </w:p>
        </w:tc>
        <w:tc>
          <w:tcPr>
            <w:tcW w:w="1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96"/>
        </w:trPr>
        <w:tc>
          <w:tcPr>
            <w:tcW w:w="2920" w:type="dxa"/>
            <w:vAlign w:val="bottom"/>
          </w:tcPr>
          <w:p>
            <w:pPr>
              <w:ind w:left="280"/>
              <w:spacing w:after="0" w:line="196" w:lineRule="exact"/>
              <w:rPr>
                <w:sz w:val="20"/>
                <w:szCs w:val="20"/>
                <w:color w:val="auto"/>
              </w:rPr>
            </w:pPr>
            <w:r>
              <w:rPr>
                <w:rFonts w:ascii="Arial" w:cs="Arial" w:eastAsia="Arial" w:hAnsi="Arial"/>
                <w:sz w:val="18"/>
                <w:szCs w:val="18"/>
                <w:color w:val="auto"/>
              </w:rPr>
              <w:t>Total long-term debt</w:t>
            </w: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gridSpan w:val="3"/>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920" w:type="dxa"/>
            <w:vAlign w:val="bottom"/>
            <w:gridSpan w:val="2"/>
          </w:tcPr>
          <w:p>
            <w:pPr>
              <w:jc w:val="right"/>
              <w:ind w:right="36"/>
              <w:spacing w:after="0" w:line="196" w:lineRule="exact"/>
              <w:rPr>
                <w:sz w:val="20"/>
                <w:szCs w:val="20"/>
                <w:color w:val="auto"/>
              </w:rPr>
            </w:pPr>
            <w:r>
              <w:rPr>
                <w:rFonts w:ascii="Arial" w:cs="Arial" w:eastAsia="Arial" w:hAnsi="Arial"/>
                <w:sz w:val="18"/>
                <w:szCs w:val="18"/>
                <w:b w:val="1"/>
                <w:bCs w:val="1"/>
                <w:color w:val="auto"/>
              </w:rPr>
              <w:t>2,530</w:t>
            </w:r>
          </w:p>
        </w:tc>
        <w:tc>
          <w:tcPr>
            <w:tcW w:w="140" w:type="dxa"/>
            <w:vAlign w:val="bottom"/>
          </w:tcPr>
          <w:p>
            <w:pPr>
              <w:spacing w:after="0"/>
              <w:rPr>
                <w:sz w:val="17"/>
                <w:szCs w:val="17"/>
                <w:color w:val="auto"/>
              </w:rPr>
            </w:pPr>
          </w:p>
        </w:tc>
        <w:tc>
          <w:tcPr>
            <w:tcW w:w="340" w:type="dxa"/>
            <w:vAlign w:val="bottom"/>
            <w:gridSpan w:val="2"/>
          </w:tcPr>
          <w:p>
            <w:pPr>
              <w:jc w:val="right"/>
              <w:ind w:right="119"/>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3"/>
              <w:spacing w:after="0" w:line="196" w:lineRule="exact"/>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Less: current maturities of long-term debt</w:t>
            </w: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36"/>
              <w:spacing w:after="0" w:line="202" w:lineRule="exact"/>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920" w:type="dxa"/>
            <w:vAlign w:val="bottom"/>
          </w:tcPr>
          <w:p>
            <w:pPr>
              <w:ind w:left="520"/>
              <w:spacing w:after="0" w:line="202" w:lineRule="exact"/>
              <w:rPr>
                <w:sz w:val="20"/>
                <w:szCs w:val="20"/>
                <w:color w:val="auto"/>
              </w:rPr>
            </w:pPr>
            <w:r>
              <w:rPr>
                <w:rFonts w:ascii="Arial" w:cs="Arial" w:eastAsia="Arial" w:hAnsi="Arial"/>
                <w:sz w:val="18"/>
                <w:szCs w:val="18"/>
                <w:color w:val="auto"/>
              </w:rPr>
              <w:t>deferred financing costs, net</w:t>
            </w: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36"/>
              <w:spacing w:after="0" w:line="202" w:lineRule="exact"/>
              <w:rPr>
                <w:sz w:val="20"/>
                <w:szCs w:val="20"/>
                <w:color w:val="auto"/>
              </w:rPr>
            </w:pPr>
            <w:r>
              <w:rPr>
                <w:rFonts w:ascii="Arial" w:cs="Arial" w:eastAsia="Arial" w:hAnsi="Arial"/>
                <w:sz w:val="18"/>
                <w:szCs w:val="18"/>
                <w:b w:val="1"/>
                <w:bCs w:val="1"/>
                <w:color w:val="auto"/>
              </w:rPr>
              <w:t>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6"/>
        </w:trPr>
        <w:tc>
          <w:tcPr>
            <w:tcW w:w="292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long-term debt, net</w:t>
            </w:r>
          </w:p>
        </w:tc>
        <w:tc>
          <w:tcPr>
            <w:tcW w:w="9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gridSpan w:val="2"/>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gridSpan w:val="2"/>
            <w:shd w:val="clear" w:color="auto" w:fill="CFF0FC"/>
          </w:tcPr>
          <w:p>
            <w:pPr>
              <w:jc w:val="right"/>
              <w:ind w:right="36"/>
              <w:spacing w:after="0" w:line="196" w:lineRule="exact"/>
              <w:rPr>
                <w:sz w:val="20"/>
                <w:szCs w:val="20"/>
                <w:color w:val="auto"/>
              </w:rPr>
            </w:pPr>
            <w:r>
              <w:rPr>
                <w:rFonts w:ascii="Arial" w:cs="Arial" w:eastAsia="Arial" w:hAnsi="Arial"/>
                <w:sz w:val="18"/>
                <w:szCs w:val="18"/>
                <w:b w:val="1"/>
                <w:bCs w:val="1"/>
                <w:color w:val="auto"/>
              </w:rPr>
              <w:t>2,503</w:t>
            </w:r>
          </w:p>
        </w:tc>
        <w:tc>
          <w:tcPr>
            <w:tcW w:w="1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9"/>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-2211070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-2193925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-2211070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-2193925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-2211070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-2193925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-2211070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-2193925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-2211070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-2193925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-553720</wp:posOffset>
            </wp:positionV>
            <wp:extent cx="10287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028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028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36" w:lineRule="exact"/>
        <w:rPr>
          <w:sz w:val="20"/>
          <w:szCs w:val="20"/>
          <w:color w:val="auto"/>
        </w:rPr>
      </w:pPr>
    </w:p>
    <w:p>
      <w:pPr>
        <w:ind w:right="40" w:firstLine="494"/>
        <w:spacing w:after="0" w:line="283" w:lineRule="auto"/>
        <w:rPr>
          <w:sz w:val="20"/>
          <w:szCs w:val="20"/>
          <w:color w:val="auto"/>
        </w:rPr>
      </w:pPr>
      <w:r>
        <w:rPr>
          <w:rFonts w:ascii="Arial" w:cs="Arial" w:eastAsia="Arial" w:hAnsi="Arial"/>
          <w:sz w:val="18"/>
          <w:szCs w:val="18"/>
          <w:color w:val="auto"/>
        </w:rPr>
        <w:t>As of March 31, 2022, the Company had $2,530 million of indebtedness associated with Allison Transmission, Inc.’s (“ATI”), the Company’s wholly-owned subsidiary, 4.75% Senior Notes due October 2027 (“4.75% Senior Notes”), ATI’s 5.875% Senior Notes due June 2029 (“5.875% Senior Notes”), ATI’s 3.75% Senior Notes due January 2031 (“3.75% Senior Notes” and, together with the 4.75% Senior Notes and 5.875% Senior Notes, the “Senior Notes”) and the Second Amended and Restated Credit Agreement dated as of March 29, 2019, as amended (the “Credit Agreement”), governing ATI’s term loan facility in the amount of $630 million due March 2026 (“Term Loan”) and ATI’s revolving credit facility with commitments in the amount of $650 million due September 2025 (“Revolving Credit Facility” and, together with the Term Loan, the “Senior Secured Credit Facility”).</w:t>
      </w:r>
    </w:p>
    <w:p>
      <w:pPr>
        <w:spacing w:after="0" w:line="101" w:lineRule="exact"/>
        <w:rPr>
          <w:sz w:val="20"/>
          <w:szCs w:val="20"/>
          <w:color w:val="auto"/>
        </w:rPr>
      </w:pPr>
    </w:p>
    <w:p>
      <w:pPr>
        <w:ind w:right="20" w:firstLine="494"/>
        <w:spacing w:after="0" w:line="285" w:lineRule="auto"/>
        <w:rPr>
          <w:sz w:val="20"/>
          <w:szCs w:val="20"/>
          <w:color w:val="auto"/>
        </w:rPr>
      </w:pPr>
      <w:r>
        <w:rPr>
          <w:rFonts w:ascii="Arial" w:cs="Arial" w:eastAsia="Arial" w:hAnsi="Arial"/>
          <w:sz w:val="18"/>
          <w:szCs w:val="18"/>
          <w:color w:val="auto"/>
        </w:rPr>
        <w:t>The fair value of the Company’s long-term debt obligations as of March 31, 2022 was $2,452 million. The fair value is based on quoted Level 2 market prices of the Company’s debt as of March 31, 2022.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53"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The borrowings under the Senior Secured Credit Facility are collateralized by a lien on substantially all assets of the Company, ATI and each of the existing and future U.S. subsidiary guarantors, with certain exceptions set forth in the Credit Agreement, and ATI’s capital stock and all of the capital stock or other equity interests held by the Company, ATI and each of ATI’s existing and future U.S. subsidiary guarantors (subject to certain limitations for equity interest of foreign subsidiaries and other exceptions set forth in the Credit Agreement). Interest on the Term Loan, as of March 31, 2022, is either (a) 1.75% over a LIBOR rate on deposits in U.S. dollars for one-, two-, three- or six-month periods (or twelve-month or shorter periods if, at the time of the borrowing, available from all relevant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27"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lenders) (the "LIBOR Rate"), or (b) 0.75% over the greater of the prime lending rate as quoted by the administrative agent, the LIBOR Rate for an interest period of one month plus 1.00% and the federal funds effective rate published by the Federal Reserve Bank of New York plus 0.50%, subject to a 1.00% floor (the "Base Rate"). As of March 31, 2022, the Company elected to pay the lowest all-in rate of LIBOR plus the applicable margin, or 2.19%, on the Term Loan. The Credit Agreement requires minimum quarterly principal payments on the Term Loan,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2026 is $2 million. As of March 31, 2022, there had been no payments required for certain net cash proceeds of non-ordinary course asset sales and casualty and condemnation events. The remaining principal balance is due upon maturity.</w:t>
      </w:r>
    </w:p>
    <w:p>
      <w:pPr>
        <w:spacing w:after="0" w:line="98" w:lineRule="exact"/>
        <w:rPr>
          <w:sz w:val="20"/>
          <w:szCs w:val="20"/>
          <w:color w:val="auto"/>
        </w:rPr>
      </w:pPr>
    </w:p>
    <w:p>
      <w:pPr>
        <w:ind w:firstLine="494"/>
        <w:spacing w:after="0" w:line="281" w:lineRule="auto"/>
        <w:rPr>
          <w:sz w:val="20"/>
          <w:szCs w:val="20"/>
          <w:color w:val="auto"/>
        </w:rPr>
      </w:pPr>
      <w:r>
        <w:rPr>
          <w:rFonts w:ascii="Arial" w:cs="Arial" w:eastAsia="Arial" w:hAnsi="Arial"/>
          <w:sz w:val="18"/>
          <w:szCs w:val="18"/>
          <w:color w:val="auto"/>
        </w:rPr>
        <w:t>The Senior Secured Credit Facility also provides a Revolving Credit Facility, net of an allowance for up to $75 million in outstanding letters of credit commitments. Throughout the three months ended March 31, 2022, the Company made periodic withdrawals and payments on the Revolving Credit Facility as part of the Company's cash management plans. The maximum amount outstanding at any time during the three months ended March 31, 2022 was $75 million. As of March 31, 2022, the Company had $645 million available under the Revolving Credit Facility, net of $5 million in letters of credit. Borrowings under the Revolving Credit Facility bear interest at a variable base rate plus an applicable margin based on the Company’s first lien net leverage ratio. When the Company’s first lien net leverage ratio is above 4.00x, interest on the Revolving Credit Facility is (a) 0.75% over the Base Rate or (b) 1.75% over the LIBOR Rate; when the Company’s first lien net leverage ratio is equal to or less than 4.00x and above 3.50x, interest on the Revolving Credit Facility is (i) 0.50% over the Base Rate or (ii)</w:t>
      </w:r>
    </w:p>
    <w:p>
      <w:pPr>
        <w:spacing w:after="0" w:line="5"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color w:val="auto"/>
        </w:rPr>
        <w:t>1.50% over the LIBOR Rate; and when the Company’s first lien net leverage ratio is equal to or below 3.50x, interest on the Revolving Credit Facility is (y) 0.25% over the Base Rate or (z) 1.25% over the LIBOR Rate. As of March 31, 2022, the applicable margin for the Revolving Credit Facility was 1.25%. In addition, there is an annual commitment fee, based on the Company’s first lien net leverage ratio, on the average unused revolving credit borrowings available under the Revolving Credit Facility. As of March 31, 2022, the commitment fee is</w:t>
      </w:r>
    </w:p>
    <w:p>
      <w:pPr>
        <w:spacing w:after="0" w:line="3"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0.25%. Borrowings under the Revolving Credit Facility are payable at the option of the Company throughout the term of the Senior Secured Credit Facility with the balance due in September 2025.</w:t>
      </w:r>
    </w:p>
    <w:p>
      <w:pPr>
        <w:spacing w:after="0" w:line="89" w:lineRule="exact"/>
        <w:rPr>
          <w:sz w:val="20"/>
          <w:szCs w:val="20"/>
          <w:color w:val="auto"/>
        </w:rPr>
      </w:pPr>
    </w:p>
    <w:p>
      <w:pPr>
        <w:ind w:right="180" w:firstLine="494"/>
        <w:spacing w:after="0" w:line="284" w:lineRule="auto"/>
        <w:rPr>
          <w:sz w:val="20"/>
          <w:szCs w:val="20"/>
          <w:color w:val="auto"/>
        </w:rPr>
      </w:pPr>
      <w:r>
        <w:rPr>
          <w:rFonts w:ascii="Arial" w:cs="Arial" w:eastAsia="Arial" w:hAnsi="Arial"/>
          <w:sz w:val="18"/>
          <w:szCs w:val="18"/>
          <w:color w:val="auto"/>
        </w:rPr>
        <w:t>The Senior Secured Credit Facility requires the Company to maintain a specified maximum first lien net leverage ratio of 5.50x when revolving loan commitments remain outstanding on the Revolving Credit Facility at the end of a fiscal quarter. As of March 31, 2022, the Company had no amounts outstanding under the Revolving Credit Facility; however, the Company would have been in compliance with the maximum first lien net leverage ratio, achieving a 0.56x ratio. Additionally, within the terms of the Senior Secured Credit Facility, a first lien net leverage ratio at or below 4.00x results in the elimination of excess cash flow payments on the Senior Secured Credit Facility for the applicable year.</w:t>
      </w:r>
    </w:p>
    <w:p>
      <w:pPr>
        <w:spacing w:after="0" w:line="96" w:lineRule="exact"/>
        <w:rPr>
          <w:sz w:val="20"/>
          <w:szCs w:val="20"/>
          <w:color w:val="auto"/>
        </w:rPr>
      </w:pPr>
    </w:p>
    <w:p>
      <w:pPr>
        <w:ind w:right="180" w:firstLine="494"/>
        <w:spacing w:after="0" w:line="285" w:lineRule="auto"/>
        <w:rPr>
          <w:sz w:val="20"/>
          <w:szCs w:val="20"/>
          <w:color w:val="auto"/>
        </w:rPr>
      </w:pPr>
      <w:r>
        <w:rPr>
          <w:rFonts w:ascii="Arial" w:cs="Arial" w:eastAsia="Arial" w:hAnsi="Arial"/>
          <w:sz w:val="18"/>
          <w:szCs w:val="18"/>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March 31, 2022, the Company was in compliance with all covenants under the Credit Agreement.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4.75% Senior Notes</w:t>
      </w:r>
    </w:p>
    <w:p>
      <w:pPr>
        <w:spacing w:after="0" w:line="166"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The 4.75%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4.75% Senior Notes. The indenture governing the 4.75%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March 31, 2022, the Company was in compliance with all covenants under the indenture governing the 4.75% Senior Notes.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5.875% Senior Notes</w:t>
      </w:r>
    </w:p>
    <w:p>
      <w:pPr>
        <w:spacing w:after="0" w:line="166" w:lineRule="exact"/>
        <w:rPr>
          <w:sz w:val="20"/>
          <w:szCs w:val="20"/>
          <w:color w:val="auto"/>
        </w:rPr>
      </w:pPr>
    </w:p>
    <w:p>
      <w:pPr>
        <w:ind w:firstLine="499"/>
        <w:spacing w:after="0" w:line="283" w:lineRule="auto"/>
        <w:rPr>
          <w:sz w:val="20"/>
          <w:szCs w:val="20"/>
          <w:color w:val="auto"/>
        </w:rPr>
      </w:pPr>
      <w:r>
        <w:rPr>
          <w:rFonts w:ascii="Arial" w:cs="Arial" w:eastAsia="Arial" w:hAnsi="Arial"/>
          <w:sz w:val="18"/>
          <w:szCs w:val="18"/>
          <w:color w:val="auto"/>
        </w:rPr>
        <w:t>The 5.875%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5.875% Senior Notes. The indenture governing the 5.875%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March 31, 2022, the Company was in compliance with all covenants under the indenture governing the 5.875% Senior Notes.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3.75% Senior Notes</w:t>
      </w:r>
    </w:p>
    <w:p>
      <w:pPr>
        <w:spacing w:after="0" w:line="166" w:lineRule="exact"/>
        <w:rPr>
          <w:sz w:val="20"/>
          <w:szCs w:val="20"/>
          <w:color w:val="auto"/>
        </w:rPr>
      </w:pPr>
    </w:p>
    <w:p>
      <w:pPr>
        <w:ind w:firstLine="499"/>
        <w:spacing w:after="0" w:line="283" w:lineRule="auto"/>
        <w:rPr>
          <w:sz w:val="20"/>
          <w:szCs w:val="20"/>
          <w:color w:val="auto"/>
        </w:rPr>
      </w:pPr>
      <w:r>
        <w:rPr>
          <w:rFonts w:ascii="Arial" w:cs="Arial" w:eastAsia="Arial" w:hAnsi="Arial"/>
          <w:sz w:val="18"/>
          <w:szCs w:val="18"/>
          <w:color w:val="auto"/>
        </w:rPr>
        <w:t>The 3.75%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3.75% Senior Notes. The indenture governing the 3.75%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March 31, 2022, the Company was in compliance with all covenants under the indenture governing the 3.75% Senior Notes.</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52" w:right="4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DERIVATIVES</w:t>
      </w:r>
    </w:p>
    <w:p>
      <w:pPr>
        <w:spacing w:after="0" w:line="166" w:lineRule="exact"/>
        <w:rPr>
          <w:sz w:val="20"/>
          <w:szCs w:val="20"/>
          <w:color w:val="auto"/>
        </w:rPr>
      </w:pPr>
    </w:p>
    <w:p>
      <w:pPr>
        <w:ind w:right="20" w:firstLine="494"/>
        <w:spacing w:after="0" w:line="283" w:lineRule="auto"/>
        <w:rPr>
          <w:sz w:val="20"/>
          <w:szCs w:val="20"/>
          <w:color w:val="auto"/>
        </w:rPr>
      </w:pPr>
      <w:r>
        <w:rPr>
          <w:rFonts w:ascii="Arial" w:cs="Arial" w:eastAsia="Arial" w:hAnsi="Arial"/>
          <w:sz w:val="18"/>
          <w:szCs w:val="18"/>
          <w:color w:val="auto"/>
        </w:rPr>
        <w:t>The Company is subject to interest rate risk related to the Senior Secured Credit Facility and enters into interest rate swaps that are based on LIBOR to manage a portion of this exposure. The interest rate swaps are designated as cash flow hedges that qualify for hedge accounting under the hypothetical derivative method. Fair value adjustments are recorded as a component of Accumulated other comprehensive loss, net of tax (“AOCL”) in the Condensed Consolidated Balance Sheets. Balances in AOCL are reclassified to earnings when transactions related to the underlying risk are settled. As of March 31, 2022, the Company held interest rate swaps effective from September 2019 to September 2025 with notional values totaling $250 million and a weighted average LIBOR fixed rate of 3.04%, interest rate swaps effective from September 2019 to September 2022 with notional values totaling $250 million and a weighted average LIBOR fixed rate of 3.01% and interest rate swaps effective from September 2022 to September 2025 with notional values totaling $250 million and a weighted average LIBOR fixed rate of 2.82%. See "Note F. Fair Value of Financial Instruments” for information regarding the fair value of the Company’s interest rate swaps.</w:t>
      </w:r>
    </w:p>
    <w:p>
      <w:pPr>
        <w:spacing w:after="0" w:line="97" w:lineRule="exact"/>
        <w:rPr>
          <w:sz w:val="20"/>
          <w:szCs w:val="20"/>
          <w:color w:val="auto"/>
        </w:rPr>
      </w:pPr>
    </w:p>
    <w:p>
      <w:pPr>
        <w:ind w:right="760" w:firstLine="494"/>
        <w:spacing w:after="0" w:line="293" w:lineRule="auto"/>
        <w:rPr>
          <w:sz w:val="20"/>
          <w:szCs w:val="20"/>
          <w:color w:val="auto"/>
        </w:rPr>
      </w:pPr>
      <w:r>
        <w:rPr>
          <w:rFonts w:ascii="Arial" w:cs="Arial" w:eastAsia="Arial" w:hAnsi="Arial"/>
          <w:sz w:val="18"/>
          <w:szCs w:val="18"/>
          <w:color w:val="auto"/>
        </w:rPr>
        <w:t>The following tabular disclosures further describe the Company’s interest rate derivatives qualifying and designated for hedge accounting and their impact on the financial condition of the Company (dollars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980" w:type="dxa"/>
            <w:vAlign w:val="bottom"/>
          </w:tcPr>
          <w:p>
            <w:pPr>
              <w:spacing w:after="0"/>
              <w:rPr>
                <w:sz w:val="11"/>
                <w:szCs w:val="11"/>
                <w:color w:val="auto"/>
              </w:rPr>
            </w:pPr>
          </w:p>
        </w:tc>
        <w:tc>
          <w:tcPr>
            <w:tcW w:w="308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Balance Sheet Location</w:t>
            </w:r>
          </w:p>
        </w:tc>
        <w:tc>
          <w:tcPr>
            <w:tcW w:w="11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right"/>
              <w:ind w:right="237"/>
              <w:spacing w:after="0" w:line="12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3080" w:type="dxa"/>
            <w:vAlign w:val="bottom"/>
            <w:gridSpan w:val="2"/>
            <w:vMerge w:val="continue"/>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4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Derivatives designated as hedging instruments:</w:t>
            </w:r>
          </w:p>
        </w:tc>
        <w:tc>
          <w:tcPr>
            <w:tcW w:w="29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80"/>
              <w:spacing w:after="0" w:line="202" w:lineRule="exact"/>
              <w:rPr>
                <w:sz w:val="20"/>
                <w:szCs w:val="20"/>
                <w:color w:val="auto"/>
              </w:rPr>
            </w:pPr>
            <w:r>
              <w:rPr>
                <w:rFonts w:ascii="Arial" w:cs="Arial" w:eastAsia="Arial" w:hAnsi="Arial"/>
                <w:sz w:val="18"/>
                <w:szCs w:val="18"/>
                <w:color w:val="auto"/>
              </w:rPr>
              <w:t>Interest rate swaps</w:t>
            </w:r>
          </w:p>
        </w:tc>
        <w:tc>
          <w:tcPr>
            <w:tcW w:w="30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current liabilities</w:t>
            </w:r>
          </w:p>
        </w:tc>
        <w:tc>
          <w:tcPr>
            <w:tcW w:w="1120" w:type="dxa"/>
            <w:vAlign w:val="bottom"/>
          </w:tcPr>
          <w:p>
            <w:pPr>
              <w:jc w:val="right"/>
              <w:ind w:right="939"/>
              <w:spacing w:after="0" w:line="202" w:lineRule="exact"/>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3</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4980" w:type="dxa"/>
            <w:vAlign w:val="bottom"/>
            <w:tcBorders>
              <w:bottom w:val="single" w:sz="8" w:color="CFF0FC"/>
            </w:tcBorders>
            <w:shd w:val="clear" w:color="auto" w:fill="CFF0FC"/>
          </w:tcPr>
          <w:p>
            <w:pPr>
              <w:spacing w:after="0"/>
              <w:rPr>
                <w:sz w:val="17"/>
                <w:szCs w:val="17"/>
                <w:color w:val="auto"/>
              </w:rPr>
            </w:pPr>
          </w:p>
        </w:tc>
        <w:tc>
          <w:tcPr>
            <w:tcW w:w="308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Other non-current liabilities</w:t>
            </w:r>
          </w:p>
        </w:tc>
        <w:tc>
          <w:tcPr>
            <w:tcW w:w="11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b w:val="1"/>
                <w:bCs w:val="1"/>
                <w:color w:val="auto"/>
              </w:rPr>
              <w:t>3</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17"/>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line="196" w:lineRule="exact"/>
              <w:rPr>
                <w:sz w:val="20"/>
                <w:szCs w:val="20"/>
                <w:color w:val="auto"/>
              </w:rPr>
            </w:pPr>
            <w:r>
              <w:rPr>
                <w:rFonts w:ascii="Arial" w:cs="Arial" w:eastAsia="Arial" w:hAnsi="Arial"/>
                <w:sz w:val="18"/>
                <w:szCs w:val="18"/>
                <w:color w:val="auto"/>
              </w:rPr>
              <w:t>Total derivatives designated as hedging instruments</w:t>
            </w: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939"/>
              <w:spacing w:after="0" w:line="196" w:lineRule="exact"/>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ind w:right="35"/>
              <w:spacing w:after="0" w:line="196" w:lineRule="exact"/>
              <w:rPr>
                <w:sz w:val="20"/>
                <w:szCs w:val="20"/>
                <w:color w:val="auto"/>
              </w:rPr>
            </w:pPr>
            <w:r>
              <w:rPr>
                <w:rFonts w:ascii="Arial" w:cs="Arial" w:eastAsia="Arial" w:hAnsi="Arial"/>
                <w:sz w:val="18"/>
                <w:szCs w:val="18"/>
                <w:b w:val="1"/>
                <w:bCs w:val="1"/>
                <w:color w:val="auto"/>
              </w:rPr>
              <w:t>6</w:t>
            </w:r>
          </w:p>
        </w:tc>
        <w:tc>
          <w:tcPr>
            <w:tcW w:w="3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7"/>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-159385</wp:posOffset>
            </wp:positionV>
            <wp:extent cx="9461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4615" cy="5715"/>
                    </a:xfrm>
                    <a:prstGeom prst="rect">
                      <a:avLst/>
                    </a:prstGeom>
                    <a:noFill/>
                  </pic:spPr>
                </pic:pic>
              </a:graphicData>
            </a:graphic>
          </wp:anchor>
        </w:drawing>
      </w:r>
    </w:p>
    <w:p>
      <w:pPr>
        <w:spacing w:after="0" w:line="236" w:lineRule="exact"/>
        <w:rPr>
          <w:sz w:val="20"/>
          <w:szCs w:val="20"/>
          <w:color w:val="auto"/>
        </w:rPr>
      </w:pPr>
    </w:p>
    <w:p>
      <w:pPr>
        <w:ind w:firstLine="494"/>
        <w:spacing w:after="0" w:line="285" w:lineRule="auto"/>
        <w:rPr>
          <w:sz w:val="20"/>
          <w:szCs w:val="20"/>
          <w:color w:val="auto"/>
        </w:rPr>
      </w:pPr>
      <w:r>
        <w:rPr>
          <w:rFonts w:ascii="Arial" w:cs="Arial" w:eastAsia="Arial" w:hAnsi="Arial"/>
          <w:sz w:val="18"/>
          <w:szCs w:val="18"/>
          <w:color w:val="auto"/>
        </w:rPr>
        <w:t>The balance of net derivative losses recorded in AOCL as of March 31, 2022 and December 31, 2021 was $6 million and $31 million, respectively. See "Note O. Accumulated Other Comprehensive Loss” for information regarding activity recorded as a component of AOCL during the three months ended March 31, 2022 and 2021. As of March 31, 2022, the Company had $7 million of derivative losses recorded in AOCL expected to be reclassified to earnings within the next twelve months.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PRODUCT WARRANTY LIABILITIES</w:t>
      </w:r>
    </w:p>
    <w:p>
      <w:pPr>
        <w:spacing w:after="0" w:line="153" w:lineRule="exact"/>
        <w:rPr>
          <w:sz w:val="20"/>
          <w:szCs w:val="20"/>
          <w:color w:val="auto"/>
        </w:rPr>
      </w:pPr>
    </w:p>
    <w:p>
      <w:pPr>
        <w:ind w:right="220" w:firstLine="494"/>
        <w:spacing w:after="0" w:line="293" w:lineRule="auto"/>
        <w:rPr>
          <w:sz w:val="20"/>
          <w:szCs w:val="20"/>
          <w:color w:val="auto"/>
        </w:rPr>
      </w:pPr>
      <w:r>
        <w:rPr>
          <w:rFonts w:ascii="Arial" w:cs="Arial" w:eastAsia="Arial" w:hAnsi="Arial"/>
          <w:sz w:val="18"/>
          <w:szCs w:val="18"/>
          <w:color w:val="auto"/>
        </w:rPr>
        <w:t>As of March 31, 2022, current and non-current product warranty liabilities were $30 million and $23 million, respectively. As of March 31, 2021, current and non-current product warranty liabilities were $32 million and $30 million, respectively.</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Product warranty liability activities consist of the following (dollars in millions):</w:t>
      </w:r>
    </w:p>
    <w:p>
      <w:pPr>
        <w:spacing w:after="0" w:line="186"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40" w:type="dxa"/>
            <w:vAlign w:val="bottom"/>
          </w:tcPr>
          <w:p>
            <w:pPr>
              <w:spacing w:after="0"/>
              <w:rPr>
                <w:sz w:val="15"/>
                <w:szCs w:val="15"/>
                <w:color w:val="auto"/>
              </w:rPr>
            </w:pP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1200" w:type="dxa"/>
            <w:vAlign w:val="bottom"/>
            <w:shd w:val="clear" w:color="auto" w:fill="CFF0FC"/>
          </w:tcPr>
          <w:p>
            <w:pPr>
              <w:jc w:val="right"/>
              <w:ind w:right="996"/>
              <w:spacing w:after="0" w:line="196" w:lineRule="exact"/>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53</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66</w:t>
            </w: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Payments</w:t>
            </w:r>
          </w:p>
        </w:tc>
        <w:tc>
          <w:tcPr>
            <w:tcW w:w="12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(7 )</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(8 )</w:t>
            </w: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Increase in liability (warranty issued during period)</w:t>
            </w:r>
          </w:p>
        </w:tc>
        <w:tc>
          <w:tcPr>
            <w:tcW w:w="120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4</w:t>
            </w: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Net adjustments to liability</w:t>
            </w:r>
          </w:p>
        </w:tc>
        <w:tc>
          <w:tcPr>
            <w:tcW w:w="1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3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Ending balance</w:t>
            </w:r>
          </w:p>
        </w:tc>
        <w:tc>
          <w:tcPr>
            <w:tcW w:w="1200" w:type="dxa"/>
            <w:vAlign w:val="bottom"/>
            <w:tcBorders>
              <w:bottom w:val="single" w:sz="8" w:color="auto"/>
            </w:tcBorders>
            <w:shd w:val="clear" w:color="auto" w:fill="CFF0FC"/>
          </w:tcPr>
          <w:p>
            <w:pPr>
              <w:jc w:val="right"/>
              <w:ind w:right="996"/>
              <w:spacing w:after="0" w:line="196" w:lineRule="exact"/>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53</w:t>
            </w:r>
          </w:p>
        </w:tc>
        <w:tc>
          <w:tcPr>
            <w:tcW w:w="1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-25400</wp:posOffset>
            </wp:positionV>
            <wp:extent cx="1200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200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DEFERRED REVENUE</w:t>
      </w:r>
    </w:p>
    <w:p>
      <w:pPr>
        <w:spacing w:after="0" w:line="166" w:lineRule="exact"/>
        <w:rPr>
          <w:sz w:val="20"/>
          <w:szCs w:val="20"/>
          <w:color w:val="auto"/>
        </w:rPr>
      </w:pPr>
    </w:p>
    <w:p>
      <w:pPr>
        <w:jc w:val="both"/>
        <w:ind w:right="200" w:firstLine="494"/>
        <w:spacing w:after="0" w:line="293" w:lineRule="auto"/>
        <w:rPr>
          <w:sz w:val="20"/>
          <w:szCs w:val="20"/>
          <w:color w:val="auto"/>
        </w:rPr>
      </w:pPr>
      <w:r>
        <w:rPr>
          <w:rFonts w:ascii="Arial" w:cs="Arial" w:eastAsia="Arial" w:hAnsi="Arial"/>
          <w:sz w:val="18"/>
          <w:szCs w:val="18"/>
          <w:color w:val="auto"/>
        </w:rPr>
        <w:t>As of March 31, 2022, current and non-current deferred revenue was $35 million and $97 million, respectively. As of March 31, 2021, current and non-current deferred revenue was $35 million and $107 million, respectively.</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revenue activity consists of the following (dollars in millions):</w:t>
      </w:r>
    </w:p>
    <w:p>
      <w:pPr>
        <w:spacing w:after="0" w:line="186"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40" w:type="dxa"/>
            <w:vAlign w:val="bottom"/>
          </w:tcPr>
          <w:p>
            <w:pPr>
              <w:spacing w:after="0"/>
              <w:rPr>
                <w:sz w:val="15"/>
                <w:szCs w:val="15"/>
                <w:color w:val="auto"/>
              </w:rPr>
            </w:pP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1160" w:type="dxa"/>
            <w:vAlign w:val="bottom"/>
            <w:shd w:val="clear" w:color="auto" w:fill="CFF0FC"/>
          </w:tcPr>
          <w:p>
            <w:pPr>
              <w:jc w:val="right"/>
              <w:ind w:right="956"/>
              <w:spacing w:after="0" w:line="196" w:lineRule="exact"/>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136</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143</w:t>
            </w: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Increases</w:t>
            </w:r>
          </w:p>
        </w:tc>
        <w:tc>
          <w:tcPr>
            <w:tcW w:w="1160" w:type="dxa"/>
            <w:vAlign w:val="bottom"/>
          </w:tcPr>
          <w:p>
            <w:pPr>
              <w:spacing w:after="0"/>
              <w:rPr>
                <w:sz w:val="17"/>
                <w:szCs w:val="17"/>
                <w:color w:val="auto"/>
              </w:rPr>
            </w:pPr>
          </w:p>
        </w:tc>
        <w:tc>
          <w:tcPr>
            <w:tcW w:w="5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7</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w:t>
            </w: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 earned</w:t>
            </w:r>
          </w:p>
        </w:tc>
        <w:tc>
          <w:tcPr>
            <w:tcW w:w="11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(11 )</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(8 )</w:t>
            </w: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Ending balance</w:t>
            </w:r>
          </w:p>
        </w:tc>
        <w:tc>
          <w:tcPr>
            <w:tcW w:w="1160" w:type="dxa"/>
            <w:vAlign w:val="bottom"/>
          </w:tcPr>
          <w:p>
            <w:pPr>
              <w:jc w:val="right"/>
              <w:ind w:right="956"/>
              <w:spacing w:after="0" w:line="196" w:lineRule="exact"/>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132</w:t>
            </w:r>
          </w:p>
        </w:tc>
        <w:tc>
          <w:tcPr>
            <w:tcW w:w="56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142</w:t>
            </w:r>
          </w:p>
        </w:tc>
      </w:tr>
      <w:tr>
        <w:trPr>
          <w:trHeight w:val="20"/>
        </w:trPr>
        <w:tc>
          <w:tcPr>
            <w:tcW w:w="76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-159385</wp:posOffset>
            </wp:positionV>
            <wp:extent cx="12001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236" w:lineRule="exact"/>
        <w:rPr>
          <w:sz w:val="20"/>
          <w:szCs w:val="20"/>
          <w:color w:val="auto"/>
        </w:rPr>
      </w:pPr>
    </w:p>
    <w:p>
      <w:pPr>
        <w:jc w:val="both"/>
        <w:ind w:right="180" w:firstLine="494"/>
        <w:spacing w:after="0" w:line="287" w:lineRule="auto"/>
        <w:rPr>
          <w:sz w:val="20"/>
          <w:szCs w:val="20"/>
          <w:color w:val="auto"/>
        </w:rPr>
      </w:pPr>
      <w:r>
        <w:rPr>
          <w:rFonts w:ascii="Arial" w:cs="Arial" w:eastAsia="Arial" w:hAnsi="Arial"/>
          <w:sz w:val="18"/>
          <w:szCs w:val="18"/>
          <w:color w:val="auto"/>
        </w:rPr>
        <w:t>Deferred revenue recorded in current and non-current liabilities related to ETC as of March 31, 2022 was $29 million and $84 million, respectively. Deferred revenue recorded in current and non-current liabilities related to ETC as of March 31, 2021 was $29 million and $88 million, respectively.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LEASES</w:t>
      </w:r>
    </w:p>
    <w:p>
      <w:pPr>
        <w:spacing w:after="0" w:line="153"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Contracts are assessed by the Company to determine if the contract conveys the right to control an identified asset in exchange for consideration during a period of time. The Company classifies all identified leases as either operating or finance leases. As of March 31, 2022,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101" w:lineRule="exact"/>
        <w:rPr>
          <w:sz w:val="20"/>
          <w:szCs w:val="20"/>
          <w:color w:val="auto"/>
        </w:rPr>
      </w:pPr>
    </w:p>
    <w:p>
      <w:pPr>
        <w:ind w:right="320" w:firstLine="494"/>
        <w:spacing w:after="0" w:line="287" w:lineRule="auto"/>
        <w:rPr>
          <w:sz w:val="20"/>
          <w:szCs w:val="20"/>
          <w:color w:val="auto"/>
        </w:rPr>
      </w:pPr>
      <w:r>
        <w:rPr>
          <w:rFonts w:ascii="Arial" w:cs="Arial" w:eastAsia="Arial" w:hAnsi="Arial"/>
          <w:sz w:val="18"/>
          <w:szCs w:val="18"/>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at inception of the contract.</w:t>
      </w:r>
    </w:p>
    <w:p>
      <w:pPr>
        <w:spacing w:after="0" w:line="94" w:lineRule="exact"/>
        <w:rPr>
          <w:sz w:val="20"/>
          <w:szCs w:val="20"/>
          <w:color w:val="auto"/>
        </w:rPr>
      </w:pPr>
    </w:p>
    <w:p>
      <w:pPr>
        <w:ind w:right="20" w:firstLine="494"/>
        <w:spacing w:after="0" w:line="284" w:lineRule="auto"/>
        <w:rPr>
          <w:sz w:val="20"/>
          <w:szCs w:val="20"/>
          <w:color w:val="auto"/>
        </w:rPr>
      </w:pPr>
      <w:r>
        <w:rPr>
          <w:rFonts w:ascii="Arial" w:cs="Arial" w:eastAsia="Arial" w:hAnsi="Arial"/>
          <w:sz w:val="18"/>
          <w:szCs w:val="18"/>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LIBOR on the Term Loan. The Company believes this rate effectively represents a borrowing rate the Company could obtain on a debt instrument possessing similar terms as the lease. Lease liabilities are classified between current and non-current liabilities based on the terms of the underlying leases. The weighted average discount rate on operating leases as of both March 31, 2022 and December 31, 2021 was 4.25%.</w:t>
      </w:r>
    </w:p>
    <w:p>
      <w:pPr>
        <w:spacing w:after="0" w:line="98" w:lineRule="exact"/>
        <w:rPr>
          <w:sz w:val="20"/>
          <w:szCs w:val="20"/>
          <w:color w:val="auto"/>
        </w:rPr>
      </w:pPr>
    </w:p>
    <w:p>
      <w:pPr>
        <w:ind w:right="80" w:firstLine="494"/>
        <w:spacing w:after="0" w:line="287" w:lineRule="auto"/>
        <w:rPr>
          <w:sz w:val="20"/>
          <w:szCs w:val="20"/>
          <w:color w:val="auto"/>
        </w:rPr>
      </w:pPr>
      <w:r>
        <w:rPr>
          <w:rFonts w:ascii="Arial" w:cs="Arial" w:eastAsia="Arial" w:hAnsi="Arial"/>
          <w:sz w:val="18"/>
          <w:szCs w:val="18"/>
          <w:color w:val="auto"/>
        </w:rPr>
        <w:t>As of both March 31, 2022 and December 31, 2021, the Company recorded current and non-current operating lease liabilities of $4 million and $13 million, respectively. The following table reconciles future undiscounted cash flows for operating leases as of March 31, 2022 to total operating lease liabilities: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jc w:val="right"/>
              <w:ind w:right="633"/>
              <w:spacing w:after="0"/>
              <w:rPr>
                <w:sz w:val="20"/>
                <w:szCs w:val="20"/>
                <w:color w:val="auto"/>
              </w:rPr>
            </w:pPr>
            <w:r>
              <w:rPr>
                <w:rFonts w:ascii="Arial" w:cs="Arial" w:eastAsia="Arial" w:hAnsi="Arial"/>
                <w:sz w:val="14"/>
                <w:szCs w:val="14"/>
                <w:b w:val="1"/>
                <w:bCs w:val="1"/>
                <w:color w:val="auto"/>
              </w:rPr>
              <w:t>March 31,</w:t>
            </w:r>
          </w:p>
        </w:tc>
      </w:tr>
      <w:tr>
        <w:trPr>
          <w:trHeight w:val="189"/>
        </w:trPr>
        <w:tc>
          <w:tcPr>
            <w:tcW w:w="9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2022</w:t>
            </w:r>
          </w:p>
        </w:tc>
      </w:tr>
      <w:tr>
        <w:trPr>
          <w:trHeight w:val="196"/>
        </w:trPr>
        <w:tc>
          <w:tcPr>
            <w:tcW w:w="9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b w:val="1"/>
                <w:bCs w:val="1"/>
                <w:color w:val="auto"/>
                <w:w w:val="99"/>
              </w:rPr>
              <w:t>$</w:t>
            </w:r>
          </w:p>
        </w:tc>
        <w:tc>
          <w:tcPr>
            <w:tcW w:w="164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3</w:t>
            </w: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380" w:type="dxa"/>
            <w:vAlign w:val="bottom"/>
          </w:tcPr>
          <w:p>
            <w:pPr>
              <w:spacing w:after="0"/>
              <w:rPr>
                <w:sz w:val="17"/>
                <w:szCs w:val="17"/>
                <w:color w:val="auto"/>
              </w:rPr>
            </w:pPr>
          </w:p>
        </w:tc>
        <w:tc>
          <w:tcPr>
            <w:tcW w:w="164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4</w:t>
            </w:r>
          </w:p>
        </w:tc>
      </w:tr>
      <w:tr>
        <w:trPr>
          <w:trHeight w:val="202"/>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38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b w:val="1"/>
                <w:bCs w:val="1"/>
                <w:color w:val="auto"/>
              </w:rPr>
              <w:t>2</w:t>
            </w: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380" w:type="dxa"/>
            <w:vAlign w:val="bottom"/>
          </w:tcPr>
          <w:p>
            <w:pPr>
              <w:spacing w:after="0"/>
              <w:rPr>
                <w:sz w:val="17"/>
                <w:szCs w:val="17"/>
                <w:color w:val="auto"/>
              </w:rPr>
            </w:pPr>
          </w:p>
        </w:tc>
        <w:tc>
          <w:tcPr>
            <w:tcW w:w="164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2</w:t>
            </w: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38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b w:val="1"/>
                <w:bCs w:val="1"/>
                <w:color w:val="auto"/>
              </w:rPr>
              <w:t>2</w:t>
            </w: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b w:val="1"/>
                <w:bCs w:val="1"/>
                <w:color w:val="auto"/>
              </w:rPr>
              <w:t>6</w:t>
            </w:r>
          </w:p>
        </w:tc>
      </w:tr>
      <w:tr>
        <w:trPr>
          <w:trHeight w:val="196"/>
        </w:trPr>
        <w:tc>
          <w:tcPr>
            <w:tcW w:w="922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b w:val="1"/>
                <w:bCs w:val="1"/>
                <w:color w:val="auto"/>
                <w:w w:val="99"/>
              </w:rPr>
              <w:t>$</w:t>
            </w:r>
          </w:p>
        </w:tc>
        <w:tc>
          <w:tcPr>
            <w:tcW w:w="164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19</w:t>
            </w:r>
          </w:p>
        </w:tc>
      </w:tr>
      <w:tr>
        <w:trPr>
          <w:trHeight w:val="203"/>
        </w:trPr>
        <w:tc>
          <w:tcPr>
            <w:tcW w:w="9220" w:type="dxa"/>
            <w:vAlign w:val="bottom"/>
          </w:tcPr>
          <w:p>
            <w:pPr>
              <w:ind w:left="520"/>
              <w:spacing w:after="0" w:line="202" w:lineRule="exact"/>
              <w:rPr>
                <w:sz w:val="20"/>
                <w:szCs w:val="20"/>
                <w:color w:val="auto"/>
              </w:rPr>
            </w:pPr>
            <w:r>
              <w:rPr>
                <w:rFonts w:ascii="Arial" w:cs="Arial" w:eastAsia="Arial" w:hAnsi="Arial"/>
                <w:sz w:val="18"/>
                <w:szCs w:val="18"/>
                <w:color w:val="auto"/>
              </w:rPr>
              <w:t>Less: Interest</w:t>
            </w:r>
          </w:p>
        </w:tc>
        <w:tc>
          <w:tcPr>
            <w:tcW w:w="3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b w:val="1"/>
                <w:bCs w:val="1"/>
                <w:color w:val="auto"/>
              </w:rPr>
              <w:t>2</w:t>
            </w:r>
          </w:p>
        </w:tc>
      </w:tr>
      <w:tr>
        <w:trPr>
          <w:trHeight w:val="236"/>
        </w:trPr>
        <w:tc>
          <w:tcPr>
            <w:tcW w:w="922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Present value of lease liabilities</w:t>
            </w: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17</w:t>
            </w:r>
          </w:p>
        </w:tc>
      </w:tr>
    </w:tbl>
    <w:p>
      <w:pPr>
        <w:spacing w:after="0" w:line="256" w:lineRule="exact"/>
        <w:rPr>
          <w:sz w:val="20"/>
          <w:szCs w:val="20"/>
          <w:color w:val="auto"/>
        </w:rPr>
      </w:pPr>
    </w:p>
    <w:p>
      <w:pPr>
        <w:ind w:right="240" w:firstLine="494"/>
        <w:spacing w:after="0" w:line="293" w:lineRule="auto"/>
        <w:rPr>
          <w:sz w:val="20"/>
          <w:szCs w:val="20"/>
          <w:color w:val="auto"/>
        </w:rPr>
      </w:pPr>
      <w:r>
        <w:rPr>
          <w:rFonts w:ascii="Arial" w:cs="Arial" w:eastAsia="Arial" w:hAnsi="Arial"/>
          <w:sz w:val="18"/>
          <w:szCs w:val="18"/>
          <w:color w:val="auto"/>
        </w:rPr>
        <w:t>ROU assets are calculated as the related lease liability adjusted for lease incentives, prepayments and the effect of escalating lease payments on period expense. The below table depicts the ROU assets held by the Company based on the underlying asset: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80" w:type="dxa"/>
            <w:vAlign w:val="bottom"/>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660" w:type="dxa"/>
            <w:vAlign w:val="bottom"/>
          </w:tcPr>
          <w:p>
            <w:pPr>
              <w:spacing w:after="0"/>
              <w:rPr>
                <w:sz w:val="16"/>
                <w:szCs w:val="16"/>
                <w:color w:val="auto"/>
              </w:rPr>
            </w:pPr>
          </w:p>
        </w:tc>
        <w:tc>
          <w:tcPr>
            <w:tcW w:w="12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2021</w:t>
            </w: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Buildings</w:t>
            </w:r>
          </w:p>
        </w:tc>
        <w:tc>
          <w:tcPr>
            <w:tcW w:w="1280" w:type="dxa"/>
            <w:vAlign w:val="bottom"/>
            <w:shd w:val="clear" w:color="auto" w:fill="CFF0FC"/>
          </w:tcPr>
          <w:p>
            <w:pPr>
              <w:jc w:val="right"/>
              <w:ind w:right="1079"/>
              <w:spacing w:after="0" w:line="196" w:lineRule="exact"/>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15</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Land</w:t>
            </w:r>
          </w:p>
        </w:tc>
        <w:tc>
          <w:tcPr>
            <w:tcW w:w="1280" w:type="dxa"/>
            <w:vAlign w:val="bottom"/>
          </w:tcPr>
          <w:p>
            <w:pPr>
              <w:spacing w:after="0"/>
              <w:rPr>
                <w:sz w:val="17"/>
                <w:szCs w:val="17"/>
                <w:color w:val="auto"/>
              </w:rPr>
            </w:pPr>
          </w:p>
        </w:tc>
        <w:tc>
          <w:tcPr>
            <w:tcW w:w="4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7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Vehicles</w:t>
            </w:r>
          </w:p>
        </w:tc>
        <w:tc>
          <w:tcPr>
            <w:tcW w:w="12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1</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Total ROU assets</w:t>
            </w:r>
          </w:p>
        </w:tc>
        <w:tc>
          <w:tcPr>
            <w:tcW w:w="1280" w:type="dxa"/>
            <w:vAlign w:val="bottom"/>
          </w:tcPr>
          <w:p>
            <w:pPr>
              <w:jc w:val="right"/>
              <w:ind w:right="1079"/>
              <w:spacing w:after="0" w:line="196" w:lineRule="exact"/>
              <w:rPr>
                <w:sz w:val="20"/>
                <w:szCs w:val="20"/>
                <w:color w:val="auto"/>
              </w:rPr>
            </w:pPr>
            <w:r>
              <w:rPr>
                <w:rFonts w:ascii="Arial" w:cs="Arial" w:eastAsia="Arial" w:hAnsi="Arial"/>
                <w:sz w:val="18"/>
                <w:szCs w:val="18"/>
                <w:b w:val="1"/>
                <w:bCs w:val="1"/>
                <w:color w:val="auto"/>
                <w:w w:val="99"/>
              </w:rPr>
              <w:t>$</w:t>
            </w:r>
          </w:p>
        </w:tc>
        <w:tc>
          <w:tcPr>
            <w:tcW w:w="44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17</w:t>
            </w:r>
          </w:p>
        </w:tc>
        <w:tc>
          <w:tcPr>
            <w:tcW w:w="4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76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-159385</wp:posOffset>
            </wp:positionV>
            <wp:extent cx="12001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236" w:lineRule="exact"/>
        <w:rPr>
          <w:sz w:val="20"/>
          <w:szCs w:val="20"/>
          <w:color w:val="auto"/>
        </w:rPr>
      </w:pPr>
    </w:p>
    <w:p>
      <w:pPr>
        <w:jc w:val="center"/>
        <w:ind w:left="360" w:right="460"/>
        <w:spacing w:after="0" w:line="481" w:lineRule="auto"/>
        <w:rPr>
          <w:sz w:val="20"/>
          <w:szCs w:val="20"/>
          <w:color w:val="auto"/>
        </w:rPr>
      </w:pPr>
      <w:r>
        <w:rPr>
          <w:rFonts w:ascii="Arial" w:cs="Arial" w:eastAsia="Arial" w:hAnsi="Arial"/>
          <w:sz w:val="18"/>
          <w:szCs w:val="18"/>
          <w:color w:val="auto"/>
        </w:rPr>
        <w:t>The weighted average remaining lease term as of March 31, 2022 and March 31, 2021 was 6.8 years and 7.4 years, respectively.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27" w:lineRule="exact"/>
        <w:rPr>
          <w:sz w:val="20"/>
          <w:szCs w:val="20"/>
          <w:color w:val="auto"/>
        </w:rPr>
      </w:pPr>
    </w:p>
    <w:p>
      <w:pPr>
        <w:jc w:val="both"/>
        <w:ind w:right="500" w:firstLine="494"/>
        <w:spacing w:after="0" w:line="285" w:lineRule="auto"/>
        <w:rPr>
          <w:sz w:val="20"/>
          <w:szCs w:val="20"/>
          <w:color w:val="auto"/>
        </w:rPr>
      </w:pPr>
      <w:r>
        <w:rPr>
          <w:rFonts w:ascii="Arial" w:cs="Arial" w:eastAsia="Arial" w:hAnsi="Arial"/>
          <w:sz w:val="18"/>
          <w:szCs w:val="18"/>
          <w:color w:val="auto"/>
        </w:rPr>
        <w:t>Operating lease expense was $1 million for each of the three months ended March 31, 2022 and 2021, and was recorded within Selling, general and administrative expense and Engineering - research and development on the Company's Condensed Consolidated Statements of Comprehensive Income. There was no material short-term operating lease expense for either of the three months ended March 31, 2022 and 2021.</w:t>
      </w:r>
    </w:p>
    <w:p>
      <w:pPr>
        <w:spacing w:after="0" w:line="97" w:lineRule="exact"/>
        <w:rPr>
          <w:sz w:val="20"/>
          <w:szCs w:val="20"/>
          <w:color w:val="auto"/>
        </w:rPr>
      </w:pPr>
    </w:p>
    <w:p>
      <w:pPr>
        <w:ind w:right="300" w:firstLine="494"/>
        <w:spacing w:after="0" w:line="287" w:lineRule="auto"/>
        <w:rPr>
          <w:sz w:val="20"/>
          <w:szCs w:val="20"/>
          <w:color w:val="auto"/>
        </w:rPr>
      </w:pPr>
      <w:r>
        <w:rPr>
          <w:rFonts w:ascii="Arial" w:cs="Arial" w:eastAsia="Arial" w:hAnsi="Arial"/>
          <w:sz w:val="18"/>
          <w:szCs w:val="18"/>
          <w:color w:val="auto"/>
        </w:rPr>
        <w:t>The calculation of the Company's ROU assets and lease liabilities did not include cash consideration as of either March 31, 2022 or December 31, 2021. During each of the three months ended March 31, 2022 and 2021, there were no new ROU assets obtained in exchange for lease obligations.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OTHER CURRENT LIABILITIES</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liabilities consist of the following (dollars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313"/>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660" w:type="dxa"/>
            <w:vAlign w:val="bottom"/>
          </w:tcPr>
          <w:p>
            <w:pPr>
              <w:spacing w:after="0"/>
              <w:rPr>
                <w:sz w:val="16"/>
                <w:szCs w:val="16"/>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Taxes payable</w:t>
            </w:r>
          </w:p>
        </w:tc>
        <w:tc>
          <w:tcPr>
            <w:tcW w:w="1240" w:type="dxa"/>
            <w:vAlign w:val="bottom"/>
            <w:shd w:val="clear" w:color="auto" w:fill="CFF0FC"/>
          </w:tcPr>
          <w:p>
            <w:pPr>
              <w:jc w:val="right"/>
              <w:ind w:right="1039"/>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48</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Sales allowances</w:t>
            </w:r>
          </w:p>
        </w:tc>
        <w:tc>
          <w:tcPr>
            <w:tcW w:w="1240" w:type="dxa"/>
            <w:vAlign w:val="bottom"/>
          </w:tcPr>
          <w:p>
            <w:pPr>
              <w:spacing w:after="0"/>
              <w:rPr>
                <w:sz w:val="17"/>
                <w:szCs w:val="17"/>
                <w:color w:val="auto"/>
              </w:rPr>
            </w:pPr>
          </w:p>
        </w:tc>
        <w:tc>
          <w:tcPr>
            <w:tcW w:w="4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Payroll and related costs</w:t>
            </w:r>
          </w:p>
        </w:tc>
        <w:tc>
          <w:tcPr>
            <w:tcW w:w="124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35</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Accrued interest payable</w:t>
            </w:r>
          </w:p>
        </w:tc>
        <w:tc>
          <w:tcPr>
            <w:tcW w:w="1240" w:type="dxa"/>
            <w:vAlign w:val="bottom"/>
          </w:tcPr>
          <w:p>
            <w:pPr>
              <w:spacing w:after="0"/>
              <w:rPr>
                <w:sz w:val="17"/>
                <w:szCs w:val="17"/>
                <w:color w:val="auto"/>
              </w:rPr>
            </w:pPr>
          </w:p>
        </w:tc>
        <w:tc>
          <w:tcPr>
            <w:tcW w:w="4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Vendor buyback obligation</w:t>
            </w:r>
          </w:p>
        </w:tc>
        <w:tc>
          <w:tcPr>
            <w:tcW w:w="124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16</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OPEB liability</w:t>
            </w:r>
          </w:p>
        </w:tc>
        <w:tc>
          <w:tcPr>
            <w:tcW w:w="1240" w:type="dxa"/>
            <w:vAlign w:val="bottom"/>
          </w:tcPr>
          <w:p>
            <w:pPr>
              <w:spacing w:after="0"/>
              <w:rPr>
                <w:sz w:val="17"/>
                <w:szCs w:val="17"/>
                <w:color w:val="auto"/>
              </w:rPr>
            </w:pPr>
          </w:p>
        </w:tc>
        <w:tc>
          <w:tcPr>
            <w:tcW w:w="4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 liability</w:t>
            </w:r>
          </w:p>
        </w:tc>
        <w:tc>
          <w:tcPr>
            <w:tcW w:w="124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Customer deposits</w:t>
            </w:r>
          </w:p>
        </w:tc>
        <w:tc>
          <w:tcPr>
            <w:tcW w:w="1240" w:type="dxa"/>
            <w:vAlign w:val="bottom"/>
          </w:tcPr>
          <w:p>
            <w:pPr>
              <w:spacing w:after="0"/>
              <w:rPr>
                <w:sz w:val="17"/>
                <w:szCs w:val="17"/>
                <w:color w:val="auto"/>
              </w:rPr>
            </w:pPr>
          </w:p>
        </w:tc>
        <w:tc>
          <w:tcPr>
            <w:tcW w:w="4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Derivative liabilities</w:t>
            </w:r>
          </w:p>
        </w:tc>
        <w:tc>
          <w:tcPr>
            <w:tcW w:w="124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3</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Other accruals</w:t>
            </w:r>
          </w:p>
        </w:tc>
        <w:tc>
          <w:tcPr>
            <w:tcW w:w="1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12</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36"/>
        </w:trPr>
        <w:tc>
          <w:tcPr>
            <w:tcW w:w="766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FF0FC"/>
          </w:tcPr>
          <w:p>
            <w:pPr>
              <w:jc w:val="right"/>
              <w:ind w:right="1039"/>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190</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-24765</wp:posOffset>
            </wp:positionV>
            <wp:extent cx="1200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200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EMPLOYEE BENEFIT PLANS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Components of net periodic benefit cost (credit) consist of the following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4"/>
                <w:szCs w:val="14"/>
                <w:b w:val="1"/>
                <w:bCs w:val="1"/>
                <w:color w:val="auto"/>
              </w:rPr>
              <w:t>Pension Plans</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right="273"/>
              <w:spacing w:after="0"/>
              <w:rPr>
                <w:sz w:val="20"/>
                <w:szCs w:val="20"/>
                <w:color w:val="auto"/>
              </w:rPr>
            </w:pPr>
            <w:r>
              <w:rPr>
                <w:rFonts w:ascii="Arial" w:cs="Arial" w:eastAsia="Arial" w:hAnsi="Arial"/>
                <w:sz w:val="14"/>
                <w:szCs w:val="14"/>
                <w:b w:val="1"/>
                <w:bCs w:val="1"/>
                <w:color w:val="auto"/>
              </w:rPr>
              <w:t>Post-retirement Benefits</w:t>
            </w:r>
          </w:p>
        </w:tc>
      </w:tr>
      <w:tr>
        <w:trPr>
          <w:trHeight w:val="129"/>
        </w:trPr>
        <w:tc>
          <w:tcPr>
            <w:tcW w:w="5700" w:type="dxa"/>
            <w:vAlign w:val="bottom"/>
          </w:tcPr>
          <w:p>
            <w:pPr>
              <w:spacing w:after="0"/>
              <w:rPr>
                <w:sz w:val="11"/>
                <w:szCs w:val="11"/>
                <w:color w:val="auto"/>
              </w:rPr>
            </w:pPr>
          </w:p>
        </w:tc>
        <w:tc>
          <w:tcPr>
            <w:tcW w:w="2320" w:type="dxa"/>
            <w:vAlign w:val="bottom"/>
            <w:gridSpan w:val="4"/>
          </w:tcPr>
          <w:p>
            <w:pPr>
              <w:jc w:val="center"/>
              <w:ind w:left="221"/>
              <w:spacing w:after="0" w:line="129" w:lineRule="exact"/>
              <w:rPr>
                <w:sz w:val="20"/>
                <w:szCs w:val="20"/>
                <w:color w:val="auto"/>
              </w:rPr>
            </w:pPr>
            <w:r>
              <w:rPr>
                <w:rFonts w:ascii="Arial" w:cs="Arial" w:eastAsia="Arial" w:hAnsi="Arial"/>
                <w:sz w:val="14"/>
                <w:szCs w:val="14"/>
                <w:b w:val="1"/>
                <w:bCs w:val="1"/>
                <w:color w:val="auto"/>
              </w:rPr>
              <w:t>For the Three Months</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0" w:type="dxa"/>
            <w:vAlign w:val="bottom"/>
            <w:gridSpan w:val="4"/>
          </w:tcPr>
          <w:p>
            <w:pPr>
              <w:jc w:val="center"/>
              <w:ind w:right="273"/>
              <w:spacing w:after="0" w:line="129" w:lineRule="exact"/>
              <w:rPr>
                <w:sz w:val="20"/>
                <w:szCs w:val="20"/>
                <w:color w:val="auto"/>
              </w:rPr>
            </w:pPr>
            <w:r>
              <w:rPr>
                <w:rFonts w:ascii="Arial" w:cs="Arial" w:eastAsia="Arial" w:hAnsi="Arial"/>
                <w:sz w:val="14"/>
                <w:szCs w:val="14"/>
                <w:b w:val="1"/>
                <w:bCs w:val="1"/>
                <w:color w:val="auto"/>
              </w:rPr>
              <w:t>For the Three Months</w:t>
            </w:r>
          </w:p>
        </w:tc>
      </w:tr>
      <w:tr>
        <w:trPr>
          <w:trHeight w:val="175"/>
        </w:trPr>
        <w:tc>
          <w:tcPr>
            <w:tcW w:w="5700" w:type="dxa"/>
            <w:vAlign w:val="bottom"/>
          </w:tcPr>
          <w:p>
            <w:pPr>
              <w:spacing w:after="0"/>
              <w:rPr>
                <w:sz w:val="15"/>
                <w:szCs w:val="15"/>
                <w:color w:val="auto"/>
              </w:rPr>
            </w:pPr>
          </w:p>
        </w:tc>
        <w:tc>
          <w:tcPr>
            <w:tcW w:w="2320" w:type="dxa"/>
            <w:vAlign w:val="bottom"/>
            <w:gridSpan w:val="4"/>
          </w:tcPr>
          <w:p>
            <w:pPr>
              <w:jc w:val="center"/>
              <w:ind w:left="221"/>
              <w:spacing w:after="0"/>
              <w:rPr>
                <w:sz w:val="20"/>
                <w:szCs w:val="20"/>
                <w:color w:val="auto"/>
              </w:rPr>
            </w:pPr>
            <w:r>
              <w:rPr>
                <w:rFonts w:ascii="Arial" w:cs="Arial" w:eastAsia="Arial" w:hAnsi="Arial"/>
                <w:sz w:val="14"/>
                <w:szCs w:val="14"/>
                <w:b w:val="1"/>
                <w:bCs w:val="1"/>
                <w:color w:val="auto"/>
              </w:rPr>
              <w:t>Ended March 31,</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rPr>
              <w:t>Ended March 31,</w:t>
            </w:r>
          </w:p>
        </w:tc>
      </w:tr>
      <w:tr>
        <w:trPr>
          <w:trHeight w:val="189"/>
        </w:trPr>
        <w:tc>
          <w:tcPr>
            <w:tcW w:w="57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periodic benefit cost (credit):</w:t>
            </w:r>
          </w:p>
        </w:tc>
        <w:tc>
          <w:tcPr>
            <w:tcW w:w="80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Service cost</w:t>
            </w:r>
          </w:p>
        </w:tc>
        <w:tc>
          <w:tcPr>
            <w:tcW w:w="800" w:type="dxa"/>
            <w:vAlign w:val="bottom"/>
          </w:tcPr>
          <w:p>
            <w:pPr>
              <w:jc w:val="right"/>
              <w:ind w:right="621"/>
              <w:spacing w:after="0" w:line="202" w:lineRule="exact"/>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2</w:t>
            </w:r>
          </w:p>
        </w:tc>
        <w:tc>
          <w:tcPr>
            <w:tcW w:w="102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4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8"/>
              <w:spacing w:after="0" w:line="202" w:lineRule="exact"/>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cost</w:t>
            </w:r>
          </w:p>
        </w:tc>
        <w:tc>
          <w:tcPr>
            <w:tcW w:w="80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8"/>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Expected return on assets</w:t>
            </w:r>
          </w:p>
        </w:tc>
        <w:tc>
          <w:tcPr>
            <w:tcW w:w="8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(2 )</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(2 )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18"/>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5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Prior service credit</w:t>
            </w:r>
          </w:p>
        </w:tc>
        <w:tc>
          <w:tcPr>
            <w:tcW w:w="80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(3 )</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r>
      <w:tr>
        <w:trPr>
          <w:trHeight w:val="196"/>
        </w:trPr>
        <w:tc>
          <w:tcPr>
            <w:tcW w:w="5700" w:type="dxa"/>
            <w:vAlign w:val="bottom"/>
          </w:tcPr>
          <w:p>
            <w:pPr>
              <w:ind w:left="20"/>
              <w:spacing w:after="0" w:line="196" w:lineRule="exact"/>
              <w:rPr>
                <w:sz w:val="20"/>
                <w:szCs w:val="20"/>
                <w:color w:val="auto"/>
              </w:rPr>
            </w:pPr>
            <w:r>
              <w:rPr>
                <w:rFonts w:ascii="Arial" w:cs="Arial" w:eastAsia="Arial" w:hAnsi="Arial"/>
                <w:sz w:val="18"/>
                <w:szCs w:val="18"/>
                <w:color w:val="auto"/>
              </w:rPr>
              <w:t>Net periodic benefit cost (credit)</w:t>
            </w:r>
          </w:p>
        </w:tc>
        <w:tc>
          <w:tcPr>
            <w:tcW w:w="800" w:type="dxa"/>
            <w:vAlign w:val="bottom"/>
          </w:tcPr>
          <w:p>
            <w:pPr>
              <w:jc w:val="right"/>
              <w:ind w:right="621"/>
              <w:spacing w:after="0" w:line="196" w:lineRule="exact"/>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1</w:t>
            </w:r>
          </w:p>
        </w:tc>
        <w:tc>
          <w:tcPr>
            <w:tcW w:w="1020" w:type="dxa"/>
            <w:vAlign w:val="bottom"/>
            <w:gridSpan w:val="2"/>
          </w:tcPr>
          <w:p>
            <w:pPr>
              <w:jc w:val="right"/>
              <w:ind w:right="780"/>
              <w:spacing w:after="0" w:line="196"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w:t>
            </w:r>
          </w:p>
        </w:tc>
        <w:tc>
          <w:tcPr>
            <w:tcW w:w="400" w:type="dxa"/>
            <w:vAlign w:val="bottom"/>
            <w:gridSpan w:val="2"/>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(2 )</w:t>
            </w:r>
          </w:p>
        </w:tc>
        <w:tc>
          <w:tcPr>
            <w:tcW w:w="4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(2 )</w:t>
            </w:r>
          </w:p>
        </w:tc>
      </w:tr>
      <w:tr>
        <w:trPr>
          <w:trHeight w:val="20"/>
        </w:trPr>
        <w:tc>
          <w:tcPr>
            <w:tcW w:w="5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-159385</wp:posOffset>
            </wp:positionV>
            <wp:extent cx="8572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-159385</wp:posOffset>
            </wp:positionV>
            <wp:extent cx="8572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-159385</wp:posOffset>
            </wp:positionV>
            <wp:extent cx="7683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5715"/>
                    </a:xfrm>
                    <a:prstGeom prst="rect">
                      <a:avLst/>
                    </a:prstGeom>
                    <a:noFill/>
                  </pic:spPr>
                </pic:pic>
              </a:graphicData>
            </a:graphic>
          </wp:anchor>
        </w:drawing>
      </w:r>
    </w:p>
    <w:p>
      <w:pPr>
        <w:spacing w:after="0" w:line="195" w:lineRule="exact"/>
        <w:rPr>
          <w:sz w:val="20"/>
          <w:szCs w:val="20"/>
          <w:color w:val="auto"/>
        </w:rPr>
      </w:pPr>
    </w:p>
    <w:p>
      <w:pPr>
        <w:ind w:right="280" w:firstLine="494"/>
        <w:spacing w:after="0" w:line="293" w:lineRule="auto"/>
        <w:rPr>
          <w:sz w:val="20"/>
          <w:szCs w:val="20"/>
          <w:color w:val="auto"/>
        </w:rPr>
      </w:pPr>
      <w:r>
        <w:rPr>
          <w:rFonts w:ascii="Arial" w:cs="Arial" w:eastAsia="Arial" w:hAnsi="Arial"/>
          <w:sz w:val="18"/>
          <w:szCs w:val="18"/>
          <w:color w:val="auto"/>
        </w:rPr>
        <w:t>The components of net periodic benefit cost (credit) other than the service cost component are included in Other (expense) income, net in the Condensed Consolidated Statements of Comprehensive Income.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INCOME TAXES</w:t>
      </w:r>
    </w:p>
    <w:p>
      <w:pPr>
        <w:spacing w:after="0" w:line="139" w:lineRule="exact"/>
        <w:rPr>
          <w:sz w:val="20"/>
          <w:szCs w:val="20"/>
          <w:color w:val="auto"/>
        </w:rPr>
      </w:pPr>
    </w:p>
    <w:p>
      <w:pPr>
        <w:ind w:right="280" w:firstLine="494"/>
        <w:spacing w:after="0" w:line="293" w:lineRule="auto"/>
        <w:rPr>
          <w:sz w:val="20"/>
          <w:szCs w:val="20"/>
          <w:color w:val="auto"/>
        </w:rPr>
      </w:pPr>
      <w:r>
        <w:rPr>
          <w:rFonts w:ascii="Arial" w:cs="Arial" w:eastAsia="Arial" w:hAnsi="Arial"/>
          <w:sz w:val="18"/>
          <w:szCs w:val="18"/>
          <w:color w:val="auto"/>
        </w:rPr>
        <w:t>For each of the three months ended March 31, 2022 and 2021, the Company recorded total income tax expense of $34 million. The effective tax rate for the three months ended March 31, 2022 and 2021 was 21% and 22%, respectively.</w:t>
      </w:r>
    </w:p>
    <w:p>
      <w:pPr>
        <w:spacing w:after="0" w:line="89" w:lineRule="exact"/>
        <w:rPr>
          <w:sz w:val="20"/>
          <w:szCs w:val="20"/>
          <w:color w:val="auto"/>
        </w:rPr>
      </w:pPr>
    </w:p>
    <w:p>
      <w:pPr>
        <w:ind w:right="220" w:firstLine="494"/>
        <w:spacing w:after="0" w:line="284"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112" w:lineRule="exact"/>
        <w:rPr>
          <w:sz w:val="20"/>
          <w:szCs w:val="20"/>
          <w:color w:val="auto"/>
        </w:rPr>
      </w:pPr>
    </w:p>
    <w:p>
      <w:pPr>
        <w:ind w:firstLine="494"/>
        <w:spacing w:after="0" w:line="287" w:lineRule="auto"/>
        <w:rPr>
          <w:sz w:val="20"/>
          <w:szCs w:val="20"/>
          <w:color w:val="auto"/>
        </w:rPr>
      </w:pPr>
      <w:r>
        <w:rPr>
          <w:rFonts w:ascii="Arial" w:cs="Arial" w:eastAsia="Arial" w:hAnsi="Arial"/>
          <w:sz w:val="18"/>
          <w:szCs w:val="18"/>
          <w:color w:val="auto"/>
        </w:rPr>
        <w:t>The Company continues to provide for a valuation allowance on certain of its foreign deferred tax assets and an anticipated capital loss carryforward. The Company has determined, based on the evaluation of both objective and subjective evidence available, that this valuation allowance is necessary and that it is more likely than not that the deferred tax assets are not fully realizable.</w:t>
      </w:r>
    </w:p>
    <w:p>
      <w:pPr>
        <w:spacing w:after="0" w:line="94"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In accordance with the FASB’s authoritative guidance on accounting for income taxes, the Company has recorded a liability for unrecognized tax benefits related to a 2010 Research and Development Credit as of March 31, 2022 and December 31, 2021. The accounting guidance prescribes a recognition threshold and measurement attributes for the financial statement recognition and measurement of a tax position taken or expected to be taken in a tax return. The Company's returns will remain subject to examination by various taxing authorities for the duration of the applicable statute of limitations (generally three years from the later of the date of filing or the due date of the return).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ACCUMULATED OTHER COMPREHENSIVE LOSS</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reconcile changes in AOCL by component (net of tax,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155"/>
              <w:spacing w:after="0" w:line="129" w:lineRule="exact"/>
              <w:rPr>
                <w:sz w:val="20"/>
                <w:szCs w:val="20"/>
                <w:color w:val="auto"/>
              </w:rPr>
            </w:pPr>
            <w:r>
              <w:rPr>
                <w:rFonts w:ascii="Arial" w:cs="Arial" w:eastAsia="Arial" w:hAnsi="Arial"/>
                <w:sz w:val="14"/>
                <w:szCs w:val="14"/>
                <w:b w:val="1"/>
                <w:bCs w:val="1"/>
                <w:color w:val="auto"/>
              </w:rPr>
              <w:t>Pension</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center"/>
              <w:ind w:right="234"/>
              <w:spacing w:after="0"/>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rPr>
              <w:t>and OPEB</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rPr>
              <w:t>liability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rate swaps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items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AOCL as of December 31, 2020</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(19 )</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(46 )</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(24 )</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03"/>
        </w:trPr>
        <w:tc>
          <w:tcPr>
            <w:tcW w:w="5760" w:type="dxa"/>
            <w:vAlign w:val="bottom"/>
          </w:tcPr>
          <w:p>
            <w:pPr>
              <w:ind w:left="280"/>
              <w:spacing w:after="0" w:line="202" w:lineRule="exact"/>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7"/>
                <w:szCs w:val="17"/>
                <w:color w:val="auto"/>
              </w:rPr>
            </w:pPr>
          </w:p>
        </w:tc>
        <w:tc>
          <w:tcPr>
            <w:tcW w:w="11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760" w:type="dxa"/>
            <w:vAlign w:val="bottom"/>
          </w:tcPr>
          <w:p>
            <w:pPr>
              <w:ind w:left="280"/>
              <w:spacing w:after="0" w:line="202" w:lineRule="exact"/>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(3 )</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(2 )</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(6 )</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AOCL as of March 31, 2021</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(21 )</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(35 )</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(30 )</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AOCL as of December 31, 2021</w:t>
            </w:r>
          </w:p>
        </w:tc>
        <w:tc>
          <w:tcPr>
            <w:tcW w:w="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(17 )</w:t>
            </w:r>
          </w:p>
        </w:tc>
        <w:tc>
          <w:tcPr>
            <w:tcW w:w="1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(24 )</w:t>
            </w:r>
          </w:p>
        </w:tc>
        <w:tc>
          <w:tcPr>
            <w:tcW w:w="1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(32 )</w:t>
            </w:r>
          </w:p>
        </w:tc>
        <w:tc>
          <w:tcPr>
            <w:tcW w:w="12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50"/>
              <w:spacing w:after="0" w:line="18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3"/>
        </w:trPr>
        <w:tc>
          <w:tcPr>
            <w:tcW w:w="5760" w:type="dxa"/>
            <w:vAlign w:val="bottom"/>
          </w:tcPr>
          <w:p>
            <w:pPr>
              <w:ind w:left="280"/>
              <w:spacing w:after="0" w:line="202" w:lineRule="exact"/>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17"/>
                <w:szCs w:val="17"/>
                <w:color w:val="auto"/>
              </w:rPr>
            </w:pPr>
          </w:p>
        </w:tc>
        <w:tc>
          <w:tcPr>
            <w:tcW w:w="116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(3 )</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760" w:type="dxa"/>
            <w:vAlign w:val="bottom"/>
          </w:tcPr>
          <w:p>
            <w:pPr>
              <w:ind w:left="280"/>
              <w:spacing w:after="0" w:line="202" w:lineRule="exact"/>
              <w:rPr>
                <w:sz w:val="20"/>
                <w:szCs w:val="20"/>
                <w:color w:val="auto"/>
              </w:rPr>
            </w:pPr>
            <w:r>
              <w:rPr>
                <w:rFonts w:ascii="Arial" w:cs="Arial" w:eastAsia="Arial" w:hAnsi="Arial"/>
                <w:sz w:val="18"/>
                <w:szCs w:val="18"/>
                <w:color w:val="auto"/>
              </w:rPr>
              <w:t>Income tax benefit (expense)</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(6 )</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(2 )</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FF0FC"/>
          </w:tcPr>
          <w:p>
            <w:pPr>
              <w:jc w:val="right"/>
              <w:ind w:right="14"/>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AOCL as of March 31, 2022</w:t>
            </w:r>
          </w:p>
        </w:tc>
        <w:tc>
          <w:tcPr>
            <w:tcW w:w="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(19 )</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(5 )</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(32 )</w:t>
            </w:r>
          </w:p>
        </w:tc>
        <w:tc>
          <w:tcPr>
            <w:tcW w:w="380" w:type="dxa"/>
            <w:vAlign w:val="bottom"/>
            <w:gridSpan w:val="2"/>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(56 )</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-973455</wp:posOffset>
            </wp:positionV>
            <wp:extent cx="8572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-973455</wp:posOffset>
            </wp:positionV>
            <wp:extent cx="7683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-973455</wp:posOffset>
            </wp:positionV>
            <wp:extent cx="7683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-159385</wp:posOffset>
            </wp:positionV>
            <wp:extent cx="8572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-159385</wp:posOffset>
            </wp:positionV>
            <wp:extent cx="7683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-159385</wp:posOffset>
            </wp:positionV>
            <wp:extent cx="7683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5715"/>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37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Amounts reclassified from AOCL</w:t>
            </w:r>
          </w:p>
        </w:tc>
        <w:tc>
          <w:tcPr>
            <w:tcW w:w="300" w:type="dxa"/>
            <w:vAlign w:val="bottom"/>
            <w:tcBorders>
              <w:bottom w:val="single" w:sz="8" w:color="auto"/>
            </w:tcBorders>
          </w:tcPr>
          <w:p>
            <w:pPr>
              <w:spacing w:after="0"/>
              <w:rPr>
                <w:sz w:val="16"/>
                <w:szCs w:val="16"/>
                <w:color w:val="auto"/>
              </w:rPr>
            </w:pPr>
          </w:p>
        </w:tc>
        <w:tc>
          <w:tcPr>
            <w:tcW w:w="3300" w:type="dxa"/>
            <w:vAlign w:val="bottom"/>
            <w:vMerge w:val="restart"/>
          </w:tcPr>
          <w:p>
            <w:pPr>
              <w:jc w:val="center"/>
              <w:ind w:left="99"/>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29"/>
        </w:trPr>
        <w:tc>
          <w:tcPr>
            <w:tcW w:w="3860" w:type="dxa"/>
            <w:vAlign w:val="bottom"/>
          </w:tcPr>
          <w:p>
            <w:pPr>
              <w:spacing w:after="0"/>
              <w:rPr>
                <w:sz w:val="11"/>
                <w:szCs w:val="11"/>
                <w:color w:val="auto"/>
              </w:rPr>
            </w:pPr>
          </w:p>
        </w:tc>
        <w:tc>
          <w:tcPr>
            <w:tcW w:w="1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1"/>
                <w:szCs w:val="11"/>
                <w:color w:val="auto"/>
              </w:rPr>
            </w:pP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AOCL Components</w:t>
            </w:r>
          </w:p>
        </w:tc>
        <w:tc>
          <w:tcPr>
            <w:tcW w:w="16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tcPr>
          <w:p>
            <w:pPr>
              <w:jc w:val="center"/>
              <w:ind w:left="79"/>
              <w:spacing w:after="0" w:line="148"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76"/>
        </w:trPr>
        <w:tc>
          <w:tcPr>
            <w:tcW w:w="3860" w:type="dxa"/>
            <w:vAlign w:val="bottom"/>
            <w:vMerge w:val="continue"/>
          </w:tcPr>
          <w:p>
            <w:pPr>
              <w:spacing w:after="0"/>
              <w:rPr>
                <w:sz w:val="15"/>
                <w:szCs w:val="15"/>
                <w:color w:val="auto"/>
              </w:rPr>
            </w:pP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March 31, 2022</w:t>
            </w:r>
          </w:p>
        </w:tc>
        <w:tc>
          <w:tcPr>
            <w:tcW w:w="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March 31, 2021</w:t>
            </w:r>
          </w:p>
        </w:tc>
        <w:tc>
          <w:tcPr>
            <w:tcW w:w="300" w:type="dxa"/>
            <w:vAlign w:val="bottom"/>
            <w:tcBorders>
              <w:bottom w:val="single" w:sz="8" w:color="auto"/>
            </w:tcBorders>
          </w:tcPr>
          <w:p>
            <w:pPr>
              <w:spacing w:after="0"/>
              <w:rPr>
                <w:sz w:val="15"/>
                <w:szCs w:val="15"/>
                <w:color w:val="auto"/>
              </w:rPr>
            </w:pPr>
          </w:p>
        </w:tc>
        <w:tc>
          <w:tcPr>
            <w:tcW w:w="3300" w:type="dxa"/>
            <w:vAlign w:val="bottom"/>
          </w:tcPr>
          <w:p>
            <w:pPr>
              <w:jc w:val="center"/>
              <w:ind w:left="79"/>
              <w:spacing w:after="0"/>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196"/>
        </w:trPr>
        <w:tc>
          <w:tcPr>
            <w:tcW w:w="386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Interest rate swaps</w:t>
            </w:r>
          </w:p>
        </w:tc>
        <w:tc>
          <w:tcPr>
            <w:tcW w:w="1640" w:type="dxa"/>
            <w:vAlign w:val="bottom"/>
            <w:shd w:val="clear" w:color="auto" w:fill="CFF0FC"/>
          </w:tcPr>
          <w:p>
            <w:pPr>
              <w:jc w:val="right"/>
              <w:ind w:right="1459"/>
              <w:spacing w:after="0" w:line="196" w:lineRule="exact"/>
              <w:rPr>
                <w:sz w:val="20"/>
                <w:szCs w:val="20"/>
                <w:color w:val="auto"/>
              </w:rPr>
            </w:pPr>
            <w:r>
              <w:rPr>
                <w:rFonts w:ascii="Arial" w:cs="Arial" w:eastAsia="Arial" w:hAnsi="Arial"/>
                <w:sz w:val="18"/>
                <w:szCs w:val="18"/>
                <w:b w:val="1"/>
                <w:bCs w:val="1"/>
                <w:color w:val="auto"/>
                <w:w w:val="79"/>
              </w:rPr>
              <w:t>$</w:t>
            </w:r>
          </w:p>
        </w:tc>
        <w:tc>
          <w:tcPr>
            <w:tcW w:w="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(3 )</w:t>
            </w: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1439"/>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6"/>
              </w:rPr>
              <w:t>(4 )</w:t>
            </w:r>
          </w:p>
        </w:tc>
        <w:tc>
          <w:tcPr>
            <w:tcW w:w="330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03"/>
        </w:trPr>
        <w:tc>
          <w:tcPr>
            <w:tcW w:w="3860" w:type="dxa"/>
            <w:vAlign w:val="bottom"/>
          </w:tcPr>
          <w:p>
            <w:pPr>
              <w:ind w:left="280"/>
              <w:spacing w:after="0" w:line="202" w:lineRule="exact"/>
              <w:rPr>
                <w:sz w:val="20"/>
                <w:szCs w:val="20"/>
                <w:color w:val="auto"/>
              </w:rPr>
            </w:pPr>
            <w:r>
              <w:rPr>
                <w:rFonts w:ascii="Arial" w:cs="Arial" w:eastAsia="Arial" w:hAnsi="Arial"/>
                <w:sz w:val="18"/>
                <w:szCs w:val="18"/>
                <w:color w:val="auto"/>
              </w:rPr>
              <w:t>Prior service cost</w:t>
            </w:r>
          </w:p>
        </w:tc>
        <w:tc>
          <w:tcPr>
            <w:tcW w:w="16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3300" w:type="dxa"/>
            <w:vAlign w:val="bottom"/>
          </w:tcPr>
          <w:p>
            <w:pPr>
              <w:ind w:left="180"/>
              <w:spacing w:after="0" w:line="202" w:lineRule="exact"/>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reclassifications, before tax</w:t>
            </w:r>
          </w:p>
        </w:tc>
        <w:tc>
          <w:tcPr>
            <w:tcW w:w="1640" w:type="dxa"/>
            <w:vAlign w:val="bottom"/>
            <w:tcBorders>
              <w:bottom w:val="single" w:sz="8" w:color="auto"/>
            </w:tcBorders>
            <w:shd w:val="clear" w:color="auto" w:fill="CFF0FC"/>
          </w:tcPr>
          <w:p>
            <w:pPr>
              <w:jc w:val="right"/>
              <w:ind w:right="1459"/>
              <w:spacing w:after="0" w:line="196" w:lineRule="exact"/>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ind w:right="1439"/>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6"/>
              </w:rPr>
              <w:t>(2 )</w:t>
            </w:r>
          </w:p>
        </w:tc>
        <w:tc>
          <w:tcPr>
            <w:tcW w:w="330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196"/>
        </w:trPr>
        <w:tc>
          <w:tcPr>
            <w:tcW w:w="3860" w:type="dxa"/>
            <w:vAlign w:val="bottom"/>
          </w:tcPr>
          <w:p>
            <w:pPr>
              <w:ind w:left="20"/>
              <w:spacing w:after="0" w:line="196" w:lineRule="exact"/>
              <w:rPr>
                <w:sz w:val="20"/>
                <w:szCs w:val="20"/>
                <w:color w:val="auto"/>
              </w:rPr>
            </w:pPr>
            <w:r>
              <w:rPr>
                <w:rFonts w:ascii="Arial" w:cs="Arial" w:eastAsia="Arial" w:hAnsi="Arial"/>
                <w:sz w:val="18"/>
                <w:szCs w:val="18"/>
                <w:color w:val="auto"/>
              </w:rPr>
              <w:t>Total reclassifications, net of tax</w:t>
            </w:r>
          </w:p>
        </w:tc>
        <w:tc>
          <w:tcPr>
            <w:tcW w:w="1640" w:type="dxa"/>
            <w:vAlign w:val="bottom"/>
          </w:tcPr>
          <w:p>
            <w:pPr>
              <w:jc w:val="right"/>
              <w:ind w:right="1459"/>
              <w:spacing w:after="0" w:line="196" w:lineRule="exact"/>
              <w:rPr>
                <w:sz w:val="20"/>
                <w:szCs w:val="20"/>
                <w:color w:val="auto"/>
              </w:rPr>
            </w:pPr>
            <w:r>
              <w:rPr>
                <w:rFonts w:ascii="Arial" w:cs="Arial" w:eastAsia="Arial" w:hAnsi="Arial"/>
                <w:sz w:val="18"/>
                <w:szCs w:val="18"/>
                <w:b w:val="1"/>
                <w:bCs w:val="1"/>
                <w:color w:val="auto"/>
                <w:w w:val="79"/>
              </w:rPr>
              <w:t>$</w:t>
            </w:r>
          </w:p>
        </w:tc>
        <w:tc>
          <w:tcPr>
            <w:tcW w:w="32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1820" w:type="dxa"/>
            <w:vAlign w:val="bottom"/>
            <w:gridSpan w:val="2"/>
          </w:tcPr>
          <w:p>
            <w:pPr>
              <w:jc w:val="right"/>
              <w:ind w:right="1439"/>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6"/>
              </w:rPr>
              <w:t>(2 )</w:t>
            </w: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-159385</wp:posOffset>
            </wp:positionV>
            <wp:extent cx="11176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-159385</wp:posOffset>
            </wp:positionV>
            <wp:extent cx="11176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760" cy="5715"/>
                    </a:xfrm>
                    <a:prstGeom prst="rect">
                      <a:avLst/>
                    </a:prstGeom>
                    <a:noFill/>
                  </pic:spPr>
                </pic:pic>
              </a:graphicData>
            </a:graphic>
          </wp:anchor>
        </w:drawing>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Prior service cost and actuarial loss are included in the computation of the Company’s net periodic benefit cost (credit). See "Note 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Employee Benefit Plans” for additional details.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COMMITMENTS AND CONTINGENCIES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66" w:lineRule="exact"/>
        <w:rPr>
          <w:sz w:val="20"/>
          <w:szCs w:val="20"/>
          <w:color w:val="auto"/>
        </w:rPr>
      </w:pPr>
    </w:p>
    <w:p>
      <w:pPr>
        <w:ind w:right="260" w:firstLine="494"/>
        <w:spacing w:after="0" w:line="287" w:lineRule="auto"/>
        <w:rPr>
          <w:sz w:val="20"/>
          <w:szCs w:val="20"/>
          <w:color w:val="auto"/>
        </w:rPr>
      </w:pPr>
      <w:r>
        <w:rPr>
          <w:rFonts w:ascii="Arial" w:cs="Arial" w:eastAsia="Arial" w:hAnsi="Arial"/>
          <w:sz w:val="18"/>
          <w:szCs w:val="18"/>
          <w:color w:val="auto"/>
        </w:rPr>
        <w:t>The Company has an agreement with the Environmental Protection Agency to perform remedial activities at the Company’s Indianapolis, Indiana manufacturing facilities related to historical soil and groundwater contamination. As of March 31, 2022, the Company had a liability recorded in the amount of $3 million.</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166" w:lineRule="exact"/>
        <w:rPr>
          <w:sz w:val="20"/>
          <w:szCs w:val="20"/>
          <w:color w:val="auto"/>
        </w:rPr>
      </w:pPr>
    </w:p>
    <w:p>
      <w:pPr>
        <w:ind w:right="220" w:firstLine="494"/>
        <w:spacing w:after="0" w:line="284"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EARNINGS PER SHARE</w:t>
      </w:r>
    </w:p>
    <w:p>
      <w:pPr>
        <w:spacing w:after="0" w:line="166"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and compensation cost for future service that the Company has not yet recognized. For each of the three months ended March 31, 2022 and 2021, there were 1 million outstanding stock options excluded from the diluted EPS calculation because they were anti-dilutive.</w:t>
      </w:r>
    </w:p>
    <w:p>
      <w:pPr>
        <w:spacing w:after="0" w:line="99" w:lineRule="exact"/>
        <w:rPr>
          <w:sz w:val="20"/>
          <w:szCs w:val="20"/>
          <w:color w:val="auto"/>
        </w:rPr>
      </w:pPr>
    </w:p>
    <w:p>
      <w:pPr>
        <w:ind w:right="160" w:firstLine="494"/>
        <w:spacing w:after="0" w:line="293" w:lineRule="auto"/>
        <w:rPr>
          <w:sz w:val="20"/>
          <w:szCs w:val="20"/>
          <w:color w:val="auto"/>
        </w:rPr>
      </w:pPr>
      <w:r>
        <w:rPr>
          <w:rFonts w:ascii="Arial" w:cs="Arial" w:eastAsia="Arial" w:hAnsi="Arial"/>
          <w:sz w:val="18"/>
          <w:szCs w:val="18"/>
          <w:color w:val="auto"/>
        </w:rPr>
        <w:t>The following table reconciles the numerators and denominators used to calculate basic EPS and diluted EPS (in millions, except per share data):</w:t>
      </w:r>
    </w:p>
    <w:p>
      <w:pPr>
        <w:spacing w:after="0" w:line="157"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80" w:type="dxa"/>
            <w:vAlign w:val="bottom"/>
          </w:tcPr>
          <w:p>
            <w:pPr>
              <w:spacing w:after="0"/>
              <w:rPr>
                <w:sz w:val="15"/>
                <w:szCs w:val="15"/>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auto"/>
            </w:tcBorders>
            <w:shd w:val="clear" w:color="auto" w:fill="CFF0FC"/>
          </w:tcPr>
          <w:p>
            <w:pPr>
              <w:jc w:val="right"/>
              <w:ind w:right="935"/>
              <w:spacing w:after="0" w:line="196"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129</w:t>
            </w:r>
          </w:p>
        </w:tc>
        <w:tc>
          <w:tcPr>
            <w:tcW w:w="1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8"/>
                <w:szCs w:val="18"/>
                <w:color w:val="auto"/>
              </w:rPr>
              <w:t>Weighted average shares of common stock outstanding</w:t>
            </w:r>
          </w:p>
        </w:tc>
        <w:tc>
          <w:tcPr>
            <w:tcW w:w="1120" w:type="dxa"/>
            <w:vAlign w:val="bottom"/>
          </w:tcPr>
          <w:p>
            <w:pPr>
              <w:spacing w:after="0"/>
              <w:rPr>
                <w:sz w:val="15"/>
                <w:szCs w:val="15"/>
                <w:color w:val="auto"/>
              </w:rPr>
            </w:pPr>
          </w:p>
        </w:tc>
        <w:tc>
          <w:tcPr>
            <w:tcW w:w="600" w:type="dxa"/>
            <w:vAlign w:val="bottom"/>
          </w:tcPr>
          <w:p>
            <w:pPr>
              <w:jc w:val="right"/>
              <w:ind w:right="10"/>
              <w:spacing w:after="0" w:line="183" w:lineRule="exact"/>
              <w:rPr>
                <w:sz w:val="20"/>
                <w:szCs w:val="20"/>
                <w:color w:val="auto"/>
              </w:rPr>
            </w:pPr>
            <w:r>
              <w:rPr>
                <w:rFonts w:ascii="Arial" w:cs="Arial" w:eastAsia="Arial" w:hAnsi="Arial"/>
                <w:sz w:val="18"/>
                <w:szCs w:val="18"/>
                <w:b w:val="1"/>
                <w:bCs w:val="1"/>
                <w:color w:val="auto"/>
              </w:rPr>
              <w:t>98</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Arial" w:cs="Arial" w:eastAsia="Arial" w:hAnsi="Arial"/>
                <w:sz w:val="18"/>
                <w:szCs w:val="18"/>
                <w:color w:val="auto"/>
              </w:rPr>
              <w:t>111</w:t>
            </w: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Dilutive effect of stock-based awards</w:t>
            </w:r>
          </w:p>
        </w:tc>
        <w:tc>
          <w:tcPr>
            <w:tcW w:w="1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6"/>
        </w:trPr>
        <w:tc>
          <w:tcPr>
            <w:tcW w:w="7680" w:type="dxa"/>
            <w:vAlign w:val="bottom"/>
          </w:tcPr>
          <w:p>
            <w:pPr>
              <w:ind w:left="280"/>
              <w:spacing w:after="0" w:line="196" w:lineRule="exact"/>
              <w:rPr>
                <w:sz w:val="20"/>
                <w:szCs w:val="20"/>
                <w:color w:val="auto"/>
              </w:rPr>
            </w:pPr>
            <w:r>
              <w:rPr>
                <w:rFonts w:ascii="Arial" w:cs="Arial" w:eastAsia="Arial" w:hAnsi="Arial"/>
                <w:sz w:val="18"/>
                <w:szCs w:val="18"/>
                <w:color w:val="auto"/>
              </w:rPr>
              <w:t>Diluted weighted average shares of common stock outstanding</w:t>
            </w:r>
          </w:p>
        </w:tc>
        <w:tc>
          <w:tcPr>
            <w:tcW w:w="1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99</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20"/>
        </w:trPr>
        <w:tc>
          <w:tcPr>
            <w:tcW w:w="7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3"/>
        </w:trPr>
        <w:tc>
          <w:tcPr>
            <w:tcW w:w="76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Basic earnings per share attributable to common stockholders</w:t>
            </w:r>
          </w:p>
        </w:tc>
        <w:tc>
          <w:tcPr>
            <w:tcW w:w="1120" w:type="dxa"/>
            <w:vAlign w:val="bottom"/>
            <w:tcBorders>
              <w:top w:val="single" w:sz="8" w:color="auto"/>
              <w:bottom w:val="single" w:sz="8" w:color="auto"/>
            </w:tcBorders>
            <w:shd w:val="clear" w:color="auto" w:fill="CFF0FC"/>
          </w:tcPr>
          <w:p>
            <w:pPr>
              <w:jc w:val="right"/>
              <w:ind w:right="935"/>
              <w:spacing w:after="0" w:line="183"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FF0FC"/>
          </w:tcPr>
          <w:p>
            <w:pPr>
              <w:jc w:val="right"/>
              <w:ind w:right="10"/>
              <w:spacing w:after="0" w:line="183" w:lineRule="exact"/>
              <w:rPr>
                <w:sz w:val="20"/>
                <w:szCs w:val="20"/>
                <w:color w:val="auto"/>
              </w:rPr>
            </w:pPr>
            <w:r>
              <w:rPr>
                <w:rFonts w:ascii="Arial" w:cs="Arial" w:eastAsia="Arial" w:hAnsi="Arial"/>
                <w:sz w:val="18"/>
                <w:szCs w:val="18"/>
                <w:b w:val="1"/>
                <w:bCs w:val="1"/>
                <w:color w:val="auto"/>
              </w:rPr>
              <w:t>1.32</w:t>
            </w: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70"/>
              <w:spacing w:after="0" w:line="183"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1.08</w:t>
            </w:r>
          </w:p>
        </w:tc>
      </w:tr>
      <w:tr>
        <w:trPr>
          <w:trHeight w:val="183"/>
        </w:trPr>
        <w:tc>
          <w:tcPr>
            <w:tcW w:w="7680" w:type="dxa"/>
            <w:vAlign w:val="bottom"/>
          </w:tcPr>
          <w:p>
            <w:pPr>
              <w:ind w:left="280"/>
              <w:spacing w:after="0" w:line="183" w:lineRule="exact"/>
              <w:rPr>
                <w:sz w:val="20"/>
                <w:szCs w:val="20"/>
                <w:color w:val="auto"/>
              </w:rPr>
            </w:pPr>
            <w:r>
              <w:rPr>
                <w:rFonts w:ascii="Arial" w:cs="Arial" w:eastAsia="Arial" w:hAnsi="Arial"/>
                <w:sz w:val="18"/>
                <w:szCs w:val="18"/>
                <w:color w:val="auto"/>
              </w:rPr>
              <w:t>Diluted earnings per share attributable to common stockholders</w:t>
            </w:r>
          </w:p>
        </w:tc>
        <w:tc>
          <w:tcPr>
            <w:tcW w:w="1120" w:type="dxa"/>
            <w:vAlign w:val="bottom"/>
          </w:tcPr>
          <w:p>
            <w:pPr>
              <w:jc w:val="right"/>
              <w:ind w:right="935"/>
              <w:spacing w:after="0" w:line="183" w:lineRule="exact"/>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10"/>
              <w:spacing w:after="0" w:line="183" w:lineRule="exact"/>
              <w:rPr>
                <w:sz w:val="20"/>
                <w:szCs w:val="20"/>
                <w:color w:val="auto"/>
              </w:rPr>
            </w:pPr>
            <w:r>
              <w:rPr>
                <w:rFonts w:ascii="Arial" w:cs="Arial" w:eastAsia="Arial" w:hAnsi="Arial"/>
                <w:sz w:val="18"/>
                <w:szCs w:val="18"/>
                <w:b w:val="1"/>
                <w:bCs w:val="1"/>
                <w:color w:val="auto"/>
              </w:rPr>
              <w:t>1.30</w:t>
            </w:r>
          </w:p>
        </w:tc>
        <w:tc>
          <w:tcPr>
            <w:tcW w:w="540" w:type="dxa"/>
            <w:vAlign w:val="bottom"/>
            <w:gridSpan w:val="2"/>
          </w:tcPr>
          <w:p>
            <w:pPr>
              <w:jc w:val="right"/>
              <w:ind w:right="170"/>
              <w:spacing w:after="0" w:line="183"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83" w:lineRule="exact"/>
              <w:rPr>
                <w:sz w:val="20"/>
                <w:szCs w:val="20"/>
                <w:color w:val="auto"/>
              </w:rPr>
            </w:pPr>
            <w:r>
              <w:rPr>
                <w:rFonts w:ascii="Arial" w:cs="Arial" w:eastAsia="Arial" w:hAnsi="Arial"/>
                <w:sz w:val="18"/>
                <w:szCs w:val="18"/>
                <w:color w:val="auto"/>
              </w:rPr>
              <w:t>1.07</w:t>
            </w:r>
          </w:p>
        </w:tc>
      </w:tr>
      <w:tr>
        <w:trPr>
          <w:trHeight w:val="20"/>
        </w:trPr>
        <w:tc>
          <w:tcPr>
            <w:tcW w:w="7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-753745</wp:posOffset>
            </wp:positionV>
            <wp:extent cx="1117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-736600</wp:posOffset>
            </wp:positionV>
            <wp:extent cx="1117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-467995</wp:posOffset>
            </wp:positionV>
            <wp:extent cx="11176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-179705</wp:posOffset>
            </wp:positionV>
            <wp:extent cx="1117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-162560</wp:posOffset>
            </wp:positionV>
            <wp:extent cx="1117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COMMON STOCK</w:t>
      </w:r>
    </w:p>
    <w:p>
      <w:pPr>
        <w:spacing w:after="0" w:line="166" w:lineRule="exact"/>
        <w:rPr>
          <w:sz w:val="20"/>
          <w:szCs w:val="20"/>
          <w:color w:val="auto"/>
        </w:rPr>
      </w:pPr>
    </w:p>
    <w:p>
      <w:pPr>
        <w:jc w:val="both"/>
        <w:ind w:right="140" w:firstLine="494"/>
        <w:spacing w:after="0" w:line="287" w:lineRule="auto"/>
        <w:rPr>
          <w:sz w:val="20"/>
          <w:szCs w:val="20"/>
          <w:color w:val="auto"/>
        </w:rPr>
      </w:pPr>
      <w:r>
        <w:rPr>
          <w:rFonts w:ascii="Arial" w:cs="Arial" w:eastAsia="Arial" w:hAnsi="Arial"/>
          <w:sz w:val="18"/>
          <w:szCs w:val="18"/>
          <w:color w:val="auto"/>
        </w:rPr>
        <w:t>The Company's current stock repurchase program (the "Repurchase Program") was authorized by the Board of Directors in 2016. On February 24, 2022, the Board of Directors authorized the Company to repurchase an additional $1,000 million of its common stock, bringing the total amount authorized under the Repurchase Program to $4,000 million.</w:t>
      </w:r>
    </w:p>
    <w:p>
      <w:pPr>
        <w:spacing w:after="0" w:line="94" w:lineRule="exact"/>
        <w:rPr>
          <w:sz w:val="20"/>
          <w:szCs w:val="20"/>
          <w:color w:val="auto"/>
        </w:rPr>
      </w:pPr>
    </w:p>
    <w:p>
      <w:pPr>
        <w:ind w:firstLine="494"/>
        <w:spacing w:after="0" w:line="285" w:lineRule="auto"/>
        <w:rPr>
          <w:sz w:val="20"/>
          <w:szCs w:val="20"/>
          <w:color w:val="auto"/>
        </w:rPr>
      </w:pPr>
      <w:r>
        <w:rPr>
          <w:rFonts w:ascii="Arial" w:cs="Arial" w:eastAsia="Arial" w:hAnsi="Arial"/>
          <w:sz w:val="18"/>
          <w:szCs w:val="18"/>
          <w:color w:val="auto"/>
        </w:rPr>
        <w:t>During the three months ended March 31, 2022, the Company repurchased $81 million of its common stock under the Repurchase Program, leaving $1,233 million of authorized repurchases remaining under the Repurchase Program as of March 31, 2022. The Repurchase Program has no termination date, and the timing and amount of stock purchases are subject to market conditions and corporate needs. The Repurchase Program may be modified, suspended or discontinued at any time at the Company’s discretion.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ACQUISITIONS</w:t>
      </w:r>
    </w:p>
    <w:p>
      <w:pPr>
        <w:spacing w:after="0" w:line="166"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On March 31, 2022, the Company acquired transmission portfolio assets of India-based AVTEC Ltd's off-highway business and AVTEC's Madras Export Procession Zone off-highway component machining business ("AVTEC"), for $23 million in cash. The Company accounted for this transaction under the acquisition method in accordance with authoritative guidance on business combinations. Control was obtained as of the purchase date through the purchase agreement. The acquired business was integrated into the Company's single operating segment.</w:t>
      </w:r>
    </w:p>
    <w:p>
      <w:pPr>
        <w:spacing w:after="0" w:line="98" w:lineRule="exact"/>
        <w:rPr>
          <w:sz w:val="20"/>
          <w:szCs w:val="20"/>
          <w:color w:val="auto"/>
        </w:rPr>
      </w:pPr>
    </w:p>
    <w:p>
      <w:pPr>
        <w:ind w:right="140" w:firstLine="494"/>
        <w:spacing w:after="0" w:line="285" w:lineRule="auto"/>
        <w:rPr>
          <w:sz w:val="20"/>
          <w:szCs w:val="20"/>
          <w:color w:val="auto"/>
        </w:rPr>
      </w:pPr>
      <w:r>
        <w:rPr>
          <w:rFonts w:ascii="Arial" w:cs="Arial" w:eastAsia="Arial" w:hAnsi="Arial"/>
          <w:sz w:val="18"/>
          <w:szCs w:val="18"/>
          <w:color w:val="auto"/>
        </w:rPr>
        <w:t>The preliminary purchase price allocation for this transaction resulted in the recognition of goodwill, intangible assets and property, plant and equipment of $14 million, $7 million and $2 million, respectively. The Company is currently completing its fair value assessment of the acquired assets with the assistance of third-party valuation specialists and any adjustments identified in the measurement period, which will not exceed one year from the acquisition date, will be accounted for prospectively.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45"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ind w:right="20" w:firstLine="494"/>
        <w:spacing w:after="0" w:line="297"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69" w:lineRule="exact"/>
        <w:rPr>
          <w:sz w:val="20"/>
          <w:szCs w:val="20"/>
          <w:color w:val="auto"/>
        </w:rPr>
      </w:pPr>
    </w:p>
    <w:p>
      <w:pPr>
        <w:ind w:right="180" w:firstLine="494"/>
        <w:spacing w:after="0" w:line="288" w:lineRule="auto"/>
        <w:rPr>
          <w:sz w:val="20"/>
          <w:szCs w:val="20"/>
          <w:color w:val="auto"/>
        </w:rPr>
      </w:pPr>
      <w:r>
        <w:rPr>
          <w:rFonts w:ascii="Arial" w:cs="Arial" w:eastAsia="Arial" w:hAnsi="Arial"/>
          <w:sz w:val="18"/>
          <w:szCs w:val="18"/>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and in Part I, Item 1A "Risk Factors" in our Annual Report on Form 10-K for the year ended December 31, 2021 as filed with the Securities and Exchange Commission ("SEC") on February 17, 2022. Our actual results may differ materially from those contained in or implied by any forward-looking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0" w:lineRule="exact"/>
        <w:rPr>
          <w:sz w:val="20"/>
          <w:szCs w:val="20"/>
          <w:color w:val="auto"/>
        </w:rPr>
      </w:pPr>
    </w:p>
    <w:p>
      <w:pPr>
        <w:ind w:right="160" w:firstLine="494"/>
        <w:spacing w:after="0" w:line="285" w:lineRule="auto"/>
        <w:rPr>
          <w:sz w:val="20"/>
          <w:szCs w:val="20"/>
          <w:color w:val="auto"/>
        </w:rPr>
      </w:pPr>
      <w:r>
        <w:rPr>
          <w:rFonts w:ascii="Arial" w:cs="Arial" w:eastAsia="Arial" w:hAnsi="Arial"/>
          <w:sz w:val="18"/>
          <w:szCs w:val="18"/>
          <w:color w:val="auto"/>
        </w:rPr>
        <w:t>Allison Transmission Holdings, Inc. and its subsidiaries (“Allison,” the “Company,” “we,” “us” or “our”)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97" w:lineRule="exact"/>
        <w:rPr>
          <w:sz w:val="20"/>
          <w:szCs w:val="20"/>
          <w:color w:val="auto"/>
        </w:rPr>
      </w:pPr>
    </w:p>
    <w:p>
      <w:pPr>
        <w:ind w:right="120" w:firstLine="499"/>
        <w:spacing w:after="0" w:line="287" w:lineRule="auto"/>
        <w:rPr>
          <w:sz w:val="20"/>
          <w:szCs w:val="20"/>
          <w:color w:val="auto"/>
        </w:rPr>
      </w:pPr>
      <w:r>
        <w:rPr>
          <w:rFonts w:ascii="Arial" w:cs="Arial" w:eastAsia="Arial" w:hAnsi="Arial"/>
          <w:sz w:val="18"/>
          <w:szCs w:val="18"/>
          <w:color w:val="auto"/>
        </w:rPr>
        <w:t>Although approximately 76% of revenues were generated in North America in 2021, we have a global presence by serving customers in Asia, Europe, South America and Africa. We serve customers through an independent network of approximately 1,400 independent distributor and dealer locations worldwide.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66" w:lineRule="exact"/>
        <w:rPr>
          <w:sz w:val="20"/>
          <w:szCs w:val="20"/>
          <w:color w:val="auto"/>
        </w:rPr>
      </w:pPr>
    </w:p>
    <w:p>
      <w:pPr>
        <w:ind w:right="280" w:firstLine="499"/>
        <w:spacing w:after="0" w:line="283" w:lineRule="auto"/>
        <w:rPr>
          <w:sz w:val="20"/>
          <w:szCs w:val="20"/>
          <w:color w:val="auto"/>
        </w:rPr>
      </w:pPr>
      <w:r>
        <w:rPr>
          <w:rFonts w:ascii="Arial" w:cs="Arial" w:eastAsia="Arial" w:hAnsi="Arial"/>
          <w:sz w:val="18"/>
          <w:szCs w:val="18"/>
          <w:color w:val="auto"/>
        </w:rPr>
        <w:t>During the first quarter of 2022, the COVID-19 pandemic continued to cause supply chain, labor and raw material constraints that created volatility in our business performance and impacted global markets and supply chains. As a result, we experienced, and expect to continue to experience, raw material and component part price inflation, increased freight and logistics costs and increased overtime expense as a result of labor shortages. In addition, despite increased customer demand our net sales for the first quarter of 2022 were negatively impacted as a result of our customers’ inability to secure components from the broader commercial vehicle supply base which resulted in reduced commercial vehicle build schedules. We expect that commercial vehicle build schedules will continue to be negatively impacted by the availability of components.</w:t>
      </w:r>
    </w:p>
    <w:p>
      <w:pPr>
        <w:spacing w:after="0" w:line="101" w:lineRule="exact"/>
        <w:rPr>
          <w:sz w:val="20"/>
          <w:szCs w:val="20"/>
          <w:color w:val="auto"/>
        </w:rPr>
      </w:pPr>
    </w:p>
    <w:p>
      <w:pPr>
        <w:ind w:firstLine="499"/>
        <w:spacing w:after="0" w:line="284" w:lineRule="auto"/>
        <w:rPr>
          <w:sz w:val="20"/>
          <w:szCs w:val="20"/>
          <w:color w:val="auto"/>
        </w:rPr>
      </w:pPr>
      <w:r>
        <w:rPr>
          <w:rFonts w:ascii="Arial" w:cs="Arial" w:eastAsia="Arial" w:hAnsi="Arial"/>
          <w:sz w:val="18"/>
          <w:szCs w:val="18"/>
          <w:color w:val="auto"/>
        </w:rPr>
        <w:t>To limit the spread of variants and sub-variants of COVID-19, governments continue to take various actions that may impact our employees, operations and supply base, including the administration or mandate of vaccinations, travel bans and restrictions, quarantines, curfews, stay-at-home orders, social distancing guidelines and business shutdowns and closures. We continue to take a variety of measures, when and where appropriate based on transmission rates and the presence of variants and sub-variants of COVID-19 in the locations in which we operate, to promote the safety and security of our employees and to maintain operations with as minimal impact as possible to our stakeholders.</w:t>
      </w:r>
    </w:p>
    <w:p>
      <w:pPr>
        <w:spacing w:after="0" w:line="96" w:lineRule="exact"/>
        <w:rPr>
          <w:sz w:val="20"/>
          <w:szCs w:val="20"/>
          <w:color w:val="auto"/>
        </w:rPr>
      </w:pPr>
    </w:p>
    <w:p>
      <w:pPr>
        <w:ind w:right="80" w:firstLine="499"/>
        <w:spacing w:after="0" w:line="287" w:lineRule="auto"/>
        <w:rPr>
          <w:sz w:val="20"/>
          <w:szCs w:val="20"/>
          <w:color w:val="auto"/>
        </w:rPr>
      </w:pPr>
      <w:r>
        <w:rPr>
          <w:rFonts w:ascii="Arial" w:cs="Arial" w:eastAsia="Arial" w:hAnsi="Arial"/>
          <w:sz w:val="18"/>
          <w:szCs w:val="18"/>
          <w:color w:val="auto"/>
        </w:rPr>
        <w:t>Our net sales are driven by commercial vehicle production, which tends to be highly correlated to macroeconomic conditions. In 2022, we expect higher demand in the Global On-Highway, Global Off-Highway and Service Parts, Support Equipment &amp; Other end markets as a result of the ongoing global economic recovery, continued strength in customer demand and price increases on certain products.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First Quarter Net Sales by End Market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End Market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Q1 2022</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394"/>
              <w:spacing w:after="0"/>
              <w:rPr>
                <w:sz w:val="20"/>
                <w:szCs w:val="20"/>
                <w:color w:val="auto"/>
              </w:rPr>
            </w:pPr>
            <w:r>
              <w:rPr>
                <w:rFonts w:ascii="Arial" w:cs="Arial" w:eastAsia="Arial" w:hAnsi="Arial"/>
                <w:sz w:val="14"/>
                <w:szCs w:val="14"/>
                <w:b w:val="1"/>
                <w:bCs w:val="1"/>
                <w:color w:val="auto"/>
              </w:rPr>
              <w:t>Q1 2021</w:t>
            </w:r>
          </w:p>
        </w:tc>
        <w:tc>
          <w:tcPr>
            <w:tcW w:w="120" w:type="dxa"/>
            <w:vAlign w:val="bottom"/>
          </w:tcPr>
          <w:p>
            <w:pPr>
              <w:spacing w:after="0"/>
              <w:rPr>
                <w:sz w:val="14"/>
                <w:szCs w:val="14"/>
                <w:color w:val="auto"/>
              </w:rPr>
            </w:pPr>
          </w:p>
        </w:tc>
        <w:tc>
          <w:tcPr>
            <w:tcW w:w="160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89"/>
        </w:trPr>
        <w:tc>
          <w:tcPr>
            <w:tcW w:w="65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Sales</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Net Sales</w:t>
            </w:r>
          </w:p>
        </w:tc>
        <w:tc>
          <w:tcPr>
            <w:tcW w:w="12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North America On-Highway</w:t>
            </w:r>
          </w:p>
        </w:tc>
        <w:tc>
          <w:tcPr>
            <w:tcW w:w="1020" w:type="dxa"/>
            <w:vAlign w:val="bottom"/>
            <w:shd w:val="clear" w:color="auto" w:fill="CFF0FC"/>
          </w:tcPr>
          <w:p>
            <w:pPr>
              <w:jc w:val="right"/>
              <w:ind w:right="839"/>
              <w:spacing w:after="0" w:line="196" w:lineRule="exact"/>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99"/>
              </w:rPr>
              <w:t>346</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319</w:t>
            </w:r>
          </w:p>
        </w:tc>
        <w:tc>
          <w:tcPr>
            <w:tcW w:w="12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79"/>
              <w:spacing w:after="0" w:line="196" w:lineRule="exact"/>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North America Off-Highway</w:t>
            </w:r>
          </w:p>
        </w:tc>
        <w:tc>
          <w:tcPr>
            <w:tcW w:w="1020" w:type="dxa"/>
            <w:vAlign w:val="bottom"/>
          </w:tcPr>
          <w:p>
            <w:pPr>
              <w:spacing w:after="0"/>
              <w:rPr>
                <w:sz w:val="17"/>
                <w:szCs w:val="17"/>
                <w:color w:val="auto"/>
              </w:rPr>
            </w:pPr>
          </w:p>
        </w:tc>
        <w:tc>
          <w:tcPr>
            <w:tcW w:w="4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72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Defense</w:t>
            </w:r>
          </w:p>
        </w:tc>
        <w:tc>
          <w:tcPr>
            <w:tcW w:w="102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35</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w:t>
            </w:r>
          </w:p>
        </w:tc>
        <w:tc>
          <w:tcPr>
            <w:tcW w:w="1720" w:type="dxa"/>
            <w:vAlign w:val="bottom"/>
            <w:gridSpan w:val="2"/>
            <w:shd w:val="clear" w:color="auto" w:fill="CFF0FC"/>
          </w:tcPr>
          <w:p>
            <w:pPr>
              <w:jc w:val="right"/>
              <w:ind w:right="19"/>
              <w:spacing w:after="0" w:line="202"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Outside North America On-Highway</w:t>
            </w:r>
          </w:p>
        </w:tc>
        <w:tc>
          <w:tcPr>
            <w:tcW w:w="1020" w:type="dxa"/>
            <w:vAlign w:val="bottom"/>
          </w:tcPr>
          <w:p>
            <w:pPr>
              <w:spacing w:after="0"/>
              <w:rPr>
                <w:sz w:val="17"/>
                <w:szCs w:val="17"/>
                <w:color w:val="auto"/>
              </w:rPr>
            </w:pPr>
          </w:p>
        </w:tc>
        <w:tc>
          <w:tcPr>
            <w:tcW w:w="4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w w:val="99"/>
              </w:rPr>
              <w:t>109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172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Outside North America Off-Highway</w:t>
            </w:r>
          </w:p>
        </w:tc>
        <w:tc>
          <w:tcPr>
            <w:tcW w:w="102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30</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1720" w:type="dxa"/>
            <w:vAlign w:val="bottom"/>
            <w:gridSpan w:val="2"/>
            <w:shd w:val="clear" w:color="auto" w:fill="CFF0FC"/>
          </w:tcPr>
          <w:p>
            <w:pPr>
              <w:jc w:val="right"/>
              <w:ind w:right="79"/>
              <w:spacing w:after="0" w:line="202" w:lineRule="exact"/>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Service Parts, Support Equipment and Other</w:t>
            </w: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w w:val="99"/>
              </w:rPr>
              <w:t>139</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w:t>
            </w:r>
          </w:p>
        </w:tc>
        <w:tc>
          <w:tcPr>
            <w:tcW w:w="172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6"/>
        </w:trPr>
        <w:tc>
          <w:tcPr>
            <w:tcW w:w="65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Net Sales</w:t>
            </w:r>
          </w:p>
        </w:tc>
        <w:tc>
          <w:tcPr>
            <w:tcW w:w="1020" w:type="dxa"/>
            <w:vAlign w:val="bottom"/>
            <w:tcBorders>
              <w:bottom w:val="single" w:sz="8" w:color="auto"/>
            </w:tcBorders>
            <w:shd w:val="clear" w:color="auto" w:fill="CFF0FC"/>
          </w:tcPr>
          <w:p>
            <w:pPr>
              <w:jc w:val="right"/>
              <w:ind w:right="839"/>
              <w:spacing w:after="0" w:line="182" w:lineRule="exact"/>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b w:val="1"/>
                <w:bCs w:val="1"/>
                <w:color w:val="auto"/>
                <w:w w:val="99"/>
              </w:rPr>
              <w:t>677</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588</w:t>
            </w:r>
          </w:p>
        </w:tc>
        <w:tc>
          <w:tcPr>
            <w:tcW w:w="1720" w:type="dxa"/>
            <w:vAlign w:val="bottom"/>
            <w:tcBorders>
              <w:bottom w:val="single" w:sz="8" w:color="CFF0FC"/>
            </w:tcBorders>
            <w:gridSpan w:val="2"/>
            <w:shd w:val="clear" w:color="auto" w:fill="CFF0FC"/>
          </w:tcPr>
          <w:p>
            <w:pPr>
              <w:jc w:val="right"/>
              <w:ind w:right="79"/>
              <w:spacing w:after="0" w:line="182" w:lineRule="exact"/>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5" w:lineRule="exact"/>
        <w:rPr>
          <w:sz w:val="20"/>
          <w:szCs w:val="20"/>
          <w:color w:val="auto"/>
        </w:rPr>
      </w:pPr>
    </w:p>
    <w:p>
      <w:pPr>
        <w:ind w:right="200" w:firstLine="494"/>
        <w:spacing w:after="0" w:line="293" w:lineRule="auto"/>
        <w:rPr>
          <w:sz w:val="20"/>
          <w:szCs w:val="20"/>
          <w:color w:val="auto"/>
        </w:rPr>
      </w:pPr>
      <w:r>
        <w:rPr>
          <w:rFonts w:ascii="Arial" w:cs="Arial" w:eastAsia="Arial" w:hAnsi="Arial"/>
          <w:sz w:val="18"/>
          <w:szCs w:val="18"/>
          <w:color w:val="auto"/>
        </w:rPr>
        <w:t>North America On-Highway end market net sales were up 8% for the first quarter 2022 compared to the first quarter 2021, principally driven by continued strength in customer demand for last mile delivery, regional haul and vocational trucks.</w:t>
      </w:r>
    </w:p>
    <w:p>
      <w:pPr>
        <w:spacing w:after="0" w:line="89" w:lineRule="exact"/>
        <w:rPr>
          <w:sz w:val="20"/>
          <w:szCs w:val="20"/>
          <w:color w:val="auto"/>
        </w:rPr>
      </w:pPr>
    </w:p>
    <w:p>
      <w:pPr>
        <w:ind w:right="280" w:firstLine="494"/>
        <w:spacing w:after="0" w:line="293" w:lineRule="auto"/>
        <w:rPr>
          <w:sz w:val="20"/>
          <w:szCs w:val="20"/>
          <w:color w:val="auto"/>
        </w:rPr>
      </w:pPr>
      <w:r>
        <w:rPr>
          <w:rFonts w:ascii="Arial" w:cs="Arial" w:eastAsia="Arial" w:hAnsi="Arial"/>
          <w:sz w:val="18"/>
          <w:szCs w:val="18"/>
          <w:color w:val="auto"/>
        </w:rPr>
        <w:t>Outside North America On-Highway end market net sales were up 30% for the first quarter 2022 compared to the first quarter 2021, principally driven by further strengthening in demand across all regions and our continued execution of growth initiatives.</w:t>
      </w:r>
    </w:p>
    <w:p>
      <w:pPr>
        <w:spacing w:after="0" w:line="89" w:lineRule="exact"/>
        <w:rPr>
          <w:sz w:val="20"/>
          <w:szCs w:val="20"/>
          <w:color w:val="auto"/>
        </w:rPr>
      </w:pPr>
    </w:p>
    <w:p>
      <w:pPr>
        <w:ind w:right="220" w:firstLine="494"/>
        <w:spacing w:after="0" w:line="287" w:lineRule="auto"/>
        <w:rPr>
          <w:sz w:val="20"/>
          <w:szCs w:val="20"/>
          <w:color w:val="auto"/>
        </w:rPr>
      </w:pPr>
      <w:r>
        <w:rPr>
          <w:rFonts w:ascii="Arial" w:cs="Arial" w:eastAsia="Arial" w:hAnsi="Arial"/>
          <w:sz w:val="18"/>
          <w:szCs w:val="18"/>
          <w:color w:val="auto"/>
        </w:rPr>
        <w:t>Global Off-Highway end market net sales were up $30 million for the first quarter 2022 compared to the first quarter 2021, principally driven by improving demand for hydraulic fracturing applications in the global energy sector as well as higher demand in the mining and construction sectors.</w:t>
      </w:r>
    </w:p>
    <w:p>
      <w:pPr>
        <w:spacing w:after="0" w:line="94" w:lineRule="exact"/>
        <w:rPr>
          <w:sz w:val="20"/>
          <w:szCs w:val="20"/>
          <w:color w:val="auto"/>
        </w:rPr>
      </w:pPr>
    </w:p>
    <w:p>
      <w:pPr>
        <w:ind w:right="80" w:firstLine="494"/>
        <w:spacing w:after="0" w:line="293" w:lineRule="auto"/>
        <w:rPr>
          <w:sz w:val="20"/>
          <w:szCs w:val="20"/>
          <w:color w:val="auto"/>
        </w:rPr>
      </w:pPr>
      <w:r>
        <w:rPr>
          <w:rFonts w:ascii="Arial" w:cs="Arial" w:eastAsia="Arial" w:hAnsi="Arial"/>
          <w:sz w:val="18"/>
          <w:szCs w:val="18"/>
          <w:color w:val="auto"/>
        </w:rPr>
        <w:t>Service Parts, Support Equipment and Other end market net sales were up 14% for the first quarter 2022 compared to the first quarter 2021, principally driven by increased demand for North America service parts and global support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53" w:lineRule="exact"/>
        <w:rPr>
          <w:sz w:val="20"/>
          <w:szCs w:val="20"/>
          <w:color w:val="auto"/>
        </w:rPr>
      </w:pPr>
    </w:p>
    <w:p>
      <w:pPr>
        <w:ind w:right="80" w:firstLine="494"/>
        <w:spacing w:after="0" w:line="304" w:lineRule="auto"/>
        <w:rPr>
          <w:sz w:val="20"/>
          <w:szCs w:val="20"/>
          <w:color w:val="auto"/>
        </w:rPr>
      </w:pPr>
      <w:r>
        <w:rPr>
          <w:rFonts w:ascii="Arial" w:cs="Arial" w:eastAsia="Arial" w:hAnsi="Arial"/>
          <w:sz w:val="17"/>
          <w:szCs w:val="17"/>
          <w:color w:val="auto"/>
        </w:rPr>
        <w:t>We generate our net sales primarily from the sale of vehicle propulsion solutions, service and component parts, support equipment, defense kits, engineering services, royalties and extended transmission coverage to a wide array of original equipment manufacturers, distributors and the U.S. and other governments.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53" w:lineRule="exact"/>
        <w:rPr>
          <w:sz w:val="20"/>
          <w:szCs w:val="20"/>
          <w:color w:val="auto"/>
        </w:rPr>
      </w:pPr>
    </w:p>
    <w:p>
      <w:pPr>
        <w:ind w:right="60" w:firstLine="494"/>
        <w:spacing w:after="0" w:line="284" w:lineRule="auto"/>
        <w:rPr>
          <w:sz w:val="20"/>
          <w:szCs w:val="20"/>
          <w:color w:val="auto"/>
        </w:rPr>
      </w:pPr>
      <w:r>
        <w:rPr>
          <w:rFonts w:ascii="Arial" w:cs="Arial" w:eastAsia="Arial" w:hAnsi="Arial"/>
          <w:sz w:val="18"/>
          <w:szCs w:val="18"/>
          <w:color w:val="auto"/>
        </w:rPr>
        <w:t>Our primary components of cost of sales are purchased parts, overhead expense related to our manufacturing operations and direct labor associated with the manufacture and assembly of propulsion solutions and parts. For the three months ended March 31, 2022, direct material costs were approximately 67%, overhead costs were approximately 26%, and direct labor costs were approximately 7% of total cost of sales. We are subject to changes in our cost of sales caused by movements in underlying commodity prices. We seek to hedge against this risk by using long-term agreements, as appropriate. See Part I, Item 3, “Quantitative and Qualitative Disclosures about Market Risk — Commodity Price Risk” included below.</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53" w:lineRule="exact"/>
        <w:rPr>
          <w:sz w:val="20"/>
          <w:szCs w:val="20"/>
          <w:color w:val="auto"/>
        </w:rPr>
      </w:pPr>
    </w:p>
    <w:p>
      <w:pPr>
        <w:ind w:right="440" w:firstLine="494"/>
        <w:spacing w:after="0" w:line="287" w:lineRule="auto"/>
        <w:rPr>
          <w:sz w:val="20"/>
          <w:szCs w:val="20"/>
          <w:color w:val="auto"/>
        </w:rPr>
      </w:pPr>
      <w:r>
        <w:rPr>
          <w:rFonts w:ascii="Arial" w:cs="Arial" w:eastAsia="Arial" w:hAnsi="Arial"/>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53" w:lineRule="exact"/>
        <w:rPr>
          <w:sz w:val="20"/>
          <w:szCs w:val="20"/>
          <w:color w:val="auto"/>
        </w:rPr>
      </w:pPr>
    </w:p>
    <w:p>
      <w:pPr>
        <w:ind w:firstLine="494"/>
        <w:spacing w:after="0" w:line="293"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52" w:right="51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07" w:lineRule="exact"/>
        <w:rPr>
          <w:sz w:val="20"/>
          <w:szCs w:val="20"/>
          <w:color w:val="auto"/>
        </w:rPr>
      </w:pPr>
    </w:p>
    <w:p>
      <w:pPr>
        <w:ind w:firstLine="494"/>
        <w:spacing w:after="0" w:line="282"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net, income tax expense, amortization of intangible assets, depreciation of property, plant and equipment and other adjustments as defined by the Second Amended and Restated Credit Agreement dated as of March 29, 2019, as amended (the “Credit Agreement”) governing Allison Transmission, Inc.’s (“ATI”), our wholly-owned subsidiary, term loan facility in the amount of $630 million due March 2026 (“Term Loan”). Adjusted EBITDA as a percent of net sales is calculated as Adjusted EBITDA divided by net sales.</w:t>
      </w:r>
    </w:p>
    <w:p>
      <w:pPr>
        <w:spacing w:after="0" w:line="160" w:lineRule="exact"/>
        <w:rPr>
          <w:sz w:val="20"/>
          <w:szCs w:val="20"/>
          <w:color w:val="auto"/>
        </w:rPr>
      </w:pPr>
    </w:p>
    <w:p>
      <w:pPr>
        <w:ind w:right="80" w:firstLine="494"/>
        <w:spacing w:after="0" w:line="283" w:lineRule="auto"/>
        <w:rPr>
          <w:sz w:val="20"/>
          <w:szCs w:val="20"/>
          <w:color w:val="auto"/>
        </w:rPr>
      </w:pPr>
      <w:r>
        <w:rPr>
          <w:rFonts w:ascii="Arial" w:cs="Arial" w:eastAsia="Arial" w:hAnsi="Arial"/>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101" w:lineRule="exact"/>
        <w:rPr>
          <w:sz w:val="20"/>
          <w:szCs w:val="20"/>
          <w:color w:val="auto"/>
        </w:rPr>
      </w:pPr>
    </w:p>
    <w:p>
      <w:pPr>
        <w:ind w:right="80" w:firstLine="494"/>
        <w:spacing w:after="0" w:line="266" w:lineRule="auto"/>
        <w:rPr>
          <w:sz w:val="20"/>
          <w:szCs w:val="20"/>
          <w:color w:val="auto"/>
        </w:rPr>
      </w:pPr>
      <w:r>
        <w:rPr>
          <w:rFonts w:ascii="Arial" w:cs="Arial" w:eastAsia="Arial" w:hAnsi="Arial"/>
          <w:sz w:val="18"/>
          <w:szCs w:val="18"/>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tbl>
      <w:tblPr>
        <w:tblLayout w:type="fixed"/>
        <w:tblInd w:w="0" w:type="dxa"/>
        <w:tblCellMar>
          <w:top w:w="0" w:type="dxa"/>
          <w:left w:w="0" w:type="dxa"/>
          <w:bottom w:w="0" w:type="dxa"/>
          <w:right w:w="0" w:type="dxa"/>
        </w:tblCellMar>
      </w:tblPr>
      <w:tr>
        <w:trPr>
          <w:trHeight w:val="150"/>
        </w:trPr>
        <w:tc>
          <w:tcPr>
            <w:tcW w:w="7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80" w:type="dxa"/>
            <w:vAlign w:val="bottom"/>
            <w:gridSpan w:val="3"/>
          </w:tcPr>
          <w:p>
            <w:pPr>
              <w:jc w:val="right"/>
              <w:spacing w:after="0" w:line="150" w:lineRule="exact"/>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3"/>
                <w:szCs w:val="13"/>
                <w:color w:val="auto"/>
              </w:rPr>
            </w:pPr>
          </w:p>
        </w:tc>
      </w:tr>
      <w:tr>
        <w:trPr>
          <w:trHeight w:val="189"/>
        </w:trPr>
        <w:tc>
          <w:tcPr>
            <w:tcW w:w="7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March 31,</w:t>
            </w:r>
          </w:p>
        </w:tc>
        <w:tc>
          <w:tcPr>
            <w:tcW w:w="1180" w:type="dxa"/>
            <w:vAlign w:val="bottom"/>
            <w:tcBorders>
              <w:bottom w:val="single" w:sz="8" w:color="auto"/>
            </w:tcBorders>
          </w:tcPr>
          <w:p>
            <w:pPr>
              <w:spacing w:after="0"/>
              <w:rPr>
                <w:sz w:val="16"/>
                <w:szCs w:val="16"/>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(unaudited, dollars in millions)</w:t>
            </w:r>
          </w:p>
        </w:tc>
        <w:tc>
          <w:tcPr>
            <w:tcW w:w="3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2021</w:t>
            </w: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income (GAAP)</w:t>
            </w: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FF0FC"/>
          </w:tcPr>
          <w:p>
            <w:pPr>
              <w:jc w:val="right"/>
              <w:ind w:right="173"/>
              <w:spacing w:after="0" w:line="196" w:lineRule="exact"/>
              <w:rPr>
                <w:sz w:val="20"/>
                <w:szCs w:val="20"/>
                <w:color w:val="auto"/>
              </w:rPr>
            </w:pPr>
            <w:r>
              <w:rPr>
                <w:rFonts w:ascii="Arial" w:cs="Arial" w:eastAsia="Arial" w:hAnsi="Arial"/>
                <w:sz w:val="18"/>
                <w:szCs w:val="18"/>
                <w:b w:val="1"/>
                <w:bCs w:val="1"/>
                <w:color w:val="auto"/>
              </w:rPr>
              <w:t>129</w:t>
            </w: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171"/>
              <w:spacing w:after="0" w:line="196" w:lineRule="exact"/>
              <w:rPr>
                <w:sz w:val="20"/>
                <w:szCs w:val="20"/>
                <w:color w:val="auto"/>
              </w:rPr>
            </w:pPr>
            <w:r>
              <w:rPr>
                <w:rFonts w:ascii="Arial" w:cs="Arial" w:eastAsia="Arial" w:hAnsi="Arial"/>
                <w:sz w:val="18"/>
                <w:szCs w:val="18"/>
                <w:color w:val="auto"/>
              </w:rPr>
              <w:t>120</w:t>
            </w: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plus: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76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Income tax expense</w:t>
            </w: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73"/>
              <w:spacing w:after="0" w:line="202" w:lineRule="exact"/>
              <w:rPr>
                <w:sz w:val="20"/>
                <w:szCs w:val="20"/>
                <w:color w:val="auto"/>
              </w:rPr>
            </w:pPr>
            <w:r>
              <w:rPr>
                <w:rFonts w:ascii="Arial" w:cs="Arial" w:eastAsia="Arial" w:hAnsi="Arial"/>
                <w:sz w:val="18"/>
                <w:szCs w:val="18"/>
                <w:b w:val="1"/>
                <w:bCs w:val="1"/>
                <w:color w:val="auto"/>
              </w:rPr>
              <w:t>34</w:t>
            </w: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color w:val="auto"/>
              </w:rPr>
              <w:t>34</w:t>
            </w:r>
          </w:p>
        </w:tc>
      </w:tr>
      <w:tr>
        <w:trPr>
          <w:trHeight w:val="203"/>
        </w:trPr>
        <w:tc>
          <w:tcPr>
            <w:tcW w:w="7620" w:type="dxa"/>
            <w:vAlign w:val="bottom"/>
          </w:tcPr>
          <w:p>
            <w:pPr>
              <w:ind w:left="280"/>
              <w:spacing w:after="0" w:line="202" w:lineRule="exact"/>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7"/>
                <w:szCs w:val="17"/>
                <w:color w:val="auto"/>
              </w:rPr>
            </w:pPr>
          </w:p>
        </w:tc>
        <w:tc>
          <w:tcPr>
            <w:tcW w:w="138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29</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29</w:t>
            </w:r>
          </w:p>
        </w:tc>
      </w:tr>
      <w:tr>
        <w:trPr>
          <w:trHeight w:val="203"/>
        </w:trPr>
        <w:tc>
          <w:tcPr>
            <w:tcW w:w="76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73"/>
              <w:spacing w:after="0" w:line="202" w:lineRule="exact"/>
              <w:rPr>
                <w:sz w:val="20"/>
                <w:szCs w:val="20"/>
                <w:color w:val="auto"/>
              </w:rPr>
            </w:pPr>
            <w:r>
              <w:rPr>
                <w:rFonts w:ascii="Arial" w:cs="Arial" w:eastAsia="Arial" w:hAnsi="Arial"/>
                <w:sz w:val="18"/>
                <w:szCs w:val="18"/>
                <w:b w:val="1"/>
                <w:bCs w:val="1"/>
                <w:color w:val="auto"/>
              </w:rPr>
              <w:t>27</w:t>
            </w: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color w:val="auto"/>
              </w:rPr>
              <w:t>25</w:t>
            </w:r>
          </w:p>
        </w:tc>
      </w:tr>
      <w:tr>
        <w:trPr>
          <w:trHeight w:val="203"/>
        </w:trPr>
        <w:tc>
          <w:tcPr>
            <w:tcW w:w="7620" w:type="dxa"/>
            <w:vAlign w:val="bottom"/>
          </w:tcPr>
          <w:p>
            <w:pPr>
              <w:ind w:left="280"/>
              <w:spacing w:after="0" w:line="202" w:lineRule="exact"/>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17"/>
                <w:szCs w:val="17"/>
                <w:color w:val="auto"/>
              </w:rPr>
            </w:pPr>
          </w:p>
        </w:tc>
        <w:tc>
          <w:tcPr>
            <w:tcW w:w="138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11</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12</w:t>
            </w:r>
          </w:p>
        </w:tc>
      </w:tr>
      <w:tr>
        <w:trPr>
          <w:trHeight w:val="203"/>
        </w:trPr>
        <w:tc>
          <w:tcPr>
            <w:tcW w:w="76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Unrealized loss on marketable securities (a)</w:t>
            </w: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73"/>
              <w:spacing w:after="0" w:line="202" w:lineRule="exact"/>
              <w:rPr>
                <w:sz w:val="20"/>
                <w:szCs w:val="20"/>
                <w:color w:val="auto"/>
              </w:rPr>
            </w:pPr>
            <w:r>
              <w:rPr>
                <w:rFonts w:ascii="Arial" w:cs="Arial" w:eastAsia="Arial" w:hAnsi="Arial"/>
                <w:sz w:val="18"/>
                <w:szCs w:val="18"/>
                <w:b w:val="1"/>
                <w:bCs w:val="1"/>
                <w:color w:val="auto"/>
              </w:rPr>
              <w:t>15</w:t>
            </w: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color w:val="auto"/>
              </w:rPr>
              <w:t>—</w:t>
            </w:r>
          </w:p>
        </w:tc>
      </w:tr>
      <w:tr>
        <w:trPr>
          <w:trHeight w:val="203"/>
        </w:trPr>
        <w:tc>
          <w:tcPr>
            <w:tcW w:w="7620" w:type="dxa"/>
            <w:vAlign w:val="bottom"/>
          </w:tcPr>
          <w:p>
            <w:pPr>
              <w:ind w:left="280"/>
              <w:spacing w:after="0" w:line="202" w:lineRule="exact"/>
              <w:rPr>
                <w:sz w:val="20"/>
                <w:szCs w:val="20"/>
                <w:color w:val="auto"/>
              </w:rPr>
            </w:pPr>
            <w:r>
              <w:rPr>
                <w:rFonts w:ascii="Arial" w:cs="Arial" w:eastAsia="Arial" w:hAnsi="Arial"/>
                <w:sz w:val="18"/>
                <w:szCs w:val="18"/>
                <w:color w:val="auto"/>
              </w:rPr>
              <w:t>Technology-related investment gain (b)</w:t>
            </w:r>
          </w:p>
        </w:tc>
        <w:tc>
          <w:tcPr>
            <w:tcW w:w="360" w:type="dxa"/>
            <w:vAlign w:val="bottom"/>
          </w:tcPr>
          <w:p>
            <w:pPr>
              <w:spacing w:after="0"/>
              <w:rPr>
                <w:sz w:val="17"/>
                <w:szCs w:val="17"/>
                <w:color w:val="auto"/>
              </w:rPr>
            </w:pPr>
          </w:p>
        </w:tc>
        <w:tc>
          <w:tcPr>
            <w:tcW w:w="138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(6 )</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w:t>
            </w:r>
          </w:p>
        </w:tc>
      </w:tr>
      <w:tr>
        <w:trPr>
          <w:trHeight w:val="203"/>
        </w:trPr>
        <w:tc>
          <w:tcPr>
            <w:tcW w:w="76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Stock-based compensation expense (c)</w:t>
            </w: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73"/>
              <w:spacing w:after="0" w:line="202" w:lineRule="exact"/>
              <w:rPr>
                <w:sz w:val="20"/>
                <w:szCs w:val="20"/>
                <w:color w:val="auto"/>
              </w:rPr>
            </w:pPr>
            <w:r>
              <w:rPr>
                <w:rFonts w:ascii="Arial" w:cs="Arial" w:eastAsia="Arial" w:hAnsi="Arial"/>
                <w:sz w:val="18"/>
                <w:szCs w:val="18"/>
                <w:b w:val="1"/>
                <w:bCs w:val="1"/>
                <w:color w:val="auto"/>
              </w:rPr>
              <w:t>3</w:t>
            </w: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color w:val="auto"/>
              </w:rPr>
              <w:t>3</w:t>
            </w:r>
          </w:p>
        </w:tc>
      </w:tr>
      <w:tr>
        <w:trPr>
          <w:trHeight w:val="203"/>
        </w:trPr>
        <w:tc>
          <w:tcPr>
            <w:tcW w:w="7620" w:type="dxa"/>
            <w:vAlign w:val="bottom"/>
          </w:tcPr>
          <w:p>
            <w:pPr>
              <w:ind w:left="280"/>
              <w:spacing w:after="0" w:line="202" w:lineRule="exact"/>
              <w:rPr>
                <w:sz w:val="20"/>
                <w:szCs w:val="20"/>
                <w:color w:val="auto"/>
              </w:rPr>
            </w:pPr>
            <w:r>
              <w:rPr>
                <w:rFonts w:ascii="Arial" w:cs="Arial" w:eastAsia="Arial" w:hAnsi="Arial"/>
                <w:sz w:val="18"/>
                <w:szCs w:val="18"/>
                <w:color w:val="auto"/>
              </w:rPr>
              <w:t>Acquisition-related earnouts (d)</w:t>
            </w:r>
          </w:p>
        </w:tc>
        <w:tc>
          <w:tcPr>
            <w:tcW w:w="360" w:type="dxa"/>
            <w:vAlign w:val="bottom"/>
          </w:tcPr>
          <w:p>
            <w:pPr>
              <w:spacing w:after="0"/>
              <w:rPr>
                <w:sz w:val="17"/>
                <w:szCs w:val="17"/>
                <w:color w:val="auto"/>
              </w:rPr>
            </w:pPr>
          </w:p>
        </w:tc>
        <w:tc>
          <w:tcPr>
            <w:tcW w:w="138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w:t>
            </w:r>
          </w:p>
        </w:tc>
      </w:tr>
      <w:tr>
        <w:trPr>
          <w:trHeight w:val="203"/>
        </w:trPr>
        <w:tc>
          <w:tcPr>
            <w:tcW w:w="762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Unrealized loss (gain) on foreign exchange (e)</w:t>
            </w:r>
          </w:p>
        </w:tc>
        <w:tc>
          <w:tcPr>
            <w:tcW w:w="3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73"/>
              <w:spacing w:after="0" w:line="202" w:lineRule="exact"/>
              <w:rPr>
                <w:sz w:val="20"/>
                <w:szCs w:val="20"/>
                <w:color w:val="auto"/>
              </w:rPr>
            </w:pPr>
            <w:r>
              <w:rPr>
                <w:rFonts w:ascii="Arial" w:cs="Arial" w:eastAsia="Arial" w:hAnsi="Arial"/>
                <w:sz w:val="18"/>
                <w:szCs w:val="18"/>
                <w:b w:val="1"/>
                <w:bCs w:val="1"/>
                <w:color w:val="auto"/>
              </w:rPr>
              <w:t>1</w:t>
            </w:r>
          </w:p>
        </w:tc>
        <w:tc>
          <w:tcPr>
            <w:tcW w:w="1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71"/>
              <w:spacing w:after="0" w:line="202" w:lineRule="exact"/>
              <w:rPr>
                <w:sz w:val="20"/>
                <w:szCs w:val="20"/>
                <w:color w:val="auto"/>
              </w:rPr>
            </w:pPr>
            <w:r>
              <w:rPr>
                <w:rFonts w:ascii="Arial" w:cs="Arial" w:eastAsia="Arial" w:hAnsi="Arial"/>
                <w:sz w:val="18"/>
                <w:szCs w:val="18"/>
                <w:color w:val="auto"/>
              </w:rPr>
              <w:t>(1 )</w:t>
            </w:r>
          </w:p>
        </w:tc>
      </w:tr>
      <w:tr>
        <w:trPr>
          <w:trHeight w:val="196"/>
        </w:trPr>
        <w:tc>
          <w:tcPr>
            <w:tcW w:w="76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Adjusted EBITDA (Non-GAAP)</w:t>
            </w:r>
          </w:p>
        </w:tc>
        <w:tc>
          <w:tcPr>
            <w:tcW w:w="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ind w:right="173"/>
              <w:spacing w:after="0" w:line="196" w:lineRule="exact"/>
              <w:rPr>
                <w:sz w:val="20"/>
                <w:szCs w:val="20"/>
                <w:color w:val="auto"/>
              </w:rPr>
            </w:pPr>
            <w:r>
              <w:rPr>
                <w:rFonts w:ascii="Arial" w:cs="Arial" w:eastAsia="Arial" w:hAnsi="Arial"/>
                <w:sz w:val="18"/>
                <w:szCs w:val="18"/>
                <w:b w:val="1"/>
                <w:bCs w:val="1"/>
                <w:color w:val="auto"/>
              </w:rPr>
              <w:t>244</w:t>
            </w:r>
          </w:p>
        </w:tc>
        <w:tc>
          <w:tcPr>
            <w:tcW w:w="18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71"/>
              <w:spacing w:after="0" w:line="196" w:lineRule="exact"/>
              <w:rPr>
                <w:sz w:val="20"/>
                <w:szCs w:val="20"/>
                <w:color w:val="auto"/>
              </w:rPr>
            </w:pPr>
            <w:r>
              <w:rPr>
                <w:rFonts w:ascii="Arial" w:cs="Arial" w:eastAsia="Arial" w:hAnsi="Arial"/>
                <w:sz w:val="18"/>
                <w:szCs w:val="18"/>
                <w:color w:val="auto"/>
              </w:rPr>
              <w:t>222</w:t>
            </w:r>
          </w:p>
        </w:tc>
      </w:tr>
      <w:tr>
        <w:trPr>
          <w:trHeight w:val="20"/>
        </w:trPr>
        <w:tc>
          <w:tcPr>
            <w:tcW w:w="7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76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Net sales (GAAP)</w:t>
            </w:r>
          </w:p>
        </w:tc>
        <w:tc>
          <w:tcPr>
            <w:tcW w:w="360" w:type="dxa"/>
            <w:vAlign w:val="bottom"/>
            <w:tcBorders>
              <w:top w:val="single" w:sz="8" w:color="auto"/>
            </w:tcBorders>
            <w:shd w:val="clear" w:color="auto" w:fill="CFF0FC"/>
          </w:tcPr>
          <w:p>
            <w:pPr>
              <w:jc w:val="right"/>
              <w:ind w:right="150"/>
              <w:spacing w:after="0" w:line="183" w:lineRule="exact"/>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shd w:val="clear" w:color="auto" w:fill="CFF0FC"/>
          </w:tcPr>
          <w:p>
            <w:pPr>
              <w:jc w:val="right"/>
              <w:ind w:right="173"/>
              <w:spacing w:after="0" w:line="183" w:lineRule="exact"/>
              <w:rPr>
                <w:sz w:val="20"/>
                <w:szCs w:val="20"/>
                <w:color w:val="auto"/>
              </w:rPr>
            </w:pPr>
            <w:r>
              <w:rPr>
                <w:rFonts w:ascii="Arial" w:cs="Arial" w:eastAsia="Arial" w:hAnsi="Arial"/>
                <w:sz w:val="18"/>
                <w:szCs w:val="18"/>
                <w:b w:val="1"/>
                <w:bCs w:val="1"/>
                <w:color w:val="auto"/>
              </w:rPr>
              <w:t>677</w:t>
            </w:r>
          </w:p>
        </w:tc>
        <w:tc>
          <w:tcPr>
            <w:tcW w:w="180" w:type="dxa"/>
            <w:vAlign w:val="bottom"/>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jc w:val="right"/>
              <w:ind w:right="310"/>
              <w:spacing w:after="0" w:line="183"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ind w:right="171"/>
              <w:spacing w:after="0" w:line="183" w:lineRule="exact"/>
              <w:rPr>
                <w:sz w:val="20"/>
                <w:szCs w:val="20"/>
                <w:color w:val="auto"/>
              </w:rPr>
            </w:pPr>
            <w:r>
              <w:rPr>
                <w:rFonts w:ascii="Arial" w:cs="Arial" w:eastAsia="Arial" w:hAnsi="Arial"/>
                <w:sz w:val="18"/>
                <w:szCs w:val="18"/>
                <w:color w:val="auto"/>
              </w:rPr>
              <w:t>588</w:t>
            </w: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Net income as a percent of net sales (GAAP)</w:t>
            </w:r>
          </w:p>
        </w:tc>
        <w:tc>
          <w:tcPr>
            <w:tcW w:w="36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19.1 %</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20.4 %</w:t>
            </w:r>
          </w:p>
        </w:tc>
      </w:tr>
      <w:tr>
        <w:trPr>
          <w:trHeight w:val="203"/>
        </w:trPr>
        <w:tc>
          <w:tcPr>
            <w:tcW w:w="7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Adjusted EBITDA as a percent of net sales (Non-GAAP)</w:t>
            </w: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36.0 %</w:t>
            </w: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37.8 %</w:t>
            </w:r>
          </w:p>
        </w:tc>
      </w:tr>
      <w:tr>
        <w:trPr>
          <w:trHeight w:val="202"/>
        </w:trPr>
        <w:tc>
          <w:tcPr>
            <w:tcW w:w="76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Net cash provided by operating activities (GAAP)</w:t>
            </w:r>
          </w:p>
        </w:tc>
        <w:tc>
          <w:tcPr>
            <w:tcW w:w="3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163</w:t>
            </w:r>
          </w:p>
        </w:tc>
        <w:tc>
          <w:tcPr>
            <w:tcW w:w="700" w:type="dxa"/>
            <w:vAlign w:val="bottom"/>
            <w:gridSpan w:val="2"/>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131</w:t>
            </w:r>
          </w:p>
        </w:tc>
      </w:tr>
      <w:tr>
        <w:trPr>
          <w:trHeight w:val="203"/>
        </w:trPr>
        <w:tc>
          <w:tcPr>
            <w:tcW w:w="7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Deductions to reconcile to Adjusted free cash flow:</w:t>
            </w: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Additions of long-lived assets</w:t>
            </w: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b w:val="1"/>
                <w:bCs w:val="1"/>
                <w:color w:val="auto"/>
              </w:rPr>
              <w:t>(20 )</w:t>
            </w:r>
          </w:p>
        </w:tc>
        <w:tc>
          <w:tcPr>
            <w:tcW w:w="1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1"/>
              <w:spacing w:after="0" w:line="202" w:lineRule="exact"/>
              <w:rPr>
                <w:sz w:val="20"/>
                <w:szCs w:val="20"/>
                <w:color w:val="auto"/>
              </w:rPr>
            </w:pPr>
            <w:r>
              <w:rPr>
                <w:rFonts w:ascii="Arial" w:cs="Arial" w:eastAsia="Arial" w:hAnsi="Arial"/>
                <w:sz w:val="18"/>
                <w:szCs w:val="18"/>
                <w:color w:val="auto"/>
              </w:rPr>
              <w:t>(24 )</w:t>
            </w:r>
          </w:p>
        </w:tc>
      </w:tr>
      <w:tr>
        <w:trPr>
          <w:trHeight w:val="236"/>
        </w:trPr>
        <w:tc>
          <w:tcPr>
            <w:tcW w:w="7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Adjusted free cash flow (Non-GAAP)</w:t>
            </w:r>
          </w:p>
        </w:tc>
        <w:tc>
          <w:tcPr>
            <w:tcW w:w="36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FF0FC"/>
          </w:tcPr>
          <w:p>
            <w:pPr>
              <w:jc w:val="right"/>
              <w:ind w:right="173"/>
              <w:spacing w:after="0" w:line="196" w:lineRule="exact"/>
              <w:rPr>
                <w:sz w:val="20"/>
                <w:szCs w:val="20"/>
                <w:color w:val="auto"/>
              </w:rPr>
            </w:pPr>
            <w:r>
              <w:rPr>
                <w:rFonts w:ascii="Arial" w:cs="Arial" w:eastAsia="Arial" w:hAnsi="Arial"/>
                <w:sz w:val="18"/>
                <w:szCs w:val="18"/>
                <w:b w:val="1"/>
                <w:bCs w:val="1"/>
                <w:color w:val="auto"/>
              </w:rPr>
              <w:t>143</w:t>
            </w:r>
          </w:p>
        </w:tc>
        <w:tc>
          <w:tcPr>
            <w:tcW w:w="1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ind w:right="171"/>
              <w:spacing w:after="0" w:line="196" w:lineRule="exact"/>
              <w:rPr>
                <w:sz w:val="20"/>
                <w:szCs w:val="20"/>
                <w:color w:val="auto"/>
              </w:rPr>
            </w:pPr>
            <w:r>
              <w:rPr>
                <w:rFonts w:ascii="Arial" w:cs="Arial" w:eastAsia="Arial" w:hAnsi="Arial"/>
                <w:sz w:val="18"/>
                <w:szCs w:val="18"/>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-1093470</wp:posOffset>
            </wp:positionV>
            <wp:extent cx="11112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1111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111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36" w:lineRule="exact"/>
        <w:rPr>
          <w:sz w:val="20"/>
          <w:szCs w:val="20"/>
          <w:color w:val="auto"/>
        </w:rPr>
      </w:pPr>
    </w:p>
    <w:p>
      <w:pPr>
        <w:ind w:left="640" w:right="580" w:hanging="377"/>
        <w:spacing w:after="0" w:line="293"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loss (recorded in Other (expense) income, net) related to an investment in the common stock of Jing-Jin Electric Technologies Co. Ltd.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9" w:lineRule="exact"/>
        <w:rPr>
          <w:sz w:val="20"/>
          <w:szCs w:val="20"/>
          <w:color w:val="auto"/>
        </w:rPr>
      </w:pPr>
    </w:p>
    <w:p>
      <w:pPr>
        <w:ind w:left="640" w:right="120" w:hanging="377"/>
        <w:spacing w:after="0" w:line="281"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 gain (recorded in Other (expense) income, net) related to investments in co-development agreements to expand our position in propulsion solution technologies.</w:t>
      </w:r>
    </w:p>
    <w:p>
      <w:pPr>
        <w:spacing w:after="0" w:line="1" w:lineRule="exact"/>
        <w:rPr>
          <w:rFonts w:ascii="Arial" w:cs="Arial" w:eastAsia="Arial" w:hAnsi="Arial"/>
          <w:sz w:val="18"/>
          <w:szCs w:val="18"/>
          <w:color w:val="auto"/>
        </w:rPr>
      </w:pPr>
    </w:p>
    <w:p>
      <w:pPr>
        <w:ind w:left="640" w:right="160" w:hanging="377"/>
        <w:spacing w:after="0" w:line="281"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Cost of sales, Selling, general and administrative, and Engineering - research and development).</w:t>
      </w:r>
    </w:p>
    <w:p>
      <w:pPr>
        <w:spacing w:after="0" w:line="1" w:lineRule="exact"/>
        <w:rPr>
          <w:rFonts w:ascii="Arial" w:cs="Arial" w:eastAsia="Arial" w:hAnsi="Arial"/>
          <w:sz w:val="18"/>
          <w:szCs w:val="18"/>
          <w:color w:val="auto"/>
        </w:rPr>
      </w:pPr>
    </w:p>
    <w:p>
      <w:pPr>
        <w:ind w:left="640" w:right="160" w:hanging="377"/>
        <w:spacing w:after="0" w:line="281"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expenses (recorded in Selling, general and administrative and Engineering – research and development) for earnouts related to our acquisition of Vantage Power Limited.</w:t>
      </w:r>
    </w:p>
    <w:p>
      <w:pPr>
        <w:spacing w:after="0" w:line="1" w:lineRule="exact"/>
        <w:rPr>
          <w:rFonts w:ascii="Arial" w:cs="Arial" w:eastAsia="Arial" w:hAnsi="Arial"/>
          <w:sz w:val="18"/>
          <w:szCs w:val="18"/>
          <w:color w:val="auto"/>
        </w:rPr>
      </w:pPr>
    </w:p>
    <w:p>
      <w:pPr>
        <w:ind w:left="640" w:hanging="377"/>
        <w:spacing w:after="0" w:line="29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losses (gains) (recorded in Other (expense) income, net) on intercompany financing transactions related to investments in plant assets for our India facility.</w:t>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52" w:right="4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three months ended March 31, 2022 and 2021</w:t>
      </w:r>
    </w:p>
    <w:p>
      <w:pPr>
        <w:spacing w:after="0" w:line="166" w:lineRule="exact"/>
        <w:rPr>
          <w:sz w:val="20"/>
          <w:szCs w:val="20"/>
          <w:color w:val="auto"/>
        </w:rPr>
      </w:pPr>
    </w:p>
    <w:p>
      <w:pPr>
        <w:ind w:right="300" w:firstLine="494"/>
        <w:spacing w:after="0" w:line="287" w:lineRule="auto"/>
        <w:rPr>
          <w:sz w:val="20"/>
          <w:szCs w:val="20"/>
          <w:color w:val="auto"/>
        </w:rPr>
      </w:pPr>
      <w:r>
        <w:rPr>
          <w:rFonts w:ascii="Arial" w:cs="Arial" w:eastAsia="Arial" w:hAnsi="Arial"/>
          <w:sz w:val="18"/>
          <w:szCs w:val="18"/>
          <w:color w:val="auto"/>
        </w:rPr>
        <w:t>The following table sets forth certain financial information for the three months ended March 31, 2022 and 2021. The following table and discussion should be read in conjunction with the information contained in our condensed consolidated financial statements and the notes thereto included in Part I, Item 1 of this Quarterly Report on Form 10-Q.</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c>
          <w:tcPr>
            <w:tcW w:w="10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29"/>
        </w:trPr>
        <w:tc>
          <w:tcPr>
            <w:tcW w:w="5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right"/>
              <w:ind w:right="394"/>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393"/>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r>
      <w:tr>
        <w:trPr>
          <w:trHeight w:val="189"/>
        </w:trPr>
        <w:tc>
          <w:tcPr>
            <w:tcW w:w="5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60" w:type="dxa"/>
            <w:vAlign w:val="bottom"/>
          </w:tcPr>
          <w:p>
            <w:pPr>
              <w:spacing w:after="0"/>
              <w:rPr>
                <w:sz w:val="16"/>
                <w:szCs w:val="16"/>
                <w:color w:val="auto"/>
              </w:rPr>
            </w:pPr>
          </w:p>
        </w:tc>
        <w:tc>
          <w:tcPr>
            <w:tcW w:w="900" w:type="dxa"/>
            <w:vAlign w:val="bottom"/>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46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of net sales</w:t>
            </w:r>
          </w:p>
        </w:tc>
        <w:tc>
          <w:tcPr>
            <w:tcW w:w="260" w:type="dxa"/>
            <w:vAlign w:val="bottom"/>
          </w:tcPr>
          <w:p>
            <w:pPr>
              <w:spacing w:after="0"/>
              <w:rPr>
                <w:sz w:val="16"/>
                <w:szCs w:val="16"/>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30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of net sales</w:t>
            </w: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677</w:t>
            </w:r>
          </w:p>
        </w:tc>
        <w:tc>
          <w:tcPr>
            <w:tcW w:w="22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100</w:t>
            </w:r>
          </w:p>
        </w:tc>
        <w:tc>
          <w:tcPr>
            <w:tcW w:w="38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87"/>
              </w:rPr>
              <w:t>%</w:t>
            </w: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588</w:t>
            </w:r>
          </w:p>
        </w:tc>
        <w:tc>
          <w:tcPr>
            <w:tcW w:w="20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357</w:t>
            </w:r>
          </w:p>
        </w:tc>
        <w:tc>
          <w:tcPr>
            <w:tcW w:w="22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53</w:t>
            </w:r>
          </w:p>
        </w:tc>
        <w:tc>
          <w:tcPr>
            <w:tcW w:w="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297</w:t>
            </w:r>
          </w:p>
        </w:tc>
        <w:tc>
          <w:tcPr>
            <w:tcW w:w="20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w:t>
            </w:r>
          </w:p>
        </w:tc>
        <w:tc>
          <w:tcPr>
            <w:tcW w:w="240" w:type="dxa"/>
            <w:vAlign w:val="bottom"/>
          </w:tcPr>
          <w:p>
            <w:pPr>
              <w:spacing w:after="0"/>
              <w:rPr>
                <w:sz w:val="17"/>
                <w:szCs w:val="17"/>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320</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47</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291</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17"/>
                <w:szCs w:val="17"/>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57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75</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7"/>
                <w:szCs w:val="17"/>
                <w:color w:val="auto"/>
              </w:rPr>
            </w:pPr>
          </w:p>
        </w:tc>
      </w:tr>
      <w:tr>
        <w:trPr>
          <w:trHeight w:val="203"/>
        </w:trPr>
        <w:tc>
          <w:tcPr>
            <w:tcW w:w="5760" w:type="dxa"/>
            <w:vAlign w:val="bottom"/>
          </w:tcPr>
          <w:p>
            <w:pPr>
              <w:ind w:left="280"/>
              <w:spacing w:after="0" w:line="202" w:lineRule="exact"/>
              <w:rPr>
                <w:sz w:val="20"/>
                <w:szCs w:val="20"/>
                <w:color w:val="auto"/>
              </w:rPr>
            </w:pPr>
            <w:r>
              <w:rPr>
                <w:rFonts w:ascii="Arial" w:cs="Arial" w:eastAsia="Arial" w:hAnsi="Arial"/>
                <w:sz w:val="18"/>
                <w:szCs w:val="18"/>
                <w:color w:val="auto"/>
              </w:rPr>
              <w:t>Engineering — research and development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43</w:t>
            </w:r>
          </w:p>
        </w:tc>
        <w:tc>
          <w:tcPr>
            <w:tcW w:w="22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w:t>
            </w:r>
          </w:p>
        </w:tc>
        <w:tc>
          <w:tcPr>
            <w:tcW w:w="20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r>
      <w:tr>
        <w:trPr>
          <w:trHeight w:val="196"/>
        </w:trPr>
        <w:tc>
          <w:tcPr>
            <w:tcW w:w="576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118</w:t>
            </w:r>
          </w:p>
        </w:tc>
        <w:tc>
          <w:tcPr>
            <w:tcW w:w="2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17</w:t>
            </w:r>
          </w:p>
        </w:tc>
        <w:tc>
          <w:tcPr>
            <w:tcW w:w="3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w:t>
            </w:r>
          </w:p>
        </w:tc>
        <w:tc>
          <w:tcPr>
            <w:tcW w:w="2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240" w:type="dxa"/>
            <w:vAlign w:val="bottom"/>
            <w:tcBorders>
              <w:bottom w:val="single" w:sz="8" w:color="CFF0FC"/>
            </w:tcBorders>
            <w:shd w:val="clear" w:color="auto" w:fill="CFF0FC"/>
          </w:tcPr>
          <w:p>
            <w:pPr>
              <w:spacing w:after="0"/>
              <w:rPr>
                <w:sz w:val="17"/>
                <w:szCs w:val="17"/>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202</w:t>
            </w:r>
          </w:p>
        </w:tc>
        <w:tc>
          <w:tcPr>
            <w:tcW w:w="2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30</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180</w:t>
            </w:r>
          </w:p>
        </w:tc>
        <w:tc>
          <w:tcPr>
            <w:tcW w:w="2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7"/>
                <w:szCs w:val="17"/>
                <w:color w:val="auto"/>
              </w:rPr>
            </w:pPr>
          </w:p>
        </w:tc>
      </w:tr>
      <w:tr>
        <w:trPr>
          <w:trHeight w:val="203"/>
        </w:trPr>
        <w:tc>
          <w:tcPr>
            <w:tcW w:w="5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b w:val="1"/>
                <w:bCs w:val="1"/>
                <w:color w:val="auto"/>
              </w:rPr>
              <w:t>(29 )</w:t>
            </w:r>
          </w:p>
        </w:tc>
        <w:tc>
          <w:tcPr>
            <w:tcW w:w="146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b w:val="1"/>
                <w:bCs w:val="1"/>
                <w:color w:val="auto"/>
              </w:rPr>
              <w:t>(4 )</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(29 )</w:t>
            </w:r>
          </w:p>
        </w:tc>
        <w:tc>
          <w:tcPr>
            <w:tcW w:w="13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(5 )</w:t>
            </w: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(10 )</w:t>
            </w:r>
          </w:p>
        </w:tc>
        <w:tc>
          <w:tcPr>
            <w:tcW w:w="1460" w:type="dxa"/>
            <w:vAlign w:val="bottom"/>
            <w:gridSpan w:val="2"/>
          </w:tcPr>
          <w:p>
            <w:pPr>
              <w:jc w:val="right"/>
              <w:ind w:right="230"/>
              <w:spacing w:after="0" w:line="202" w:lineRule="exact"/>
              <w:rPr>
                <w:sz w:val="20"/>
                <w:szCs w:val="20"/>
                <w:color w:val="auto"/>
              </w:rPr>
            </w:pPr>
            <w:r>
              <w:rPr>
                <w:rFonts w:ascii="Arial" w:cs="Arial" w:eastAsia="Arial" w:hAnsi="Arial"/>
                <w:sz w:val="18"/>
                <w:szCs w:val="18"/>
                <w:b w:val="1"/>
                <w:bCs w:val="1"/>
                <w:color w:val="auto"/>
              </w:rPr>
              <w:t>(2 )</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13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163</w:t>
            </w:r>
          </w:p>
        </w:tc>
        <w:tc>
          <w:tcPr>
            <w:tcW w:w="22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24</w:t>
            </w:r>
          </w:p>
        </w:tc>
        <w:tc>
          <w:tcPr>
            <w:tcW w:w="3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w:t>
            </w:r>
          </w:p>
        </w:tc>
        <w:tc>
          <w:tcPr>
            <w:tcW w:w="20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spacing w:after="0"/>
              <w:rPr>
                <w:sz w:val="17"/>
                <w:szCs w:val="17"/>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(34 )</w:t>
            </w:r>
          </w:p>
        </w:tc>
        <w:tc>
          <w:tcPr>
            <w:tcW w:w="1460" w:type="dxa"/>
            <w:vAlign w:val="bottom"/>
            <w:gridSpan w:val="2"/>
          </w:tcPr>
          <w:p>
            <w:pPr>
              <w:jc w:val="right"/>
              <w:ind w:right="230"/>
              <w:spacing w:after="0" w:line="202" w:lineRule="exact"/>
              <w:rPr>
                <w:sz w:val="20"/>
                <w:szCs w:val="20"/>
                <w:color w:val="auto"/>
              </w:rPr>
            </w:pPr>
            <w:r>
              <w:rPr>
                <w:rFonts w:ascii="Arial" w:cs="Arial" w:eastAsia="Arial" w:hAnsi="Arial"/>
                <w:sz w:val="18"/>
                <w:szCs w:val="18"/>
                <w:b w:val="1"/>
                <w:bCs w:val="1"/>
                <w:color w:val="auto"/>
              </w:rPr>
              <w:t>(5 )</w:t>
            </w:r>
          </w:p>
        </w:tc>
        <w:tc>
          <w:tcPr>
            <w:tcW w:w="26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(34 )</w:t>
            </w:r>
          </w:p>
        </w:tc>
        <w:tc>
          <w:tcPr>
            <w:tcW w:w="1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(6 )</w:t>
            </w:r>
          </w:p>
        </w:tc>
      </w:tr>
      <w:tr>
        <w:trPr>
          <w:trHeight w:val="236"/>
        </w:trPr>
        <w:tc>
          <w:tcPr>
            <w:tcW w:w="5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129</w:t>
            </w:r>
          </w:p>
        </w:tc>
        <w:tc>
          <w:tcPr>
            <w:tcW w:w="2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19</w:t>
            </w:r>
          </w:p>
        </w:tc>
        <w:tc>
          <w:tcPr>
            <w:tcW w:w="380" w:type="dxa"/>
            <w:vAlign w:val="bottom"/>
            <w:tcBorders>
              <w:bottom w:val="single" w:sz="8" w:color="CFF0FC"/>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87"/>
              </w:rPr>
              <w:t>%</w:t>
            </w: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w:t>
            </w:r>
          </w:p>
        </w:tc>
        <w:tc>
          <w:tcPr>
            <w:tcW w:w="2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w:t>
            </w:r>
          </w:p>
        </w:tc>
        <w:tc>
          <w:tcPr>
            <w:tcW w:w="2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-819150</wp:posOffset>
            </wp:positionV>
            <wp:extent cx="5969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-819150</wp:posOffset>
            </wp:positionV>
            <wp:extent cx="16256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-819150</wp:posOffset>
            </wp:positionV>
            <wp:extent cx="5143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-819150</wp:posOffset>
            </wp:positionV>
            <wp:extent cx="15430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59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596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1625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1625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66" w:lineRule="exact"/>
        <w:rPr>
          <w:sz w:val="20"/>
          <w:szCs w:val="20"/>
          <w:color w:val="auto"/>
        </w:rPr>
      </w:pPr>
    </w:p>
    <w:p>
      <w:pPr>
        <w:ind w:right="60" w:firstLine="494"/>
        <w:spacing w:after="0" w:line="284" w:lineRule="auto"/>
        <w:rPr>
          <w:sz w:val="20"/>
          <w:szCs w:val="20"/>
          <w:color w:val="auto"/>
        </w:rPr>
      </w:pPr>
      <w:r>
        <w:rPr>
          <w:rFonts w:ascii="Arial" w:cs="Arial" w:eastAsia="Arial" w:hAnsi="Arial"/>
          <w:sz w:val="18"/>
          <w:szCs w:val="18"/>
          <w:color w:val="auto"/>
        </w:rPr>
        <w:t>Net sales for the quarter ended March 31, 2022 were $677 million compared to $588 million for the quarter ended March 31, 2021, an increase of 15%. The increase was principally driven by a $27 million, or 8%, increase in net sales in the North America On-Highway end market, a $25 million, or 30%, increase in net sales in the Outside North America On-Highway end market, a $17 million, or 14%, increase in net sales in the Service Parts, Support Equipment and Other end market, a $16 million, or 800%, increase in net sales in the North America Off-Highway end market and a $14 million, or 88%, increase in net sales in the Outside North America Off-Highway end market, partially offset by a $10 million, or 22%, decrease in net sales in the Defense end market. See "Trends Impacting our Business" for more information.</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66" w:lineRule="exact"/>
        <w:rPr>
          <w:sz w:val="20"/>
          <w:szCs w:val="20"/>
          <w:color w:val="auto"/>
        </w:rPr>
      </w:pPr>
    </w:p>
    <w:p>
      <w:pPr>
        <w:ind w:right="140" w:firstLine="494"/>
        <w:spacing w:after="0" w:line="287" w:lineRule="auto"/>
        <w:rPr>
          <w:sz w:val="20"/>
          <w:szCs w:val="20"/>
          <w:color w:val="auto"/>
        </w:rPr>
      </w:pPr>
      <w:r>
        <w:rPr>
          <w:rFonts w:ascii="Arial" w:cs="Arial" w:eastAsia="Arial" w:hAnsi="Arial"/>
          <w:sz w:val="18"/>
          <w:szCs w:val="18"/>
          <w:color w:val="auto"/>
        </w:rPr>
        <w:t>Cost of sales for the quarter ended March 31, 2022 was $357 million compared to $297 million for the quarter ended March 31, 2021, an increase of 20%. The increase was principally driven by unfavorable material costs and increased direct material and manufacturing expense commensurate with increased net sales.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66"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Gross profit for the quarter ended March 31, 2022 was $320 million compared to $291 million for the quarter ended March 31, 2021, an increase of 10%. The increase was principally driven by $49 million related to increased net sales and $20 million of price increases on certain products, partially offset by $32 million of unfavorable material costs and $8 million of higher manufacturing expense commensurate with increased net sales. Gross profit as a percent of net sales for the three months ended March 31, 2022 decreased 220 basis points compared to the same period in 2021 principally driven by unfavorable material costs, partially offset by price increases on certain products.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66" w:lineRule="exact"/>
        <w:rPr>
          <w:sz w:val="20"/>
          <w:szCs w:val="20"/>
          <w:color w:val="auto"/>
        </w:rPr>
      </w:pPr>
    </w:p>
    <w:p>
      <w:pPr>
        <w:ind w:right="220" w:firstLine="494"/>
        <w:spacing w:after="0" w:line="293" w:lineRule="auto"/>
        <w:rPr>
          <w:sz w:val="20"/>
          <w:szCs w:val="20"/>
          <w:color w:val="auto"/>
        </w:rPr>
      </w:pPr>
      <w:r>
        <w:rPr>
          <w:rFonts w:ascii="Arial" w:cs="Arial" w:eastAsia="Arial" w:hAnsi="Arial"/>
          <w:sz w:val="18"/>
          <w:szCs w:val="18"/>
          <w:color w:val="auto"/>
        </w:rPr>
        <w:t>Selling, general and administrative expenses for the quarter ended March 31, 2022 were $75 million compared to $73 million for the quarter ended March 31, 2021, an increase of 3%. The increase was principally driven by higher commercial activities spending.</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53" w:lineRule="exact"/>
        <w:rPr>
          <w:sz w:val="20"/>
          <w:szCs w:val="20"/>
          <w:color w:val="auto"/>
        </w:rPr>
      </w:pPr>
    </w:p>
    <w:p>
      <w:pPr>
        <w:ind w:firstLine="494"/>
        <w:spacing w:after="0" w:line="293" w:lineRule="auto"/>
        <w:rPr>
          <w:sz w:val="20"/>
          <w:szCs w:val="20"/>
          <w:color w:val="auto"/>
        </w:rPr>
      </w:pPr>
      <w:r>
        <w:rPr>
          <w:rFonts w:ascii="Arial" w:cs="Arial" w:eastAsia="Arial" w:hAnsi="Arial"/>
          <w:sz w:val="18"/>
          <w:szCs w:val="18"/>
          <w:color w:val="auto"/>
        </w:rPr>
        <w:t>Engineering expenses for the quarter ended March 31, 2022 were $43 million compared to $38 million for the quarter ended March 31, 2021, an increase of 13%. The increase was principally driven by increased product initiatives spending.</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net was $29 million for each of the quarters ended March 31, 2022 and 2021.</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53" w:lineRule="exact"/>
        <w:rPr>
          <w:sz w:val="20"/>
          <w:szCs w:val="20"/>
          <w:color w:val="auto"/>
        </w:rPr>
      </w:pPr>
    </w:p>
    <w:p>
      <w:pPr>
        <w:ind w:right="40" w:firstLine="494"/>
        <w:spacing w:after="0" w:line="285" w:lineRule="auto"/>
        <w:rPr>
          <w:sz w:val="20"/>
          <w:szCs w:val="20"/>
          <w:color w:val="auto"/>
        </w:rPr>
      </w:pPr>
      <w:r>
        <w:rPr>
          <w:rFonts w:ascii="Arial" w:cs="Arial" w:eastAsia="Arial" w:hAnsi="Arial"/>
          <w:sz w:val="18"/>
          <w:szCs w:val="18"/>
          <w:color w:val="auto"/>
        </w:rPr>
        <w:t>Other (expense) income, net for the quarter ended March 31, 2022 was ($10) million compared to $3 million for the quarter ended March 31, 2021. The change was principally driven by a $15 million unrealized loss on marketable securities, $2 million of unfavorable foreign exchange on intercompany financing and $2 million of unfavorable change associated with assets held in a rabbi trust, partially offset by a $6 million gain related to technology-related investments.</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3" w:lineRule="exact"/>
        <w:rPr>
          <w:sz w:val="20"/>
          <w:szCs w:val="20"/>
          <w:color w:val="auto"/>
        </w:rPr>
      </w:pPr>
    </w:p>
    <w:p>
      <w:pPr>
        <w:ind w:right="60" w:firstLine="494"/>
        <w:spacing w:after="0" w:line="293" w:lineRule="auto"/>
        <w:rPr>
          <w:sz w:val="20"/>
          <w:szCs w:val="20"/>
          <w:color w:val="auto"/>
        </w:rPr>
      </w:pPr>
      <w:r>
        <w:rPr>
          <w:rFonts w:ascii="Arial" w:cs="Arial" w:eastAsia="Arial" w:hAnsi="Arial"/>
          <w:sz w:val="18"/>
          <w:szCs w:val="18"/>
          <w:color w:val="auto"/>
        </w:rPr>
        <w:t>Income tax expense for each of the three months ended March 31, 2022 and 2021 was $34 million, resulting in an effective tax rate of 21% and 22%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66"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investments, acquisitions and collaborations. Our ability to generate cash in the future and our future uses of cash are subject to general economic, financial, competitive, legislative, regulatory and other factors that may be beyond our control. We had total available cash of $145 million and $127 million as of March 31, 2022 and December 31, 2021, respectively, all of which was deposited in operating accounts.</w:t>
      </w:r>
    </w:p>
    <w:p>
      <w:pPr>
        <w:spacing w:after="0" w:line="96" w:lineRule="exact"/>
        <w:rPr>
          <w:sz w:val="20"/>
          <w:szCs w:val="20"/>
          <w:color w:val="auto"/>
        </w:rPr>
      </w:pPr>
    </w:p>
    <w:p>
      <w:pPr>
        <w:ind w:right="120" w:firstLine="494"/>
        <w:spacing w:after="0" w:line="285" w:lineRule="auto"/>
        <w:rPr>
          <w:sz w:val="20"/>
          <w:szCs w:val="20"/>
          <w:color w:val="auto"/>
        </w:rPr>
      </w:pPr>
      <w:r>
        <w:rPr>
          <w:rFonts w:ascii="Arial" w:cs="Arial" w:eastAsia="Arial" w:hAnsi="Arial"/>
          <w:sz w:val="18"/>
          <w:szCs w:val="18"/>
          <w:color w:val="auto"/>
        </w:rPr>
        <w:t>As of March 31, 2022, the total of cash held by foreign subsidiaries was $77 million, the majority of which was at our subsidiaries located in China and the Netherlands. We manage our worldwide cash requirements considering available funds among the subsidiaries through which we conduct our business and the cost effectiveness with which those funds can be accessed. As a result, we do not currently anticipate any local liquidity restrictions will preclude us from funding our targeted initiatives or operating needs with local resources.</w:t>
      </w:r>
    </w:p>
    <w:p>
      <w:pPr>
        <w:spacing w:after="0" w:line="151" w:lineRule="exact"/>
        <w:rPr>
          <w:sz w:val="20"/>
          <w:szCs w:val="20"/>
          <w:color w:val="auto"/>
        </w:rPr>
      </w:pPr>
    </w:p>
    <w:p>
      <w:pPr>
        <w:ind w:right="20" w:firstLine="494"/>
        <w:spacing w:after="0" w:line="284" w:lineRule="auto"/>
        <w:rPr>
          <w:sz w:val="20"/>
          <w:szCs w:val="20"/>
          <w:color w:val="auto"/>
        </w:rPr>
      </w:pPr>
      <w:r>
        <w:rPr>
          <w:rFonts w:ascii="Arial" w:cs="Arial" w:eastAsia="Arial" w:hAnsi="Arial"/>
          <w:sz w:val="18"/>
          <w:szCs w:val="18"/>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spacing w:after="0" w:line="152" w:lineRule="exact"/>
        <w:rPr>
          <w:sz w:val="20"/>
          <w:szCs w:val="20"/>
          <w:color w:val="auto"/>
        </w:rPr>
      </w:pPr>
    </w:p>
    <w:p>
      <w:pPr>
        <w:ind w:right="60" w:firstLine="494"/>
        <w:spacing w:after="0" w:line="283" w:lineRule="auto"/>
        <w:rPr>
          <w:sz w:val="20"/>
          <w:szCs w:val="20"/>
          <w:color w:val="auto"/>
        </w:rPr>
      </w:pPr>
      <w:r>
        <w:rPr>
          <w:rFonts w:ascii="Arial" w:cs="Arial" w:eastAsia="Arial" w:hAnsi="Arial"/>
          <w:sz w:val="18"/>
          <w:szCs w:val="18"/>
          <w:color w:val="auto"/>
        </w:rPr>
        <w:t>Our liquidity requirements are significant, primarily due to our debt service requirements. As of March 31, 2022, we had $630 million of indebtedness associated with ATI’s Term Loan, $400 million of indebtedness associated with ATI’s 4.75% Senior Notes due October 2027 (“4.75% Senior Notes”), $500 million of indebtedness associated with ATI’s 5.875% Senior Notes due June 2029 (“5.875% Senior Notes”) and $1,000 million of indebtedness associated with ATI’s 3.75% Senior Notes due January 2031 (“3.75% Senior Notes” and, together with the 4.75% Senior Notes and 5.875% Senior Notes, the “Senior Notes”). Short-term and long-term debt service liquidity requirements consist of $2 million of minimum required quarterly principal payments on ATI’s Term Loan through its maturity date of March 2026 and periodic interest payments on ATI’s Term Loan and the Senior Notes. There are no required quarterly principal payments on ATI’s Senior Notes. Long-term debt service liquidity requirements also consist of the payment in full of any remaining principal balance of ATI’s Term Loan and the Senior Notes upon their respective maturity dates.</w:t>
      </w:r>
    </w:p>
    <w:p>
      <w:pPr>
        <w:spacing w:after="0" w:line="152" w:lineRule="exact"/>
        <w:rPr>
          <w:sz w:val="20"/>
          <w:szCs w:val="20"/>
          <w:color w:val="auto"/>
        </w:rPr>
      </w:pPr>
    </w:p>
    <w:p>
      <w:pPr>
        <w:ind w:right="200" w:firstLine="494"/>
        <w:spacing w:after="0" w:line="287" w:lineRule="auto"/>
        <w:rPr>
          <w:sz w:val="20"/>
          <w:szCs w:val="20"/>
          <w:color w:val="auto"/>
        </w:rPr>
      </w:pPr>
      <w:r>
        <w:rPr>
          <w:rFonts w:ascii="Arial" w:cs="Arial" w:eastAsia="Arial" w:hAnsi="Arial"/>
          <w:sz w:val="18"/>
          <w:szCs w:val="18"/>
          <w:color w:val="auto"/>
        </w:rPr>
        <w:t>We made $2 million of principal payments on the Term Loan during each of the three months ended March 31, 2022 and 2021. Our ability to make payments on and refinance our indebtedness and to fund planned capital expenditures and growth initiatives will depend on our ability to generate cash in the future.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81" w:lineRule="exact"/>
        <w:rPr>
          <w:sz w:val="20"/>
          <w:szCs w:val="20"/>
          <w:color w:val="auto"/>
        </w:rPr>
      </w:pPr>
    </w:p>
    <w:p>
      <w:pPr>
        <w:ind w:firstLine="494"/>
        <w:spacing w:after="0" w:line="282" w:lineRule="auto"/>
        <w:rPr>
          <w:sz w:val="20"/>
          <w:szCs w:val="20"/>
          <w:color w:val="auto"/>
        </w:rPr>
      </w:pPr>
      <w:r>
        <w:rPr>
          <w:rFonts w:ascii="Arial" w:cs="Arial" w:eastAsia="Arial" w:hAnsi="Arial"/>
          <w:sz w:val="18"/>
          <w:szCs w:val="18"/>
          <w:color w:val="auto"/>
        </w:rPr>
        <w:t>The Senior Secured Credit Facility provides for a $650 million Revolving Credit Facility, net of an allowance for up to $75 million in outstanding letter of credit commitments. Throughout the three months ended March 31, 2022, the Company made periodic withdrawals and payments on the Revolving Credit Facility as part of the Company's cash management plans. The maximum amount outstanding at any time during the three months ended March 31, 2022 was $75 million. As of March 31, 2022, we had $645 million available under the Revolving Credit Facility, net of $5 million in letters of credit.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March 31, 2022, our first lien net leverage ratio was 0.56x.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w:t>
      </w:r>
    </w:p>
    <w:p>
      <w:pPr>
        <w:spacing w:after="0" w:line="160"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March 31, 2022, we are in compliance with all covenants under the Senior Secured Credit Facility and indentures governing the Senior Notes.</w:t>
      </w:r>
    </w:p>
    <w:p>
      <w:pPr>
        <w:spacing w:after="0" w:line="155" w:lineRule="exact"/>
        <w:rPr>
          <w:sz w:val="20"/>
          <w:szCs w:val="20"/>
          <w:color w:val="auto"/>
        </w:rPr>
      </w:pPr>
    </w:p>
    <w:p>
      <w:pPr>
        <w:ind w:right="80" w:firstLine="494"/>
        <w:spacing w:after="0" w:line="285" w:lineRule="auto"/>
        <w:rPr>
          <w:sz w:val="20"/>
          <w:szCs w:val="20"/>
          <w:color w:val="auto"/>
        </w:rPr>
      </w:pPr>
      <w:r>
        <w:rPr>
          <w:rFonts w:ascii="Arial" w:cs="Arial" w:eastAsia="Arial" w:hAnsi="Arial"/>
          <w:sz w:val="18"/>
          <w:szCs w:val="18"/>
          <w:color w:val="auto"/>
        </w:rPr>
        <w:t>Our credit ratings are reviewed by Moody’s Investors Service (“Moody’s”) and Fitch Ratings (“Fitch”). Moody’s rates our corporate credit at 'Ba1', the Term Loan at ‘Baa2’, the 4.75% Senior Notes at ‘Ba2’, the 5.875% Senior Notes at 'Ba2 ' and the 3.75% Senior Notes at ‘Ba2’. Fitch rates our corporate credit at ‘BB’, the Term Loan at ‘BBB-’, the 4.75% Senior Notes at ‘BB’, the 5.875% Senior Notes at 'BB' and the 3.75% Senior Notes at ‘BB’.</w:t>
      </w:r>
    </w:p>
    <w:p>
      <w:pPr>
        <w:spacing w:after="0" w:line="97" w:lineRule="exact"/>
        <w:rPr>
          <w:sz w:val="20"/>
          <w:szCs w:val="20"/>
          <w:color w:val="auto"/>
        </w:rPr>
      </w:pPr>
    </w:p>
    <w:p>
      <w:pPr>
        <w:ind w:right="80" w:firstLine="494"/>
        <w:spacing w:after="0" w:line="284" w:lineRule="auto"/>
        <w:rPr>
          <w:sz w:val="20"/>
          <w:szCs w:val="20"/>
          <w:color w:val="auto"/>
        </w:rPr>
      </w:pPr>
      <w:r>
        <w:rPr>
          <w:rFonts w:ascii="Arial" w:cs="Arial" w:eastAsia="Arial" w:hAnsi="Arial"/>
          <w:sz w:val="18"/>
          <w:szCs w:val="18"/>
          <w:color w:val="auto"/>
        </w:rPr>
        <w:t>Our current stock repurchase program (the "Repurchase Program") was originally authorized by the Board of Directors in 2016. On February 24, 2022, the Board of Directors authorized us to repurchase an additional $1,000 million of our common stock, bringing the total amount authorized under the Repurchase Program to $4,000 million. During the three months ended March 31, 2022, we repurchased approximately $81 million of our common stock under the Repurchase Program. All of the repurchase transactions during the three months ended March 31, 2022 were settled in cash during the same period. As of March 31, 2022, we had approximately $1,233 million available under the Repurchase Program.</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2" w:right="39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sources and uses of funds for the three months ended March 31, 2022 and 2021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14"/>
                <w:szCs w:val="14"/>
                <w:color w:val="auto"/>
              </w:rPr>
            </w:pPr>
          </w:p>
        </w:tc>
      </w:tr>
      <w:tr>
        <w:trPr>
          <w:trHeight w:val="189"/>
        </w:trPr>
        <w:tc>
          <w:tcPr>
            <w:tcW w:w="76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6"/>
                <w:szCs w:val="16"/>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Statements of Cash Flows Data</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provided by operating activities</w:t>
            </w:r>
          </w:p>
        </w:tc>
        <w:tc>
          <w:tcPr>
            <w:tcW w:w="980" w:type="dxa"/>
            <w:vAlign w:val="bottom"/>
            <w:shd w:val="clear" w:color="auto" w:fill="CFF0FC"/>
          </w:tcPr>
          <w:p>
            <w:pPr>
              <w:jc w:val="right"/>
              <w:ind w:right="795"/>
              <w:spacing w:after="0" w:line="196"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FF0FC"/>
          </w:tcPr>
          <w:p>
            <w:pPr>
              <w:jc w:val="right"/>
              <w:ind w:right="57"/>
              <w:spacing w:after="0" w:line="196" w:lineRule="exact"/>
              <w:rPr>
                <w:sz w:val="20"/>
                <w:szCs w:val="20"/>
                <w:color w:val="auto"/>
              </w:rPr>
            </w:pPr>
            <w:r>
              <w:rPr>
                <w:rFonts w:ascii="Arial" w:cs="Arial" w:eastAsia="Arial" w:hAnsi="Arial"/>
                <w:sz w:val="18"/>
                <w:szCs w:val="18"/>
                <w:b w:val="1"/>
                <w:bCs w:val="1"/>
                <w:color w:val="auto"/>
              </w:rPr>
              <w:t>163</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131</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Cash flows used for investing activities</w:t>
            </w:r>
          </w:p>
        </w:tc>
        <w:tc>
          <w:tcPr>
            <w:tcW w:w="980" w:type="dxa"/>
            <w:vAlign w:val="bottom"/>
          </w:tcPr>
          <w:p>
            <w:pPr>
              <w:jc w:val="right"/>
              <w:ind w:right="795"/>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(38 )</w:t>
            </w:r>
          </w:p>
        </w:tc>
        <w:tc>
          <w:tcPr>
            <w:tcW w:w="760" w:type="dxa"/>
            <w:vAlign w:val="bottom"/>
            <w:gridSpan w:val="2"/>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(24 )</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flows used for financing activities</w:t>
            </w:r>
          </w:p>
        </w:tc>
        <w:tc>
          <w:tcPr>
            <w:tcW w:w="980" w:type="dxa"/>
            <w:vAlign w:val="bottom"/>
            <w:shd w:val="clear" w:color="auto" w:fill="CFF0FC"/>
          </w:tcPr>
          <w:p>
            <w:pPr>
              <w:jc w:val="right"/>
              <w:ind w:right="795"/>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(106 )</w:t>
            </w:r>
          </w:p>
        </w:tc>
        <w:tc>
          <w:tcPr>
            <w:tcW w:w="760" w:type="dxa"/>
            <w:vAlign w:val="bottom"/>
            <w:gridSpan w:val="2"/>
            <w:shd w:val="clear" w:color="auto" w:fill="CFF0FC"/>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(121 )</w:t>
            </w:r>
          </w:p>
        </w:tc>
      </w:tr>
    </w:tbl>
    <w:p>
      <w:pPr>
        <w:spacing w:after="0" w:line="256" w:lineRule="exact"/>
        <w:rPr>
          <w:sz w:val="20"/>
          <w:szCs w:val="20"/>
          <w:color w:val="auto"/>
        </w:rPr>
      </w:pPr>
    </w:p>
    <w:p>
      <w:pPr>
        <w:jc w:val="both"/>
        <w:ind w:right="20" w:firstLine="494"/>
        <w:spacing w:after="0" w:line="285" w:lineRule="auto"/>
        <w:rPr>
          <w:sz w:val="20"/>
          <w:szCs w:val="20"/>
          <w:color w:val="auto"/>
        </w:rPr>
      </w:pPr>
      <w:r>
        <w:rPr>
          <w:rFonts w:ascii="Arial" w:cs="Arial" w:eastAsia="Arial" w:hAnsi="Arial"/>
          <w:sz w:val="18"/>
          <w:szCs w:val="18"/>
          <w:color w:val="auto"/>
        </w:rPr>
        <w:t>Generally, cash provided by operating activities has been adequate to fund our operations. We have significant liquidity, including $145 million of cash and $645 million available under the Revolving Credit Facility, net of $5 million of letters of credit, as of March 31, 2022. At this time, we believe cash provided by operating activities, cash and borrowing capacity under the Senior Secured Credit Facility will be sufficient to meet our known and anticipated cash requirements for the next twelve months and thereafter.</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66" w:lineRule="exact"/>
        <w:rPr>
          <w:sz w:val="20"/>
          <w:szCs w:val="20"/>
          <w:color w:val="auto"/>
        </w:rPr>
      </w:pPr>
    </w:p>
    <w:p>
      <w:pPr>
        <w:ind w:firstLine="494"/>
        <w:spacing w:after="0" w:line="287" w:lineRule="auto"/>
        <w:rPr>
          <w:sz w:val="20"/>
          <w:szCs w:val="20"/>
          <w:color w:val="auto"/>
        </w:rPr>
      </w:pPr>
      <w:r>
        <w:rPr>
          <w:rFonts w:ascii="Arial" w:cs="Arial" w:eastAsia="Arial" w:hAnsi="Arial"/>
          <w:sz w:val="18"/>
          <w:szCs w:val="18"/>
          <w:color w:val="auto"/>
        </w:rPr>
        <w:t>Operating activities for the three months ended March 31, 2022 generated $163 million of cash compared to $131 million for the three months ended March 31, 2021. The increase was principally driven by lower operating working capital funding requirements and higher gross profit, partially offset by higher cash incentive compensation payments and higher cash interest payments.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66" w:lineRule="exact"/>
        <w:rPr>
          <w:sz w:val="20"/>
          <w:szCs w:val="20"/>
          <w:color w:val="auto"/>
        </w:rPr>
      </w:pPr>
    </w:p>
    <w:p>
      <w:pPr>
        <w:jc w:val="both"/>
        <w:ind w:right="100" w:firstLine="499"/>
        <w:spacing w:after="0" w:line="287" w:lineRule="auto"/>
        <w:rPr>
          <w:sz w:val="20"/>
          <w:szCs w:val="20"/>
          <w:color w:val="auto"/>
        </w:rPr>
      </w:pPr>
      <w:r>
        <w:rPr>
          <w:rFonts w:ascii="Arial" w:cs="Arial" w:eastAsia="Arial" w:hAnsi="Arial"/>
          <w:sz w:val="18"/>
          <w:szCs w:val="18"/>
          <w:color w:val="auto"/>
        </w:rPr>
        <w:t>Investing activities for the three months ended March 31, 2022 used $38 million of cash compared to $24 million for the three months ended March 31, 2021. The increase was principally driven by $23 million in cash paid for business acquisitions, partially offset by $6 million of proceeds from technology-related investments and a $4 million decrease in capital expenditures.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66" w:lineRule="exact"/>
        <w:rPr>
          <w:sz w:val="20"/>
          <w:szCs w:val="20"/>
          <w:color w:val="auto"/>
        </w:rPr>
      </w:pPr>
    </w:p>
    <w:p>
      <w:pPr>
        <w:ind w:right="260" w:firstLine="494"/>
        <w:spacing w:after="0" w:line="287" w:lineRule="auto"/>
        <w:rPr>
          <w:sz w:val="20"/>
          <w:szCs w:val="20"/>
          <w:color w:val="auto"/>
        </w:rPr>
      </w:pPr>
      <w:r>
        <w:rPr>
          <w:rFonts w:ascii="Arial" w:cs="Arial" w:eastAsia="Arial" w:hAnsi="Arial"/>
          <w:sz w:val="18"/>
          <w:szCs w:val="18"/>
          <w:color w:val="auto"/>
        </w:rPr>
        <w:t>Financing activities for the three months ended March 31, 2022 used $106 million of cash compared to $121 million for the three months ended March 31, 2021. The decrease was principally driven by $15 million of decreased stock repurchases under the Repurchase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66" w:lineRule="exact"/>
        <w:rPr>
          <w:sz w:val="20"/>
          <w:szCs w:val="20"/>
          <w:color w:val="auto"/>
        </w:rPr>
      </w:pPr>
    </w:p>
    <w:p>
      <w:pPr>
        <w:ind w:firstLine="494"/>
        <w:spacing w:after="0" w:line="285" w:lineRule="auto"/>
        <w:rPr>
          <w:sz w:val="20"/>
          <w:szCs w:val="20"/>
          <w:color w:val="auto"/>
        </w:rPr>
      </w:pPr>
      <w:r>
        <w:rPr>
          <w:rFonts w:ascii="Arial" w:cs="Arial" w:eastAsia="Arial" w:hAnsi="Arial"/>
          <w:sz w:val="18"/>
          <w:szCs w:val="18"/>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66"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A discussion of our critical accounting policies and significant accounting estimates is included in Part II, Item 7, “Management’s Discussion and Analysis of Financial Condition and Results of Operations” in our Annual Report on Form 10-K for the year ended December 31, 2021 as filed with the U.S Securities and Exchange Commission ("SEC") on February 17, 2022.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three months ended March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not a party to any off-balance sheet arrangements.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B. Summary of Significant Accounting Policies” in Part I, Item 1, of this Quarterly Report on Form 10-Q.</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52" w:right="41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6" w:lineRule="exact"/>
        <w:rPr>
          <w:sz w:val="20"/>
          <w:szCs w:val="20"/>
          <w:color w:val="auto"/>
        </w:rPr>
      </w:pPr>
    </w:p>
    <w:p>
      <w:pPr>
        <w:ind w:firstLine="494"/>
        <w:spacing w:after="0" w:line="282" w:lineRule="auto"/>
        <w:rPr>
          <w:sz w:val="20"/>
          <w:szCs w:val="20"/>
          <w:color w:val="auto"/>
        </w:rPr>
      </w:pPr>
      <w:r>
        <w:rPr>
          <w:rFonts w:ascii="Arial" w:cs="Arial" w:eastAsia="Arial" w:hAnsi="Arial"/>
          <w:sz w:val="18"/>
          <w:szCs w:val="18"/>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the duration and spread of the COVID-19 pandemic, including new variants of the virus and the pace and availability of vaccines and boosters, mitigating efforts deployed by government agencies and the public at large, and the overall impact from such outbreak on economic conditions, financial market volatility and our business, including but not limited to the operations of our manufacturing and other facilities, the availability of labor, our supply chain, our distribution processes and demand for our products and the corresponding impacts to our net sales and cash flow; increases in cost, disruption of supply or shortage of labor, freight, raw materials or components used to manufacture or transport our products or those of our customers or suppliers, including as a result of the war in Ukraine and the COVID-19 pandemic;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the highly cyclical industries in which certain of our end users operate; uncertainty in the global regulatory and business environments in which we operate; the concentration of our net sales in our top five customers and the loss of any one of these;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general economic and industry conditions;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labor strikes, work stoppages or similar labor disputes, which could significantly disrupt our operations or those of our principal customers or suppliers; and risks related to our indebtedness.</w:t>
      </w:r>
    </w:p>
    <w:p>
      <w:pPr>
        <w:spacing w:after="0" w:line="103"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2021 as filed with the SEC on February 17, 2022 and Part II, Item 1A of this Quarterly Report on Form 10-Q. All written and oral forward-looking statements attributable to us, or persons acting on our behalf, are expressly qualified in their entirety by these cautionary statements as well as other cautionary statements that are made from time to time in our other SEC filings or public communications. You should evaluate all forward-looking statements made in this Quarterly Report on Form 10-Q in the context of these risks and uncertainties.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5" w:lineRule="exact"/>
        <w:rPr>
          <w:sz w:val="20"/>
          <w:szCs w:val="20"/>
          <w:color w:val="auto"/>
        </w:rPr>
      </w:pPr>
    </w:p>
    <w:p>
      <w:pPr>
        <w:ind w:right="440" w:firstLine="499"/>
        <w:spacing w:after="0" w:line="293" w:lineRule="auto"/>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6" w:lineRule="exact"/>
        <w:rPr>
          <w:sz w:val="20"/>
          <w:szCs w:val="20"/>
          <w:color w:val="auto"/>
        </w:rPr>
      </w:pPr>
    </w:p>
    <w:p>
      <w:pPr>
        <w:ind w:firstLine="499"/>
        <w:spacing w:after="0" w:line="284" w:lineRule="auto"/>
        <w:rPr>
          <w:sz w:val="20"/>
          <w:szCs w:val="20"/>
          <w:color w:val="auto"/>
        </w:rPr>
      </w:pPr>
      <w:r>
        <w:rPr>
          <w:rFonts w:ascii="Arial" w:cs="Arial" w:eastAsia="Arial" w:hAnsi="Arial"/>
          <w:sz w:val="18"/>
          <w:szCs w:val="18"/>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$1,275 million, including $645 million under our Revolving Credit Facility, net of $5 million of letters of credit. A one-eighth percent increase or decrease in assumed interest rates for the Senior Secured Credit Facility, if fully drawn as of March 31, 2022, would have an impact of approximately $1 million on interest expense per year. As of March 31, 2022, we had no outstanding borrowings against the Revolving Credit Facility.</w:t>
      </w:r>
    </w:p>
    <w:p>
      <w:pPr>
        <w:spacing w:after="0" w:line="96" w:lineRule="exact"/>
        <w:rPr>
          <w:sz w:val="20"/>
          <w:szCs w:val="20"/>
          <w:color w:val="auto"/>
        </w:rPr>
      </w:pPr>
    </w:p>
    <w:p>
      <w:pPr>
        <w:ind w:right="80" w:firstLine="499"/>
        <w:spacing w:after="0" w:line="284" w:lineRule="auto"/>
        <w:rPr>
          <w:sz w:val="20"/>
          <w:szCs w:val="20"/>
          <w:color w:val="auto"/>
        </w:rPr>
      </w:pPr>
      <w:r>
        <w:rPr>
          <w:rFonts w:ascii="Arial" w:cs="Arial" w:eastAsia="Arial" w:hAnsi="Arial"/>
          <w:sz w:val="18"/>
          <w:szCs w:val="18"/>
          <w:color w:val="auto"/>
        </w:rPr>
        <w:t>From time to time, we enter into interest rate swap agreements to hedge the risk associated with our variable interest rate debt. As of March 31, 2022, we held interest rate swaps effective from (i) September 2019 to September 2022 with notional values totaling $250 million and a weighted average London Interbank Offered Rate (“LIBOR”) fixed rate of 3.01%, (ii) September 2019 to September 2025 with notional values totaling $250 million and a weighted average LIBOR fixed rate of 3.04% and (iii) September 2022 to September 2025 with notional values totaling $250 million and a weighted average LIBOR fixed rate of 2.82%.</w:t>
      </w:r>
    </w:p>
    <w:p>
      <w:pPr>
        <w:spacing w:after="0" w:line="98" w:lineRule="exact"/>
        <w:rPr>
          <w:sz w:val="20"/>
          <w:szCs w:val="20"/>
          <w:color w:val="auto"/>
        </w:rPr>
      </w:pPr>
    </w:p>
    <w:p>
      <w:pPr>
        <w:ind w:right="20" w:firstLine="499"/>
        <w:spacing w:after="0" w:line="287" w:lineRule="auto"/>
        <w:rPr>
          <w:sz w:val="20"/>
          <w:szCs w:val="20"/>
          <w:color w:val="auto"/>
        </w:rPr>
      </w:pPr>
      <w:r>
        <w:rPr>
          <w:rFonts w:ascii="Arial" w:cs="Arial" w:eastAsia="Arial" w:hAnsi="Arial"/>
          <w:sz w:val="18"/>
          <w:szCs w:val="18"/>
          <w:color w:val="auto"/>
        </w:rPr>
        <w:t>The United Kingdom's Financial Conduct Authority has announced the intent to phase out LIBOR by June 2023. We plan to elect an alternative reference rate acceptable under reference rate reform guidance and do not expect the phase out to materially impact our financial statements, liquidity or access to capital markets.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66" w:lineRule="exact"/>
        <w:rPr>
          <w:sz w:val="20"/>
          <w:szCs w:val="20"/>
          <w:color w:val="auto"/>
        </w:rPr>
      </w:pPr>
    </w:p>
    <w:p>
      <w:pPr>
        <w:ind w:right="180" w:firstLine="499"/>
        <w:spacing w:after="0" w:line="285"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spacing w:after="0" w:line="97" w:lineRule="exact"/>
        <w:rPr>
          <w:sz w:val="20"/>
          <w:szCs w:val="20"/>
          <w:color w:val="auto"/>
        </w:rPr>
      </w:pPr>
    </w:p>
    <w:p>
      <w:pPr>
        <w:jc w:val="both"/>
        <w:ind w:firstLine="499"/>
        <w:spacing w:after="0" w:line="287"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Chinese Yuan Renminbi, Euro, Indian Rupee, and Japanese Yen would correspondingly change our earnings, net of tax, by an estimated $5 million per year. We believe our other exposure to foreign currencies is immaterial.</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66" w:lineRule="exact"/>
        <w:rPr>
          <w:sz w:val="20"/>
          <w:szCs w:val="20"/>
          <w:color w:val="auto"/>
        </w:rPr>
      </w:pPr>
    </w:p>
    <w:p>
      <w:pPr>
        <w:ind w:firstLine="499"/>
        <w:spacing w:after="0" w:line="283" w:lineRule="auto"/>
        <w:rPr>
          <w:sz w:val="20"/>
          <w:szCs w:val="20"/>
          <w:color w:val="auto"/>
        </w:rPr>
      </w:pPr>
      <w:r>
        <w:rPr>
          <w:rFonts w:ascii="Arial" w:cs="Arial" w:eastAsia="Arial" w:hAnsi="Arial"/>
          <w:sz w:val="18"/>
          <w:szCs w:val="18"/>
          <w:color w:val="auto"/>
        </w:rPr>
        <w:t>We are subject to changes in our cost of sales caused by movements in underlying commodity prices. As of March 31, 2022, approximately 67% of our cost of sales consists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long-term agreements (“LTAs”). We historically have not entered into long-term purchase contracts related to the purchase of aluminum and steel.</w:t>
      </w:r>
    </w:p>
    <w:p>
      <w:pPr>
        <w:spacing w:after="0" w:line="101" w:lineRule="exact"/>
        <w:rPr>
          <w:sz w:val="20"/>
          <w:szCs w:val="20"/>
          <w:color w:val="auto"/>
        </w:rPr>
      </w:pPr>
    </w:p>
    <w:p>
      <w:pPr>
        <w:ind w:right="260" w:firstLine="499"/>
        <w:spacing w:after="0" w:line="293" w:lineRule="auto"/>
        <w:rPr>
          <w:sz w:val="20"/>
          <w:szCs w:val="20"/>
          <w:color w:val="auto"/>
        </w:rPr>
      </w:pPr>
      <w:r>
        <w:rPr>
          <w:rFonts w:ascii="Arial" w:cs="Arial" w:eastAsia="Arial" w:hAnsi="Arial"/>
          <w:sz w:val="18"/>
          <w:szCs w:val="18"/>
          <w:color w:val="auto"/>
        </w:rPr>
        <w:t>Assuming current levels of commodity purchases, a 10% variation in the price of aluminum and steel would correspondingly change our earnings by approximately $7 million and $12 million per year, respectively.</w:t>
      </w:r>
    </w:p>
    <w:p>
      <w:pPr>
        <w:spacing w:after="0" w:line="89" w:lineRule="exact"/>
        <w:rPr>
          <w:sz w:val="20"/>
          <w:szCs w:val="20"/>
          <w:color w:val="auto"/>
        </w:rPr>
      </w:pPr>
    </w:p>
    <w:p>
      <w:pPr>
        <w:ind w:right="80" w:firstLine="499"/>
        <w:spacing w:after="0" w:line="293" w:lineRule="auto"/>
        <w:rPr>
          <w:sz w:val="20"/>
          <w:szCs w:val="20"/>
          <w:color w:val="auto"/>
        </w:rPr>
      </w:pPr>
      <w:r>
        <w:rPr>
          <w:rFonts w:ascii="Arial" w:cs="Arial" w:eastAsia="Arial" w:hAnsi="Arial"/>
          <w:sz w:val="18"/>
          <w:szCs w:val="18"/>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6" w:lineRule="exact"/>
        <w:rPr>
          <w:sz w:val="20"/>
          <w:szCs w:val="20"/>
          <w:color w:val="auto"/>
        </w:rPr>
      </w:pPr>
    </w:p>
    <w:p>
      <w:pPr>
        <w:ind w:right="100" w:firstLine="499"/>
        <w:spacing w:after="0" w:line="283"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01" w:lineRule="exact"/>
        <w:rPr>
          <w:sz w:val="20"/>
          <w:szCs w:val="20"/>
          <w:color w:val="auto"/>
        </w:rPr>
      </w:pPr>
    </w:p>
    <w:p>
      <w:pPr>
        <w:ind w:firstLine="499"/>
        <w:spacing w:after="0" w:line="284" w:lineRule="auto"/>
        <w:rPr>
          <w:sz w:val="20"/>
          <w:szCs w:val="20"/>
          <w:color w:val="auto"/>
        </w:rPr>
      </w:pPr>
      <w:r>
        <w:rPr>
          <w:rFonts w:ascii="Arial" w:cs="Arial" w:eastAsia="Arial" w:hAnsi="Arial"/>
          <w:sz w:val="18"/>
          <w:szCs w:val="18"/>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6" w:lineRule="exact"/>
        <w:rPr>
          <w:sz w:val="20"/>
          <w:szCs w:val="20"/>
          <w:color w:val="auto"/>
        </w:rPr>
      </w:pPr>
    </w:p>
    <w:p>
      <w:pPr>
        <w:ind w:right="20" w:firstLine="499"/>
        <w:spacing w:after="0" w:line="287"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6" w:lineRule="exact"/>
        <w:rPr>
          <w:sz w:val="20"/>
          <w:szCs w:val="20"/>
          <w:color w:val="auto"/>
        </w:rPr>
      </w:pPr>
    </w:p>
    <w:p>
      <w:pPr>
        <w:ind w:right="80" w:firstLine="499"/>
        <w:spacing w:after="0" w:line="307" w:lineRule="auto"/>
        <w:rPr>
          <w:sz w:val="20"/>
          <w:szCs w:val="20"/>
          <w:color w:val="auto"/>
        </w:rPr>
      </w:pPr>
      <w:r>
        <w:rPr>
          <w:rFonts w:ascii="Arial" w:cs="Arial" w:eastAsia="Arial" w:hAnsi="Arial"/>
          <w:sz w:val="17"/>
          <w:szCs w:val="17"/>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Information pertaining to legal proceedings can be found in "Note P. Commitments and Contingencies” in the notes to the condensed consolidated financial statements included in Part I, Item 1 of this Quarterly Report on Form 10-Q, which information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ind w:right="280" w:firstLine="499"/>
        <w:spacing w:after="0" w:line="293" w:lineRule="auto"/>
        <w:rPr>
          <w:sz w:val="20"/>
          <w:szCs w:val="20"/>
          <w:color w:val="auto"/>
        </w:rPr>
      </w:pPr>
      <w:r>
        <w:rPr>
          <w:rFonts w:ascii="Arial" w:cs="Arial" w:eastAsia="Arial" w:hAnsi="Arial"/>
          <w:sz w:val="18"/>
          <w:szCs w:val="18"/>
          <w:color w:val="auto"/>
        </w:rPr>
        <w:t>Except as set forth below, there have been no material changes from our risk factors as previously reported in Part I, Item 1A of our Annual Report on Form 10-K for the year ended December 31, 2021 as filed with the SEC on February 17, 2022.</w:t>
      </w:r>
    </w:p>
    <w:p>
      <w:pPr>
        <w:spacing w:after="0" w:line="67" w:lineRule="exact"/>
        <w:rPr>
          <w:sz w:val="20"/>
          <w:szCs w:val="20"/>
          <w:color w:val="auto"/>
        </w:rPr>
      </w:pPr>
    </w:p>
    <w:p>
      <w:pPr>
        <w:ind w:left="500" w:right="120"/>
        <w:spacing w:after="0" w:line="318" w:lineRule="auto"/>
        <w:rPr>
          <w:sz w:val="20"/>
          <w:szCs w:val="20"/>
          <w:color w:val="auto"/>
        </w:rPr>
      </w:pPr>
      <w:r>
        <w:rPr>
          <w:rFonts w:ascii="Arial" w:cs="Arial" w:eastAsia="Arial" w:hAnsi="Arial"/>
          <w:sz w:val="18"/>
          <w:szCs w:val="18"/>
          <w:b w:val="1"/>
          <w:bCs w:val="1"/>
          <w:i w:val="1"/>
          <w:iCs w:val="1"/>
          <w:color w:val="auto"/>
        </w:rPr>
        <w:t>The war in Ukraine may have a negative impact on the availability of raw materials for our products or component parts, our supply chain, our customers and our long-term sales opportunities.</w:t>
      </w:r>
    </w:p>
    <w:p>
      <w:pPr>
        <w:spacing w:after="0" w:line="67"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As a result of Russia’s invasion of Ukraine and actions by the U.S. and other governments to implement sanctions against Russia, as well as certain businesses, individuals and banks in Russia, we have suspended all sales and exports of our products to customers in Russia and Belarus and Russian and Belarusian affiliated, owned or controlled entities indefinitely. We do not expect these actions to have a material impact to our net sales in 2022. However, the duration of the war in Ukraine, its impact on the regional and global economy, and the breadth, severity and duration of sanctions imposed by the U.S. and other governments is uncertain. An extended war could impact our ability or those of our suppliers or customers to obtain certain raw materials or component parts, which could increase our costs, impact our ability to deliver our products or reduce customer demand. In addition, certain of our competitors may continue to sell products in Russia during this time, which may have a negative impact on our long-term sales opportunities in Russia. Since the beginning of the war in Ukraine, we have also experienced, and may continue to experience, an increase in cybersecurity attacks, which, if successful, may harm our business.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6" w:lineRule="exact"/>
        <w:rPr>
          <w:sz w:val="20"/>
          <w:szCs w:val="20"/>
          <w:color w:val="auto"/>
        </w:rPr>
      </w:pPr>
    </w:p>
    <w:p>
      <w:pPr>
        <w:ind w:right="500" w:firstLine="499"/>
        <w:spacing w:after="0" w:line="293" w:lineRule="auto"/>
        <w:rPr>
          <w:sz w:val="20"/>
          <w:szCs w:val="20"/>
          <w:color w:val="auto"/>
        </w:rPr>
      </w:pPr>
      <w:r>
        <w:rPr>
          <w:rFonts w:ascii="Arial" w:cs="Arial" w:eastAsia="Arial" w:hAnsi="Arial"/>
          <w:sz w:val="18"/>
          <w:szCs w:val="18"/>
          <w:color w:val="auto"/>
        </w:rPr>
        <w:t>The following table sets forth information related to our repurchases of our common stock on a monthly basis in the three months ended March 31,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4"/>
              <w:spacing w:after="0"/>
              <w:rPr>
                <w:sz w:val="20"/>
                <w:szCs w:val="20"/>
                <w:color w:val="auto"/>
              </w:rPr>
            </w:pPr>
            <w:r>
              <w:rPr>
                <w:rFonts w:ascii="Arial" w:cs="Arial" w:eastAsia="Arial" w:hAnsi="Arial"/>
                <w:sz w:val="14"/>
                <w:szCs w:val="14"/>
                <w:b w:val="1"/>
                <w:bCs w:val="1"/>
                <w:color w:val="auto"/>
              </w:rPr>
              <w:t>Total Number</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of Shares</w:t>
            </w: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as Part of</w:t>
            </w:r>
          </w:p>
        </w:tc>
        <w:tc>
          <w:tcPr>
            <w:tcW w:w="240" w:type="dxa"/>
            <w:vAlign w:val="bottom"/>
          </w:tcPr>
          <w:p>
            <w:pPr>
              <w:spacing w:after="0"/>
              <w:rPr>
                <w:sz w:val="14"/>
                <w:szCs w:val="14"/>
                <w:color w:val="auto"/>
              </w:rPr>
            </w:pPr>
          </w:p>
        </w:tc>
        <w:tc>
          <w:tcPr>
            <w:tcW w:w="1480" w:type="dxa"/>
            <w:vAlign w:val="bottom"/>
          </w:tcPr>
          <w:p>
            <w:pPr>
              <w:jc w:val="center"/>
              <w:ind w:right="141"/>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center"/>
              <w:ind w:right="198"/>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120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rPr>
              <w:t>Publicly</w:t>
            </w:r>
          </w:p>
        </w:tc>
        <w:tc>
          <w:tcPr>
            <w:tcW w:w="240" w:type="dxa"/>
            <w:vAlign w:val="bottom"/>
          </w:tcPr>
          <w:p>
            <w:pPr>
              <w:spacing w:after="0"/>
              <w:rPr>
                <w:sz w:val="12"/>
                <w:szCs w:val="12"/>
                <w:color w:val="auto"/>
              </w:rPr>
            </w:pPr>
          </w:p>
        </w:tc>
        <w:tc>
          <w:tcPr>
            <w:tcW w:w="14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rPr>
              <w:t>Announced</w:t>
            </w:r>
          </w:p>
        </w:tc>
        <w:tc>
          <w:tcPr>
            <w:tcW w:w="240" w:type="dxa"/>
            <w:vAlign w:val="bottom"/>
          </w:tcPr>
          <w:p>
            <w:pPr>
              <w:spacing w:after="0"/>
              <w:rPr>
                <w:sz w:val="12"/>
                <w:szCs w:val="12"/>
                <w:color w:val="auto"/>
              </w:rPr>
            </w:pPr>
          </w:p>
        </w:tc>
        <w:tc>
          <w:tcPr>
            <w:tcW w:w="14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rPr>
              <w:t>Price Paid</w:t>
            </w:r>
          </w:p>
        </w:tc>
        <w:tc>
          <w:tcPr>
            <w:tcW w:w="120" w:type="dxa"/>
            <w:vAlign w:val="bottom"/>
          </w:tcPr>
          <w:p>
            <w:pPr>
              <w:spacing w:after="0"/>
              <w:rPr>
                <w:sz w:val="12"/>
                <w:szCs w:val="12"/>
                <w:color w:val="auto"/>
              </w:rPr>
            </w:pPr>
          </w:p>
        </w:tc>
        <w:tc>
          <w:tcPr>
            <w:tcW w:w="120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rPr>
              <w:t>Plans or</w:t>
            </w:r>
          </w:p>
        </w:tc>
        <w:tc>
          <w:tcPr>
            <w:tcW w:w="240" w:type="dxa"/>
            <w:vAlign w:val="bottom"/>
          </w:tcPr>
          <w:p>
            <w:pPr>
              <w:spacing w:after="0"/>
              <w:rPr>
                <w:sz w:val="12"/>
                <w:szCs w:val="12"/>
                <w:color w:val="auto"/>
              </w:rPr>
            </w:pPr>
          </w:p>
        </w:tc>
        <w:tc>
          <w:tcPr>
            <w:tcW w:w="14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rPr>
              <w:t>Yet Be Purchased</w:t>
            </w:r>
          </w:p>
        </w:tc>
        <w:tc>
          <w:tcPr>
            <w:tcW w:w="0" w:type="dxa"/>
            <w:vAlign w:val="bottom"/>
          </w:tcPr>
          <w:p>
            <w:pPr>
              <w:spacing w:after="0"/>
              <w:rPr>
                <w:sz w:val="1"/>
                <w:szCs w:val="1"/>
                <w:color w:val="auto"/>
              </w:rPr>
            </w:pPr>
          </w:p>
        </w:tc>
      </w:tr>
      <w:tr>
        <w:trPr>
          <w:trHeight w:val="176"/>
        </w:trPr>
        <w:tc>
          <w:tcPr>
            <w:tcW w:w="56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Programs</w:t>
            </w:r>
          </w:p>
        </w:tc>
        <w:tc>
          <w:tcPr>
            <w:tcW w:w="240" w:type="dxa"/>
            <w:vAlign w:val="bottom"/>
          </w:tcPr>
          <w:p>
            <w:pPr>
              <w:spacing w:after="0"/>
              <w:rPr>
                <w:sz w:val="15"/>
                <w:szCs w:val="15"/>
                <w:color w:val="auto"/>
              </w:rPr>
            </w:pPr>
          </w:p>
        </w:tc>
        <w:tc>
          <w:tcPr>
            <w:tcW w:w="14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Under Plans(1)</w:t>
            </w:r>
          </w:p>
        </w:tc>
        <w:tc>
          <w:tcPr>
            <w:tcW w:w="0" w:type="dxa"/>
            <w:vAlign w:val="bottom"/>
          </w:tcPr>
          <w:p>
            <w:pPr>
              <w:spacing w:after="0"/>
              <w:rPr>
                <w:sz w:val="1"/>
                <w:szCs w:val="1"/>
                <w:color w:val="auto"/>
              </w:rPr>
            </w:pPr>
          </w:p>
        </w:tc>
      </w:tr>
      <w:tr>
        <w:trPr>
          <w:trHeight w:val="196"/>
        </w:trPr>
        <w:tc>
          <w:tcPr>
            <w:tcW w:w="5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January 1 – January 31, 2022</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1,215,410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18"/>
              <w:spacing w:after="0" w:line="196" w:lineRule="exact"/>
              <w:rPr>
                <w:sz w:val="20"/>
                <w:szCs w:val="20"/>
                <w:color w:val="auto"/>
              </w:rPr>
            </w:pPr>
            <w:r>
              <w:rPr>
                <w:rFonts w:ascii="Arial" w:cs="Arial" w:eastAsia="Arial" w:hAnsi="Arial"/>
                <w:sz w:val="18"/>
                <w:szCs w:val="18"/>
                <w:color w:val="auto"/>
              </w:rPr>
              <w:t>38.23</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4"/>
              <w:spacing w:after="0" w:line="196" w:lineRule="exact"/>
              <w:rPr>
                <w:sz w:val="20"/>
                <w:szCs w:val="20"/>
                <w:color w:val="auto"/>
              </w:rPr>
            </w:pPr>
            <w:r>
              <w:rPr>
                <w:rFonts w:ascii="Arial" w:cs="Arial" w:eastAsia="Arial" w:hAnsi="Arial"/>
                <w:sz w:val="18"/>
                <w:szCs w:val="18"/>
                <w:color w:val="auto"/>
              </w:rPr>
              <w:t>1,215,410</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21"/>
              <w:spacing w:after="0" w:line="196" w:lineRule="exact"/>
              <w:rPr>
                <w:sz w:val="20"/>
                <w:szCs w:val="20"/>
                <w:color w:val="auto"/>
              </w:rPr>
            </w:pPr>
            <w:r>
              <w:rPr>
                <w:rFonts w:ascii="Arial" w:cs="Arial" w:eastAsia="Arial" w:hAnsi="Arial"/>
                <w:sz w:val="18"/>
                <w:szCs w:val="18"/>
                <w:color w:val="auto"/>
              </w:rPr>
              <w:t>267,186,788</w:t>
            </w: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February 1 – February 28, 2022</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876,978</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39.49</w:t>
            </w:r>
          </w:p>
        </w:tc>
        <w:tc>
          <w:tcPr>
            <w:tcW w:w="132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876,978</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1"/>
              <w:spacing w:after="0" w:line="202" w:lineRule="exact"/>
              <w:rPr>
                <w:sz w:val="20"/>
                <w:szCs w:val="20"/>
                <w:color w:val="auto"/>
              </w:rPr>
            </w:pPr>
            <w:r>
              <w:rPr>
                <w:rFonts w:ascii="Arial" w:cs="Arial" w:eastAsia="Arial" w:hAnsi="Arial"/>
                <w:sz w:val="18"/>
                <w:szCs w:val="18"/>
                <w:color w:val="auto"/>
              </w:rPr>
              <w:t>1,232,557,866</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March 1 – March 31, 2022</w:t>
            </w: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CFF0FC"/>
            </w:tcBorders>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1,232,557,866</w:t>
            </w:r>
          </w:p>
        </w:tc>
        <w:tc>
          <w:tcPr>
            <w:tcW w:w="0" w:type="dxa"/>
            <w:vAlign w:val="bottom"/>
          </w:tcPr>
          <w:p>
            <w:pPr>
              <w:spacing w:after="0"/>
              <w:rPr>
                <w:sz w:val="1"/>
                <w:szCs w:val="1"/>
                <w:color w:val="auto"/>
              </w:rPr>
            </w:pPr>
          </w:p>
        </w:tc>
      </w:tr>
      <w:tr>
        <w:trPr>
          <w:trHeight w:val="196"/>
        </w:trPr>
        <w:tc>
          <w:tcPr>
            <w:tcW w:w="5600" w:type="dxa"/>
            <w:vAlign w:val="bottom"/>
          </w:tcPr>
          <w:p>
            <w:pPr>
              <w:ind w:left="280"/>
              <w:spacing w:after="0" w:line="182" w:lineRule="exact"/>
              <w:rPr>
                <w:sz w:val="20"/>
                <w:szCs w:val="20"/>
                <w:color w:val="auto"/>
              </w:rPr>
            </w:pPr>
            <w:r>
              <w:rPr>
                <w:rFonts w:ascii="Arial" w:cs="Arial" w:eastAsia="Arial" w:hAnsi="Arial"/>
                <w:sz w:val="18"/>
                <w:szCs w:val="18"/>
                <w:color w:val="auto"/>
              </w:rPr>
              <w:t>Total</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2,092,388</w:t>
            </w:r>
          </w:p>
        </w:tc>
        <w:tc>
          <w:tcPr>
            <w:tcW w:w="3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8"/>
              <w:spacing w:after="0" w:line="182" w:lineRule="exact"/>
              <w:rPr>
                <w:sz w:val="20"/>
                <w:szCs w:val="20"/>
                <w:color w:val="auto"/>
              </w:rPr>
            </w:pPr>
            <w:r>
              <w:rPr>
                <w:rFonts w:ascii="Arial" w:cs="Arial" w:eastAsia="Arial" w:hAnsi="Arial"/>
                <w:sz w:val="18"/>
                <w:szCs w:val="18"/>
                <w:color w:val="auto"/>
              </w:rPr>
              <w:t>38.75</w:t>
            </w:r>
          </w:p>
        </w:tc>
        <w:tc>
          <w:tcPr>
            <w:tcW w:w="1320" w:type="dxa"/>
            <w:vAlign w:val="bottom"/>
            <w:gridSpan w:val="2"/>
          </w:tcPr>
          <w:p>
            <w:pPr>
              <w:jc w:val="right"/>
              <w:ind w:right="4"/>
              <w:spacing w:after="0" w:line="182" w:lineRule="exact"/>
              <w:rPr>
                <w:sz w:val="20"/>
                <w:szCs w:val="20"/>
                <w:color w:val="auto"/>
              </w:rPr>
            </w:pPr>
            <w:r>
              <w:rPr>
                <w:rFonts w:ascii="Arial" w:cs="Arial" w:eastAsia="Arial" w:hAnsi="Arial"/>
                <w:sz w:val="18"/>
                <w:szCs w:val="18"/>
                <w:color w:val="auto"/>
              </w:rPr>
              <w:t>2,092,388</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-159385</wp:posOffset>
            </wp:positionV>
            <wp:extent cx="7683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-159385</wp:posOffset>
            </wp:positionV>
            <wp:extent cx="685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36" w:lineRule="exact"/>
        <w:rPr>
          <w:sz w:val="20"/>
          <w:szCs w:val="20"/>
          <w:color w:val="auto"/>
        </w:rPr>
      </w:pPr>
    </w:p>
    <w:p>
      <w:pPr>
        <w:ind w:left="640" w:right="240" w:hanging="372"/>
        <w:spacing w:after="0" w:line="28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values reflect the amounts that may be repurchased under the Repurchase Program approved by the Board of Directors on November 14, 2016 and the increases approved by the Board of Directors on November 8, 2017, July 30, 2018. May 9,2019 and February 24, 2022, which in the aggregate total authorized repurchases of $4,000 million. The Repurchase Program has no termination date.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40" w:type="dxa"/>
            <w:vAlign w:val="bottom"/>
            <w:gridSpan w:val="5"/>
          </w:tcPr>
          <w:p>
            <w:pPr>
              <w:ind w:left="20"/>
              <w:spacing w:after="0"/>
              <w:rPr>
                <w:sz w:val="20"/>
                <w:szCs w:val="20"/>
                <w:color w:val="auto"/>
              </w:rPr>
            </w:pPr>
            <w:r>
              <w:rPr>
                <w:rFonts w:ascii="Arial" w:cs="Arial" w:eastAsia="Arial" w:hAnsi="Arial"/>
                <w:sz w:val="18"/>
                <w:szCs w:val="18"/>
                <w:b w:val="1"/>
                <w:bCs w:val="1"/>
                <w:color w:val="auto"/>
              </w:rPr>
              <w:t>Item 6.</w:t>
            </w:r>
          </w:p>
        </w:tc>
        <w:tc>
          <w:tcPr>
            <w:tcW w:w="8600" w:type="dxa"/>
            <w:vAlign w:val="bottom"/>
            <w:gridSpan w:val="8"/>
          </w:tcPr>
          <w:p>
            <w:pPr>
              <w:ind w:left="20"/>
              <w:spacing w:after="0"/>
              <w:rPr>
                <w:sz w:val="20"/>
                <w:szCs w:val="20"/>
                <w:color w:val="auto"/>
              </w:rPr>
            </w:pPr>
            <w:r>
              <w:rPr>
                <w:rFonts w:ascii="Arial" w:cs="Arial" w:eastAsia="Arial" w:hAnsi="Arial"/>
                <w:sz w:val="18"/>
                <w:szCs w:val="18"/>
                <w:b w:val="1"/>
                <w:bCs w:val="1"/>
                <w:color w:val="auto"/>
              </w:rPr>
              <w:t>Exhibits</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1440" w:type="dxa"/>
            <w:vAlign w:val="bottom"/>
            <w:gridSpan w:val="5"/>
          </w:tcPr>
          <w:p>
            <w:pPr>
              <w:spacing w:after="0"/>
              <w:rPr>
                <w:sz w:val="20"/>
                <w:szCs w:val="20"/>
                <w:color w:val="auto"/>
              </w:rPr>
            </w:pPr>
            <w:r>
              <w:rPr>
                <w:rFonts w:ascii="Arial" w:cs="Arial" w:eastAsia="Arial" w:hAnsi="Arial"/>
                <w:sz w:val="18"/>
                <w:szCs w:val="18"/>
                <w:color w:val="auto"/>
              </w:rPr>
              <w:t>(a) Exhibits</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vMerge w:val="restart"/>
          </w:tcPr>
          <w:p>
            <w:pPr>
              <w:spacing w:after="0"/>
              <w:rPr>
                <w:sz w:val="24"/>
                <w:szCs w:val="24"/>
                <w:color w:val="auto"/>
              </w:rPr>
            </w:pPr>
          </w:p>
        </w:tc>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340" w:type="dxa"/>
            <w:vAlign w:val="bottom"/>
            <w:gridSpan w:val="4"/>
            <w:vMerge w:val="restart"/>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6"/>
              </w:rPr>
              <w:t>Number</w:t>
            </w:r>
          </w:p>
        </w:tc>
        <w:tc>
          <w:tcPr>
            <w:tcW w:w="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3340" w:type="dxa"/>
            <w:vAlign w:val="bottom"/>
            <w:gridSpan w:val="4"/>
            <w:vMerge w:val="continue"/>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3"/>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3"/>
          </w:tcPr>
          <w:p>
            <w:pPr>
              <w:spacing w:after="0"/>
              <w:rPr>
                <w:rFonts w:ascii="Arial" w:cs="Arial" w:eastAsia="Arial" w:hAnsi="Arial"/>
                <w:sz w:val="18"/>
                <w:szCs w:val="18"/>
                <w:color w:val="0000FF"/>
              </w:rPr>
            </w:pPr>
            <w:hyperlink r:id="rId204">
              <w:r>
                <w:rPr>
                  <w:rFonts w:ascii="Arial" w:cs="Arial" w:eastAsia="Arial" w:hAnsi="Arial"/>
                  <w:sz w:val="18"/>
                  <w:szCs w:val="18"/>
                  <w:color w:val="0000FF"/>
                </w:rPr>
                <w:t>Separation Agreement between the Registrant and Michael Dick dated January 26, 2022 (incorporated by reference to</w:t>
              </w:r>
            </w:hyperlink>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Exhibit 10.1 to the Registrant's Current Report on Form 8-K filed January 27, 2022.</w:t>
              </w:r>
            </w:hyperlink>
          </w:p>
        </w:tc>
        <w:tc>
          <w:tcPr>
            <w:tcW w:w="8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0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0" w:type="dxa"/>
            <w:vAlign w:val="bottom"/>
            <w:gridSpan w:val="8"/>
          </w:tcPr>
          <w:p>
            <w:pPr>
              <w:spacing w:after="0"/>
              <w:rPr>
                <w:rFonts w:ascii="Arial" w:cs="Arial" w:eastAsia="Arial" w:hAnsi="Arial"/>
                <w:sz w:val="18"/>
                <w:szCs w:val="18"/>
                <w:color w:val="0000FF"/>
                <w:w w:val="99"/>
              </w:rPr>
            </w:pPr>
            <w:hyperlink w:anchor="page41">
              <w:r>
                <w:rPr>
                  <w:rFonts w:ascii="Arial" w:cs="Arial" w:eastAsia="Arial" w:hAnsi="Arial"/>
                  <w:sz w:val="18"/>
                  <w:szCs w:val="18"/>
                  <w:color w:val="0000FF"/>
                  <w:w w:val="99"/>
                </w:rPr>
                <w:t>Certification of Chief Executive Officer pursuant to Rule 13a-14(a)/15d-14(a) as adopted pursuant to Section</w:t>
              </w:r>
            </w:hyperlink>
          </w:p>
        </w:tc>
        <w:tc>
          <w:tcPr>
            <w:tcW w:w="1200" w:type="dxa"/>
            <w:vAlign w:val="bottom"/>
            <w:gridSpan w:val="5"/>
          </w:tcPr>
          <w:p>
            <w:pPr>
              <w:ind w:left="80"/>
              <w:spacing w:after="0"/>
              <w:rPr>
                <w:rFonts w:ascii="Arial" w:cs="Arial" w:eastAsia="Arial" w:hAnsi="Arial"/>
                <w:sz w:val="18"/>
                <w:szCs w:val="18"/>
                <w:color w:val="0000FF"/>
              </w:rPr>
            </w:pPr>
            <w:hyperlink w:anchor="page41">
              <w:r>
                <w:rPr>
                  <w:rFonts w:ascii="Arial" w:cs="Arial" w:eastAsia="Arial" w:hAnsi="Arial"/>
                  <w:sz w:val="18"/>
                  <w:szCs w:val="18"/>
                  <w:color w:val="0000FF"/>
                </w:rPr>
                <w:t>302 of the</w:t>
              </w:r>
            </w:hyperlink>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w:anchor="page41">
              <w:r>
                <w:rPr>
                  <w:rFonts w:ascii="Arial" w:cs="Arial" w:eastAsia="Arial" w:hAnsi="Arial"/>
                  <w:sz w:val="18"/>
                  <w:szCs w:val="18"/>
                  <w:color w:val="0000FF"/>
                  <w:w w:val="98"/>
                </w:rPr>
                <w:t>Sarbanes-Oxley Act of 2002 (filed herewith)</w:t>
              </w:r>
            </w:hyperlink>
          </w:p>
        </w:tc>
        <w:tc>
          <w:tcPr>
            <w:tcW w:w="20" w:type="dxa"/>
            <w:vAlign w:val="bottom"/>
            <w:tcBorders>
              <w:top w:val="single" w:sz="8" w:color="0000FF"/>
              <w:bottom w:val="single" w:sz="8" w:color="0000EE"/>
            </w:tcBorders>
          </w:tcPr>
          <w:p>
            <w:pPr>
              <w:spacing w:after="0"/>
              <w:rPr>
                <w:sz w:val="13"/>
                <w:szCs w:val="13"/>
                <w:color w:val="auto"/>
              </w:rPr>
            </w:pPr>
          </w:p>
        </w:tc>
        <w:tc>
          <w:tcPr>
            <w:tcW w:w="5120" w:type="dxa"/>
            <w:vAlign w:val="bottom"/>
            <w:tcBorders>
              <w:top w:val="single" w:sz="8" w:color="0000FF"/>
            </w:tcBorders>
            <w:gridSpan w:val="6"/>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0" w:type="dxa"/>
            <w:vAlign w:val="bottom"/>
            <w:gridSpan w:val="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of Chief Financial Officer pursuant to Rule 13a-14(a)/15d-14(a) as adopted pursuant to Section</w:t>
              </w:r>
            </w:hyperlink>
          </w:p>
        </w:tc>
        <w:tc>
          <w:tcPr>
            <w:tcW w:w="1200" w:type="dxa"/>
            <w:vAlign w:val="bottom"/>
            <w:gridSpan w:val="5"/>
          </w:tcPr>
          <w:p>
            <w:pPr>
              <w:ind w:left="20"/>
              <w:spacing w:after="0"/>
              <w:rPr>
                <w:rFonts w:ascii="Arial" w:cs="Arial" w:eastAsia="Arial" w:hAnsi="Arial"/>
                <w:sz w:val="18"/>
                <w:szCs w:val="18"/>
                <w:color w:val="0000FF"/>
              </w:rPr>
            </w:pPr>
            <w:hyperlink w:anchor="page43">
              <w:r>
                <w:rPr>
                  <w:rFonts w:ascii="Arial" w:cs="Arial" w:eastAsia="Arial" w:hAnsi="Arial"/>
                  <w:sz w:val="18"/>
                  <w:szCs w:val="18"/>
                  <w:color w:val="0000FF"/>
                </w:rPr>
                <w:t>302 of the</w:t>
              </w:r>
            </w:hyperlink>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w:anchor="page43">
              <w:r>
                <w:rPr>
                  <w:rFonts w:ascii="Arial" w:cs="Arial" w:eastAsia="Arial" w:hAnsi="Arial"/>
                  <w:sz w:val="18"/>
                  <w:szCs w:val="18"/>
                  <w:color w:val="0000FF"/>
                  <w:w w:val="98"/>
                </w:rPr>
                <w:t>Sarbanes-Oxley Act of 2002 (filed herewith)</w:t>
              </w:r>
            </w:hyperlink>
          </w:p>
        </w:tc>
        <w:tc>
          <w:tcPr>
            <w:tcW w:w="20" w:type="dxa"/>
            <w:vAlign w:val="bottom"/>
            <w:tcBorders>
              <w:top w:val="single" w:sz="8" w:color="0000FF"/>
              <w:bottom w:val="single" w:sz="8" w:color="0000EE"/>
            </w:tcBorders>
          </w:tcPr>
          <w:p>
            <w:pPr>
              <w:spacing w:after="0"/>
              <w:rPr>
                <w:sz w:val="13"/>
                <w:szCs w:val="13"/>
                <w:color w:val="auto"/>
              </w:rPr>
            </w:pPr>
          </w:p>
        </w:tc>
        <w:tc>
          <w:tcPr>
            <w:tcW w:w="5120" w:type="dxa"/>
            <w:vAlign w:val="bottom"/>
            <w:tcBorders>
              <w:top w:val="single" w:sz="8" w:color="0000FF"/>
            </w:tcBorders>
            <w:gridSpan w:val="6"/>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of Periodic Report by Chief Executive Officer and Chief Financial Officer pursuant to 18 U.S.C. Section 1350,</w:t>
              </w:r>
            </w:hyperlink>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as adopted pursuant to Section 906 of the Sarbanes-Oxley Act of 2002 (filed herewith)</w:t>
              </w:r>
            </w:hyperlink>
          </w:p>
        </w:tc>
        <w:tc>
          <w:tcPr>
            <w:tcW w:w="20" w:type="dxa"/>
            <w:vAlign w:val="bottom"/>
            <w:tcBorders>
              <w:top w:val="single" w:sz="8" w:color="0000FF"/>
              <w:bottom w:val="single" w:sz="8" w:color="0000EE"/>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420" w:right="280" w:hanging="1358"/>
        <w:spacing w:after="0" w:line="213"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March 31, 2022, formatted in Inline XBRL (eXtensible Business Reporting Language): (i) the Condensed Consolidated Balance Sheets; (ii) the Condensed Consolidated Statements of Comprehensive Income; (iii) the Condensed Consolidated Statements of Cash Flows; (iv) the Condensed Consolidated Statements of Stockholders’ Equity; and (v) the Notes to Condensed Consolidated Financial Statements</w:t>
      </w:r>
    </w:p>
    <w:p>
      <w:pPr>
        <w:spacing w:after="0" w:line="121" w:lineRule="exact"/>
        <w:rPr>
          <w:sz w:val="20"/>
          <w:szCs w:val="20"/>
          <w:color w:val="auto"/>
        </w:rPr>
      </w:pPr>
    </w:p>
    <w:p>
      <w:pPr>
        <w:ind w:left="1420" w:right="340" w:hanging="1358"/>
        <w:spacing w:after="0" w:line="227"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Cover Page Interactive Data File – The cover page from the Registrant’s Quarterly Report on Form 10-Q for the quarter ended March 31, 2022, formatted in Inline XBRL and contained in Exhibit 101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right="400" w:firstLine="49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ALLISON TRANSMISSION HOLDINGS, INC.</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100" w:type="dxa"/>
            <w:vAlign w:val="bottom"/>
          </w:tcPr>
          <w:p>
            <w:pPr>
              <w:ind w:left="20"/>
              <w:spacing w:after="0"/>
              <w:rPr>
                <w:sz w:val="20"/>
                <w:szCs w:val="20"/>
                <w:color w:val="auto"/>
              </w:rPr>
            </w:pPr>
            <w:r>
              <w:rPr>
                <w:rFonts w:ascii="Arial" w:cs="Arial" w:eastAsia="Arial" w:hAnsi="Arial"/>
                <w:sz w:val="18"/>
                <w:szCs w:val="18"/>
                <w:color w:val="auto"/>
              </w:rPr>
              <w:t>Date: April 28, 2022</w:t>
            </w:r>
          </w:p>
        </w:tc>
        <w:tc>
          <w:tcPr>
            <w:tcW w:w="980" w:type="dxa"/>
            <w:vAlign w:val="bottom"/>
          </w:tcPr>
          <w:p>
            <w:pPr>
              <w:ind w:left="500"/>
              <w:spacing w:after="0"/>
              <w:rPr>
                <w:sz w:val="20"/>
                <w:szCs w:val="20"/>
                <w:color w:val="auto"/>
              </w:rPr>
            </w:pPr>
            <w:r>
              <w:rPr>
                <w:rFonts w:ascii="Arial" w:cs="Arial" w:eastAsia="Arial" w:hAnsi="Arial"/>
                <w:sz w:val="18"/>
                <w:szCs w:val="18"/>
                <w:color w:val="auto"/>
              </w:rPr>
              <w:t>By:</w:t>
            </w:r>
          </w:p>
        </w:tc>
        <w:tc>
          <w:tcPr>
            <w:tcW w:w="6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S. Graziosi</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jc w:val="center"/>
              <w:ind w:left="90"/>
              <w:spacing w:after="0"/>
              <w:rPr>
                <w:sz w:val="20"/>
                <w:szCs w:val="20"/>
                <w:color w:val="auto"/>
              </w:rPr>
            </w:pPr>
            <w:r>
              <w:rPr>
                <w:rFonts w:ascii="Arial" w:cs="Arial" w:eastAsia="Arial" w:hAnsi="Arial"/>
                <w:sz w:val="18"/>
                <w:szCs w:val="18"/>
                <w:color w:val="auto"/>
                <w:w w:val="98"/>
              </w:rPr>
              <w:t>Name:</w:t>
            </w:r>
          </w:p>
        </w:tc>
        <w:tc>
          <w:tcPr>
            <w:tcW w:w="5000" w:type="dxa"/>
            <w:vAlign w:val="bottom"/>
          </w:tcPr>
          <w:p>
            <w:pPr>
              <w:ind w:left="200"/>
              <w:spacing w:after="0"/>
              <w:rPr>
                <w:sz w:val="20"/>
                <w:szCs w:val="20"/>
                <w:color w:val="auto"/>
              </w:rPr>
            </w:pPr>
            <w:r>
              <w:rPr>
                <w:rFonts w:ascii="Arial" w:cs="Arial" w:eastAsia="Arial" w:hAnsi="Arial"/>
                <w:sz w:val="18"/>
                <w:szCs w:val="18"/>
                <w:color w:val="auto"/>
              </w:rPr>
              <w:t>David S. Graziosi</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40" w:type="dxa"/>
            <w:vAlign w:val="bottom"/>
          </w:tcPr>
          <w:p>
            <w:pPr>
              <w:jc w:val="center"/>
              <w:ind w:left="90"/>
              <w:spacing w:after="0"/>
              <w:rPr>
                <w:sz w:val="20"/>
                <w:szCs w:val="20"/>
                <w:color w:val="auto"/>
              </w:rPr>
            </w:pPr>
            <w:r>
              <w:rPr>
                <w:rFonts w:ascii="Arial" w:cs="Arial" w:eastAsia="Arial" w:hAnsi="Arial"/>
                <w:sz w:val="18"/>
                <w:szCs w:val="18"/>
                <w:color w:val="auto"/>
              </w:rPr>
              <w:t>Title:</w:t>
            </w:r>
          </w:p>
        </w:tc>
        <w:tc>
          <w:tcPr>
            <w:tcW w:w="5000" w:type="dxa"/>
            <w:vAlign w:val="bottom"/>
            <w:vMerge w:val="restart"/>
          </w:tcPr>
          <w:p>
            <w:pPr>
              <w:ind w:left="200"/>
              <w:spacing w:after="0"/>
              <w:rPr>
                <w:sz w:val="20"/>
                <w:szCs w:val="20"/>
                <w:color w:val="auto"/>
              </w:rPr>
            </w:pPr>
            <w:r>
              <w:rPr>
                <w:rFonts w:ascii="Arial" w:cs="Arial" w:eastAsia="Arial" w:hAnsi="Arial"/>
                <w:sz w:val="18"/>
                <w:szCs w:val="18"/>
                <w:color w:val="auto"/>
              </w:rPr>
              <w:t>Chairman, President and Chief Executive Officer</w:t>
            </w: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2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0" w:type="dxa"/>
            <w:vAlign w:val="bottom"/>
            <w:vMerge w:val="continue"/>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(Principal Executive Officer)</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100" w:type="dxa"/>
            <w:vAlign w:val="bottom"/>
          </w:tcPr>
          <w:p>
            <w:pPr>
              <w:ind w:left="20"/>
              <w:spacing w:after="0"/>
              <w:rPr>
                <w:sz w:val="20"/>
                <w:szCs w:val="20"/>
                <w:color w:val="auto"/>
              </w:rPr>
            </w:pPr>
            <w:r>
              <w:rPr>
                <w:rFonts w:ascii="Arial" w:cs="Arial" w:eastAsia="Arial" w:hAnsi="Arial"/>
                <w:sz w:val="18"/>
                <w:szCs w:val="18"/>
                <w:color w:val="auto"/>
              </w:rPr>
              <w:t>Date: April 28, 2022</w:t>
            </w:r>
          </w:p>
        </w:tc>
        <w:tc>
          <w:tcPr>
            <w:tcW w:w="980" w:type="dxa"/>
            <w:vAlign w:val="bottom"/>
          </w:tcPr>
          <w:p>
            <w:pPr>
              <w:ind w:left="500"/>
              <w:spacing w:after="0"/>
              <w:rPr>
                <w:sz w:val="20"/>
                <w:szCs w:val="20"/>
                <w:color w:val="auto"/>
              </w:rPr>
            </w:pPr>
            <w:r>
              <w:rPr>
                <w:rFonts w:ascii="Arial" w:cs="Arial" w:eastAsia="Arial" w:hAnsi="Arial"/>
                <w:sz w:val="18"/>
                <w:szCs w:val="18"/>
                <w:color w:val="auto"/>
              </w:rPr>
              <w:t>By:</w:t>
            </w:r>
          </w:p>
        </w:tc>
        <w:tc>
          <w:tcPr>
            <w:tcW w:w="6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 Frederick Bohley</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jc w:val="center"/>
              <w:ind w:left="90"/>
              <w:spacing w:after="0"/>
              <w:rPr>
                <w:sz w:val="20"/>
                <w:szCs w:val="20"/>
                <w:color w:val="auto"/>
              </w:rPr>
            </w:pPr>
            <w:r>
              <w:rPr>
                <w:rFonts w:ascii="Arial" w:cs="Arial" w:eastAsia="Arial" w:hAnsi="Arial"/>
                <w:sz w:val="18"/>
                <w:szCs w:val="18"/>
                <w:color w:val="auto"/>
                <w:w w:val="98"/>
              </w:rPr>
              <w:t>Name:</w:t>
            </w:r>
          </w:p>
        </w:tc>
        <w:tc>
          <w:tcPr>
            <w:tcW w:w="5000" w:type="dxa"/>
            <w:vAlign w:val="bottom"/>
          </w:tcPr>
          <w:p>
            <w:pPr>
              <w:ind w:left="200"/>
              <w:spacing w:after="0"/>
              <w:rPr>
                <w:sz w:val="20"/>
                <w:szCs w:val="20"/>
                <w:color w:val="auto"/>
              </w:rPr>
            </w:pPr>
            <w:r>
              <w:rPr>
                <w:rFonts w:ascii="Arial" w:cs="Arial" w:eastAsia="Arial" w:hAnsi="Arial"/>
                <w:sz w:val="18"/>
                <w:szCs w:val="18"/>
                <w:color w:val="auto"/>
              </w:rPr>
              <w:t>G. Frederick Bohley</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jc w:val="center"/>
              <w:ind w:left="90"/>
              <w:spacing w:after="0"/>
              <w:rPr>
                <w:sz w:val="20"/>
                <w:szCs w:val="20"/>
                <w:color w:val="auto"/>
              </w:rPr>
            </w:pPr>
            <w:r>
              <w:rPr>
                <w:rFonts w:ascii="Arial" w:cs="Arial" w:eastAsia="Arial" w:hAnsi="Arial"/>
                <w:sz w:val="18"/>
                <w:szCs w:val="18"/>
                <w:color w:val="auto"/>
              </w:rPr>
              <w:t>Title:</w:t>
            </w:r>
          </w:p>
        </w:tc>
        <w:tc>
          <w:tcPr>
            <w:tcW w:w="5000" w:type="dxa"/>
            <w:vAlign w:val="bottom"/>
          </w:tcPr>
          <w:p>
            <w:pPr>
              <w:ind w:left="200"/>
              <w:spacing w:after="0"/>
              <w:rPr>
                <w:sz w:val="20"/>
                <w:szCs w:val="20"/>
                <w:color w:val="auto"/>
              </w:rPr>
            </w:pPr>
            <w:r>
              <w:rPr>
                <w:rFonts w:ascii="Arial" w:cs="Arial" w:eastAsia="Arial" w:hAnsi="Arial"/>
                <w:sz w:val="18"/>
                <w:szCs w:val="18"/>
                <w:color w:val="auto"/>
                <w:w w:val="99"/>
              </w:rPr>
              <w:t>Senior Vice President, Chief Financial Officer and Treasurer</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(Principal Financial Officer and Principal Accounting Officer)</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8"/>
        </w:trPr>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0" w:type="dxa"/>
            <w:vAlign w:val="bottom"/>
          </w:tcPr>
          <w:p>
            <w:pPr>
              <w:ind w:left="1300"/>
              <w:spacing w:after="0"/>
              <w:rPr>
                <w:sz w:val="20"/>
                <w:szCs w:val="20"/>
                <w:color w:val="auto"/>
              </w:rPr>
            </w:pPr>
            <w:r>
              <w:rPr>
                <w:rFonts w:ascii="Arial" w:cs="Arial" w:eastAsia="Arial" w:hAnsi="Arial"/>
                <w:sz w:val="18"/>
                <w:szCs w:val="18"/>
                <w:color w:val="auto"/>
              </w:rPr>
              <w:t>40</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1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5000" w:type="dxa"/>
            <w:vAlign w:val="bottom"/>
            <w:tcBorders>
              <w:bottom w:val="single" w:sz="8" w:color="9A9A9A"/>
            </w:tcBorders>
          </w:tcPr>
          <w:p>
            <w:pPr>
              <w:spacing w:after="0"/>
              <w:rPr>
                <w:sz w:val="11"/>
                <w:szCs w:val="11"/>
                <w:color w:val="auto"/>
              </w:rPr>
            </w:pPr>
          </w:p>
        </w:tc>
        <w:tc>
          <w:tcPr>
            <w:tcW w:w="20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ind w:right="40"/>
        <w:spacing w:after="0" w:line="250"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198" w:lineRule="exact"/>
        <w:rPr>
          <w:sz w:val="20"/>
          <w:szCs w:val="20"/>
          <w:color w:val="auto"/>
        </w:rPr>
      </w:pPr>
    </w:p>
    <w:p>
      <w:pPr>
        <w:ind w:left="760" w:hanging="75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198" w:lineRule="exact"/>
        <w:rPr>
          <w:rFonts w:ascii="Arial" w:cs="Arial" w:eastAsia="Arial" w:hAnsi="Arial"/>
          <w:sz w:val="18"/>
          <w:szCs w:val="18"/>
          <w:color w:val="auto"/>
        </w:rPr>
      </w:pPr>
    </w:p>
    <w:p>
      <w:pPr>
        <w:jc w:val="both"/>
        <w:ind w:left="760" w:right="20" w:hanging="752"/>
        <w:spacing w:after="0" w:line="24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760" w:right="240" w:hanging="752"/>
        <w:spacing w:after="0" w:line="291"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760" w:right="20" w:hanging="752"/>
        <w:spacing w:after="0" w:line="24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500" w:right="140" w:hanging="743"/>
        <w:spacing w:after="0" w:line="270" w:lineRule="auto"/>
        <w:tabs>
          <w:tab w:leader="none" w:pos="150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500" w:right="240" w:hanging="743"/>
        <w:spacing w:after="0" w:line="248" w:lineRule="auto"/>
        <w:tabs>
          <w:tab w:leader="none" w:pos="15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500" w:hanging="743"/>
        <w:spacing w:after="0" w:line="324" w:lineRule="auto"/>
        <w:tabs>
          <w:tab w:leader="none" w:pos="15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1500" w:right="40" w:hanging="743"/>
        <w:spacing w:after="0" w:line="248" w:lineRule="auto"/>
        <w:tabs>
          <w:tab w:leader="none" w:pos="15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760" w:right="160" w:hanging="752"/>
        <w:spacing w:after="0" w:line="324"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500" w:right="300" w:hanging="743"/>
        <w:spacing w:after="0" w:line="324" w:lineRule="auto"/>
        <w:tabs>
          <w:tab w:leader="none" w:pos="15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500" w:right="580" w:hanging="743"/>
        <w:spacing w:after="0" w:line="261" w:lineRule="auto"/>
        <w:tabs>
          <w:tab w:leader="none" w:pos="15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April 28, 2022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66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David S. Graziosi</w:t>
      </w:r>
    </w:p>
    <w:p>
      <w:pPr>
        <w:ind w:left="20"/>
        <w:spacing w:after="0" w:line="234" w:lineRule="auto"/>
        <w:tabs>
          <w:tab w:leader="none" w:pos="560" w:val="left"/>
        </w:tabs>
        <w:rPr>
          <w:sz w:val="20"/>
          <w:szCs w:val="20"/>
          <w:color w:val="auto"/>
        </w:rPr>
      </w:pPr>
      <w:r>
        <w:rPr>
          <w:rFonts w:ascii="Arial" w:cs="Arial" w:eastAsia="Arial" w:hAnsi="Arial"/>
          <w:sz w:val="18"/>
          <w:szCs w:val="18"/>
          <w:color w:val="auto"/>
        </w:rPr>
        <w:t>Title:</w:t>
        <w:tab/>
        <w:t>Chairman, President and Chief Executive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9200"/>
        <w:spacing w:after="0"/>
        <w:rPr>
          <w:sz w:val="20"/>
          <w:szCs w:val="20"/>
          <w:color w:val="auto"/>
        </w:rPr>
      </w:pPr>
      <w:r>
        <w:rPr>
          <w:rFonts w:ascii="Arial" w:cs="Arial" w:eastAsia="Arial" w:hAnsi="Arial"/>
          <w:sz w:val="16"/>
          <w:szCs w:val="16"/>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516255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ind w:right="40"/>
        <w:spacing w:after="0" w:line="250"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G. Frederick Bohley, certify that:</w:t>
      </w:r>
    </w:p>
    <w:p>
      <w:pPr>
        <w:spacing w:after="0" w:line="198" w:lineRule="exact"/>
        <w:rPr>
          <w:sz w:val="20"/>
          <w:szCs w:val="20"/>
          <w:color w:val="auto"/>
        </w:rPr>
      </w:pPr>
    </w:p>
    <w:p>
      <w:pPr>
        <w:ind w:left="760" w:hanging="752"/>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198" w:lineRule="exact"/>
        <w:rPr>
          <w:rFonts w:ascii="Arial" w:cs="Arial" w:eastAsia="Arial" w:hAnsi="Arial"/>
          <w:sz w:val="18"/>
          <w:szCs w:val="18"/>
          <w:color w:val="auto"/>
        </w:rPr>
      </w:pPr>
    </w:p>
    <w:p>
      <w:pPr>
        <w:jc w:val="both"/>
        <w:ind w:left="760" w:right="20" w:hanging="752"/>
        <w:spacing w:after="0" w:line="248"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760" w:right="240" w:hanging="752"/>
        <w:spacing w:after="0" w:line="291"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760" w:right="20" w:hanging="752"/>
        <w:spacing w:after="0" w:line="248"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500" w:right="140" w:hanging="743"/>
        <w:spacing w:after="0" w:line="270" w:lineRule="auto"/>
        <w:tabs>
          <w:tab w:leader="none" w:pos="150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500" w:right="240" w:hanging="743"/>
        <w:spacing w:after="0" w:line="248"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500" w:hanging="743"/>
        <w:spacing w:after="0" w:line="324" w:lineRule="auto"/>
        <w:tabs>
          <w:tab w:leader="none" w:pos="15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1500" w:right="40" w:hanging="743"/>
        <w:spacing w:after="0" w:line="248"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760" w:right="160" w:hanging="752"/>
        <w:spacing w:after="0" w:line="324"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500" w:right="300" w:hanging="743"/>
        <w:spacing w:after="0" w:line="324" w:lineRule="auto"/>
        <w:tabs>
          <w:tab w:leader="none" w:pos="15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500" w:right="580" w:hanging="743"/>
        <w:spacing w:after="0" w:line="261"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Dated: April 28,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5744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Name: G. Frederick Bohley</w:t>
      </w: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Chief Financial Officer and Treasurer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755015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18 U.S.C. SECTION 1350,</w:t>
      </w:r>
    </w:p>
    <w:p>
      <w:pPr>
        <w:ind w:left="4380"/>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In connection with the Quarterly Report of Allison Transmission Holdings, Inc. (the “Company”) on Form 10-Q for the quarter ending March 31, 2022 as filed with the Securities and Exchange Commission on the date hereof (the “Report”), we, David S. Graziosi, Chairman, President and Chief Executive Officer of the Company, and G. Frederick Bohley, Senior Vice President, Chief Financial Officer and Treasurer of the Company, certify, pursuant to 18 U.S.C. § 1350 as adopted pursuant to § 906 of the Sarbanes-Oxley Act of 2002, that:</w:t>
      </w:r>
    </w:p>
    <w:p>
      <w:pPr>
        <w:spacing w:after="0" w:line="174" w:lineRule="exact"/>
        <w:rPr>
          <w:sz w:val="20"/>
          <w:szCs w:val="20"/>
          <w:color w:val="auto"/>
        </w:rPr>
      </w:pPr>
    </w:p>
    <w:p>
      <w:pPr>
        <w:ind w:left="760" w:hanging="752"/>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760" w:hanging="752"/>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April 28, 2022</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575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S. Graziosi</w:t>
      </w:r>
    </w:p>
    <w:p>
      <w:pPr>
        <w:ind w:left="20"/>
        <w:spacing w:after="0" w:line="234" w:lineRule="auto"/>
        <w:rPr>
          <w:sz w:val="20"/>
          <w:szCs w:val="20"/>
          <w:color w:val="auto"/>
        </w:rPr>
      </w:pPr>
      <w:r>
        <w:rPr>
          <w:rFonts w:ascii="Arial" w:cs="Arial" w:eastAsia="Arial" w:hAnsi="Arial"/>
          <w:sz w:val="18"/>
          <w:szCs w:val="18"/>
          <w:color w:val="auto"/>
        </w:rPr>
        <w:t>Chairman, President and Chief Executive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April 28, 2022</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575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G. Frederick Bohley</w:t>
      </w:r>
    </w:p>
    <w:p>
      <w:pPr>
        <w:ind w:left="20"/>
        <w:spacing w:after="0" w:line="234" w:lineRule="auto"/>
        <w:rPr>
          <w:sz w:val="20"/>
          <w:szCs w:val="20"/>
          <w:color w:val="auto"/>
        </w:rPr>
      </w:pPr>
      <w:r>
        <w:rPr>
          <w:rFonts w:ascii="Arial" w:cs="Arial" w:eastAsia="Arial" w:hAnsi="Arial"/>
          <w:sz w:val="18"/>
          <w:szCs w:val="18"/>
          <w:color w:val="auto"/>
        </w:rPr>
        <w:t>Senior Vice President, Chief Financial Officer and Treasurer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514985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01"/>
    </w:lvl>
  </w:abstractNum>
  <w:abstractNum w:abstractNumId="6">
    <w:nsid w:val="515F007C"/>
    <w:multiLevelType w:val="hybridMultilevel"/>
    <w:lvl w:ilvl="0">
      <w:lvlJc w:val="left"/>
      <w:lvlText w:val="%1"/>
      <w:numFmt w:val="decimal"/>
      <w:start w:val="104"/>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04" Type="http://schemas.openxmlformats.org/officeDocument/2006/relationships/hyperlink" Target="https://www.sec.gov/Archives/edgar/data/1411207/000119312522019786/d29980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2022-04-28T16:08:13Z</dcterms:created>
  <dcterms:modified xsi:type="dcterms:W3CDTF">2022-04-28T16:08:13Z</dcterms:modified>
</cp:coreProperties>
</file>