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001-35456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ALLISON TRANSMISSION HOLDINGS,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86"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26-0414014</w:t>
      </w:r>
    </w:p>
    <w:p>
      <w:pPr>
        <w:spacing w:after="0" w:line="35" w:lineRule="exact"/>
        <w:rPr>
          <w:sz w:val="24"/>
          <w:szCs w:val="24"/>
          <w:color w:val="auto"/>
        </w:rPr>
      </w:pPr>
    </w:p>
    <w:p>
      <w:pPr>
        <w:sectPr>
          <w:pgSz w:w="11900" w:h="16838" w:orient="portrait"/>
          <w:cols w:equalWidth="0" w:num="2">
            <w:col w:w="7500" w:space="720"/>
            <w:col w:w="3200"/>
          </w:cols>
          <w:pgMar w:left="240" w:top="230" w:right="239" w:bottom="1440" w:gutter="0" w:footer="0" w:header="0"/>
          <w:type w:val="continuous"/>
        </w:sectPr>
      </w:pPr>
    </w:p>
    <w:p>
      <w:pPr>
        <w:spacing w:after="0" w:line="9" w:lineRule="exact"/>
        <w:rPr>
          <w:sz w:val="24"/>
          <w:szCs w:val="24"/>
          <w:color w:val="auto"/>
        </w:rPr>
      </w:pPr>
    </w:p>
    <w:p>
      <w:pPr>
        <w:ind w:left="220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342265</wp:posOffset>
            </wp:positionV>
            <wp:extent cx="1689735" cy="3860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89735" cy="386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center"/>
        <w:ind w:right="2100"/>
        <w:spacing w:after="0"/>
        <w:rPr>
          <w:sz w:val="20"/>
          <w:szCs w:val="20"/>
          <w:color w:val="auto"/>
        </w:rPr>
      </w:pPr>
      <w:r>
        <w:rPr>
          <w:rFonts w:ascii="Arial" w:cs="Arial" w:eastAsia="Arial" w:hAnsi="Arial"/>
          <w:sz w:val="14"/>
          <w:szCs w:val="14"/>
          <w:b w:val="1"/>
          <w:bCs w:val="1"/>
          <w:color w:val="auto"/>
        </w:rPr>
        <w:t>(I.R.S. Employer</w:t>
      </w:r>
    </w:p>
    <w:p>
      <w:pPr>
        <w:jc w:val="center"/>
        <w:ind w:right="2100"/>
        <w:spacing w:after="0"/>
        <w:rPr>
          <w:sz w:val="20"/>
          <w:szCs w:val="20"/>
          <w:color w:val="auto"/>
        </w:rPr>
      </w:pPr>
      <w:r>
        <w:rPr>
          <w:rFonts w:ascii="Arial" w:cs="Arial" w:eastAsia="Arial" w:hAnsi="Arial"/>
          <w:sz w:val="12"/>
          <w:szCs w:val="12"/>
          <w:b w:val="1"/>
          <w:bCs w:val="1"/>
          <w:color w:val="auto"/>
        </w:rPr>
        <w:t>Identification Number)</w:t>
      </w:r>
    </w:p>
    <w:p>
      <w:pPr>
        <w:spacing w:after="0" w:line="200" w:lineRule="exact"/>
        <w:rPr>
          <w:sz w:val="24"/>
          <w:szCs w:val="24"/>
          <w:color w:val="auto"/>
        </w:rPr>
      </w:pPr>
    </w:p>
    <w:p>
      <w:pPr>
        <w:sectPr>
          <w:pgSz w:w="11900" w:h="16838" w:orient="portrait"/>
          <w:cols w:equalWidth="0" w:num="2">
            <w:col w:w="7260" w:space="720"/>
            <w:col w:w="3440"/>
          </w:cols>
          <w:pgMar w:left="240" w:top="230"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One Allison Way</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Indianapolis, IN 46222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(317) 242-5000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ind w:right="2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type w:val="continuous"/>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460"/>
            <w:col w:w="610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540"/>
            <w:col w:w="160" w:space="80"/>
            <w:col w:w="5860" w:space="720"/>
            <w:col w:w="1920" w:space="4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64" w:lineRule="exact"/>
        <w:rPr>
          <w:sz w:val="24"/>
          <w:szCs w:val="24"/>
          <w:color w:val="auto"/>
        </w:rPr>
      </w:pPr>
    </w:p>
    <w:p>
      <w:pPr>
        <w:sectPr>
          <w:pgSz w:w="11900" w:h="16838" w:orient="portrait"/>
          <w:cols w:equalWidth="0" w:num="5">
            <w:col w:w="8440" w:space="160"/>
            <w:col w:w="260" w:space="100"/>
            <w:col w:w="140" w:space="200"/>
            <w:col w:w="200" w:space="100"/>
            <w:col w:w="1820"/>
          </w:cols>
          <w:pgMar w:left="240" w:top="230" w:right="23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94" w:lineRule="exact"/>
        <w:rPr>
          <w:sz w:val="24"/>
          <w:szCs w:val="24"/>
          <w:color w:val="auto"/>
        </w:rPr>
      </w:pPr>
    </w:p>
    <w:p>
      <w:pPr>
        <w:ind w:left="460"/>
        <w:spacing w:after="0"/>
        <w:rPr>
          <w:sz w:val="20"/>
          <w:szCs w:val="20"/>
          <w:color w:val="auto"/>
        </w:rPr>
      </w:pPr>
      <w:r>
        <w:rPr>
          <w:rFonts w:ascii="Arial" w:cs="Arial" w:eastAsia="Arial" w:hAnsi="Arial"/>
          <w:sz w:val="15"/>
          <w:szCs w:val="15"/>
          <w:color w:val="auto"/>
        </w:rPr>
        <w:t>As of October 22, 2012, there were 182,666,614 shares of Common Stock and 1,185 shares of Non-voting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Page</w:t>
            </w:r>
          </w:p>
        </w:tc>
      </w:tr>
      <w:tr>
        <w:trPr>
          <w:trHeight w:val="264"/>
        </w:trPr>
        <w:tc>
          <w:tcPr>
            <w:tcW w:w="8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720" w:type="dxa"/>
            <w:vAlign w:val="bottom"/>
            <w:gridSpan w:val="10"/>
          </w:tcPr>
          <w:p>
            <w:pPr>
              <w:jc w:val="center"/>
              <w:ind w:right="3740"/>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480" w:type="dxa"/>
            <w:vAlign w:val="bottom"/>
          </w:tcPr>
          <w:p>
            <w:pPr>
              <w:spacing w:after="0"/>
              <w:rPr>
                <w:sz w:val="22"/>
                <w:szCs w:val="22"/>
                <w:color w:val="auto"/>
              </w:rPr>
            </w:pPr>
          </w:p>
        </w:tc>
      </w:tr>
      <w:tr>
        <w:trPr>
          <w:trHeight w:val="20"/>
        </w:trPr>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408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Unaudited Condensed Consolidated Financial Statements:</w:t>
              </w:r>
            </w:hyperlink>
          </w:p>
        </w:tc>
        <w:tc>
          <w:tcPr>
            <w:tcW w:w="6060" w:type="dxa"/>
            <w:vAlign w:val="bottom"/>
            <w:gridSpan w:val="7"/>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2"/>
              </w:rPr>
              <w:t>3-5</w:t>
            </w:r>
          </w:p>
        </w:tc>
      </w:tr>
      <w:tr>
        <w:trPr>
          <w:trHeight w:val="304"/>
        </w:trPr>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7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0"/>
        </w:trPr>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8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Statements of Comprehensive Income</w:t>
              </w:r>
            </w:hyperlink>
          </w:p>
        </w:tc>
        <w:tc>
          <w:tcPr>
            <w:tcW w:w="5240" w:type="dxa"/>
            <w:vAlign w:val="bottom"/>
            <w:gridSpan w:val="4"/>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r>
      <w:tr>
        <w:trPr>
          <w:trHeight w:val="196"/>
        </w:trPr>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72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79"/>
              </w:rPr>
              <w:t>5</w:t>
            </w:r>
          </w:p>
        </w:tc>
      </w:tr>
      <w:tr>
        <w:trPr>
          <w:trHeight w:val="20"/>
        </w:trPr>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90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Notes to Condensed Consolidated Financial Statements</w:t>
              </w:r>
            </w:hyperlink>
          </w:p>
        </w:tc>
        <w:tc>
          <w:tcPr>
            <w:tcW w:w="5820" w:type="dxa"/>
            <w:vAlign w:val="bottom"/>
            <w:gridSpan w:val="5"/>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8"/>
              </w:rPr>
              <w:t>6-19</w:t>
            </w: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Management’s Discussion and Analysis of Financial Condition and Results of Operations</w:t>
              </w:r>
            </w:hyperlink>
          </w:p>
        </w:tc>
        <w:tc>
          <w:tcPr>
            <w:tcW w:w="3840" w:type="dxa"/>
            <w:vAlign w:val="bottom"/>
            <w:gridSpan w:val="2"/>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6"/>
              </w:rPr>
              <w:t>20-32</w:t>
            </w: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Item 3.</w:t>
            </w:r>
          </w:p>
        </w:tc>
        <w:tc>
          <w:tcPr>
            <w:tcW w:w="10140" w:type="dxa"/>
            <w:vAlign w:val="bottom"/>
            <w:gridSpan w:val="1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86"/>
              </w:rPr>
              <w:t>33-34</w:t>
            </w: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Item 4.</w:t>
            </w:r>
          </w:p>
        </w:tc>
        <w:tc>
          <w:tcPr>
            <w:tcW w:w="4240" w:type="dxa"/>
            <w:vAlign w:val="bottom"/>
            <w:tcBorders>
              <w:top w:val="single" w:sz="8" w:color="0000EE"/>
            </w:tcBorders>
            <w:gridSpan w:val="1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5900" w:type="dxa"/>
            <w:vAlign w:val="bottom"/>
            <w:gridSpan w:val="6"/>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34</w:t>
            </w:r>
          </w:p>
        </w:tc>
      </w:tr>
      <w:tr>
        <w:trPr>
          <w:trHeight w:val="304"/>
        </w:trPr>
        <w:tc>
          <w:tcPr>
            <w:tcW w:w="80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580" w:type="dxa"/>
            <w:vAlign w:val="bottom"/>
            <w:gridSpan w:val="9"/>
          </w:tcPr>
          <w:p>
            <w:pPr>
              <w:jc w:val="center"/>
              <w:ind w:right="3880"/>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 OTHER INFORMATION</w:t>
              </w:r>
            </w:hyperlink>
          </w:p>
        </w:tc>
        <w:tc>
          <w:tcPr>
            <w:tcW w:w="480" w:type="dxa"/>
            <w:vAlign w:val="bottom"/>
          </w:tcPr>
          <w:p>
            <w:pPr>
              <w:spacing w:after="0"/>
              <w:rPr>
                <w:sz w:val="24"/>
                <w:szCs w:val="24"/>
                <w:color w:val="auto"/>
              </w:rPr>
            </w:pP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35">
              <w:r>
                <w:rPr>
                  <w:rFonts w:ascii="Arial" w:cs="Arial" w:eastAsia="Arial" w:hAnsi="Arial"/>
                  <w:sz w:val="18"/>
                  <w:szCs w:val="18"/>
                  <w:color w:val="0000EE"/>
                  <w:w w:val="85"/>
                </w:rPr>
                <w:t>Legal Proceedings</w:t>
              </w:r>
            </w:hyperlink>
          </w:p>
        </w:tc>
        <w:tc>
          <w:tcPr>
            <w:tcW w:w="2260" w:type="dxa"/>
            <w:vAlign w:val="bottom"/>
            <w:gridSpan w:val="4"/>
          </w:tcPr>
          <w:p>
            <w:pPr>
              <w:spacing w:after="0"/>
              <w:rPr>
                <w:sz w:val="24"/>
                <w:szCs w:val="24"/>
                <w:color w:val="auto"/>
              </w:rPr>
            </w:pPr>
          </w:p>
        </w:tc>
        <w:tc>
          <w:tcPr>
            <w:tcW w:w="2700" w:type="dxa"/>
            <w:vAlign w:val="bottom"/>
            <w:tcBorders>
              <w:top w:val="single" w:sz="8" w:color="0000EE"/>
            </w:tcBorders>
            <w:gridSpan w:val="6"/>
          </w:tcPr>
          <w:p>
            <w:pPr>
              <w:spacing w:after="0"/>
              <w:rPr>
                <w:sz w:val="24"/>
                <w:szCs w:val="24"/>
                <w:color w:val="auto"/>
              </w:rPr>
            </w:pPr>
          </w:p>
        </w:tc>
        <w:tc>
          <w:tcPr>
            <w:tcW w:w="3880" w:type="dxa"/>
            <w:vAlign w:val="bottom"/>
            <w:gridSpan w:val="3"/>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35</w:t>
            </w: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35">
              <w:r>
                <w:rPr>
                  <w:rFonts w:ascii="Arial" w:cs="Arial" w:eastAsia="Arial" w:hAnsi="Arial"/>
                  <w:sz w:val="18"/>
                  <w:szCs w:val="18"/>
                  <w:color w:val="0000EE"/>
                  <w:w w:val="85"/>
                </w:rPr>
                <w:t>Risk Factors</w:t>
              </w:r>
            </w:hyperlink>
          </w:p>
        </w:tc>
        <w:tc>
          <w:tcPr>
            <w:tcW w:w="9260" w:type="dxa"/>
            <w:vAlign w:val="bottom"/>
            <w:gridSpan w:val="14"/>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35</w:t>
            </w: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Item 6.</w:t>
            </w:r>
          </w:p>
        </w:tc>
        <w:tc>
          <w:tcPr>
            <w:tcW w:w="58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Exhibits</w:t>
              </w:r>
            </w:hyperlink>
          </w:p>
        </w:tc>
        <w:tc>
          <w:tcPr>
            <w:tcW w:w="9560" w:type="dxa"/>
            <w:vAlign w:val="bottom"/>
            <w:gridSpan w:val="16"/>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35</w:t>
            </w:r>
          </w:p>
        </w:tc>
      </w:tr>
      <w:tr>
        <w:trPr>
          <w:trHeight w:val="304"/>
        </w:trPr>
        <w:tc>
          <w:tcPr>
            <w:tcW w:w="800" w:type="dxa"/>
            <w:vAlign w:val="bottom"/>
          </w:tcPr>
          <w:p>
            <w:pPr>
              <w:spacing w:after="0"/>
              <w:rPr>
                <w:sz w:val="24"/>
                <w:szCs w:val="24"/>
                <w:color w:val="auto"/>
              </w:rPr>
            </w:pPr>
          </w:p>
        </w:tc>
        <w:tc>
          <w:tcPr>
            <w:tcW w:w="740" w:type="dxa"/>
            <w:vAlign w:val="bottom"/>
            <w:tcBorders>
              <w:bottom w:val="single" w:sz="8" w:color="0000EE"/>
            </w:tcBorders>
            <w:gridSpan w:val="3"/>
          </w:tcPr>
          <w:p>
            <w:pPr>
              <w:spacing w:after="0"/>
              <w:rPr>
                <w:rFonts w:ascii="Arial" w:cs="Arial" w:eastAsia="Arial" w:hAnsi="Arial"/>
                <w:sz w:val="18"/>
                <w:szCs w:val="18"/>
                <w:color w:val="0000EE"/>
                <w:w w:val="83"/>
              </w:rPr>
            </w:pPr>
            <w:hyperlink w:anchor="page36">
              <w:r>
                <w:rPr>
                  <w:rFonts w:ascii="Arial" w:cs="Arial" w:eastAsia="Arial" w:hAnsi="Arial"/>
                  <w:sz w:val="18"/>
                  <w:szCs w:val="18"/>
                  <w:color w:val="0000EE"/>
                  <w:w w:val="83"/>
                </w:rPr>
                <w:t>Signatures</w:t>
              </w:r>
            </w:hyperlink>
          </w:p>
        </w:tc>
        <w:tc>
          <w:tcPr>
            <w:tcW w:w="9400" w:type="dxa"/>
            <w:vAlign w:val="bottom"/>
            <w:gridSpan w:val="15"/>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36</w:t>
            </w:r>
          </w:p>
        </w:tc>
      </w:tr>
      <w:tr>
        <w:trPr>
          <w:trHeight w:val="383"/>
        </w:trPr>
        <w:tc>
          <w:tcPr>
            <w:tcW w:w="800" w:type="dxa"/>
            <w:vAlign w:val="bottom"/>
          </w:tcPr>
          <w:p>
            <w:pPr>
              <w:spacing w:after="0"/>
              <w:rPr>
                <w:sz w:val="24"/>
                <w:szCs w:val="24"/>
                <w:color w:val="auto"/>
              </w:rPr>
            </w:pPr>
          </w:p>
        </w:tc>
        <w:tc>
          <w:tcPr>
            <w:tcW w:w="6260" w:type="dxa"/>
            <w:vAlign w:val="bottom"/>
            <w:gridSpan w:val="15"/>
          </w:tcPr>
          <w:p>
            <w:pPr>
              <w:jc w:val="center"/>
              <w:ind w:left="3492"/>
              <w:spacing w:after="0"/>
              <w:rPr>
                <w:sz w:val="20"/>
                <w:szCs w:val="20"/>
                <w:color w:val="auto"/>
              </w:rPr>
            </w:pPr>
            <w:r>
              <w:rPr>
                <w:rFonts w:ascii="Arial" w:cs="Arial" w:eastAsia="Arial" w:hAnsi="Arial"/>
                <w:sz w:val="18"/>
                <w:szCs w:val="18"/>
                <w:color w:val="auto"/>
                <w:w w:val="79"/>
              </w:rPr>
              <w:t>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September 30, 2012</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81.9</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Accounts receivable — net of allowance for doubtful accounts of $1.9 and $1.3, respectively</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204.0</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187.0</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Deferred income taxes, net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19.0</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35.6</w:t>
            </w:r>
          </w:p>
        </w:tc>
        <w:tc>
          <w:tcPr>
            <w:tcW w:w="9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527.5</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702.7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592.6</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1,753.6</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1,941.0</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82.2</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93.7</w:t>
            </w:r>
          </w:p>
        </w:tc>
        <w:tc>
          <w:tcPr>
            <w:tcW w:w="9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4,990.6</w:t>
            </w:r>
          </w:p>
        </w:tc>
        <w:tc>
          <w:tcPr>
            <w:tcW w:w="90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5,192.6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176.2</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Product warranty liability</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33.2</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Notes payable</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jc w:val="right"/>
              <w:ind w:right="9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20.7</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166.3</w:t>
            </w:r>
          </w:p>
        </w:tc>
        <w:tc>
          <w:tcPr>
            <w:tcW w:w="9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412.9</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Product warranty liability</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73.3</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43.1</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2,899.1</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238.0</w:t>
            </w:r>
          </w:p>
        </w:tc>
        <w:tc>
          <w:tcPr>
            <w:tcW w:w="9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3,666.4</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Commitments and contingencies (see NOTE M)</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Common stock, $0.01 par value, 1,880,000,000 shares authorized, 182,320,110 issued and</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640"/>
              <w:spacing w:after="0"/>
              <w:rPr>
                <w:sz w:val="20"/>
                <w:szCs w:val="20"/>
                <w:color w:val="auto"/>
              </w:rPr>
            </w:pPr>
            <w:r>
              <w:rPr>
                <w:rFonts w:ascii="Arial" w:cs="Arial" w:eastAsia="Arial" w:hAnsi="Arial"/>
                <w:sz w:val="18"/>
                <w:szCs w:val="18"/>
                <w:color w:val="auto"/>
              </w:rPr>
              <w:t>182,296,410 outstanding</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Non-voting common stock, $0.01 par value, 20,000,000 shares authorized, 1,185 issued and</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outstanding</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Preferred stock, $0.01 par value, 100,000,000 shares authorized, none issued and outstanding</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jc w:val="right"/>
              <w:ind w:right="9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(0.2)</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Paid in capital</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1,577.0</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(202.5)</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(51.9)</w:t>
            </w:r>
          </w:p>
        </w:tc>
        <w:tc>
          <w:tcPr>
            <w:tcW w:w="3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1,324.2</w:t>
            </w:r>
          </w:p>
        </w:tc>
        <w:tc>
          <w:tcPr>
            <w:tcW w:w="90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color w:val="auto"/>
              </w:rPr>
              <w:t>TOTAL LIABILITIES &amp; STOCKHOLDERS’ EQUITY</w:t>
            </w:r>
          </w:p>
        </w:tc>
        <w:tc>
          <w:tcPr>
            <w:tcW w:w="2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4,990.6</w:t>
            </w:r>
          </w:p>
        </w:tc>
        <w:tc>
          <w:tcPr>
            <w:tcW w:w="90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5,192.6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85"/>
              </w:rPr>
              <w:t>Three months ended 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85"/>
              </w:rPr>
              <w:t>Nine months ended 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493.5</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1,654.8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269.1</w:t>
            </w: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316.4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894.7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914.7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224.4</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96.7</w:t>
            </w: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307.0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Engineering — research and development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35.9</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91.8</w:t>
            </w:r>
          </w:p>
        </w:tc>
        <w:tc>
          <w:tcPr>
            <w:tcW w:w="4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124.1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366.1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0.1</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(40.9)</w:t>
            </w: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(116.3)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Premiums and expenses on tender offer for long-term debt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Other expense, net</w:t>
            </w:r>
          </w:p>
        </w:tc>
        <w:tc>
          <w:tcPr>
            <w:tcW w:w="8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(1.8)</w:t>
            </w: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(55.4)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49.2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195.1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(17.0)</w:t>
            </w: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307.9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32.2</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503.0</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vMerge w:val="restart"/>
          </w:tcPr>
          <w:p>
            <w:pPr>
              <w:ind w:left="420"/>
              <w:spacing w:after="0"/>
              <w:rPr>
                <w:sz w:val="20"/>
                <w:szCs w:val="20"/>
                <w:color w:val="auto"/>
              </w:rPr>
            </w:pPr>
            <w:r>
              <w:rPr>
                <w:rFonts w:ascii="Arial" w:cs="Arial" w:eastAsia="Arial" w:hAnsi="Arial"/>
                <w:sz w:val="18"/>
                <w:szCs w:val="18"/>
                <w:color w:val="auto"/>
              </w:rPr>
              <w:t>Basic earnings per share attributable to common stockholders</w:t>
            </w: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0.18</w:t>
            </w:r>
          </w:p>
        </w:tc>
        <w:tc>
          <w:tcPr>
            <w:tcW w:w="460" w:type="dxa"/>
            <w:vAlign w:val="bottom"/>
            <w:vMerge w:val="continue"/>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0.21</w:t>
            </w:r>
          </w:p>
        </w:tc>
        <w:tc>
          <w:tcPr>
            <w:tcW w:w="1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2.77</w:t>
            </w:r>
          </w:p>
        </w:tc>
        <w:tc>
          <w:tcPr>
            <w:tcW w:w="240" w:type="dxa"/>
            <w:vAlign w:val="bottom"/>
          </w:tcPr>
          <w:p>
            <w:pPr>
              <w:spacing w:after="0"/>
              <w:rPr>
                <w:sz w:val="19"/>
                <w:szCs w:val="19"/>
                <w:color w:val="auto"/>
              </w:rPr>
            </w:pPr>
          </w:p>
        </w:tc>
        <w:tc>
          <w:tcPr>
            <w:tcW w:w="4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earnings per share attributable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0.17</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Dividends declared per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0.06</w:t>
            </w:r>
          </w:p>
        </w:tc>
        <w:tc>
          <w:tcPr>
            <w:tcW w:w="46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0.12</w:t>
            </w:r>
          </w:p>
        </w:tc>
        <w:tc>
          <w:tcPr>
            <w:tcW w:w="240" w:type="dxa"/>
            <w:vAlign w:val="bottom"/>
          </w:tcPr>
          <w:p>
            <w:pPr>
              <w:spacing w:after="0"/>
              <w:rPr>
                <w:sz w:val="18"/>
                <w:szCs w:val="18"/>
                <w:color w:val="auto"/>
              </w:rPr>
            </w:pPr>
          </w:p>
        </w:tc>
        <w:tc>
          <w:tcPr>
            <w:tcW w:w="4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38.6</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508.0</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87"/>
              </w:rPr>
              <w:t>Nine months ended September 30,</w:t>
            </w:r>
          </w:p>
        </w:tc>
      </w:tr>
      <w:tr>
        <w:trPr>
          <w:trHeight w:val="161"/>
        </w:trPr>
        <w:tc>
          <w:tcPr>
            <w:tcW w:w="6980" w:type="dxa"/>
            <w:vAlign w:val="bottom"/>
            <w:tcBorders>
              <w:bottom w:val="single" w:sz="8" w:color="CCEEFF"/>
            </w:tcBorders>
          </w:tcPr>
          <w:p>
            <w:pPr>
              <w:spacing w:after="0"/>
              <w:rPr>
                <w:sz w:val="14"/>
                <w:szCs w:val="14"/>
                <w:color w:val="auto"/>
              </w:rPr>
            </w:pPr>
          </w:p>
        </w:tc>
        <w:tc>
          <w:tcPr>
            <w:tcW w:w="20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6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Net income</w:t>
            </w:r>
          </w:p>
        </w:tc>
        <w:tc>
          <w:tcPr>
            <w:tcW w:w="21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503.0</w:t>
            </w:r>
          </w:p>
        </w:tc>
        <w:tc>
          <w:tcPr>
            <w:tcW w:w="32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58.5</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Add (deduct) items included in net income not using (providing) cash:</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Deferred income taxes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(311.8)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33.9</w:t>
            </w: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w:t>
            </w: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Depreciation of property, plant and equipment</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76.0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77.0</w:t>
            </w: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on repurchases and redemptions of long-term debt</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Unrealized (gain) loss on derivatives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(17.3)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Impairment loss on investments in technology-related initiatives</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Amortization of deferred financing costs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Loss on re-measurement of employee benefit plan</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Excess tax benefit from stock based compensation</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Premiums and expenses on tender offer for long-term debt</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56.9</w:t>
            </w: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(52.3)</w:t>
            </w: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(31.6)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(18.7)</w:t>
            </w: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w:t>
            </w:r>
          </w:p>
        </w:tc>
      </w:tr>
      <w:tr>
        <w:trPr>
          <w:trHeight w:val="223"/>
        </w:trPr>
        <w:tc>
          <w:tcPr>
            <w:tcW w:w="6980" w:type="dxa"/>
            <w:vAlign w:val="bottom"/>
          </w:tcPr>
          <w:p>
            <w:pPr>
              <w:ind w:left="440"/>
              <w:spacing w:after="0"/>
              <w:rPr>
                <w:sz w:val="20"/>
                <w:szCs w:val="20"/>
                <w:color w:val="auto"/>
              </w:rPr>
            </w:pPr>
            <w:r>
              <w:rPr>
                <w:rFonts w:ascii="Arial" w:cs="Arial" w:eastAsia="Arial" w:hAnsi="Arial"/>
                <w:sz w:val="18"/>
                <w:szCs w:val="18"/>
                <w:color w:val="auto"/>
              </w:rPr>
              <w:t>Other assets and liabilities</w:t>
            </w: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r>
      <w:tr>
        <w:trPr>
          <w:trHeight w:val="216"/>
        </w:trPr>
        <w:tc>
          <w:tcPr>
            <w:tcW w:w="6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20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385.4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397.3</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Additions of long-lived assets</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(93.9)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(55.3)</w:t>
            </w: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Investments in technology-related initiatives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(14.4)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Collateral (increase) decrease for interest rate derivatives</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(0.7)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r>
      <w:tr>
        <w:trPr>
          <w:trHeight w:val="223"/>
        </w:trPr>
        <w:tc>
          <w:tcPr>
            <w:tcW w:w="6980" w:type="dxa"/>
            <w:vAlign w:val="bottom"/>
          </w:tcPr>
          <w:p>
            <w:pPr>
              <w:ind w:left="440"/>
              <w:spacing w:after="0"/>
              <w:rPr>
                <w:sz w:val="20"/>
                <w:szCs w:val="20"/>
                <w:color w:val="auto"/>
              </w:rPr>
            </w:pPr>
            <w:r>
              <w:rPr>
                <w:rFonts w:ascii="Arial" w:cs="Arial" w:eastAsia="Arial" w:hAnsi="Arial"/>
                <w:sz w:val="18"/>
                <w:szCs w:val="18"/>
                <w:color w:val="auto"/>
              </w:rPr>
              <w:t>Proceeds from disposal of assets</w:t>
            </w:r>
          </w:p>
        </w:tc>
        <w:tc>
          <w:tcPr>
            <w:tcW w:w="20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r>
      <w:tr>
        <w:trPr>
          <w:trHeight w:val="216"/>
        </w:trPr>
        <w:tc>
          <w:tcPr>
            <w:tcW w:w="6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used for investing activities</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(108.5)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r>
      <w:tr>
        <w:trPr>
          <w:trHeight w:val="216"/>
        </w:trPr>
        <w:tc>
          <w:tcPr>
            <w:tcW w:w="69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Issuance of long-term debt</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Repurchases and redemptions of long-term debt</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(326.9)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(691.5)</w:t>
            </w: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issuance costs</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w:t>
            </w: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Debt financing fees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(18.4)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Payments on long-term debt</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(150.5)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(82.8)</w:t>
            </w: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Dividend payments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(21.8)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Issuance of common stock</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Payments on notes payable</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Excess tax benefit from stock based compensation</w:t>
            </w:r>
          </w:p>
        </w:tc>
        <w:tc>
          <w:tcPr>
            <w:tcW w:w="20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980" w:type="dxa"/>
            <w:vAlign w:val="bottom"/>
          </w:tcPr>
          <w:p>
            <w:pPr>
              <w:ind w:left="880"/>
              <w:spacing w:after="0"/>
              <w:rPr>
                <w:sz w:val="20"/>
                <w:szCs w:val="20"/>
                <w:color w:val="auto"/>
              </w:rPr>
            </w:pPr>
            <w:r>
              <w:rPr>
                <w:rFonts w:ascii="Arial" w:cs="Arial" w:eastAsia="Arial" w:hAnsi="Arial"/>
                <w:sz w:val="18"/>
                <w:szCs w:val="18"/>
                <w:color w:val="auto"/>
              </w:rPr>
              <w:t>Net cash used for financing activities</w:t>
            </w: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(508.3)</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(289.3)</w:t>
            </w:r>
          </w:p>
        </w:tc>
      </w:tr>
      <w:tr>
        <w:trPr>
          <w:trHeight w:val="217"/>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(0.7)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r>
      <w:tr>
        <w:trPr>
          <w:trHeight w:val="222"/>
        </w:trPr>
        <w:tc>
          <w:tcPr>
            <w:tcW w:w="6980" w:type="dxa"/>
            <w:vAlign w:val="bottom"/>
          </w:tcPr>
          <w:p>
            <w:pPr>
              <w:ind w:left="880"/>
              <w:spacing w:after="0"/>
              <w:rPr>
                <w:sz w:val="20"/>
                <w:szCs w:val="20"/>
                <w:color w:val="auto"/>
              </w:rPr>
            </w:pPr>
            <w:r>
              <w:rPr>
                <w:rFonts w:ascii="Arial" w:cs="Arial" w:eastAsia="Arial" w:hAnsi="Arial"/>
                <w:sz w:val="18"/>
                <w:szCs w:val="18"/>
                <w:color w:val="auto"/>
              </w:rPr>
              <w:t>Net (decrease) increase in cash and cash equivalents</w:t>
            </w:r>
          </w:p>
        </w:tc>
        <w:tc>
          <w:tcPr>
            <w:tcW w:w="20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(232.1)</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9"/>
                <w:szCs w:val="19"/>
                <w:color w:val="auto"/>
              </w:rPr>
            </w:pPr>
          </w:p>
        </w:tc>
      </w:tr>
      <w:tr>
        <w:trPr>
          <w:trHeight w:val="217"/>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314.0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100" w:type="dxa"/>
            <w:vAlign w:val="bottom"/>
            <w:shd w:val="clear" w:color="auto" w:fill="CCEEFF"/>
          </w:tcPr>
          <w:p>
            <w:pPr>
              <w:spacing w:after="0"/>
              <w:rPr>
                <w:sz w:val="18"/>
                <w:szCs w:val="18"/>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0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81.9</w:t>
            </w:r>
          </w:p>
        </w:tc>
        <w:tc>
          <w:tcPr>
            <w:tcW w:w="320" w:type="dxa"/>
            <w:vAlign w:val="bottom"/>
          </w:tcPr>
          <w:p>
            <w:pPr>
              <w:spacing w:after="0"/>
              <w:rPr>
                <w:sz w:val="19"/>
                <w:szCs w:val="1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353.8</w:t>
            </w:r>
          </w:p>
        </w:tc>
      </w:tr>
      <w:tr>
        <w:trPr>
          <w:trHeight w:val="20"/>
        </w:trPr>
        <w:tc>
          <w:tcPr>
            <w:tcW w:w="6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880"/>
              <w:spacing w:after="0"/>
              <w:rPr>
                <w:sz w:val="20"/>
                <w:szCs w:val="20"/>
                <w:color w:val="auto"/>
              </w:rPr>
            </w:pPr>
            <w:r>
              <w:rPr>
                <w:rFonts w:ascii="Arial" w:cs="Arial" w:eastAsia="Arial" w:hAnsi="Arial"/>
                <w:sz w:val="18"/>
                <w:szCs w:val="18"/>
                <w:color w:val="auto"/>
              </w:rPr>
              <w:t>Interest paid</w:t>
            </w:r>
          </w:p>
        </w:tc>
        <w:tc>
          <w:tcPr>
            <w:tcW w:w="21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120.6</w:t>
            </w:r>
          </w:p>
        </w:tc>
        <w:tc>
          <w:tcPr>
            <w:tcW w:w="32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140.6</w:t>
            </w:r>
          </w:p>
        </w:tc>
      </w:tr>
      <w:tr>
        <w:trPr>
          <w:trHeight w:val="216"/>
        </w:trPr>
        <w:tc>
          <w:tcPr>
            <w:tcW w:w="6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Income taxes paid</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Allison Transmission Holdings, Inc. and its subsidiaries (the “Company,” “our,” “we” or “Allison”), design and manufacture commercial and military fully-automatic transmissions.</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business was founded in 1915 and has been headquartered in Indianapolis, Indiana since inception. The Company has approximately 2,800 employees and 12 different transmission product lines. Although approximately 80% percent of revenues were generated in North America in 2011, the Company has a global presence by serving customers in Europe, Asia, South America and Africa. The Company serves customers through an independent network of approximately 1,500 independent distributor and dealer locations worldwide.</w:t>
      </w:r>
    </w:p>
    <w:p>
      <w:pPr>
        <w:spacing w:after="0" w:line="143"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Since the introduction of the Company’s first fully-automatic transmission over 60 years ago, the Company’s products have gained acceptance in a wide variety of applications, including on-highway trucks (distribution, refuse, construction, fire and emergency), buses (primarily school, transit and hybrid-transit), motorhomes, off-highway vehicles and equipment (primarily energy, mining and construction) and military vehicles (wheeled and tracked). The Company has developed over 100 different product models that are used in more than 2,500 different vehicle configurations, which are compatible with more than 500 combinations of engine brands, models and ratings. The Company also sells support equipment and Allison-branded replacement parts for the Company’s transmissions and remanufactured transmissions for use in the vehicle aftermarket.</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August 2012, Allison Transmission, Inc. (“ATI”), a wholly-owned subsidiary of the Company, entered into an amendment under its Senior Secured Credit Facility (as defined under Note F) to extend the maturity of $850.0 million of term loan debt from August 7, 2014 to August 23, 2019 and to increase the applicable margin over the London Interbank Offered Rate (“LIBOR”) (but not less than 1.00%) for such extended term loan to either 3.00% or 3.25% subject to the Company’s total leverage ratio. The amendment was treated as an extinguishment of debt under accounting principles generally accepted in the United States of America (“GAAP”), and thus the Company expensed $4.5 million of previously deferred financing fees and recorded $16.1 million of new deferred financing fees in the condensed consolidated financial statements.</w:t>
      </w:r>
    </w:p>
    <w:p>
      <w:pPr>
        <w:spacing w:after="0" w:line="12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 July 2012, the Company entered into a license and exclusivity agreement related to certain continuously variable planetary transmission technology of Fallbrook Technologies, Inc. (“Fallbrook”). Under the terms of the agreement, the Company purchased an exclusive, transferable license to certain patents and copyrighted materials to make, use, have made for it, sell or otherwise distribute and import licensed products in off-highway and on-highway commercial vehicles along with military vehicles and certain stationary equipment. In addition in July 2012, the Company purchased a non-controlling equity stake in Fallbrook.</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Also in July 2012, the Company closed its purchase of a non-controlling equity stake in Odyne Systems LLC, a manufacturer of advanced hybrid control systems, to expand its position in transmission technologies.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SUMMARY OF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unaudited condensed consolidated financial statements as of and for the three and nine months ended September 30, 2012 and 2011 have been prepared in accordance with accounting principles for interim financial information and with the instructions to Form 10-Q and Article 10 of Regulation S-X. Accordingly, the unaudited condensed consolidated financial statements do not include all information and footnotes required by GAAP for complete financial statements. The information herein reflects all normal recurring material adjustments, which are, in the opinion of management, necessary for the fair presentation of the results for the periods presented. The condensed consolidated financial statements herein consist of all wholly-owned domestic and foreign subsidiaries with all intercompany transactions eliminated.</w:t>
      </w:r>
    </w:p>
    <w:p>
      <w:pPr>
        <w:spacing w:after="0" w:line="144"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These condensed consolidated financial statements present the financial position, results of operations and cash flows of the Company. Certain immaterial reclassifications have been made to prior period amounts to conform to the presentation of the current period financial statements. These reclassifications have no impact on previously reported net income, total stockholders’ equity or cash flows.</w:t>
      </w:r>
    </w:p>
    <w:p>
      <w:pPr>
        <w:spacing w:after="0" w:line="140"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The condensed consolidated financial statements should be read in conjunction with the audited consolidated financial statements as of and for the year ended December 31, 2011 included in the Company’s Registration Statement on Form S-1/A. The interim period financial results for the three and nine month periods presented are not necessarily indicative of results to be expected for any other interim period or for the entire year.</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Significant estimates include, but are not limited to, allowance for doubtful accounts, sales allowances, government price adjustments, fair market values and future cash flows associated with goodwill, indefinite-life intangibles, long-lived asset impairment tests, useful lives for depreciation and amortization, warranty liability, determination of discount rate and other</w:t>
      </w:r>
    </w:p>
    <w:p>
      <w:pPr>
        <w:sectPr>
          <w:pgSz w:w="11900" w:h="16838" w:orient="portrait"/>
          <w:cols w:equalWidth="0" w:num="1">
            <w:col w:w="11420"/>
          </w:cols>
          <w:pgMar w:left="240" w:top="459" w:right="239" w:bottom="1440" w:gutter="0" w:footer="0" w:header="0"/>
        </w:sectPr>
      </w:pP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assumptions for pension and other postretirement benefit expense, income taxes, lease classification, derivative valuation, and contingencies. The Company’s accounting policies involve the application of judgments and assumptions made by management that include inherent risks and uncertainties. Actual results could differ materially from these estimates. Changes in estimates are recorded in results of operations in the period that the events or circumstances giving rise to such changes occur.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July 2012, the Financial Accounting Standards Board (“FASB”) issued authoritative accounting guidance on testing indefinite-lived intangibles for impairment. The guidance gives an entity the option to first assess qualitative factors to determine whether the existence of events and circumstances indicates that it is more likely than not that the indefinite-lived intangible asset is impaired. If an entity concludes that it is more likely than not that the indefinite-lived intangible asset is impaired, then it is required to determine the fair value of the indefinite-lived intangible asset and perform the quantitative impairment test by comparing the fair value with the carrying amount. However, if an entity concludes otherwise, then the entity is not required to take further action. The guidance is effective for interim and annual impairment tests performed for fiscal years beginning after September 15, 2012 with early adoption permitted. The Company is considering early adoption of this guidance in conjunction with the fiscal year 2012 annual indefinite-lived intangible impairment test. This guidance only changes the methodology of testing for impairment and will not affect the outcome of such testing. Therefore, the adoption of this guidance is not expected to have a material effect on our consolidated financial statements.</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December 2011, the FASB issued authoritative accounting guidance on enhancing disclosures to evaluate the effect or potential effect of netting arrangements on an entity’s financial position. The guidance requires improved information and disclosures about gross and net amounts of recognized assets and liabilities of financial and derivative instruments that are offset in an entity’s statement of financial position. The guidance is to be applied retrospectively for interim and annual reporting periods beginning on or after January 1, 2013. The adoption of this guidance is not expected to have a material effect on our condensed consolidated financial statements.</w:t>
      </w:r>
    </w:p>
    <w:p>
      <w:pPr>
        <w:spacing w:after="0" w:line="14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 September 2011, the FASB issued authoritative accounting guidance on testing goodwill for impairment. Under the revised guidance, entities testing goodwill for impairment have the option of performing a qualitative assessment before calculating fair value (i.e., Step 1 of the goodwill impairment test). If entities determine, on the basis of qualitative factors, that fair value is more likely than not less than carrying value, the two-step impairment test would be required. The guidance does not change how goodwill is calculated or assigned to reporting units, nor does it revise the requirement to test goodwill annually for impairment. In addition, it does not amend the requirement to test goodwill for impairment between annual tests if events or circumstances warrant; however, it does revise the examples of events and circumstances that an entity should consider. The guidance became effective for interim and annual goodwill impairment tests performed for fiscal years beginning after December 15, 2011. Early adoption was permitted; however, the Company did not early adopt this guidance and continued to perform Step 1 of the goodwill impairment analysis for fiscal year 2011. The adoption of this guidance will occur in conjunction with the fiscal year 2012 annual goodwill impairment test. This guidance only changes the methodology of testing for impairment and will not affect the outcome of such testing. Therefore, the adoption of this guidance is not expected to have a material effect on our consolidated financial statements.</w:t>
      </w:r>
    </w:p>
    <w:p>
      <w:pPr>
        <w:spacing w:after="0" w:line="12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June 2011, the FASB issued authoritative accounting guidance on improving comparability, consistency, and transparency of items reported in other comprehensive income. The guidance eliminates the option to present components of other comprehensive income as part of the statement of changes in stockholders’ equity and requires either a single continuous statement of comprehensive income or in two separate but consecutive statements. In a single continuous statement, the entity is required to present the components of net income and total net income, the components of other comprehensive income and a total for other comprehensive income, along with the total of comprehensive income in that statement. In the two-statement approach, the first statement should present total net income and its components followed consecutively by a second statement that should present total other comprehensive income, the components of other comprehensive income, and the total of comprehensive income. In December 2011, the FASB issued additional authoritative accounting guidance indefinitely deferring the requirement to present reclassifications of items out of accumulated other comprehensive income. The accounting guidance also establishes a common approach with International Financial Reporting Standards (“IFRS”). The guidance is to be applied retrospectively for interim and annual reporting periods beginning after December 15, 2011 for public entities. The adoption of this guidance did not have a material effect on our condensed consolidated financial statements, but required a change in the presentation of comprehensive income from the notes of our condensed consolidated financial statements to the face of our Condensed Consolidated Statements of Comprehensive Income.</w:t>
      </w:r>
    </w:p>
    <w:p>
      <w:pPr>
        <w:spacing w:after="0" w:line="12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May 2011, the FASB issued authoritative accounting guidance that amended wording used to describe many of the requirements in measuring fair value and disclosing information about fair value measurements. The changes are not intended to change the application of the requirements of fair value measurement, but to clarify the application and disclosure of information. The amendments to the accounting guidance also establish a common approach with IFRS. The guidance is to be applied prospectively for interim and annual reporting periods beginning after December 15, 2011. The adoption of this guidance did not have a material effect on our condensed consolidated financial statements.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INVENTORIES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consisted of the following components (dollars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7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660" w:type="dxa"/>
            <w:vAlign w:val="bottom"/>
            <w:gridSpan w:val="4"/>
          </w:tcPr>
          <w:p>
            <w:pPr>
              <w:ind w:left="76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4300" w:type="dxa"/>
            <w:vAlign w:val="bottom"/>
            <w:tcBorders>
              <w:bottom w:val="single" w:sz="8" w:color="CCEEFF"/>
            </w:tcBorders>
          </w:tcPr>
          <w:p>
            <w:pPr>
              <w:spacing w:after="0"/>
              <w:rPr>
                <w:sz w:val="14"/>
                <w:szCs w:val="14"/>
                <w:color w:val="auto"/>
              </w:rPr>
            </w:pPr>
          </w:p>
        </w:tc>
        <w:tc>
          <w:tcPr>
            <w:tcW w:w="19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7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Purchased parts and raw materials</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84.1</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0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Work in progress</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7.6</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Service parts</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48.1</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8"/>
                <w:szCs w:val="18"/>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Finished goods</w:t>
            </w:r>
          </w:p>
        </w:tc>
        <w:tc>
          <w:tcPr>
            <w:tcW w:w="19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47.2</w:t>
            </w: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r>
      <w:tr>
        <w:trPr>
          <w:trHeight w:val="216"/>
        </w:trPr>
        <w:tc>
          <w:tcPr>
            <w:tcW w:w="4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inventories</w:t>
            </w:r>
          </w:p>
        </w:tc>
        <w:tc>
          <w:tcPr>
            <w:tcW w:w="20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w:t>
            </w:r>
            <w:r>
              <w:rPr>
                <w:rFonts w:ascii="Arial" w:cs="Arial" w:eastAsia="Arial" w:hAnsi="Arial"/>
                <w:sz w:val="18"/>
                <w:szCs w:val="18"/>
                <w:b w:val="1"/>
                <w:bCs w:val="1"/>
                <w:u w:val="single" w:color="auto"/>
                <w:color w:val="auto"/>
              </w:rPr>
              <w:t>0</w:t>
            </w:r>
          </w:p>
        </w:tc>
        <w:tc>
          <w:tcPr>
            <w:tcW w:w="9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100" w:type="dxa"/>
            <w:vAlign w:val="bottom"/>
            <w:shd w:val="clear" w:color="auto" w:fill="CCEEFF"/>
          </w:tcPr>
          <w:p>
            <w:pPr>
              <w:spacing w:after="0"/>
              <w:rPr>
                <w:sz w:val="18"/>
                <w:szCs w:val="18"/>
                <w:color w:val="auto"/>
              </w:rPr>
            </w:pPr>
          </w:p>
        </w:tc>
      </w:tr>
      <w:tr>
        <w:trPr>
          <w:trHeight w:val="20"/>
        </w:trPr>
        <w:tc>
          <w:tcPr>
            <w:tcW w:w="4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GOODWILL AND OTHER 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presents a summary of goodwill and other intangible assets (dollars in millions):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3"/>
              </w:rPr>
              <w:t>Expected useful</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5820" w:type="dxa"/>
            <w:vAlign w:val="bottom"/>
          </w:tcPr>
          <w:p>
            <w:pPr>
              <w:spacing w:after="0"/>
              <w:rPr>
                <w:sz w:val="14"/>
                <w:szCs w:val="14"/>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life (years)</w:t>
            </w:r>
          </w:p>
        </w:tc>
        <w:tc>
          <w:tcPr>
            <w:tcW w:w="18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Indefinite</w:t>
            </w:r>
          </w:p>
        </w:tc>
        <w:tc>
          <w:tcPr>
            <w:tcW w:w="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1,941.0</w:t>
            </w:r>
          </w:p>
        </w:tc>
        <w:tc>
          <w:tcPr>
            <w:tcW w:w="6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1,941.0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Other intangible assets:</w:t>
            </w: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4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3"/>
              </w:rPr>
              <w:t>Indefinite</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870.0</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870.0</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Customer relationships — military</w:t>
            </w: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18.5</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62.3</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 commercial</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16.5</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831.8</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831.8</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Proprietary technology</w:t>
            </w: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12.5</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476.3</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476.3</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10.0</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Patented technology — military</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8.5</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28.2</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Tooling rights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Patented technology — commercial</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5.5</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260.6</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intangible assets — gross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2,551.0</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2,551.0</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(797.4)</w:t>
            </w:r>
          </w:p>
        </w:tc>
        <w:tc>
          <w:tcPr>
            <w:tcW w:w="1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(684.9)</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intangible assets — net</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1,753.6</w:t>
            </w: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1,866.1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of September 30, 2012 and December 31, 2011, the net carrying value of our Goodwill and other intangible assets was $3,694.6 million and $3,807.1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FAIR VALUE OF FINANCIAL INSTRUMENTS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accordance with the FASB’s authoritative accounting guidance on fair value measurements, 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utilizes the best available information that maximizes the use of observable inputs and minimizes the use of unobservable inputs. The Company is able to classify fair value balances based on the observability of those inputs.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12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listed equities and publicly traded bonds.</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Level 2 — Pricing inputs are other than quoted prices in active markets included in Level 1, which are either directly or indirectly observable as of the reported date. Level 2 includes those financial instruments that are valued using models or other valuation methodologies. These models are primarily industry 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14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September 30, 2012 and December 31, 2011, the Company did not have any Level 3 financial assets or liabilities.</w:t>
      </w:r>
    </w:p>
    <w:p>
      <w:pPr>
        <w:spacing w:after="0" w:line="11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Company’s assets and liabilities that are measured at fair value include cash equivalents, available-for-sale securities, derivative instruments, assets held in a rabbi trust and a deferred compensation obligation. The Company’s cash equivalents consist of short-term U.S. Government backed securities. The Company’s available-for-sale securities consist of ordinary shares of Torotrak plc (“Torotrak”) associated with a license and exclusivity agreement with Torotrak. Torotrak’s listed shares are traded on the London Stock Exchange under the ticker symbol “TRK.” The Company’s derivative instruments consist of interest rate swaps, foreign currency forward contracts and commodity swaps. The Company’s assets held in the rabbi trust consist primarily of publicly available mutual funds and target date retirement funds. The Company’s deferred compensation obligation is directly related to the fair value of assets held in the rabbi trust.</w:t>
      </w:r>
    </w:p>
    <w:p>
      <w:pPr>
        <w:spacing w:after="0" w:line="12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Company’s valuation techniques used to fair value cash equivalents, available-for-sale securities, assets held in the rabbi trust and the deferred compensation obligation represent a market approach in active markets for identical assets that qualifies as Level 1 in the fair value hierarchy. The Company’s valuation techniques used to calculate the fair value of derivative instruments represent a market approach with observable inputs that qualify as Level 2 in the fair value hierarchy.</w:t>
      </w:r>
    </w:p>
    <w:p>
      <w:pPr>
        <w:spacing w:after="0" w:line="14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foreign currency contracts consist of forward rate contracts which are intended to hedge exposure of transactions denominated in certain currencies and reduce the impact of currency price volatility on the Company’s financial results. The commodity contracts consist of forward rate contracts which are intended to hedge exposure of transactions involving purchases of component parts containing aluminum and steel and natural gas to power our facilities, reducing the impact of commodity price volatility on the Company’s financial results.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For its foreign currency derivatives, the Company uses independent valuations which use the current spot market data adjusted for the time value of money. The foreign currency hedges are accounted for within the authoritative accounting guidance set forth on accounting for derivative instruments and hedging activities and have been recorded at fair value based upon quoted market rates. The Company generally does not elect to apply hedge accounting under the authoritative accounting guidance and records the unrealized fair value adjustments and realized gains and losses associated with these contracts in Other expense, net in the Condensed Consolidated Statements of Comprehensive Income during the period of change.</w:t>
      </w:r>
    </w:p>
    <w:p>
      <w:pPr>
        <w:spacing w:after="0" w:line="116"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For its commodity derivatives, the Company uses independent valuations which use current quoted market rates adjusted for the time value of money. The fair values are included in Other current and non-current assets and liabilities in the Condensed Consolidated Balance Sheets. The Company has not qualified for hedge accounting treatment for these commodity contracts, and as a result, unrealized fair value adjustments and realized gains and losses are recorded in Other expense, net in the Condensed Consolidated Statements of Comprehensive Income.</w:t>
      </w:r>
    </w:p>
    <w:p>
      <w:pPr>
        <w:spacing w:after="0" w:line="11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For its interest rate derivatives, the Company uses independent valuations which approximate the current economic value of the swaps using prices and rates at the average of the estimated bid and offer for the respective underlying assets. The floating-to-fixed interest rate swaps are based on the LIBOR which is observable at commonly quoted intervals. The fair values are included in other current and non-current liabilities in the Condensed Consolidated Balance Sheets. The Company has not qualified for hedge accounting treatment for the interest rate swaps and, as a result, fair value adjustments are charged directly to Interest expense in the Condensed Consolidated Statements of Comprehensive Income.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following table summarizes the fair value of our financial assets and (liabilities) as of September 30, 2012 and December 31, 2011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7"/>
          </w:tcPr>
          <w:p>
            <w:pPr>
              <w:jc w:val="center"/>
              <w:ind w:right="580"/>
              <w:spacing w:after="0"/>
              <w:rPr>
                <w:sz w:val="20"/>
                <w:szCs w:val="20"/>
                <w:color w:val="auto"/>
              </w:rPr>
            </w:pPr>
            <w:r>
              <w:rPr>
                <w:rFonts w:ascii="Arial" w:cs="Arial" w:eastAsia="Arial" w:hAnsi="Arial"/>
                <w:sz w:val="14"/>
                <w:szCs w:val="14"/>
                <w:b w:val="1"/>
                <w:bCs w:val="1"/>
                <w:color w:val="auto"/>
                <w:w w:val="87"/>
              </w:rPr>
              <w:t>Fair Value Measurements Using</w:t>
            </w: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00" w:type="dxa"/>
            <w:vAlign w:val="bottom"/>
            <w:gridSpan w:val="5"/>
          </w:tcPr>
          <w:p>
            <w:pPr>
              <w:jc w:val="center"/>
              <w:ind w:right="480"/>
              <w:spacing w:after="0" w:line="129" w:lineRule="exact"/>
              <w:rPr>
                <w:sz w:val="20"/>
                <w:szCs w:val="20"/>
                <w:color w:val="auto"/>
              </w:rPr>
            </w:pPr>
            <w:r>
              <w:rPr>
                <w:rFonts w:ascii="Arial" w:cs="Arial" w:eastAsia="Arial" w:hAnsi="Arial"/>
                <w:sz w:val="14"/>
                <w:szCs w:val="14"/>
                <w:b w:val="1"/>
                <w:bCs w:val="1"/>
                <w:color w:val="auto"/>
                <w:w w:val="87"/>
              </w:rPr>
              <w:t>Quoted Prices in Active</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gridSpan w:val="5"/>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Markets for Identical</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4"/>
          </w:tcPr>
          <w:p>
            <w:pPr>
              <w:jc w:val="center"/>
              <w:ind w:left="340"/>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3"/>
          </w:tcPr>
          <w:p>
            <w:pPr>
              <w:jc w:val="center"/>
              <w:ind w:left="220"/>
              <w:spacing w:after="0"/>
              <w:rPr>
                <w:sz w:val="20"/>
                <w:szCs w:val="20"/>
                <w:color w:val="auto"/>
              </w:rPr>
            </w:pPr>
            <w:r>
              <w:rPr>
                <w:rFonts w:ascii="Arial" w:cs="Arial" w:eastAsia="Arial" w:hAnsi="Arial"/>
                <w:sz w:val="14"/>
                <w:szCs w:val="14"/>
                <w:b w:val="1"/>
                <w:bCs w:val="1"/>
                <w:color w:val="auto"/>
                <w:w w:val="84"/>
              </w:rPr>
              <w:t>Assets (Level 1)</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7"/>
          </w:tcPr>
          <w:p>
            <w:pPr>
              <w:jc w:val="center"/>
              <w:ind w:right="600"/>
              <w:spacing w:after="0"/>
              <w:rPr>
                <w:sz w:val="20"/>
                <w:szCs w:val="20"/>
                <w:color w:val="auto"/>
              </w:rPr>
            </w:pPr>
            <w:r>
              <w:rPr>
                <w:rFonts w:ascii="Arial" w:cs="Arial" w:eastAsia="Arial" w:hAnsi="Arial"/>
                <w:sz w:val="14"/>
                <w:szCs w:val="14"/>
                <w:b w:val="1"/>
                <w:bCs w:val="1"/>
                <w:color w:val="auto"/>
                <w:w w:val="89"/>
              </w:rPr>
              <w:t>Observable Inputs (Level 2)</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4"/>
          </w:tcPr>
          <w:p>
            <w:pPr>
              <w:ind w:left="2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tcBorders>
              <w:top w:val="single" w:sz="8" w:color="auto"/>
            </w:tcBorders>
            <w:gridSpan w:val="3"/>
          </w:tcPr>
          <w:p>
            <w:pPr>
              <w:jc w:val="right"/>
              <w:ind w:right="48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8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20" w:type="dxa"/>
            <w:vAlign w:val="bottom"/>
            <w:tcBorders>
              <w:top w:val="single" w:sz="8" w:color="auto"/>
            </w:tcBorders>
            <w:gridSpan w:val="7"/>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20" w:type="dxa"/>
            <w:vAlign w:val="bottom"/>
            <w:tcBorders>
              <w:bottom w:val="single" w:sz="8" w:color="CCEEFF"/>
            </w:tcBorders>
          </w:tcPr>
          <w:p>
            <w:pPr>
              <w:spacing w:after="0"/>
              <w:rPr>
                <w:sz w:val="14"/>
                <w:szCs w:val="14"/>
                <w:color w:val="auto"/>
              </w:rPr>
            </w:pPr>
          </w:p>
        </w:tc>
        <w:tc>
          <w:tcPr>
            <w:tcW w:w="30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w w:val="89"/>
              </w:rPr>
              <w:t>2012</w:t>
            </w:r>
          </w:p>
        </w:tc>
        <w:tc>
          <w:tcPr>
            <w:tcW w:w="4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83"/>
              </w:rPr>
              <w:t>2011</w:t>
            </w:r>
          </w:p>
        </w:tc>
        <w:tc>
          <w:tcPr>
            <w:tcW w:w="2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auto"/>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5.0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Available-for-sale securities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8.4</w:t>
            </w:r>
          </w:p>
        </w:tc>
        <w:tc>
          <w:tcPr>
            <w:tcW w:w="2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92"/>
              <w:spacing w:after="0"/>
              <w:rPr>
                <w:sz w:val="20"/>
                <w:szCs w:val="20"/>
                <w:color w:val="auto"/>
              </w:rPr>
            </w:pPr>
            <w:r>
              <w:rPr>
                <w:rFonts w:ascii="Arial" w:cs="Arial" w:eastAsia="Arial" w:hAnsi="Arial"/>
                <w:sz w:val="18"/>
                <w:szCs w:val="18"/>
                <w:b w:val="1"/>
                <w:bCs w:val="1"/>
                <w:color w:val="auto"/>
                <w:w w:val="95"/>
              </w:rPr>
              <w:t>8.4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Rabbi trust assets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0.1</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b w:val="1"/>
                <w:bCs w:val="1"/>
                <w:color w:val="auto"/>
                <w:w w:val="95"/>
              </w:rPr>
              <w:t>0.1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Deferred compensation obligation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(0.1)</w:t>
            </w:r>
          </w:p>
        </w:tc>
        <w:tc>
          <w:tcPr>
            <w:tcW w:w="26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32"/>
              <w:spacing w:after="0"/>
              <w:rPr>
                <w:sz w:val="20"/>
                <w:szCs w:val="20"/>
                <w:color w:val="auto"/>
              </w:rPr>
            </w:pPr>
            <w:r>
              <w:rPr>
                <w:rFonts w:ascii="Arial" w:cs="Arial" w:eastAsia="Arial" w:hAnsi="Arial"/>
                <w:sz w:val="18"/>
                <w:szCs w:val="18"/>
                <w:b w:val="1"/>
                <w:bCs w:val="1"/>
                <w:color w:val="auto"/>
                <w:w w:val="80"/>
              </w:rPr>
              <w:t>(0.1)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b w:val="1"/>
                <w:bCs w:val="1"/>
                <w:color w:val="auto"/>
                <w:w w:val="95"/>
              </w:rPr>
              <w:t>0.4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Derivative liabilities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(62.0)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(78.9)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4"/>
          </w:tcPr>
          <w:p>
            <w:pPr>
              <w:jc w:val="right"/>
              <w:ind w:right="232"/>
              <w:spacing w:after="0"/>
              <w:rPr>
                <w:sz w:val="20"/>
                <w:szCs w:val="20"/>
                <w:color w:val="auto"/>
              </w:rPr>
            </w:pPr>
            <w:r>
              <w:rPr>
                <w:rFonts w:ascii="Arial" w:cs="Arial" w:eastAsia="Arial" w:hAnsi="Arial"/>
                <w:sz w:val="18"/>
                <w:szCs w:val="18"/>
                <w:b w:val="1"/>
                <w:bCs w:val="1"/>
                <w:color w:val="auto"/>
              </w:rPr>
              <w:t>(62.0)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13.4</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(61.6)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(78.9)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4"/>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(48.2)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F. DEBT</w:t>
            </w: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39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20" w:type="dxa"/>
            <w:vAlign w:val="bottom"/>
            <w:gridSpan w:val="6"/>
          </w:tcPr>
          <w:p>
            <w:pPr>
              <w:ind w:left="460"/>
              <w:spacing w:after="0"/>
              <w:rPr>
                <w:sz w:val="20"/>
                <w:szCs w:val="20"/>
                <w:color w:val="auto"/>
              </w:rPr>
            </w:pPr>
            <w:r>
              <w:rPr>
                <w:rFonts w:ascii="Arial" w:cs="Arial" w:eastAsia="Arial" w:hAnsi="Arial"/>
                <w:sz w:val="18"/>
                <w:szCs w:val="18"/>
                <w:color w:val="auto"/>
                <w:w w:val="94"/>
              </w:rPr>
              <w:t>Long-term debt and maturities are as follows (dollars in millions):</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5"/>
          </w:tcPr>
          <w:p>
            <w:pPr>
              <w:spacing w:after="0"/>
              <w:rPr>
                <w:sz w:val="20"/>
                <w:szCs w:val="20"/>
                <w:color w:val="auto"/>
              </w:rPr>
            </w:pPr>
            <w:r>
              <w:rPr>
                <w:rFonts w:ascii="Arial" w:cs="Arial" w:eastAsia="Arial" w:hAnsi="Arial"/>
                <w:sz w:val="14"/>
                <w:szCs w:val="14"/>
                <w:b w:val="1"/>
                <w:bCs w:val="1"/>
                <w:color w:val="auto"/>
                <w:w w:val="96"/>
              </w:rPr>
              <w:t>December 31,</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30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60" w:type="dxa"/>
            <w:vAlign w:val="bottom"/>
            <w:gridSpan w:val="6"/>
          </w:tcPr>
          <w:p>
            <w:pPr>
              <w:spacing w:after="0"/>
              <w:rPr>
                <w:sz w:val="20"/>
                <w:szCs w:val="20"/>
                <w:color w:val="auto"/>
              </w:rPr>
            </w:pPr>
            <w:r>
              <w:rPr>
                <w:rFonts w:ascii="Arial" w:cs="Arial" w:eastAsia="Arial" w:hAnsi="Arial"/>
                <w:sz w:val="18"/>
                <w:szCs w:val="18"/>
                <w:color w:val="auto"/>
                <w:w w:val="89"/>
              </w:rPr>
              <w:t>Senior Secured Credit Facility Term B-1 Loan, variable, due 2014</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801.3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2,594.9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6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89"/>
              </w:rPr>
              <w:t>Senior Secured Credit Facility Term B-2 Loan, variable, due 2017</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795.1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60" w:type="dxa"/>
            <w:vAlign w:val="bottom"/>
            <w:gridSpan w:val="6"/>
          </w:tcPr>
          <w:p>
            <w:pPr>
              <w:spacing w:after="0"/>
              <w:rPr>
                <w:sz w:val="20"/>
                <w:szCs w:val="20"/>
                <w:color w:val="auto"/>
              </w:rPr>
            </w:pPr>
            <w:r>
              <w:rPr>
                <w:rFonts w:ascii="Arial" w:cs="Arial" w:eastAsia="Arial" w:hAnsi="Arial"/>
                <w:sz w:val="18"/>
                <w:szCs w:val="18"/>
                <w:color w:val="auto"/>
                <w:w w:val="89"/>
              </w:rPr>
              <w:t>Senior Secured Credit Facility Term B-3 Loan, variable, due 2019</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847.9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4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Cash Pay Notes, fixed 7.125%, due 2019</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471.3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471.3</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w w:val="88"/>
              </w:rPr>
              <w:t>Senior Cash Pay Notes, fixed 11.0%, due 2015</w:t>
            </w: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ind w:left="4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309.8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long-term debt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2,915.6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3,376.0</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1"/>
              </w:rPr>
              <w:t>Less: current maturities of long-term debt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16.5</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90"/>
              </w:rPr>
              <w:t>Total long-term debt less current portion</w:t>
            </w: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2,899.1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3,345.0</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of September 30, 2012, the Company had $801.3 million of indebtedness associated with ATI’s Senior Secured Credit Facility Term B-1 Loan due 2014 (“Term B-1 Loan”), $795.1 million of indebtedness associated with ATI’s Senior Secured Credit Facility Term B-2 Loan due 2017 (“Term B-2 Loan”) and $847.9 million of indebtedness associated with ATI’s Senior Secured Credit Facility Term B-3 Loan due 2019 (“Term B-3 Loan”), (together the Term B-1 Loan, Term B-2 Loan, Term B-3 Loan and revolving credit facility defined as the “Senior Secured Credit Facility”). The Company also had indebtedness of $471.3 million of ATI’s 7.125% senior cash pay notes due May 2019 (“7.125% Senior Notes”).</w:t>
      </w:r>
    </w:p>
    <w:p>
      <w:pPr>
        <w:spacing w:after="0" w:line="116"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The fair value of the Company’s long-term debt obligations as of September 30, 2012 was $2,954.1 million. The fair value is based on quoted Level 1 market yields as of September 30, 2012. It is not expected that the Company would be able to repurchase a significant amount of its debt at these levels. The difference between the fair value and carrying value of the long-term debt is driven primarily by trends in the financial markets.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90"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In 2007, ATI entered into a Senior Secured Credit Facility having a term loan in the amount of $3,100.0 million with a maturity date of August 2014. In March 2012, ATI entered into an amendment with the term loan lenders under its Senior Secured Credit Facility to extend the maturity of $801.1 million in principal amount of term loan debt from August 7, 2014 to August 7, 2017 and to increase the applicable margin over the LIBOR for such extended term loan to 3.50%. As a result of the debt modification, the Company recorded an additional $2.3 million as deferred financing fees in the Condensed Consolidated Balance Sheets and extended the amortization period of $5.1 million of deferred financing fees from 2014 to 2017. In August 2012, ATI entered into an amendment with the term loan lenders under its Senior Secured Credit Facility to extend the maturity of $850.0 million of term loan debt from August 7, 2014 to August 23, 2019 and to increase the applicable margin over the LIBOR (but not less than 1%) for such extended term loan to either 3.00% or 3.25%, subject to the Company’s total leverage ratio. The amendment was treated as an extinguishment of debt under GAAP, and thus the Company expensed $4.5 million of deferred financing fees and recorded $16.1 million of new deferred financing fees in the condensed consolidated financial statements.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Senior Secured Credit Facility is collateralized by a lien on substantially all assets of the Company. Interest on the Term B-1 Loan is variable and currently equal to the LIBOR plus 2.75% based on the Company’s total senior secured leverage ratio; interest on the Term B-2 Loan is variable and currently equal to the LIBOR plus 3.50%; and interest on the Term B-3 Loan is variable and currently equal to the LIBOR (but not less than 1.00%) plus 3.25% based on the Company’s total leverage ratio. As of September 30, 2012, these rates were approximately 2.72%, 3.72% and 4.25% on the Term B-1 Loan, Term B-2 Loan and Term B-3 Loan, respectively, and the weighted average rate on the Senior Secured Credit Facility was approximately 3.58%. The Senior Secured Credit Facility requires minimum quarterly principal payments of $7.75 million on the term loans, which commenced December 2007, as well as prepayments from certain net cash proceeds of non-ordinary course asset sales and casualty and condemnation events and from a percentage of excess cash flow, if applicable. As of September 30, 2012, there had been no payments required for certain net cash proceeds of non-ordinary course asset sales and casualty and condemnation events. Due to voluntary prepayments, the Company has fulfilled all Term B-1 Loan required quarterly payments through its maturity date of 2014. The minimum required quarterly principal payments on the Term B-2 Loan and Term B-3 Loan are $2.0 million and $2.1 million, respectively, and remain through the maturity dates of 2017 and 2019, respectively. The remaining principal balance on each loan is due upon maturity.</w:t>
      </w:r>
    </w:p>
    <w:p>
      <w:pPr>
        <w:spacing w:after="0" w:line="12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accordance with the Senior Secured Credit Facility, net cash proceeds of non-ordinary course asset sales and casualty and condemnation events will only be required to prepay the term loan if the Company does not reinvest or commit to reinvest such net cash proceeds in assets to be used in its business or to make certain other permitted investments within 15 months of the related transactions or events, subject to certain limitations. The Company must apply 50% of its annual excess cash flow (as defined in the Senior Secured Credit Facility) to the prepayment of the Senior Secured Credit Facility, however this percentage reduces to certain levels and eventually to zero upon achievement of certain total senior secured leverage ratios. For the year ended December 31, 2011, the excess cash flow percentage was 0%, and as a result, the Company was not required to make an excess cash flow payment.</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Senior Secured Credit Facility also provides for $400.0 million in revolving credit borrowings, net of an allowance for up to $50.0 million in outstanding letter of credit commitments. During the third quarter of 2012, the Company borrowed $7.5 million on its revolving credit facility as part of its debt management plans and subsequently repaid the amounts within the third quarter. As of September 30, 2012, the Company had $371.7 million available under the revolving credit facility, net of $28.3 million in letters of credit. Revolving credit borrowings bear interest at a variable base rate plus an applicable margin based on the Company’s total senior secured leverage ratio. As of September 30, 2012, this rate would have been between approximately 2.97% and 5.00%. In addition, there is an annual commitment fee, based on the Company’s total senior secured leverage ratio, which is currently equal to 0.375% of the average unused revolving credit borrowings available under the Senior Secured Credit Facility. Revolving credit borrowings are payable at the option of the Company throughout the term of the Senior Secured Credit Facility, with the balance due in August 2016, or August 2014 as long as the Term B-1 Loan is outstanding.</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November 2008, ATI entered into an amendment to its Senior Secured Credit Facility that permits it to make discounted voluntary prepayments of its term loan in an aggregated amount not to exceed $750.0 million pursuant to a modified Dutch auction. As part of the May 2011 amendment to the Senior Secured Credit Facility, the amount available for discounted voluntary prepayments of the term loan pursuant to a modified Dutch auction was reset to $750.0 million. This provision is available to the Company for so long as the term loans are outstanding. For the three and nine months ended September 30, 2012 and 2011, the Company did not repurchase any of its term loans under this amendment.</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May 2011, ATI effectively amended some of its terms under the revolving credit facility including extending the term from August 2013 to August 2016, or August 2014 as long as the Term B-1 Loan is outstanding, and increasing the borrowing capacity from $317.5 million to $400.0 million. As a result, the Company recorded an additional $4.2 million as deferred financing fees in the Condensed Consolidated Balance Sheets and $0.9 million as deferred financing fees expensed in the Condensed Consolidated Statements of Comprehensive Income. All deferred financing fees associated with the revolving credit facility will be amortized to Interest expense on a straight-line basis over the term of the revolving credit facility.</w:t>
      </w:r>
    </w:p>
    <w:p>
      <w:pPr>
        <w:spacing w:after="0" w:line="116"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In addition, the Company made principal payments of $150.5 million and $82.8 million on the Senior Secured Credit Facility for the nine months ended September 30, 2012 and 2011, respectively. The principal payments made on the Senior Secured Credit Facility for the nine months ended September 30, 2012 and 2011 resulted in losses of $0.8 million and $0.6 million, respectively, associated with the write off of related deferred debt issuance costs.</w:t>
      </w:r>
    </w:p>
    <w:p>
      <w:pPr>
        <w:spacing w:after="0" w:line="107"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The Senior Secured Credit Facility requires the Company to maintain a specified maximum total senior secured leverage ratio. As of September 30, 2012, the Company was in compliance with the maximum total senior secured leverage ratio achieving a 3.24x ratio versus a 5.50x requirement threshold. Within the terms of the Senior Secured Credit Facility, a senior secured leverage ratio below 3.50x results in elimination of excess cash flow payments on the term loan for the applicable year. This reduction remains in effect as long as the Company continues to achieve a senior secured leverage ratio below 3.50x.</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the Senior Secured Credit Facility, among other things, includes customary restrictions (subject to certain exceptions) on the Company’s ability to incur certain indebtedness, grant certain liens, make certain investments or declare or pay certain dividends. As of September 30, 2012, the Company is in compliance with all covenants under the Senior Secured Credit Facility.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Notes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may from time to time seek to retire the 7.125% Senior Notes through cash purchases and/or exchanges for equity securities, in open market purchases, privately negotiated transactions, contractual redemptions or otherwise. Such repurchases or exchanges, if any, will depend on prevailing market conditions, liquidity requirements, contractual restrictions and other factors. The amounts involved may be material. Prior to May 15, 2015, the Company may redeem some or all of the 7.125% Senior Notes by paying the applicable “make-whole” premium. At any time on or after May 15, 2015, the Company may redeem some or all of the 7.125% Senior Notes at specified redemption prices in the governing indenture.</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7.125% Senior Notes are unsecured and guaranteed by the subsidiaries that guarantee the Senior Secured Credit Facility and will be unconditionally guaranteed, jointly and severally, by any future domestic subsidiaries that guarantee the Senior Secured Credit Facility.</w:t>
      </w:r>
    </w:p>
    <w:p>
      <w:pPr>
        <w:spacing w:after="0" w:line="132"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In February 2012, the Company redeemed $200.0 million of ATI’s 11.0% senior cash pay notes due November 2015 (“11.0% Senior Notes”) resulting in a loss (the premium between the purchase price of the notes and the face value of such notes) of $13.5 million, including deferred financing fees written off.</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May 2012, the Company redeemed the remaining $109.8 million of the 11.0% Senior Notes resulting in a loss (the premium between the purchase price of the notes and the face value of such notes) of $7.3 million, including deferred financing fees written off.</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Notes Payable</w:t>
      </w:r>
    </w:p>
    <w:p>
      <w:pPr>
        <w:spacing w:after="0" w:line="90"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As of September 30, 2012 the Company had no short-term notes payable. As of December 31, 2011, the Company had Japanese Yen denominated unsecured short-term notes of 200 million Yen (approximately $2.6 million) with a weighted average interest rate of 1.24%.</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DERIVATIVES</w:t>
      </w:r>
    </w:p>
    <w:p>
      <w:pPr>
        <w:spacing w:after="0" w:line="96" w:lineRule="exact"/>
        <w:rPr>
          <w:sz w:val="20"/>
          <w:szCs w:val="20"/>
          <w:color w:val="auto"/>
        </w:rPr>
      </w:pPr>
    </w:p>
    <w:p>
      <w:pPr>
        <w:jc w:val="both"/>
        <w:ind w:right="420" w:firstLine="456"/>
        <w:spacing w:after="0" w:line="256" w:lineRule="auto"/>
        <w:rPr>
          <w:sz w:val="20"/>
          <w:szCs w:val="20"/>
          <w:color w:val="auto"/>
        </w:rPr>
      </w:pPr>
      <w:r>
        <w:rPr>
          <w:rFonts w:ascii="Arial" w:cs="Arial" w:eastAsia="Arial" w:hAnsi="Arial"/>
          <w:sz w:val="18"/>
          <w:szCs w:val="18"/>
          <w:color w:val="auto"/>
        </w:rPr>
        <w:t>The Company is exposed to certain financial risk from volatility in interest rates, foreign exchange rates and commodity prices. The risk is managed through the use of financial derivative instruments including interest rate swaps, foreign currency forward contracts and commodity swaps. The Company’s current derivative instruments are used strictly as an economic hedge and not for speculative purposes. As necessary, the Company adjusts the values of the derivative instruments for counter-party or credit risk.</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maturities of the interest rate swaps outstanding as of September 30, 2012 and December 31, 2011 do not correspond with the maturity of the term loans, but the interest rate swaps are similar to the term loans in all other respects. The Company has not qualified for hedge accounting treatment for these derivatives, and as a result, fair value adjustments are charged directly to Interest expense in the Condensed Consolidated Statements of Comprehensive Income. A summary of the Company’s interest rate derivatives as of September 30, 2012 and December 31, 2011 follows (dollars in millions):</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4"/>
              </w:rPr>
              <w:t>September 30, 2012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8"/>
              </w:rPr>
              <w:t>December 31, 2011</w:t>
            </w:r>
          </w:p>
        </w:tc>
      </w:tr>
      <w:tr>
        <w:trPr>
          <w:trHeight w:val="129"/>
        </w:trPr>
        <w:tc>
          <w:tcPr>
            <w:tcW w:w="6800" w:type="dxa"/>
            <w:vAlign w:val="bottom"/>
          </w:tcPr>
          <w:p>
            <w:pPr>
              <w:spacing w:after="0"/>
              <w:rPr>
                <w:sz w:val="11"/>
                <w:szCs w:val="11"/>
                <w:color w:val="auto"/>
              </w:rPr>
            </w:pPr>
          </w:p>
        </w:tc>
        <w:tc>
          <w:tcPr>
            <w:tcW w:w="1000" w:type="dxa"/>
            <w:vAlign w:val="bottom"/>
            <w:tcBorders>
              <w:top w:val="single" w:sz="8" w:color="auto"/>
            </w:tcBorders>
            <w:gridSpan w:val="3"/>
          </w:tcPr>
          <w:p>
            <w:pPr>
              <w:jc w:val="right"/>
              <w:ind w:right="440"/>
              <w:spacing w:after="0" w:line="129" w:lineRule="exact"/>
              <w:rPr>
                <w:sz w:val="20"/>
                <w:szCs w:val="20"/>
                <w:color w:val="auto"/>
              </w:rPr>
            </w:pPr>
            <w:r>
              <w:rPr>
                <w:rFonts w:ascii="Arial" w:cs="Arial" w:eastAsia="Arial" w:hAnsi="Arial"/>
                <w:sz w:val="14"/>
                <w:szCs w:val="14"/>
                <w:b w:val="1"/>
                <w:bCs w:val="1"/>
                <w:color w:val="auto"/>
                <w:w w:val="96"/>
              </w:rPr>
              <w:t>Notional</w:t>
            </w:r>
          </w:p>
        </w:tc>
        <w:tc>
          <w:tcPr>
            <w:tcW w:w="1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Notional</w:t>
            </w:r>
          </w:p>
        </w:tc>
        <w:tc>
          <w:tcPr>
            <w:tcW w:w="3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6800" w:type="dxa"/>
            <w:vAlign w:val="bottom"/>
          </w:tcPr>
          <w:p>
            <w:pPr>
              <w:spacing w:after="0"/>
              <w:rPr>
                <w:sz w:val="14"/>
                <w:szCs w:val="14"/>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8"/>
              </w:rPr>
              <w:t>Amount</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3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6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Rate Swap D, due 2013</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125.0</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Interest Rate Swap E, due 2013</w:t>
            </w: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150.0</w:t>
            </w: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150.0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F, due 2013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75.0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Interest Rate Swap G, due 2013</w:t>
            </w: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75.0</w:t>
            </w: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H, due 2014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350.0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Interest Rate Swap I, due 2014</w:t>
            </w: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350.0</w:t>
            </w: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350.0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(27.5)</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J, due 2014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125.0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Interest Rate Swap K, due 2014</w:t>
            </w: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125.0</w:t>
            </w: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125.0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7"/>
        </w:trPr>
        <w:tc>
          <w:tcPr>
            <w:tcW w:w="6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83"/>
              </w:rPr>
              <w:t>1,375.0</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1,375.0</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(77.8)</w:t>
            </w:r>
          </w:p>
        </w:tc>
      </w:tr>
      <w:tr>
        <w:trPr>
          <w:trHeight w:val="20"/>
        </w:trPr>
        <w:tc>
          <w:tcPr>
            <w:tcW w:w="6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Certain of the Company’s interest rate derivatives contain credit-risk and collateral contingent features under which downgrades in the Company’s credit rating could require the Company to increase its collateral. Certain interest rate derivatives also contain provisions under which the Company may be required to post additional collateral if the LIBOR interest rate curve reaches certain levels.</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As of September 30, 2012 and December 31, 2011, the Company had recorded collateral of $2.7 million and $2.0 million, respectively, in Other current assets in the Condensed Consolidated Balance Sheets, as the balances are subject to frequent change.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Currency Exchange</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Company’s business is subject to foreign exchange rate risk. As a result, the Company enters into various forward rate contracts that qualify as derivatives under the authoritative accounting guidance to manage certain of these exposures. Forward contracts are used to hedge forecasted transactions and known exposure of payables denominated in a foreign currency. The Company generally does not elect to apply hedge accounting under the authoritative accounting guidance and records the unrealized fair value adjustments and realized gains and losses associated with these contracts in Other expense, net in the Condensed Consolidated Statements of Comprehensive Income during the period of change.</w:t>
      </w:r>
    </w:p>
    <w:p>
      <w:pPr>
        <w:spacing w:after="0" w:line="11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following table summarizes the outstanding foreign currency forward contracts as of September 30, 2012 and December 31, 2011 (amounts in millions):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6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4"/>
                <w:szCs w:val="14"/>
                <w:b w:val="1"/>
                <w:bCs w:val="1"/>
                <w:color w:val="auto"/>
              </w:rPr>
              <w:t>September 30, 2012</w:t>
            </w:r>
          </w:p>
        </w:tc>
        <w:tc>
          <w:tcPr>
            <w:tcW w:w="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w w:val="90"/>
              </w:rPr>
              <w:t>December 31, 2011</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0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960" w:type="dxa"/>
            <w:vAlign w:val="bottom"/>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w w:val="85"/>
              </w:rPr>
              <w:t>Notional</w:t>
            </w: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20"/>
              <w:spacing w:after="0" w:line="129" w:lineRule="exact"/>
              <w:rPr>
                <w:sz w:val="20"/>
                <w:szCs w:val="20"/>
                <w:color w:val="auto"/>
              </w:rPr>
            </w:pPr>
            <w:r>
              <w:rPr>
                <w:rFonts w:ascii="Arial" w:cs="Arial" w:eastAsia="Arial" w:hAnsi="Arial"/>
                <w:sz w:val="14"/>
                <w:szCs w:val="14"/>
                <w:color w:val="auto"/>
              </w:rPr>
              <w:t>Notional</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4080" w:type="dxa"/>
            <w:vAlign w:val="bottom"/>
          </w:tcPr>
          <w:p>
            <w:pPr>
              <w:spacing w:after="0"/>
              <w:rPr>
                <w:sz w:val="14"/>
                <w:szCs w:val="14"/>
                <w:color w:val="auto"/>
              </w:rPr>
            </w:pPr>
          </w:p>
        </w:tc>
        <w:tc>
          <w:tcPr>
            <w:tcW w:w="33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Amount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6"/>
              </w:rPr>
              <w:t>Fair Value</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color w:val="auto"/>
              </w:rPr>
              <w:t>Amount</w:t>
            </w:r>
          </w:p>
        </w:tc>
        <w:tc>
          <w:tcPr>
            <w:tcW w:w="680" w:type="dxa"/>
            <w:vAlign w:val="bottom"/>
            <w:gridSpan w:val="3"/>
          </w:tcPr>
          <w:p>
            <w:pPr>
              <w:ind w:left="20"/>
              <w:spacing w:after="0"/>
              <w:rPr>
                <w:sz w:val="20"/>
                <w:szCs w:val="20"/>
                <w:color w:val="auto"/>
              </w:rPr>
            </w:pPr>
            <w:r>
              <w:rPr>
                <w:rFonts w:ascii="Arial" w:cs="Arial" w:eastAsia="Arial" w:hAnsi="Arial"/>
                <w:sz w:val="14"/>
                <w:szCs w:val="14"/>
                <w:color w:val="auto"/>
              </w:rPr>
              <w:t>Fair Value</w:t>
            </w:r>
          </w:p>
        </w:tc>
      </w:tr>
      <w:tr>
        <w:trPr>
          <w:trHeight w:val="210"/>
        </w:trPr>
        <w:tc>
          <w:tcPr>
            <w:tcW w:w="4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Indian Rupee (INR)</w:t>
            </w:r>
          </w:p>
        </w:tc>
        <w:tc>
          <w:tcPr>
            <w:tcW w:w="2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N/A</w:t>
            </w:r>
          </w:p>
        </w:tc>
        <w:tc>
          <w:tcPr>
            <w:tcW w:w="4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British Pound (GBP)</w:t>
            </w:r>
          </w:p>
        </w:tc>
        <w:tc>
          <w:tcPr>
            <w:tcW w:w="236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N/A</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Canadian Dollar (CAD)</w:t>
            </w:r>
          </w:p>
        </w:tc>
        <w:tc>
          <w:tcPr>
            <w:tcW w:w="2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N/A</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86"/>
              </w:rPr>
              <w:t>C$</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22"/>
        </w:trPr>
        <w:tc>
          <w:tcPr>
            <w:tcW w:w="40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   —</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r>
      <w:tr>
        <w:trPr>
          <w:trHeight w:val="20"/>
        </w:trPr>
        <w:tc>
          <w:tcPr>
            <w:tcW w:w="4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5656580</wp:posOffset>
            </wp:positionH>
            <wp:positionV relativeFrom="paragraph">
              <wp:posOffset>-591185</wp:posOffset>
            </wp:positionV>
            <wp:extent cx="68580" cy="1028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02870"/>
                    </a:xfrm>
                    <a:prstGeom prst="rect">
                      <a:avLst/>
                    </a:prstGeom>
                    <a:noFill/>
                  </pic:spPr>
                </pic:pic>
              </a:graphicData>
            </a:graphic>
          </wp:anchor>
        </w:drawing>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Commodity</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a result of the Company’s commodity price risk, primarily with component suppliers, it has chosen to manage steel, aluminum and natural gas exposure by entering into commodity swap contracts that qualify as derivatives under authoritative accounting guidance. The Company has not qualified for hedge accounting treatment for these commodity contracts and, as a result, unrealized fair value adjustments and realized gains and losses will be charged directly to Other expense, net in the Condensed Consolidated Statements of Comprehensive Income.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outstanding commodity swaps as of September 30, 2012 and December 31, 2011 (dollars in millions):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5"/>
              </w:rPr>
              <w:t>September 30, 2012</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December 31, 2011</w:t>
            </w: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6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7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Notional</w:t>
            </w: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Notional</w:t>
            </w: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6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Quantity</w:t>
            </w:r>
          </w:p>
        </w:tc>
        <w:tc>
          <w:tcPr>
            <w:tcW w:w="2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Quantity</w:t>
            </w:r>
          </w:p>
        </w:tc>
        <w:tc>
          <w:tcPr>
            <w:tcW w:w="1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Aluminum</w:t>
            </w:r>
          </w:p>
        </w:tc>
        <w:tc>
          <w:tcPr>
            <w:tcW w:w="17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19.8</w:t>
            </w:r>
          </w:p>
        </w:tc>
        <w:tc>
          <w:tcPr>
            <w:tcW w:w="2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9,125 metric tons</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17.0</w:t>
            </w: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7,725 metric tons</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0"/>
              </w:rPr>
              <w:t>(1.0)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Steel</w:t>
            </w:r>
          </w:p>
        </w:tc>
        <w:tc>
          <w:tcPr>
            <w:tcW w:w="1920" w:type="dxa"/>
            <w:vAlign w:val="bottom"/>
            <w:gridSpan w:val="2"/>
          </w:tcPr>
          <w:p>
            <w:pPr>
              <w:ind w:left="178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0.7</w:t>
            </w: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1,420 metric tons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(0.2)</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0.5</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900 metric tons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7"/>
              </w:rPr>
              <w:t>(0.0)</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Natural Gas</w:t>
            </w:r>
          </w:p>
        </w:tc>
        <w:tc>
          <w:tcPr>
            <w:tcW w:w="1920" w:type="dxa"/>
            <w:vAlign w:val="bottom"/>
            <w:gridSpan w:val="2"/>
            <w:shd w:val="clear" w:color="auto" w:fill="CCEEFF"/>
          </w:tcPr>
          <w:p>
            <w:pPr>
              <w:ind w:left="178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0.4</w:t>
            </w:r>
          </w:p>
        </w:tc>
        <w:tc>
          <w:tcPr>
            <w:tcW w:w="14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93"/>
              </w:rPr>
              <w:t>130,000 MMBtu</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0.1</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80,000 MMBtu</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(0.0)</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1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7"/>
              </w:rPr>
              <w:t>(1.0)</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tabular disclosures further describe the Company’s derivative instruments and their impact on the financial condition of the Company (dollars in millions):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920" w:type="dxa"/>
            <w:vAlign w:val="bottom"/>
            <w:tcBorders>
              <w:bottom w:val="single" w:sz="8" w:color="auto"/>
            </w:tcBorders>
            <w:gridSpan w:val="2"/>
          </w:tcPr>
          <w:p>
            <w:pPr>
              <w:ind w:left="700"/>
              <w:spacing w:after="0"/>
              <w:rPr>
                <w:sz w:val="20"/>
                <w:szCs w:val="20"/>
                <w:color w:val="auto"/>
              </w:rPr>
            </w:pPr>
            <w:r>
              <w:rPr>
                <w:rFonts w:ascii="Arial" w:cs="Arial" w:eastAsia="Arial" w:hAnsi="Arial"/>
                <w:sz w:val="14"/>
                <w:szCs w:val="14"/>
                <w:b w:val="1"/>
                <w:bCs w:val="1"/>
                <w:color w:val="auto"/>
                <w:w w:val="91"/>
              </w:rPr>
              <w:t>September 30, 2012</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w w:val="87"/>
              </w:rPr>
              <w:t>December 31, 2011</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192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Balance Sheet Location</w:t>
            </w:r>
          </w:p>
        </w:tc>
        <w:tc>
          <w:tcPr>
            <w:tcW w:w="20" w:type="dxa"/>
            <w:vAlign w:val="bottom"/>
          </w:tcPr>
          <w:p>
            <w:pPr>
              <w:spacing w:after="0"/>
              <w:rPr>
                <w:sz w:val="12"/>
                <w:szCs w:val="12"/>
                <w:color w:val="auto"/>
              </w:rPr>
            </w:pPr>
          </w:p>
        </w:tc>
        <w:tc>
          <w:tcPr>
            <w:tcW w:w="6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6"/>
              </w:rPr>
              <w:t>Fair Value</w:t>
            </w:r>
          </w:p>
        </w:tc>
        <w:tc>
          <w:tcPr>
            <w:tcW w:w="380" w:type="dxa"/>
            <w:vAlign w:val="bottom"/>
            <w:gridSpan w:val="2"/>
          </w:tcPr>
          <w:p>
            <w:pPr>
              <w:spacing w:after="0"/>
              <w:rPr>
                <w:sz w:val="12"/>
                <w:szCs w:val="12"/>
                <w:color w:val="auto"/>
              </w:rPr>
            </w:pPr>
          </w:p>
        </w:tc>
        <w:tc>
          <w:tcPr>
            <w:tcW w:w="18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Balance Sheet Location</w:t>
            </w:r>
          </w:p>
        </w:tc>
        <w:tc>
          <w:tcPr>
            <w:tcW w:w="20" w:type="dxa"/>
            <w:vAlign w:val="bottom"/>
          </w:tcPr>
          <w:p>
            <w:pPr>
              <w:spacing w:after="0"/>
              <w:rPr>
                <w:sz w:val="12"/>
                <w:szCs w:val="12"/>
                <w:color w:val="auto"/>
              </w:rPr>
            </w:pPr>
          </w:p>
        </w:tc>
        <w:tc>
          <w:tcPr>
            <w:tcW w:w="6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Derivatives not designated as hedging instruments</w:t>
            </w:r>
          </w:p>
        </w:tc>
        <w:tc>
          <w:tcPr>
            <w:tcW w:w="16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040" w:type="dxa"/>
            <w:vAlign w:val="bottom"/>
          </w:tcPr>
          <w:p>
            <w:pPr>
              <w:ind w:left="440"/>
              <w:spacing w:after="0"/>
              <w:rPr>
                <w:sz w:val="20"/>
                <w:szCs w:val="20"/>
                <w:color w:val="auto"/>
              </w:rPr>
            </w:pPr>
            <w:r>
              <w:rPr>
                <w:rFonts w:ascii="Arial" w:cs="Arial" w:eastAsia="Arial" w:hAnsi="Arial"/>
                <w:sz w:val="18"/>
                <w:szCs w:val="18"/>
                <w:color w:val="auto"/>
              </w:rPr>
              <w:t>Foreign currency contracts</w:t>
            </w:r>
          </w:p>
        </w:tc>
        <w:tc>
          <w:tcPr>
            <w:tcW w:w="1920" w:type="dxa"/>
            <w:vAlign w:val="bottom"/>
            <w:gridSpan w:val="2"/>
            <w:vMerge w:val="restart"/>
          </w:tcPr>
          <w:p>
            <w:pPr>
              <w:ind w:left="660"/>
              <w:spacing w:after="0"/>
              <w:rPr>
                <w:sz w:val="20"/>
                <w:szCs w:val="20"/>
                <w:color w:val="auto"/>
              </w:rPr>
            </w:pPr>
            <w:r>
              <w:rPr>
                <w:rFonts w:ascii="Arial" w:cs="Arial" w:eastAsia="Arial" w:hAnsi="Arial"/>
                <w:sz w:val="18"/>
                <w:szCs w:val="18"/>
                <w:b w:val="1"/>
                <w:bCs w:val="1"/>
                <w:color w:val="auto"/>
              </w:rPr>
              <w:t>N/A</w:t>
            </w:r>
          </w:p>
        </w:tc>
        <w:tc>
          <w:tcPr>
            <w:tcW w:w="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3"/>
            <w:vMerge w:val="restart"/>
          </w:tcPr>
          <w:p>
            <w:pPr>
              <w:jc w:val="right"/>
              <w:ind w:right="480"/>
              <w:spacing w:after="0"/>
              <w:rPr>
                <w:sz w:val="20"/>
                <w:szCs w:val="20"/>
                <w:color w:val="auto"/>
              </w:rPr>
            </w:pPr>
            <w:r>
              <w:rPr>
                <w:rFonts w:ascii="Arial" w:cs="Arial" w:eastAsia="Arial" w:hAnsi="Arial"/>
                <w:sz w:val="18"/>
                <w:szCs w:val="18"/>
                <w:b w:val="1"/>
                <w:bCs w:val="1"/>
                <w:color w:val="auto"/>
              </w:rPr>
              <w:t>—</w:t>
            </w:r>
          </w:p>
        </w:tc>
        <w:tc>
          <w:tcPr>
            <w:tcW w:w="1800" w:type="dxa"/>
            <w:vAlign w:val="bottom"/>
            <w:gridSpan w:val="2"/>
          </w:tcPr>
          <w:p>
            <w:pPr>
              <w:spacing w:after="0"/>
              <w:rPr>
                <w:sz w:val="20"/>
                <w:szCs w:val="20"/>
                <w:color w:val="auto"/>
              </w:rPr>
            </w:pPr>
            <w:r>
              <w:rPr>
                <w:rFonts w:ascii="Arial" w:cs="Arial" w:eastAsia="Arial" w:hAnsi="Arial"/>
                <w:sz w:val="18"/>
                <w:szCs w:val="18"/>
                <w:color w:val="auto"/>
              </w:rPr>
              <w:t>Other non-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19"/>
                <w:szCs w:val="19"/>
                <w:color w:val="auto"/>
              </w:rPr>
            </w:pPr>
          </w:p>
        </w:tc>
        <w:tc>
          <w:tcPr>
            <w:tcW w:w="1920" w:type="dxa"/>
            <w:vAlign w:val="bottom"/>
            <w:gridSpan w:val="2"/>
            <w:vMerge w:val="continue"/>
          </w:tcPr>
          <w:p>
            <w:pPr>
              <w:spacing w:after="0"/>
              <w:rPr>
                <w:sz w:val="19"/>
                <w:szCs w:val="19"/>
                <w:color w:val="auto"/>
              </w:rPr>
            </w:pPr>
          </w:p>
        </w:tc>
        <w:tc>
          <w:tcPr>
            <w:tcW w:w="160" w:type="dxa"/>
            <w:vAlign w:val="bottom"/>
            <w:gridSpan w:val="2"/>
            <w:vMerge w:val="continue"/>
          </w:tcPr>
          <w:p>
            <w:pPr>
              <w:spacing w:after="0"/>
              <w:rPr>
                <w:sz w:val="19"/>
                <w:szCs w:val="19"/>
                <w:color w:val="auto"/>
              </w:rPr>
            </w:pPr>
          </w:p>
        </w:tc>
        <w:tc>
          <w:tcPr>
            <w:tcW w:w="840" w:type="dxa"/>
            <w:vAlign w:val="bottom"/>
            <w:gridSpan w:val="3"/>
            <w:vMerge w:val="continue"/>
          </w:tcPr>
          <w:p>
            <w:pPr>
              <w:spacing w:after="0"/>
              <w:rPr>
                <w:sz w:val="19"/>
                <w:szCs w:val="19"/>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440"/>
              <w:spacing w:after="0" w:line="203" w:lineRule="exact"/>
              <w:rPr>
                <w:sz w:val="20"/>
                <w:szCs w:val="20"/>
                <w:color w:val="auto"/>
              </w:rPr>
            </w:pPr>
            <w:r>
              <w:rPr>
                <w:rFonts w:ascii="Arial" w:cs="Arial" w:eastAsia="Arial" w:hAnsi="Arial"/>
                <w:sz w:val="18"/>
                <w:szCs w:val="18"/>
                <w:color w:val="auto"/>
              </w:rPr>
              <w:t>Commodity contracts</w:t>
            </w:r>
          </w:p>
        </w:tc>
        <w:tc>
          <w:tcPr>
            <w:tcW w:w="19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Other current and</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Other current and</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0.4</w:t>
            </w:r>
          </w:p>
        </w:tc>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2"/>
        </w:trPr>
        <w:tc>
          <w:tcPr>
            <w:tcW w:w="5040" w:type="dxa"/>
            <w:vAlign w:val="bottom"/>
          </w:tcPr>
          <w:p>
            <w:pPr>
              <w:spacing w:after="0"/>
              <w:rPr>
                <w:sz w:val="17"/>
                <w:szCs w:val="17"/>
                <w:color w:val="auto"/>
              </w:rPr>
            </w:pPr>
          </w:p>
        </w:tc>
        <w:tc>
          <w:tcPr>
            <w:tcW w:w="19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Other current and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4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(0.5)</w:t>
            </w: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440"/>
              <w:spacing w:after="0" w:line="203" w:lineRule="exact"/>
              <w:rPr>
                <w:sz w:val="20"/>
                <w:szCs w:val="20"/>
                <w:color w:val="auto"/>
              </w:rPr>
            </w:pPr>
            <w:r>
              <w:rPr>
                <w:rFonts w:ascii="Arial" w:cs="Arial" w:eastAsia="Arial" w:hAnsi="Arial"/>
                <w:sz w:val="18"/>
                <w:szCs w:val="18"/>
                <w:color w:val="auto"/>
              </w:rPr>
              <w:t>Interest rate contracts</w:t>
            </w:r>
          </w:p>
        </w:tc>
        <w:tc>
          <w:tcPr>
            <w:tcW w:w="19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Other current and</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Other current and</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(61.5)</w:t>
            </w:r>
          </w:p>
        </w:tc>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Total derivatives not designated as hedging instruments</w:t>
            </w:r>
          </w:p>
        </w:tc>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gridSpan w:val="2"/>
            <w:vMerge w:val="restart"/>
          </w:tcPr>
          <w:p>
            <w:pPr>
              <w:jc w:val="right"/>
              <w:ind w:right="340"/>
              <w:spacing w:after="0"/>
              <w:rPr>
                <w:sz w:val="20"/>
                <w:szCs w:val="20"/>
                <w:color w:val="auto"/>
              </w:rPr>
            </w:pPr>
            <w:r>
              <w:rPr>
                <w:rFonts w:ascii="Arial" w:cs="Arial" w:eastAsia="Arial" w:hAnsi="Arial"/>
                <w:sz w:val="8"/>
                <w:szCs w:val="8"/>
                <w:b w:val="1"/>
                <w:bCs w:val="1"/>
                <w:color w:val="auto"/>
                <w:w w:val="73"/>
              </w:rPr>
              <w:t>)</w:t>
            </w: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tcPr>
          <w:p>
            <w:pPr>
              <w:spacing w:after="0"/>
              <w:rPr>
                <w:sz w:val="19"/>
                <w:szCs w:val="19"/>
                <w:color w:val="auto"/>
              </w:rPr>
            </w:pP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(61.6</w:t>
            </w:r>
          </w:p>
        </w:tc>
        <w:tc>
          <w:tcPr>
            <w:tcW w:w="380" w:type="dxa"/>
            <w:vAlign w:val="bottom"/>
            <w:gridSpan w:val="2"/>
            <w:vMerge w:val="continue"/>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fair values of the derivatives are recorded between Other current and non-current assets and Other current and non-current liabilities as appropriate in the Condensed Consolidated Balance Sheets. As of September 30, 2012, there were no foreign currency contracts outstanding. The amounts recorded to Other current and non-current assets and Other current and non-current liabilities for commodity contracts were $0.1 million, $0.3 million, ($0.5) million and ($0.0) million, respectively. The amounts recorded to Other current and non-current liabilities for interest rate contracts were ($34.4) million and ($27.1) million, respectively.</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of December 31, 2011, the amount recorded to Other non-current liabilities for foreign currency contracts was ($0.1) million. The amounts recorded to Other current and non-current liabilities for commodity contracts were ($0.7) million and ($0.3) million, respectively. The amounts recorded to Other current and non-current liabilities for interest rate contracts were ($31.9) million and ($45.9) million, respectively.</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tabular disclosures further describe the Company’s derivative instruments and their impact on the results of operations of the Company (dollars in millions):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7"/>
              </w:rPr>
              <w:t>Three months ended</w:t>
            </w:r>
          </w:p>
        </w:tc>
        <w:tc>
          <w:tcPr>
            <w:tcW w:w="220" w:type="dxa"/>
            <w:vAlign w:val="bottom"/>
          </w:tcPr>
          <w:p>
            <w:pPr>
              <w:spacing w:after="0"/>
              <w:rPr>
                <w:sz w:val="14"/>
                <w:szCs w:val="14"/>
                <w:color w:val="auto"/>
              </w:rPr>
            </w:pPr>
          </w:p>
        </w:tc>
        <w:tc>
          <w:tcPr>
            <w:tcW w:w="21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5"/>
              </w:rPr>
              <w:t>September 30, 2012</w:t>
            </w:r>
          </w:p>
        </w:tc>
        <w:tc>
          <w:tcPr>
            <w:tcW w:w="220" w:type="dxa"/>
            <w:vAlign w:val="bottom"/>
          </w:tcPr>
          <w:p>
            <w:pPr>
              <w:spacing w:after="0"/>
              <w:rPr>
                <w:sz w:val="14"/>
                <w:szCs w:val="14"/>
                <w:color w:val="auto"/>
              </w:rPr>
            </w:pPr>
          </w:p>
        </w:tc>
        <w:tc>
          <w:tcPr>
            <w:tcW w:w="21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September 30,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80" w:type="dxa"/>
            <w:vAlign w:val="bottom"/>
            <w:tcBorders>
              <w:top w:val="single" w:sz="8" w:color="auto"/>
            </w:tcBorders>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4"/>
              </w:rPr>
              <w:t>Location of</w:t>
            </w: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Amount of</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Borders>
              <w:top w:val="single" w:sz="8" w:color="auto"/>
            </w:tcBorders>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7"/>
              </w:rPr>
              <w:t>Location of</w:t>
            </w: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19"/>
              <w:spacing w:after="0" w:line="129" w:lineRule="exact"/>
              <w:rPr>
                <w:sz w:val="20"/>
                <w:szCs w:val="20"/>
                <w:color w:val="auto"/>
              </w:rPr>
            </w:pPr>
            <w:r>
              <w:rPr>
                <w:rFonts w:ascii="Arial" w:cs="Arial" w:eastAsia="Arial" w:hAnsi="Arial"/>
                <w:sz w:val="14"/>
                <w:szCs w:val="14"/>
                <w:b w:val="1"/>
                <w:bCs w:val="1"/>
                <w:color w:val="auto"/>
                <w:w w:val="88"/>
              </w:rPr>
              <w:t>Amount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gain</w:t>
            </w:r>
          </w:p>
        </w:tc>
        <w:tc>
          <w:tcPr>
            <w:tcW w:w="10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gain</w:t>
            </w:r>
          </w:p>
        </w:tc>
        <w:tc>
          <w:tcPr>
            <w:tcW w:w="22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78"/>
              </w:rPr>
              <w:t>loss</w:t>
            </w:r>
          </w:p>
        </w:tc>
        <w:tc>
          <w:tcPr>
            <w:tcW w:w="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8"/>
              </w:rPr>
              <w:t>loss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recognized on</w:t>
            </w: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recognized on</w:t>
            </w:r>
          </w:p>
        </w:tc>
        <w:tc>
          <w:tcPr>
            <w:tcW w:w="22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recognized on</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recognized 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derivatives</w:t>
            </w:r>
          </w:p>
        </w:tc>
        <w:tc>
          <w:tcPr>
            <w:tcW w:w="10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derivatives</w:t>
            </w:r>
          </w:p>
        </w:tc>
        <w:tc>
          <w:tcPr>
            <w:tcW w:w="22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derivatives</w:t>
            </w: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derivatives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Derivatives not designated as hedging instruments</w:t>
            </w:r>
          </w:p>
        </w:tc>
        <w:tc>
          <w:tcPr>
            <w:tcW w:w="7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tcPr>
          <w:p>
            <w:pPr>
              <w:ind w:left="420"/>
              <w:spacing w:after="0" w:line="201" w:lineRule="exact"/>
              <w:rPr>
                <w:sz w:val="20"/>
                <w:szCs w:val="20"/>
                <w:color w:val="auto"/>
              </w:rPr>
            </w:pPr>
            <w:r>
              <w:rPr>
                <w:rFonts w:ascii="Arial" w:cs="Arial" w:eastAsia="Arial" w:hAnsi="Arial"/>
                <w:sz w:val="18"/>
                <w:szCs w:val="18"/>
                <w:color w:val="auto"/>
              </w:rPr>
              <w:t>Foreign currency contracts</w:t>
            </w:r>
          </w:p>
        </w:tc>
        <w:tc>
          <w:tcPr>
            <w:tcW w:w="780" w:type="dxa"/>
            <w:vAlign w:val="bottom"/>
          </w:tcPr>
          <w:p>
            <w:pPr>
              <w:spacing w:after="0"/>
              <w:rPr>
                <w:sz w:val="17"/>
                <w:szCs w:val="17"/>
                <w:color w:val="auto"/>
              </w:rPr>
            </w:pPr>
          </w:p>
        </w:tc>
        <w:tc>
          <w:tcPr>
            <w:tcW w:w="12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Other</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Other</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expense, net</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0.0</w:t>
            </w:r>
          </w:p>
        </w:tc>
        <w:tc>
          <w:tcPr>
            <w:tcW w:w="1460" w:type="dxa"/>
            <w:vAlign w:val="bottom"/>
            <w:gridSpan w:val="3"/>
          </w:tcPr>
          <w:p>
            <w:pPr>
              <w:ind w:left="220"/>
              <w:spacing w:after="0"/>
              <w:rPr>
                <w:sz w:val="20"/>
                <w:szCs w:val="20"/>
                <w:color w:val="auto"/>
              </w:rPr>
            </w:pPr>
            <w:r>
              <w:rPr>
                <w:rFonts w:ascii="Arial" w:cs="Arial" w:eastAsia="Arial" w:hAnsi="Arial"/>
                <w:sz w:val="18"/>
                <w:szCs w:val="18"/>
                <w:color w:val="auto"/>
              </w:rPr>
              <w:t>expense, net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shd w:val="clear" w:color="auto" w:fill="CCEEFF"/>
          </w:tcPr>
          <w:p>
            <w:pPr>
              <w:ind w:left="420"/>
              <w:spacing w:after="0" w:line="203" w:lineRule="exact"/>
              <w:rPr>
                <w:sz w:val="20"/>
                <w:szCs w:val="20"/>
                <w:color w:val="auto"/>
              </w:rPr>
            </w:pPr>
            <w:r>
              <w:rPr>
                <w:rFonts w:ascii="Arial" w:cs="Arial" w:eastAsia="Arial" w:hAnsi="Arial"/>
                <w:sz w:val="18"/>
                <w:szCs w:val="18"/>
                <w:color w:val="auto"/>
              </w:rPr>
              <w:t>Commodity contracts</w:t>
            </w:r>
          </w:p>
        </w:tc>
        <w:tc>
          <w:tcPr>
            <w:tcW w:w="7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Other</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ind w:left="220"/>
              <w:spacing w:after="0" w:line="203" w:lineRule="exact"/>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 net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1.5</w:t>
            </w:r>
          </w:p>
        </w:tc>
        <w:tc>
          <w:tcPr>
            <w:tcW w:w="14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expense, net</w:t>
            </w: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tcPr>
          <w:p>
            <w:pPr>
              <w:ind w:left="420"/>
              <w:spacing w:after="0" w:line="201" w:lineRule="exact"/>
              <w:rPr>
                <w:sz w:val="20"/>
                <w:szCs w:val="20"/>
                <w:color w:val="auto"/>
              </w:rPr>
            </w:pPr>
            <w:r>
              <w:rPr>
                <w:rFonts w:ascii="Arial" w:cs="Arial" w:eastAsia="Arial" w:hAnsi="Arial"/>
                <w:sz w:val="18"/>
                <w:szCs w:val="18"/>
                <w:color w:val="auto"/>
              </w:rPr>
              <w:t>Interest rate contracts</w:t>
            </w:r>
          </w:p>
        </w:tc>
        <w:tc>
          <w:tcPr>
            <w:tcW w:w="780" w:type="dxa"/>
            <w:vAlign w:val="bottom"/>
          </w:tcPr>
          <w:p>
            <w:pPr>
              <w:spacing w:after="0"/>
              <w:rPr>
                <w:sz w:val="17"/>
                <w:szCs w:val="17"/>
                <w:color w:val="auto"/>
              </w:rPr>
            </w:pPr>
          </w:p>
        </w:tc>
        <w:tc>
          <w:tcPr>
            <w:tcW w:w="12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Interest</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Interest</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expense</w:t>
            </w:r>
          </w:p>
        </w:tc>
        <w:tc>
          <w:tcPr>
            <w:tcW w:w="1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5.0</w:t>
            </w:r>
          </w:p>
        </w:tc>
        <w:tc>
          <w:tcPr>
            <w:tcW w:w="1460" w:type="dxa"/>
            <w:vAlign w:val="bottom"/>
            <w:gridSpan w:val="3"/>
          </w:tcPr>
          <w:p>
            <w:pPr>
              <w:ind w:left="220"/>
              <w:spacing w:after="0"/>
              <w:rPr>
                <w:sz w:val="20"/>
                <w:szCs w:val="20"/>
                <w:color w:val="auto"/>
              </w:rPr>
            </w:pPr>
            <w:r>
              <w:rPr>
                <w:rFonts w:ascii="Arial" w:cs="Arial" w:eastAsia="Arial" w:hAnsi="Arial"/>
                <w:sz w:val="18"/>
                <w:szCs w:val="18"/>
                <w:color w:val="auto"/>
              </w:rPr>
              <w:t>expense</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w w:val="90"/>
              </w:rPr>
              <w:t>Total gain (loss) recognized on derivatives not designated as hedging</w:t>
            </w: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6.5</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instruments</w:t>
            </w:r>
          </w:p>
        </w:tc>
        <w:tc>
          <w:tcPr>
            <w:tcW w:w="7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6"/>
              </w:rPr>
              <w:t>Nine months ended</w:t>
            </w:r>
          </w:p>
        </w:tc>
        <w:tc>
          <w:tcPr>
            <w:tcW w:w="220" w:type="dxa"/>
            <w:vAlign w:val="bottom"/>
          </w:tcPr>
          <w:p>
            <w:pPr>
              <w:spacing w:after="0"/>
              <w:rPr>
                <w:sz w:val="24"/>
                <w:szCs w:val="24"/>
                <w:color w:val="auto"/>
              </w:rPr>
            </w:pPr>
          </w:p>
        </w:tc>
        <w:tc>
          <w:tcPr>
            <w:tcW w:w="21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5"/>
              </w:rPr>
              <w:t>September 30, 2012</w:t>
            </w:r>
          </w:p>
        </w:tc>
        <w:tc>
          <w:tcPr>
            <w:tcW w:w="220" w:type="dxa"/>
            <w:vAlign w:val="bottom"/>
          </w:tcPr>
          <w:p>
            <w:pPr>
              <w:spacing w:after="0"/>
              <w:rPr>
                <w:sz w:val="14"/>
                <w:szCs w:val="14"/>
                <w:color w:val="auto"/>
              </w:rPr>
            </w:pPr>
          </w:p>
        </w:tc>
        <w:tc>
          <w:tcPr>
            <w:tcW w:w="21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September 30,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80" w:type="dxa"/>
            <w:vAlign w:val="bottom"/>
            <w:tcBorders>
              <w:top w:val="single" w:sz="8" w:color="auto"/>
            </w:tcBorders>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4"/>
              </w:rPr>
              <w:t>Location of</w:t>
            </w: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Amount of</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Borders>
              <w:top w:val="single" w:sz="8" w:color="auto"/>
            </w:tcBorders>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7"/>
              </w:rPr>
              <w:t>Location of</w:t>
            </w: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19"/>
              <w:spacing w:after="0" w:line="129" w:lineRule="exact"/>
              <w:rPr>
                <w:sz w:val="20"/>
                <w:szCs w:val="20"/>
                <w:color w:val="auto"/>
              </w:rPr>
            </w:pPr>
            <w:r>
              <w:rPr>
                <w:rFonts w:ascii="Arial" w:cs="Arial" w:eastAsia="Arial" w:hAnsi="Arial"/>
                <w:sz w:val="14"/>
                <w:szCs w:val="14"/>
                <w:b w:val="1"/>
                <w:bCs w:val="1"/>
                <w:color w:val="auto"/>
                <w:w w:val="88"/>
              </w:rPr>
              <w:t>Amount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gain (loss)</w:t>
            </w:r>
          </w:p>
        </w:tc>
        <w:tc>
          <w:tcPr>
            <w:tcW w:w="10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2"/>
              </w:rPr>
              <w:t>gain (loss)</w:t>
            </w:r>
          </w:p>
        </w:tc>
        <w:tc>
          <w:tcPr>
            <w:tcW w:w="22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2"/>
              </w:rPr>
              <w:t>gain (loss)</w:t>
            </w:r>
          </w:p>
        </w:tc>
        <w:tc>
          <w:tcPr>
            <w:tcW w:w="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gain (loss)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recognized on</w:t>
            </w:r>
          </w:p>
        </w:tc>
        <w:tc>
          <w:tcPr>
            <w:tcW w:w="10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recognized on</w:t>
            </w:r>
          </w:p>
        </w:tc>
        <w:tc>
          <w:tcPr>
            <w:tcW w:w="22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recognized on</w:t>
            </w: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recognized 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derivatives</w:t>
            </w:r>
          </w:p>
        </w:tc>
        <w:tc>
          <w:tcPr>
            <w:tcW w:w="10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derivatives</w:t>
            </w:r>
          </w:p>
        </w:tc>
        <w:tc>
          <w:tcPr>
            <w:tcW w:w="22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derivatives</w:t>
            </w: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derivatives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Derivatives not designated as hedging instruments</w:t>
            </w:r>
          </w:p>
        </w:tc>
        <w:tc>
          <w:tcPr>
            <w:tcW w:w="7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tcPr>
          <w:p>
            <w:pPr>
              <w:ind w:left="420"/>
              <w:spacing w:after="0" w:line="201" w:lineRule="exact"/>
              <w:rPr>
                <w:sz w:val="20"/>
                <w:szCs w:val="20"/>
                <w:color w:val="auto"/>
              </w:rPr>
            </w:pPr>
            <w:r>
              <w:rPr>
                <w:rFonts w:ascii="Arial" w:cs="Arial" w:eastAsia="Arial" w:hAnsi="Arial"/>
                <w:sz w:val="18"/>
                <w:szCs w:val="18"/>
                <w:color w:val="auto"/>
              </w:rPr>
              <w:t>Foreign currency contracts</w:t>
            </w:r>
          </w:p>
        </w:tc>
        <w:tc>
          <w:tcPr>
            <w:tcW w:w="780" w:type="dxa"/>
            <w:vAlign w:val="bottom"/>
          </w:tcPr>
          <w:p>
            <w:pPr>
              <w:spacing w:after="0"/>
              <w:rPr>
                <w:sz w:val="17"/>
                <w:szCs w:val="17"/>
                <w:color w:val="auto"/>
              </w:rPr>
            </w:pPr>
          </w:p>
        </w:tc>
        <w:tc>
          <w:tcPr>
            <w:tcW w:w="12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Other</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Other</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expense, net</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0.3</w:t>
            </w:r>
          </w:p>
        </w:tc>
        <w:tc>
          <w:tcPr>
            <w:tcW w:w="1460" w:type="dxa"/>
            <w:vAlign w:val="bottom"/>
            <w:gridSpan w:val="3"/>
          </w:tcPr>
          <w:p>
            <w:pPr>
              <w:ind w:left="220"/>
              <w:spacing w:after="0"/>
              <w:rPr>
                <w:sz w:val="20"/>
                <w:szCs w:val="20"/>
                <w:color w:val="auto"/>
              </w:rPr>
            </w:pPr>
            <w:r>
              <w:rPr>
                <w:rFonts w:ascii="Arial" w:cs="Arial" w:eastAsia="Arial" w:hAnsi="Arial"/>
                <w:sz w:val="18"/>
                <w:szCs w:val="18"/>
                <w:color w:val="auto"/>
              </w:rPr>
              <w:t>expense, net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shd w:val="clear" w:color="auto" w:fill="CCEEFF"/>
          </w:tcPr>
          <w:p>
            <w:pPr>
              <w:ind w:left="420"/>
              <w:spacing w:after="0" w:line="203" w:lineRule="exact"/>
              <w:rPr>
                <w:sz w:val="20"/>
                <w:szCs w:val="20"/>
                <w:color w:val="auto"/>
              </w:rPr>
            </w:pPr>
            <w:r>
              <w:rPr>
                <w:rFonts w:ascii="Arial" w:cs="Arial" w:eastAsia="Arial" w:hAnsi="Arial"/>
                <w:sz w:val="18"/>
                <w:szCs w:val="18"/>
                <w:color w:val="auto"/>
              </w:rPr>
              <w:t>Commodity contracts</w:t>
            </w:r>
          </w:p>
        </w:tc>
        <w:tc>
          <w:tcPr>
            <w:tcW w:w="7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Other</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ind w:left="220"/>
              <w:spacing w:after="0" w:line="203" w:lineRule="exact"/>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 net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(0.0)</w:t>
            </w:r>
          </w:p>
        </w:tc>
        <w:tc>
          <w:tcPr>
            <w:tcW w:w="14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expense, net</w:t>
            </w: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tcPr>
          <w:p>
            <w:pPr>
              <w:ind w:left="420"/>
              <w:spacing w:after="0" w:line="201" w:lineRule="exact"/>
              <w:rPr>
                <w:sz w:val="20"/>
                <w:szCs w:val="20"/>
                <w:color w:val="auto"/>
              </w:rPr>
            </w:pPr>
            <w:r>
              <w:rPr>
                <w:rFonts w:ascii="Arial" w:cs="Arial" w:eastAsia="Arial" w:hAnsi="Arial"/>
                <w:sz w:val="18"/>
                <w:szCs w:val="18"/>
                <w:color w:val="auto"/>
              </w:rPr>
              <w:t>Interest rate contracts</w:t>
            </w:r>
          </w:p>
        </w:tc>
        <w:tc>
          <w:tcPr>
            <w:tcW w:w="780" w:type="dxa"/>
            <w:vAlign w:val="bottom"/>
          </w:tcPr>
          <w:p>
            <w:pPr>
              <w:spacing w:after="0"/>
              <w:rPr>
                <w:sz w:val="17"/>
                <w:szCs w:val="17"/>
                <w:color w:val="auto"/>
              </w:rPr>
            </w:pPr>
          </w:p>
        </w:tc>
        <w:tc>
          <w:tcPr>
            <w:tcW w:w="12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Interest</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Interest</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expense</w:t>
            </w:r>
          </w:p>
        </w:tc>
        <w:tc>
          <w:tcPr>
            <w:tcW w:w="1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16.3</w:t>
            </w:r>
          </w:p>
        </w:tc>
        <w:tc>
          <w:tcPr>
            <w:tcW w:w="1460" w:type="dxa"/>
            <w:vAlign w:val="bottom"/>
            <w:gridSpan w:val="3"/>
          </w:tcPr>
          <w:p>
            <w:pPr>
              <w:ind w:left="220"/>
              <w:spacing w:after="0"/>
              <w:rPr>
                <w:sz w:val="20"/>
                <w:szCs w:val="20"/>
                <w:color w:val="auto"/>
              </w:rPr>
            </w:pPr>
            <w:r>
              <w:rPr>
                <w:rFonts w:ascii="Arial" w:cs="Arial" w:eastAsia="Arial" w:hAnsi="Arial"/>
                <w:sz w:val="18"/>
                <w:szCs w:val="18"/>
                <w:color w:val="auto"/>
              </w:rPr>
              <w:t>expense</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w w:val="90"/>
              </w:rPr>
              <w:t>Total gain (loss) recognized on derivatives not designated as hedging</w:t>
            </w: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16.6</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instruments</w:t>
            </w:r>
          </w:p>
        </w:tc>
        <w:tc>
          <w:tcPr>
            <w:tcW w:w="7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80" w:type="dxa"/>
            <w:vAlign w:val="bottom"/>
            <w:vMerge w:val="restart"/>
          </w:tcPr>
          <w:p>
            <w:pPr>
              <w:jc w:val="right"/>
              <w:ind w:right="372"/>
              <w:spacing w:after="0"/>
              <w:rPr>
                <w:sz w:val="20"/>
                <w:szCs w:val="20"/>
                <w:color w:val="auto"/>
              </w:rPr>
            </w:pPr>
            <w:r>
              <w:rPr>
                <w:rFonts w:ascii="Arial" w:cs="Arial" w:eastAsia="Arial" w:hAnsi="Arial"/>
                <w:sz w:val="18"/>
                <w:szCs w:val="18"/>
                <w:color w:val="auto"/>
              </w:rPr>
              <w:t>14</w:t>
            </w: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PRODUCT WARRANTY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Product warranty liability activities consist of the following (dollars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86"/>
              </w:rPr>
              <w:t>Three months ended September 30,</w:t>
            </w:r>
          </w:p>
        </w:tc>
        <w:tc>
          <w:tcPr>
            <w:tcW w:w="120" w:type="dxa"/>
            <w:vAlign w:val="bottom"/>
          </w:tcPr>
          <w:p>
            <w:pPr>
              <w:spacing w:after="0"/>
              <w:rPr>
                <w:sz w:val="14"/>
                <w:szCs w:val="14"/>
                <w:color w:val="auto"/>
              </w:rPr>
            </w:pPr>
          </w:p>
        </w:tc>
        <w:tc>
          <w:tcPr>
            <w:tcW w:w="226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86"/>
              </w:rPr>
              <w:t>Nine months ended September 30,</w:t>
            </w:r>
          </w:p>
        </w:tc>
        <w:tc>
          <w:tcPr>
            <w:tcW w:w="0" w:type="dxa"/>
            <w:vAlign w:val="bottom"/>
          </w:tcPr>
          <w:p>
            <w:pPr>
              <w:spacing w:after="0"/>
              <w:rPr>
                <w:sz w:val="1"/>
                <w:szCs w:val="1"/>
                <w:color w:val="auto"/>
              </w:rPr>
            </w:pPr>
          </w:p>
        </w:tc>
      </w:tr>
      <w:tr>
        <w:trPr>
          <w:trHeight w:val="161"/>
        </w:trPr>
        <w:tc>
          <w:tcPr>
            <w:tcW w:w="5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2011</w:t>
            </w:r>
          </w:p>
        </w:tc>
        <w:tc>
          <w:tcPr>
            <w:tcW w:w="4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111.1</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Payments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(12.4)</w:t>
            </w:r>
          </w:p>
        </w:tc>
        <w:tc>
          <w:tcPr>
            <w:tcW w:w="2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(34.6)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Increase in liability (warranty issued during period)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20.1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Net adjustment to liability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Accretion (for predecessor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106.5</w:t>
            </w:r>
          </w:p>
        </w:tc>
        <w:tc>
          <w:tcPr>
            <w:tcW w:w="56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114.8</w:t>
            </w:r>
          </w:p>
        </w:tc>
        <w:tc>
          <w:tcPr>
            <w:tcW w:w="4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106.5</w:t>
            </w:r>
          </w:p>
        </w:tc>
        <w:tc>
          <w:tcPr>
            <w:tcW w:w="300" w:type="dxa"/>
            <w:vAlign w:val="bottom"/>
            <w:vMerge w:val="continue"/>
          </w:tcPr>
          <w:p>
            <w:pPr>
              <w:spacing w:after="0"/>
              <w:rPr>
                <w:sz w:val="19"/>
                <w:szCs w:val="19"/>
                <w:color w:val="auto"/>
              </w:rPr>
            </w:pPr>
          </w:p>
        </w:tc>
        <w:tc>
          <w:tcPr>
            <w:tcW w:w="46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of September 30, 2012, the current and non-current liabilities were $33.2 million and $73.3 million, respectively. As of September 30, 2011, the current and non-current liabilities were $30.5 million and $84.3 million, respectively. During the second quarter of 2012, the Company completed an analysis of its Dual Power Inverter Module (“DPIM”) extended coverage program and determined, based on favorable claim rates, that the product warranty liability should be reduced by $7.9 million. This resulted in a $7.3 million reduction in the General Motors (“GM”) DPIM receivable and a $0.6 million favorable adjustment to the Condensed Consolidated Statements of Comprehensive Income. As part of the analysis, it was also determined that design issues related to the early introduction of the replacement DPIM unit resulted in a $10.0 million increase to the product warranty liability. As the replacement DPIM unit is the responsibility of the Company and not covered by the Asset Purchase Agreement (as defined in our Registration Statement on Form S-1/A), the Company recorded a $10.0 million charge to the Condensed Consolidated Statements of Comprehensive Income.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revenue for extended transmission coverage activity (dollars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w w:val="86"/>
              </w:rPr>
              <w:t>Three months ended September 30,</w:t>
            </w:r>
          </w:p>
        </w:tc>
        <w:tc>
          <w:tcPr>
            <w:tcW w:w="140" w:type="dxa"/>
            <w:vAlign w:val="bottom"/>
          </w:tcPr>
          <w:p>
            <w:pPr>
              <w:spacing w:after="0"/>
              <w:rPr>
                <w:sz w:val="14"/>
                <w:szCs w:val="14"/>
                <w:color w:val="auto"/>
              </w:rPr>
            </w:pPr>
          </w:p>
        </w:tc>
        <w:tc>
          <w:tcPr>
            <w:tcW w:w="23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86"/>
              </w:rPr>
              <w:t>Nine months ended September 30,</w:t>
            </w:r>
          </w:p>
        </w:tc>
        <w:tc>
          <w:tcPr>
            <w:tcW w:w="0" w:type="dxa"/>
            <w:vAlign w:val="bottom"/>
          </w:tcPr>
          <w:p>
            <w:pPr>
              <w:spacing w:after="0"/>
              <w:rPr>
                <w:sz w:val="1"/>
                <w:szCs w:val="1"/>
                <w:color w:val="auto"/>
              </w:rPr>
            </w:pPr>
          </w:p>
        </w:tc>
      </w:tr>
      <w:tr>
        <w:trPr>
          <w:trHeight w:val="161"/>
        </w:trPr>
        <w:tc>
          <w:tcPr>
            <w:tcW w:w="5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Increases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18.0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Revenue earned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(14.9)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63.8</w:t>
            </w:r>
          </w:p>
        </w:tc>
        <w:tc>
          <w:tcPr>
            <w:tcW w:w="2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50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59.2</w:t>
            </w:r>
          </w:p>
        </w:tc>
        <w:tc>
          <w:tcPr>
            <w:tcW w:w="5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63.8</w:t>
            </w:r>
          </w:p>
        </w:tc>
        <w:tc>
          <w:tcPr>
            <w:tcW w:w="340" w:type="dxa"/>
            <w:vAlign w:val="bottom"/>
            <w:vMerge w:val="continue"/>
          </w:tcPr>
          <w:p>
            <w:pPr>
              <w:spacing w:after="0"/>
              <w:rPr>
                <w:sz w:val="19"/>
                <w:szCs w:val="19"/>
                <w:color w:val="auto"/>
              </w:rPr>
            </w:pPr>
          </w:p>
        </w:tc>
        <w:tc>
          <w:tcPr>
            <w:tcW w:w="48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September 30, 2012, the current and non-current liabilities were $20.7 million and $43.1 million, respectively. As of September 30, 2011, the current and non-current liabilities were $18.9 million and $40.3 million, respectively.</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OTHER EXPENSE,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 net consists of the following (dollars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4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w w:val="94"/>
              </w:rPr>
              <w:t>Three months ended September 30,</w:t>
            </w:r>
          </w:p>
        </w:tc>
        <w:tc>
          <w:tcPr>
            <w:tcW w:w="160" w:type="dxa"/>
            <w:vAlign w:val="bottom"/>
          </w:tcPr>
          <w:p>
            <w:pPr>
              <w:spacing w:after="0"/>
              <w:rPr>
                <w:sz w:val="14"/>
                <w:szCs w:val="14"/>
                <w:color w:val="auto"/>
              </w:rPr>
            </w:pPr>
          </w:p>
        </w:tc>
        <w:tc>
          <w:tcPr>
            <w:tcW w:w="23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5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on repurchases of long-term debt (see NOTE F)</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2"/>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6"/>
              </w:rPr>
              <w:t>(0.5)</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(21.6)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w w:val="99"/>
              </w:rPr>
              <w:t>Termination of Sponsor services agreement (see NOTE N)</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(16.0)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 on investments in technology-related</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6"/>
              </w:rPr>
              <w:t>(6.4)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(14.4)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initiatives</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Grant Program income</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6.4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fees and expenses</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0.0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w w:val="92"/>
              </w:rPr>
              <w:t>Loss on re-measurement of employee benefit plans (see NOTE</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2"/>
            <w:vMerge w:val="restart"/>
          </w:tcPr>
          <w:p>
            <w:pPr>
              <w:jc w:val="right"/>
              <w:ind w:right="480"/>
              <w:spacing w:after="0"/>
              <w:rPr>
                <w:sz w:val="20"/>
                <w:szCs w:val="20"/>
                <w:color w:val="auto"/>
              </w:rPr>
            </w:pPr>
            <w:r>
              <w:rPr>
                <w:rFonts w:ascii="Arial" w:cs="Arial" w:eastAsia="Arial" w:hAnsi="Arial"/>
                <w:sz w:val="18"/>
                <w:szCs w:val="18"/>
                <w:b w:val="1"/>
                <w:bCs w:val="1"/>
                <w:color w:val="auto"/>
                <w:w w:val="99"/>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(2.3)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K)</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Gain (loss) on foreign exchange</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w w:val="97"/>
              </w:rPr>
              <w:t>Unrealized gain (loss) on derivative contracts (see NOTE G)</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Realized (loss) gain on derivative contracts (see NOTE G)</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6"/>
              </w:rPr>
              <w:t>(0.6)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Vendor settlement</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land</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99"/>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6"/>
              </w:rPr>
              <w:t>(0.3)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(0.3)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2"/>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6"/>
              </w:rPr>
              <w:t>(1.8)</w:t>
            </w:r>
          </w:p>
        </w:tc>
        <w:tc>
          <w:tcPr>
            <w:tcW w:w="54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(55.4)</w:t>
            </w:r>
          </w:p>
        </w:tc>
        <w:tc>
          <w:tcPr>
            <w:tcW w:w="5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As discussed under Note A - Overview under “Recent Developments”, during 2012, the Company entered into co-development agreements with various companies to expand our position in transmission technologies. Due to various uncertainties surrounding these investments including, but not limited to, the startup nature of the underlying businesses, their continued negative cash flows, undercapitalization and unproven business plans, the Company has impaired these investments to zero as of September 30, 2012. The related charge of $6.4 million and $14.4 million was recorded in Other expense, net in the Condensed Consolidated Statements of Comprehensive Income for the three and nine months ended September 30, 2012, respectively.</w:t>
      </w:r>
    </w:p>
    <w:p>
      <w:pPr>
        <w:spacing w:after="0" w:line="116"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In March 2012, the Company priced its initial public offering of common stock. All of the shares of common stock offered were sold by existing stockholders with the Company receiving no proceeds from the sale. As a result, approximately $6.1 million of fees and expenses related to the initial public offering have been recorded to Other expense, net in the Condensed Consolidated Statements of Comprehensive Income.</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2009, the Company was notified by the U.S. Department of Energy that it was selected to receive matching funds up to $62.8 million from a grant program funded by the American Recovery and Reinvestment Act for the development of hybrid manufacturing capacity in the U.S. (the “Grant Program”). All applicable expenses associated with the Grant Program have been charged to Engineering — research and development while the government’s matching reimbursement is recorded to Other expense, net in the Condensed Consolidated Statements of Comprehensive Income. Since inception of the Grant Program, the Company has recorded $35.8 million of Grant Program income to Other expense, net in the Condensed Consolidated Statements of Comprehensive Income. All matching funds under the Grant Program are expected to be received by the end of 2013.</w:t>
      </w:r>
    </w:p>
    <w:p>
      <w:pPr>
        <w:spacing w:after="0" w:line="12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For the three months ended September 30, 2012 and 2011, the Company recorded $0.4 million and $2.0 million, respectively, as a reduction of the basis of capital assets purchased under the Grant Program. For the nine months ended September 30, 2012 and 2011, the Company recorded $2.6 million and $3.0 million, respectively, as a reduction of the basis of capital assets purchased under the Grant Program. Since inception of the Grant Program, the Company has placed approximately $7.3 million of assets in service under the Grant Program, resulting in related depreciation for the three months ended September 30, 2012 and 2011 of $0.2 million and $0.0 million, respectively, and for the nine months ended September 30, 2012 and 2011 of $0.5 million and $0.1 million, respectively.</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OTHER CURRENT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current liabilities consisted of the following (dollars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As of</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w:t>
            </w:r>
          </w:p>
        </w:tc>
      </w:tr>
      <w:tr>
        <w:trPr>
          <w:trHeight w:val="149"/>
        </w:trPr>
        <w:tc>
          <w:tcPr>
            <w:tcW w:w="618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660" w:type="dxa"/>
            <w:vAlign w:val="bottom"/>
            <w:gridSpan w:val="4"/>
          </w:tcPr>
          <w:p>
            <w:pPr>
              <w:ind w:left="760"/>
              <w:spacing w:after="0" w:line="149" w:lineRule="exact"/>
              <w:rPr>
                <w:sz w:val="20"/>
                <w:szCs w:val="20"/>
                <w:color w:val="auto"/>
              </w:rPr>
            </w:pPr>
            <w:r>
              <w:rPr>
                <w:rFonts w:ascii="Arial" w:cs="Arial" w:eastAsia="Arial" w:hAnsi="Arial"/>
                <w:sz w:val="14"/>
                <w:szCs w:val="14"/>
                <w:b w:val="1"/>
                <w:bCs w:val="1"/>
                <w:color w:val="auto"/>
                <w:w w:val="96"/>
              </w:rPr>
              <w:t>December 31,</w:t>
            </w:r>
          </w:p>
        </w:tc>
      </w:tr>
      <w:tr>
        <w:trPr>
          <w:trHeight w:val="161"/>
        </w:trPr>
        <w:tc>
          <w:tcPr>
            <w:tcW w:w="6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7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Payroll and related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39.9</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Accrued derivative payable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34.4</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19.3</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Vendor buyback obligation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Taxes payable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Military price reduction reserve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Research and development payable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 accruals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w:t>
            </w:r>
          </w:p>
        </w:tc>
        <w:tc>
          <w:tcPr>
            <w:tcW w:w="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r>
      <w:tr>
        <w:trPr>
          <w:trHeight w:val="223"/>
        </w:trPr>
        <w:tc>
          <w:tcPr>
            <w:tcW w:w="6180" w:type="dxa"/>
            <w:vAlign w:val="bottom"/>
          </w:tcPr>
          <w:p>
            <w:pPr>
              <w:ind w:left="4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166.</w:t>
            </w:r>
            <w:r>
              <w:rPr>
                <w:rFonts w:ascii="Arial" w:cs="Arial" w:eastAsia="Arial" w:hAnsi="Arial"/>
                <w:sz w:val="18"/>
                <w:szCs w:val="18"/>
                <w:b w:val="1"/>
                <w:bCs w:val="1"/>
                <w:u w:val="single" w:color="auto"/>
                <w:color w:val="auto"/>
              </w:rPr>
              <w:t>3</w:t>
            </w:r>
          </w:p>
        </w:tc>
        <w:tc>
          <w:tcPr>
            <w:tcW w:w="9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199.9</w:t>
            </w:r>
          </w:p>
        </w:tc>
        <w:tc>
          <w:tcPr>
            <w:tcW w:w="10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EMPLOYEE BENEFIT PLANS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Components of net periodic benefit expense consist of the following (dollars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4"/>
                <w:szCs w:val="14"/>
                <w:b w:val="1"/>
                <w:bCs w:val="1"/>
                <w:color w:val="auto"/>
                <w:w w:val="85"/>
              </w:rPr>
              <w:t>Pension Plans</w:t>
            </w:r>
          </w:p>
        </w:tc>
        <w:tc>
          <w:tcPr>
            <w:tcW w:w="3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w w:val="87"/>
              </w:rPr>
              <w:t>Post-retirement Benefits</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2420" w:type="dxa"/>
            <w:vAlign w:val="bottom"/>
            <w:gridSpan w:val="5"/>
          </w:tcPr>
          <w:p>
            <w:pPr>
              <w:jc w:val="right"/>
              <w:ind w:right="40"/>
              <w:spacing w:after="0" w:line="129" w:lineRule="exact"/>
              <w:rPr>
                <w:sz w:val="20"/>
                <w:szCs w:val="20"/>
                <w:color w:val="auto"/>
              </w:rPr>
            </w:pPr>
            <w:r>
              <w:rPr>
                <w:rFonts w:ascii="Arial" w:cs="Arial" w:eastAsia="Arial" w:hAnsi="Arial"/>
                <w:sz w:val="14"/>
                <w:szCs w:val="14"/>
                <w:b w:val="1"/>
                <w:bCs w:val="1"/>
                <w:color w:val="auto"/>
                <w:w w:val="99"/>
              </w:rPr>
              <w:t>Three months ended September 30,</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gridSpan w:val="5"/>
          </w:tcPr>
          <w:p>
            <w:pPr>
              <w:ind w:left="120"/>
              <w:spacing w:after="0" w:line="129" w:lineRule="exact"/>
              <w:rPr>
                <w:sz w:val="20"/>
                <w:szCs w:val="20"/>
                <w:color w:val="auto"/>
              </w:rPr>
            </w:pPr>
            <w:r>
              <w:rPr>
                <w:rFonts w:ascii="Arial" w:cs="Arial" w:eastAsia="Arial" w:hAnsi="Arial"/>
                <w:sz w:val="14"/>
                <w:szCs w:val="14"/>
                <w:b w:val="1"/>
                <w:bCs w:val="1"/>
                <w:color w:val="auto"/>
                <w:w w:val="98"/>
              </w:rPr>
              <w:t>Three months ended September 30,</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ind w:right="195"/>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periodic benefit expense:</w:t>
            </w: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Service cost</w:t>
            </w:r>
          </w:p>
        </w:tc>
        <w:tc>
          <w:tcPr>
            <w:tcW w:w="560" w:type="dxa"/>
            <w:vAlign w:val="bottom"/>
          </w:tcPr>
          <w:p>
            <w:pPr>
              <w:jc w:val="right"/>
              <w:ind w:right="408"/>
              <w:spacing w:after="0"/>
              <w:rPr>
                <w:sz w:val="20"/>
                <w:szCs w:val="20"/>
                <w:color w:val="auto"/>
              </w:rPr>
            </w:pPr>
            <w:r>
              <w:rPr>
                <w:rFonts w:ascii="Arial" w:cs="Arial" w:eastAsia="Arial" w:hAnsi="Arial"/>
                <w:sz w:val="15"/>
                <w:szCs w:val="15"/>
                <w:b w:val="1"/>
                <w:bCs w:val="1"/>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80" w:type="dxa"/>
            <w:vAlign w:val="bottom"/>
          </w:tcPr>
          <w:p>
            <w:pPr>
              <w:spacing w:after="0"/>
              <w:rPr>
                <w:sz w:val="18"/>
                <w:szCs w:val="18"/>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c>
          <w:tcPr>
            <w:tcW w:w="4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ind w:left="440"/>
              <w:spacing w:after="0"/>
              <w:rPr>
                <w:sz w:val="20"/>
                <w:szCs w:val="20"/>
                <w:color w:val="auto"/>
              </w:rPr>
            </w:pPr>
            <w:r>
              <w:rPr>
                <w:rFonts w:ascii="Arial" w:cs="Arial" w:eastAsia="Arial" w:hAnsi="Arial"/>
                <w:sz w:val="18"/>
                <w:szCs w:val="18"/>
                <w:b w:val="1"/>
                <w:bCs w:val="1"/>
                <w:color w:val="auto"/>
              </w:rPr>
              <w:t>1.0</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1.8</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56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6"/>
              </w:rPr>
              <w:t>(1.4)</w:t>
            </w: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(1.0)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Loss</w:t>
            </w:r>
          </w:p>
        </w:tc>
        <w:tc>
          <w:tcPr>
            <w:tcW w:w="5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expense</w:t>
            </w:r>
          </w:p>
        </w:tc>
        <w:tc>
          <w:tcPr>
            <w:tcW w:w="560" w:type="dxa"/>
            <w:vAlign w:val="bottom"/>
            <w:shd w:val="clear" w:color="auto" w:fill="CCEEFF"/>
          </w:tcPr>
          <w:p>
            <w:pPr>
              <w:jc w:val="right"/>
              <w:ind w:right="408"/>
              <w:spacing w:after="0"/>
              <w:rPr>
                <w:sz w:val="20"/>
                <w:szCs w:val="20"/>
                <w:color w:val="auto"/>
              </w:rPr>
            </w:pPr>
            <w:r>
              <w:rPr>
                <w:rFonts w:ascii="Arial" w:cs="Arial" w:eastAsia="Arial" w:hAnsi="Arial"/>
                <w:sz w:val="15"/>
                <w:szCs w:val="15"/>
                <w:b w:val="1"/>
                <w:bCs w:val="1"/>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2.8</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83"/>
              </w:rPr>
              <w:t>Pension Plans</w:t>
            </w:r>
          </w:p>
        </w:tc>
        <w:tc>
          <w:tcPr>
            <w:tcW w:w="66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w w:val="86"/>
              </w:rPr>
              <w:t>Post-retirement Benefits</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20" w:type="dxa"/>
            <w:vAlign w:val="bottom"/>
            <w:gridSpan w:val="6"/>
          </w:tcPr>
          <w:p>
            <w:pPr>
              <w:jc w:val="right"/>
              <w:ind w:right="235"/>
              <w:spacing w:after="0" w:line="129" w:lineRule="exact"/>
              <w:rPr>
                <w:sz w:val="20"/>
                <w:szCs w:val="20"/>
                <w:color w:val="auto"/>
              </w:rPr>
            </w:pPr>
            <w:r>
              <w:rPr>
                <w:rFonts w:ascii="Arial" w:cs="Arial" w:eastAsia="Arial" w:hAnsi="Arial"/>
                <w:sz w:val="14"/>
                <w:szCs w:val="14"/>
                <w:b w:val="1"/>
                <w:bCs w:val="1"/>
                <w:color w:val="auto"/>
                <w:w w:val="90"/>
              </w:rPr>
              <w:t>Nine months ended September 30,</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80" w:type="dxa"/>
            <w:vAlign w:val="bottom"/>
            <w:gridSpan w:val="5"/>
          </w:tcPr>
          <w:p>
            <w:pPr>
              <w:ind w:left="120"/>
              <w:spacing w:after="0" w:line="129" w:lineRule="exact"/>
              <w:rPr>
                <w:sz w:val="20"/>
                <w:szCs w:val="20"/>
                <w:color w:val="auto"/>
              </w:rPr>
            </w:pPr>
            <w:r>
              <w:rPr>
                <w:rFonts w:ascii="Arial" w:cs="Arial" w:eastAsia="Arial" w:hAnsi="Arial"/>
                <w:sz w:val="14"/>
                <w:szCs w:val="14"/>
                <w:b w:val="1"/>
                <w:bCs w:val="1"/>
                <w:color w:val="auto"/>
                <w:w w:val="97"/>
              </w:rPr>
              <w:t>Nine months ended September 30,</w:t>
            </w:r>
          </w:p>
        </w:tc>
        <w:tc>
          <w:tcPr>
            <w:tcW w:w="100" w:type="dxa"/>
            <w:vAlign w:val="bottom"/>
          </w:tcPr>
          <w:p>
            <w:pPr>
              <w:spacing w:after="0"/>
              <w:rPr>
                <w:sz w:val="11"/>
                <w:szCs w:val="11"/>
                <w:color w:val="auto"/>
              </w:rPr>
            </w:pPr>
          </w:p>
        </w:tc>
      </w:tr>
      <w:tr>
        <w:trPr>
          <w:trHeight w:val="161"/>
        </w:trPr>
        <w:tc>
          <w:tcPr>
            <w:tcW w:w="4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2011</w:t>
            </w:r>
          </w:p>
        </w:tc>
        <w:tc>
          <w:tcPr>
            <w:tcW w:w="8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4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periodic benefit expense:</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Service cost</w:t>
            </w:r>
          </w:p>
        </w:tc>
        <w:tc>
          <w:tcPr>
            <w:tcW w:w="180" w:type="dxa"/>
            <w:vAlign w:val="bottom"/>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11.7</w:t>
            </w:r>
          </w:p>
        </w:tc>
        <w:tc>
          <w:tcPr>
            <w:tcW w:w="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11.0</w:t>
            </w:r>
          </w:p>
        </w:tc>
        <w:tc>
          <w:tcPr>
            <w:tcW w:w="82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ind w:left="420"/>
              <w:spacing w:after="0"/>
              <w:rPr>
                <w:sz w:val="20"/>
                <w:szCs w:val="20"/>
                <w:color w:val="auto"/>
              </w:rPr>
            </w:pPr>
            <w:r>
              <w:rPr>
                <w:rFonts w:ascii="Arial" w:cs="Arial" w:eastAsia="Arial" w:hAnsi="Arial"/>
                <w:sz w:val="18"/>
                <w:szCs w:val="18"/>
                <w:b w:val="1"/>
                <w:bCs w:val="1"/>
                <w:color w:val="auto"/>
              </w:rPr>
              <w:t>2.9</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ind w:left="340"/>
              <w:spacing w:after="0"/>
              <w:rPr>
                <w:sz w:val="20"/>
                <w:szCs w:val="20"/>
                <w:color w:val="auto"/>
              </w:rPr>
            </w:pPr>
            <w:r>
              <w:rPr>
                <w:rFonts w:ascii="Arial" w:cs="Arial" w:eastAsia="Arial" w:hAnsi="Arial"/>
                <w:sz w:val="18"/>
                <w:szCs w:val="18"/>
                <w:color w:val="auto"/>
                <w:w w:val="79"/>
              </w:rPr>
              <w:t>2.8</w:t>
            </w: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3.2</w:t>
            </w: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5.4</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5.3</w:t>
            </w: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1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b w:val="1"/>
                <w:bCs w:val="1"/>
                <w:color w:val="auto"/>
              </w:rPr>
              <w:t>(4.5)</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1100" w:type="dxa"/>
            <w:vAlign w:val="bottom"/>
            <w:gridSpan w:val="2"/>
          </w:tcPr>
          <w:p>
            <w:pPr>
              <w:ind w:left="36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0.0</w:t>
            </w: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Loss</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w:t>
            </w: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0.6</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36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Settlement loss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Net periodic benefit expense</w:t>
            </w:r>
          </w:p>
        </w:tc>
        <w:tc>
          <w:tcPr>
            <w:tcW w:w="180" w:type="dxa"/>
            <w:vAlign w:val="bottom"/>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13.7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11.6</w:t>
            </w:r>
          </w:p>
        </w:tc>
        <w:tc>
          <w:tcPr>
            <w:tcW w:w="82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640" w:type="dxa"/>
            <w:vAlign w:val="bottom"/>
          </w:tcPr>
          <w:p>
            <w:pPr>
              <w:ind w:left="420"/>
              <w:spacing w:after="0"/>
              <w:rPr>
                <w:sz w:val="20"/>
                <w:szCs w:val="20"/>
                <w:color w:val="auto"/>
              </w:rPr>
            </w:pPr>
            <w:r>
              <w:rPr>
                <w:rFonts w:ascii="Arial" w:cs="Arial" w:eastAsia="Arial" w:hAnsi="Arial"/>
                <w:sz w:val="18"/>
                <w:szCs w:val="18"/>
                <w:b w:val="1"/>
                <w:bCs w:val="1"/>
                <w:color w:val="auto"/>
                <w:w w:val="79"/>
              </w:rPr>
              <w:t>8.3</w:t>
            </w:r>
          </w:p>
        </w:tc>
        <w:tc>
          <w:tcPr>
            <w:tcW w:w="4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ind w:left="340"/>
              <w:spacing w:after="0"/>
              <w:rPr>
                <w:sz w:val="20"/>
                <w:szCs w:val="20"/>
                <w:color w:val="auto"/>
              </w:rPr>
            </w:pPr>
            <w:r>
              <w:rPr>
                <w:rFonts w:ascii="Arial" w:cs="Arial" w:eastAsia="Arial" w:hAnsi="Arial"/>
                <w:sz w:val="18"/>
                <w:szCs w:val="18"/>
                <w:color w:val="auto"/>
                <w:w w:val="79"/>
              </w:rPr>
              <w:t>8.1</w:t>
            </w:r>
          </w:p>
        </w:tc>
        <w:tc>
          <w:tcPr>
            <w:tcW w:w="10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During the second quarter of 2012, the Company completed the transfer of its pension obligation for certain qualified hourly employees from the Company’s hourly defined benefit pension plan to GM’s pension plan as part of the Asset Purchase Agreement. The transfer required a re-measurement of the hourly defined benefit pension plan resulting in a one-time non-cash settlement charge of $2.3 million recorded in Other expense, net in the Condensed Consolidated Statements of Comprehensive Income for the nine months ended September 30, 2012 and a $4.2 million reduction to the Company’s pension liability with corresponding adjustments to Accumulated other comprehensive loss, net of tax.</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Company’s pension benefit costs were calculated using various actuarial assumptions and methodologies as prescribed by GAAP. These assumptions include discount rates, expected return on defined benefit pension plan assets, inflation, rate of compensation increases, mortality rates and other factors. All calculations for September 30, 2012 were made using the same assumptions used for December 31, 2011 financial reporting with the exception of the discount rate for the hourly pension plan, which changed from 4.6% to 4.1% due to the second quarter 2012 re-measurement. The Company’s discount rate was determined by matching the plans projected cash flows to a yield curve based on long-term, fixed income debt instruments available as of the re-measurement date of June 30, 2012.</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60"/>
          </w:cols>
          <w:pgMar w:left="240" w:top="459" w:right="3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INCOME TAXES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effective tax rate for the three and nine months ended September 30, 2012 was (34.6%) and 157.8%, respectively. For the three and nine months ended September 30, 2012, the Company recorded total tax (expense) benefit of ($17.0) million and $307.9 million, respectively. The primary driver of the effective tax rate for the nine month period was the release of the Company’s valuation allowance against its deferred tax asset resulting in an income tax benefit of $384.8 million in the second quarter of 2012. The pretax income recorded for the nine month period ended September 30, 2012 includes approximately $36.5 million of discrete expense items primarily related to the termination of the Company’s services agreement with its Sponsors and transaction costs associated with the Company’s initial public offering.</w:t>
      </w:r>
    </w:p>
    <w:p>
      <w:pPr>
        <w:spacing w:after="0" w:line="144"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all or some portion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tax planning strategies and results of recent operations in making this assessment.</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Management has determined, based on the evaluation of both objective and subjective evidence available, that a valuation allowance is no longer necessary and that it is more likely than not that the deferred tax assets are fully realizable. The Company has reached a sustained period of profitability and believes its objectively measured positive evidence outweighs the negative evidence. Accordingly, the Company has recognized an income tax benefit as a result of the release of the valuation allowance which had previously been recorded against the deferred tax assets.</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accordance with the FASB’s authoritative guidance on accounting for uncertainty in income taxes, the Company had no liability for unrecognized tax benefits as of September 30, 2012 and December 31, 2011. The accounting guidance prescribes a recognition threshold and measurement attributes for the financial statement recognition and measurement of a tax position taken or expected to be taken in a tax return. For the year ended December 31, 2011, the return will remain subject to examination by the various taxing authorities for the duration of the applicable statute of limitations (generally three years from the later of the date of filing or the due date of the return).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Claims, Disputes, and Litigation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financial statements or covered by insurance on the disposition of these matters will not have a material adverse effect on the financial position, results of operations or cash flows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CERTAIN RELATIONSHIPS AND RELATED PARTY TRANSACTIONS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August 7, 2007, the Sponsors entered into a services agreement with ATI, pursuant to which ATI paid the Sponsors an annual fee of approximately $3.0 million (shared equally by the Sponsors) for certain advisory, consulting and other services to be performed by the Sponsors, exclusive of the reimbursements for certain out-of-pocket expenses incurred in connection with the performance of such services, and additional reasonable compensation for other services provided by the Sponsors from time to time, including consulting and other services with respect to acquisitions and divestitures or sales of equity or debt instruments. In March 2012, the Company and the Sponsors agreed to terminate the services agreement. The Company agreed to make a termination payment of $16.0 million, representing the present value of payments over the estimated term of the services agreement.</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Notes Held by Executive Officers</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As of September 30, 2012, Lawrence E. Dewey, our Chairman, President and Chief Executive Officer, David S. Graziosi, our Executive Vice President, Chief Financial Officer and Treasurer, and Robert M. Price, our Vice President, Human Resources, held approximately $100,000, $450,000, and $150,000, respectively, in aggregate principal amount of the 7.125% Senior Notes.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EARNINGS PER SHARE</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presents both basic and diluted earnings per share (“EPS”) amounts. Basic EPS is calculated by dividing net income by the weighted average number of common shares outstanding during the reporting period. Diluted EPS is calculated by dividing net income by the weighted average number of common shares and common equivalent shares outstanding during the reporting period that are calculated using the treasury stock method for stock options. The treasury stock method assumes that the Company uses the proceeds from the exercise of awards to repurchase common stock at the average market price during the period. The assumed proceeds under the treasury stock method include the purchase price that the grantee will pay in the future, compensation cost for future service that the Company has not yet recognized and any tax benefits that would be credited to additional paid-in-capital when the award generates a tax deduction. If there would be a shortfall resulting in a charge to additional paid-in-capital, such an amount would be a reduction of the proceeds. For the three and nine months ended September 30, 2011, outstanding stock options were not included in the diluted EPS computation because they were anti-dilutive.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the numerators and denominators used to calculate basic EPS and diluted EPS (in millions, except per share data):</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85"/>
              </w:rPr>
              <w:t>Three months ended September 30,</w:t>
            </w:r>
          </w:p>
        </w:tc>
        <w:tc>
          <w:tcPr>
            <w:tcW w:w="120" w:type="dxa"/>
            <w:vAlign w:val="bottom"/>
          </w:tcPr>
          <w:p>
            <w:pPr>
              <w:spacing w:after="0"/>
              <w:rPr>
                <w:sz w:val="14"/>
                <w:szCs w:val="14"/>
                <w:color w:val="auto"/>
              </w:rPr>
            </w:pPr>
          </w:p>
        </w:tc>
        <w:tc>
          <w:tcPr>
            <w:tcW w:w="2220" w:type="dxa"/>
            <w:vAlign w:val="bottom"/>
            <w:gridSpan w:val="5"/>
          </w:tcPr>
          <w:p>
            <w:pPr>
              <w:ind w:left="2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61"/>
        </w:trPr>
        <w:tc>
          <w:tcPr>
            <w:tcW w:w="53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503.0</w:t>
            </w:r>
          </w:p>
        </w:tc>
        <w:tc>
          <w:tcPr>
            <w:tcW w:w="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181.9</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181.4</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181.6</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stock-based awards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440"/>
              <w:spacing w:after="0"/>
              <w:rPr>
                <w:sz w:val="20"/>
                <w:szCs w:val="20"/>
                <w:color w:val="auto"/>
              </w:rPr>
            </w:pPr>
            <w:r>
              <w:rPr>
                <w:rFonts w:ascii="Arial" w:cs="Arial" w:eastAsia="Arial" w:hAnsi="Arial"/>
                <w:sz w:val="18"/>
                <w:szCs w:val="18"/>
                <w:color w:val="auto"/>
                <w:w w:val="98"/>
              </w:rPr>
              <w:t>Diluted weighted average shares of common stock outstanding</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185.5</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181.4</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186.0</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attributable to common stockholders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0.18</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w:t>
            </w:r>
          </w:p>
        </w:tc>
        <w:tc>
          <w:tcPr>
            <w:tcW w:w="74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ind w:left="440"/>
              <w:spacing w:after="0"/>
              <w:rPr>
                <w:sz w:val="20"/>
                <w:szCs w:val="20"/>
                <w:color w:val="auto"/>
              </w:rPr>
            </w:pPr>
            <w:r>
              <w:rPr>
                <w:rFonts w:ascii="Arial" w:cs="Arial" w:eastAsia="Arial" w:hAnsi="Arial"/>
                <w:sz w:val="18"/>
                <w:szCs w:val="18"/>
                <w:color w:val="auto"/>
                <w:w w:val="97"/>
              </w:rPr>
              <w:t>Diluted earnings per share attributable to common stockholders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0.17</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0.21</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2.70</w:t>
            </w:r>
          </w:p>
        </w:tc>
        <w:tc>
          <w:tcPr>
            <w:tcW w:w="74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SUBSEQUENT EVENTS</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On October 4, 2012, ATI entered into an amendment with the term loan lenders under its Senior Secured Credit Facility to extend the maturity of $300.0 million of term loan debt from August 7, 2014 to August 23, 2019 and to increase the applicable margin over the LIBOR (but not less than 1.00%) for such extended term loan to either 3.00% or 3.25%, subject to the Company’s total leverage ratio.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condensed consolidated interim financial statements and the related notes contained elsewhere in this Quarterly Report on Form 10-Q.</w:t>
      </w:r>
    </w:p>
    <w:p>
      <w:pPr>
        <w:spacing w:after="0" w:line="14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The statements in this discussion regarding industry trends,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“Cautionary Note Regarding Forward-Looking Statements” and Part II, Item 1A. “Risk Factors” below. Our actual results may differ materially from those contained in or implied by any forward-looking statements.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Allison Transmission Holdings, Inc. and its subsidiaries (the “Company,” “our,” “us,” “we” or “Allison”) design and manufacture fully-automatic transmissions for medium- and heavy-duty commercial vehicles, medium- and heavy-tactical U.S. military vehicles and hybrid-propulsion systems for transit buses. We generate our net sales primarily from the sale of transmissions, transmission parts, support equipment, military kits, engineering services and extended transmission warranty coverage to a wide array of original equipment manufacturers (“OEMs”), distributors and the U.S. government. Although approximately 80% of our net sales were generated in North America in 2011, we have a global presence, serving customers in Europe, Asia, South America and Africa. We have approximately 2,800 employees and 12 different transmission product lines. We serve customers through an established network of approximately 1,500 authorized independent distributors and dealers worldwide. Since the introduction of our first fully-automatic transmission over 60 years ago, our products have gained acceptance in a wide variety of applications, including on-highway trucks (distribution, refuse, construction, fire and emergency), buses (primarily school, transit and hybrid-transit), motorhomes, off-highway vehicles and equipment (primarily energy, mining and construction) and military vehicles (wheeled and tracked).</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90" w:lineRule="exact"/>
        <w:rPr>
          <w:sz w:val="20"/>
          <w:szCs w:val="20"/>
          <w:color w:val="auto"/>
        </w:rPr>
      </w:pPr>
    </w:p>
    <w:p>
      <w:pPr>
        <w:jc w:val="both"/>
        <w:ind w:right="80" w:firstLine="456"/>
        <w:spacing w:after="0" w:line="284" w:lineRule="auto"/>
        <w:rPr>
          <w:sz w:val="20"/>
          <w:szCs w:val="20"/>
          <w:color w:val="auto"/>
        </w:rPr>
      </w:pPr>
      <w:r>
        <w:rPr>
          <w:rFonts w:ascii="Arial" w:cs="Arial" w:eastAsia="Arial" w:hAnsi="Arial"/>
          <w:sz w:val="16"/>
          <w:szCs w:val="16"/>
          <w:color w:val="auto"/>
        </w:rPr>
        <w:t>In August 2012, Allison Transmission, Inc. (“ATI”), our wholly-owned subsidiary, entered into an amendment under its Senior Secured Credit Facility (as defined under “Liquidity and Capital Resources” below) to extend the maturity of $850.0 million of term loan debt from August 7, 2014 to August 23, 2019 and to increase the applicable margin over the London Interbank Offered Rate (“LIBOR”) (but not less than 1.00%) for such extended term loan to either 3.00% or</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3.25% subject to the Company’s total leverage ratio. The amendment was treated as an extinguishment of debt under accounting principles generally accepted in the United States of America (“GAAP”), and thus we expensed $4.5 million of previously deferred financing fees and recorded $16.1 million of new deferred financing fees in the condensed consolidated financial statements.</w:t>
      </w:r>
    </w:p>
    <w:p>
      <w:pPr>
        <w:spacing w:after="0" w:line="14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July 2012, we entered into a license and exclusivity agreement related to certain continuously variable planetary transmission technology of Fallbrook Technologies, Inc, (“Fallbrook”). Under the terms of the agreement, we purchased an exclusive, transferable license to certain patents and copyrighted materials to make, use, have made for us, sell or otherwise distribute and import licensed products in off-highway and on-highway commercial vehicles along with military vehicles and certain stationary equipment. In addition in July 2012, we purchased a non-controlling equity stake in Fallbrook.</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Also in July 2012, we closed our purchase of a non-controlling equity stake in Odyne Systems LLC, a manufacturer of advanced hybrid control systems, to expand our position in transmission technologies.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Impacting Our Business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net sales are driven by commercial vehicle production, which tends to be highly correlated to macroeconomic conditions. According to America’s Commercial Transportation Research, commercial truck and bus production volumes in our North American on-highway markets are projected to grow, but to remain below the 1998-2008 average production levels through 2014. However, we maintain a cautious approach to the fourth quarter given heightened market uncertainty by assuming year over year net sales reductions in North America Off-Highway, Global On-Highway, Tracked Military and Service Parts, Support Equipment &amp; Other end markets partially offset by year over year net sales growth in Outside North America Off-Highway and North America Hybrid-Propulsion Systems for Transit Bus end markets.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Third Quarter Net Sales by End Market (in millions)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w w:val="81"/>
              </w:rPr>
              <w:t>Q3 2012</w:t>
            </w:r>
          </w:p>
        </w:tc>
        <w:tc>
          <w:tcPr>
            <w:tcW w:w="6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Q3 2011</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8"/>
              </w:rPr>
              <w:t>End Market</w:t>
            </w:r>
          </w:p>
        </w:tc>
        <w:tc>
          <w:tcPr>
            <w:tcW w:w="56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ind w:right="76"/>
              <w:spacing w:after="0" w:line="149" w:lineRule="exact"/>
              <w:rPr>
                <w:sz w:val="20"/>
                <w:szCs w:val="20"/>
                <w:color w:val="auto"/>
              </w:rPr>
            </w:pPr>
            <w:r>
              <w:rPr>
                <w:rFonts w:ascii="Arial" w:cs="Arial" w:eastAsia="Arial" w:hAnsi="Arial"/>
                <w:sz w:val="14"/>
                <w:szCs w:val="14"/>
                <w:b w:val="1"/>
                <w:bCs w:val="1"/>
                <w:color w:val="auto"/>
                <w:w w:val="88"/>
              </w:rPr>
              <w:t>Net</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w w:val="97"/>
              </w:rPr>
              <w:t>Net</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60" w:type="dxa"/>
            <w:vAlign w:val="bottom"/>
            <w:tcBorders>
              <w:bottom w:val="single" w:sz="8" w:color="auto"/>
            </w:tcBorders>
            <w:vMerge w:val="continue"/>
          </w:tcPr>
          <w:p>
            <w:pPr>
              <w:spacing w:after="0"/>
              <w:rPr>
                <w:sz w:val="12"/>
                <w:szCs w:val="12"/>
                <w:color w:val="auto"/>
              </w:rPr>
            </w:pPr>
          </w:p>
        </w:tc>
        <w:tc>
          <w:tcPr>
            <w:tcW w:w="5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76"/>
              </w:rPr>
              <w:t>Sales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740"/>
              <w:spacing w:after="0" w:line="148" w:lineRule="exact"/>
              <w:rPr>
                <w:sz w:val="20"/>
                <w:szCs w:val="20"/>
                <w:color w:val="auto"/>
              </w:rPr>
            </w:pPr>
            <w:r>
              <w:rPr>
                <w:rFonts w:ascii="Arial" w:cs="Arial" w:eastAsia="Arial" w:hAnsi="Arial"/>
                <w:sz w:val="14"/>
                <w:szCs w:val="14"/>
                <w:b w:val="1"/>
                <w:bCs w:val="1"/>
                <w:color w:val="auto"/>
                <w:w w:val="76"/>
              </w:rPr>
              <w:t>Sales</w:t>
            </w:r>
          </w:p>
        </w:tc>
        <w:tc>
          <w:tcPr>
            <w:tcW w:w="94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88"/>
              </w:rPr>
              <w:t>% Variance</w:t>
            </w:r>
          </w:p>
        </w:tc>
        <w:tc>
          <w:tcPr>
            <w:tcW w:w="0" w:type="dxa"/>
            <w:vAlign w:val="bottom"/>
          </w:tcPr>
          <w:p>
            <w:pPr>
              <w:spacing w:after="0"/>
              <w:rPr>
                <w:sz w:val="1"/>
                <w:szCs w:val="1"/>
                <w:color w:val="auto"/>
              </w:rPr>
            </w:pPr>
          </w:p>
        </w:tc>
      </w:tr>
      <w:tr>
        <w:trPr>
          <w:trHeight w:val="20"/>
        </w:trPr>
        <w:tc>
          <w:tcPr>
            <w:tcW w:w="640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North America On-Highway</w:t>
            </w: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tcBorders>
              <w:right w:val="single" w:sz="8" w:color="CCEEFF"/>
            </w:tcBorders>
            <w:gridSpan w:val="2"/>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189</w:t>
            </w: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199</w:t>
            </w:r>
          </w:p>
        </w:tc>
        <w:tc>
          <w:tcPr>
            <w:tcW w:w="660" w:type="dxa"/>
            <w:vAlign w:val="bottom"/>
            <w:vMerge w:val="continue"/>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North America Hybrid-Propulsion Systems for Transit Bus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rPr>
              <w:t>28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4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North America Off-Highway</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Military</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74</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rPr>
              <w:t>81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4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Outside North America On-Highway</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Outside North America Off-Highway</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22</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rPr>
              <w:t>24</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4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 Parts, Support Equipment &amp; Other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93</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Total Net Sales</w:t>
            </w: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line="20" w:lineRule="exact"/>
              <w:rPr>
                <w:sz w:val="1"/>
                <w:szCs w:val="1"/>
                <w:color w:val="auto"/>
              </w:rPr>
            </w:pPr>
          </w:p>
        </w:tc>
      </w:tr>
      <w:tr>
        <w:trPr>
          <w:trHeight w:val="222"/>
        </w:trPr>
        <w:tc>
          <w:tcPr>
            <w:tcW w:w="640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494</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rPr>
              <w:t>574</w:t>
            </w:r>
          </w:p>
        </w:tc>
        <w:tc>
          <w:tcPr>
            <w:tcW w:w="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North America On-Highway end market net sales were down 5% for the third quarter 2012 compared to the third quarter 2011. The decrease was principally driven by lower demand for Rugged Duty Series and Highway Series models. These reductions were partially offset by increased sales of Pupil Transport/Shuttle Series and Motorhome Series models.</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North America Hybrid-Propulsion Systems for Transit Bus end market net sales were up 7% for the third quarter 2012 compared to the third quarter 2011 principally due to the timing of orders.</w:t>
      </w:r>
    </w:p>
    <w:p>
      <w:pPr>
        <w:spacing w:after="0" w:line="13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North America Off-Highway end market net sales were down 71% for the third quarter 2012 compared to the third quarter 2011. The decrease was principally driven by lower demand from hydraulic fracturing applications due to weakness in natural gas pricing.</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Military end market net sales were down 9% for the third quarter 2012 compared to the third quarter 2011 principally due to lower wheeled and tracked product requirements consistent with reduced U.S. defense spending.</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Outside North America On-Highway end market net sales for the third quarter 2012 were flat compared to the third quarter 2011 reflecting strength in China being offset by a weaker environment in Europe and Latin America.</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Outside North America Off-Highway end market net sales were down 8% for the third quarter 2012 compared to the third quarter 2011 principally driven by weaker mining sector demand partially offset by stronger demand from the energy sector.</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Service parts, support equipment &amp; other end market net sales were down 10% for the third quarter 2012 compared to the third quarter 2011. The decrease was principally driven by lower demand for global off-highway service parts and reduced support equipment sales commensurate with decreased transmission unit volumes.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generate our net sales primarily from the sale of transmissions, transmission parts, support equipment, military kits, engineering services and extended transmission coverage to a wide array of OEMs, distributors and the U.S. government. Sales are recorded net of provisions for customer allowances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most significant components of cost of sales are purchased parts, the overhead expense related to our manufacturing operations and direct labor associated with the manufacture and assembly of transmissions and parts. For the nine months ended September 30, 2012, direct material costs were approximately 71%, overhead costs were approximately 23%, and direct labor costs were approximately 6% of total cost of sales. We are subject to changes in our cost of sales caused by movements in underlying commodity prices. We seek to hedge against this risk by using commodity swap contracts and, beginning in 2011, long-term supply agreements. See Item 3 “Quantitative and Qualitative Disclosures about Market Risk—Commodity Price Risk.”</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incur costs in connection with research and development programs that are expected to contribute to future earnings. Such costs are expensed as incurred. In 2009, we were notified by the Department of Energy (“DOE”) that we were selected to receive matching funds up to $62.8 million from a cost-share grant program funded by the American Recovery and Reinvestment Act for the development of hybrid-propulsion system manufacturing capacity in the U.S. (the “Grant Program”). Applicable costs associated with the Grant Program have been charged to engineering — research and development. The DOE’s matching reimbursement is recorded to Other expense, net in the Condensed Consolidated Statements of Comprehensive Income included in Part I, Item 1 of this Quarterly Report on Form 10-Q, or in the case of capital expenditure, as a reduction in the cost basis of the capital asset.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use Adjusted net income to measure our overall profitability because it better reflects our cash flow generation by capturing the actual cash taxes paid rather than our tax expense as calculated under GAAP and excludes the impact of the non-cash annual amortization of certain intangible assets and other certain non-recurring items. We use Adjusted EBITDA, Adjusted EBITDA excluding technology-related license expenses, Adjusted EBITDA margin, Adjusted EBITDA margin excluding technology-related license expenses and Adjusted free cash flow to evaluate and control our cash operating costs and to measure our operating profitability. We believe the presentation of Adjusted net income, Adjusted EBITDA, Adjusted EBITDA excluding technology-related license expenses, Adjusted EBITDA margin, Adjusted EBITDA margin excluding technology-related license expenses and Adjusted free cash flow enhances our investors’ overall understanding of the financial performance and cash flow of our business.</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You should not consider Adjusted net income, Adjusted EBITDA, Adjusted EBITDA excluding technology-related license expenses, Adjusted EBITDA margin and Adjusted EBITDA margin excluding technology-related license expenses as an alternative to net income, determined in accordance with GAAP, as an indicator of operating performance. You should not consider Adjusted free cash flow as an alternative to net cash provided by operating activities, determined in accordance with GAAP, as an indicator of our cash flow.</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 directly comparable GAAP measure to Adjusted net income, Adjusted EBITDA and Adjusted EBITDA excluding technology-related license expenses, is Net income. A directly comparable GAAP measure to Adjusted free cash flow is Net cash provided by operating activities. The following is a reconciliation of Net income to Adjusted net income, Adjusted EBITDA, Adjusted EBITDA excluding technology-related license expenses, Adjusted EBITDA margin, and Adjusted EBITDA margin excluding technology-related license expenses, and a reconciliation of Net cash provided by operating activities to Adjusted free cash flow: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88"/>
              </w:rPr>
              <w:t>For the three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7"/>
              </w:rPr>
              <w:t>For the nine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6"/>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months ended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6"/>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7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(unaudited)</w:t>
            </w:r>
          </w:p>
        </w:tc>
        <w:tc>
          <w:tcPr>
            <w:tcW w:w="4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2012</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2011</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503.0</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plus: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Cash interest</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(31.8)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(25.8)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(120.6)</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expense (benefit)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(307.9)</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Cash income taxes</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Fee to terminate services agreement with Sponsors (a)</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Technology-related investments expense (b)</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Initial public offering expenses (c)</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131.2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Cash interest expense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25.8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120.6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income taxes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25.5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76.0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repurchases of long-term debt (d)</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Dual power inverter module extended coverage (e)</w:t>
            </w:r>
          </w:p>
        </w:tc>
        <w:tc>
          <w:tcPr>
            <w:tcW w:w="10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 plan re-measurement (f)</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Unrealized (gain) loss on hedge contracts (g)</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Premiums and expenses on tender offer for long-term debt (h)</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Benefit plan adjustment (i)</w:t>
            </w:r>
          </w:p>
        </w:tc>
        <w:tc>
          <w:tcPr>
            <w:tcW w:w="10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charges (j)</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Other (k)</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159.5</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193.4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555.7</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Adjusted EBITDA excluding technology-related license expenses (l)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171.5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193.4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585.2</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555.7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493.5</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574.0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1,654.8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1,646.7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b w:val="1"/>
                <w:bCs w:val="1"/>
                <w:color w:val="auto"/>
              </w:rPr>
              <w:t>Adjusted EBITDA margin</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33.7%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34.6%</w:t>
            </w:r>
          </w:p>
        </w:tc>
        <w:tc>
          <w:tcPr>
            <w:tcW w:w="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margin excluding technology-related license expenses (l)</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35.4%</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322"/>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138.9</w:t>
            </w:r>
          </w:p>
        </w:tc>
        <w:tc>
          <w:tcPr>
            <w:tcW w:w="32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203.6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385.4</w:t>
            </w:r>
          </w:p>
        </w:tc>
        <w:tc>
          <w:tcPr>
            <w:tcW w:w="5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397.3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(Deductions) or additions to reconcile to Adjusted free cash flow:</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Additions of long-lived assets</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(31.4)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(27.7)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(93.9)</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Fee to terminate services agreement with Sponsors (a)</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Technology-related license expenses (l)</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free cash flow</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119.5</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175.9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680" w:hanging="452"/>
        <w:spacing w:after="0" w:line="25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 one-time payment (recorded in Other expense, net) to terminate the services agreement with affiliates of the Carlyle Group and Onex Corporation (“Sponsors”).</w:t>
      </w:r>
    </w:p>
    <w:p>
      <w:pPr>
        <w:ind w:left="460" w:right="560" w:hanging="452"/>
        <w:spacing w:after="0" w:line="300"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Represents a $6.4 million and $14.4 million impairment charge (recorded in Other expense, net) on investments in co-development agreements with various companies to expand our position in transmission technologies for the three and nine months ended September 30, 2012, respectively.</w:t>
      </w:r>
    </w:p>
    <w:p>
      <w:pPr>
        <w:ind w:left="460" w:right="180" w:hanging="452"/>
        <w:spacing w:after="0" w:line="261"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$0.0 million and $6.1 million of fees and expenses (recorded in Other expense, net) related to our initial public offering in March 2012 for the three and nine months ended September 30, 2012, respectively.</w:t>
      </w:r>
    </w:p>
    <w:p>
      <w:pPr>
        <w:sectPr>
          <w:pgSz w:w="11900" w:h="16838" w:orient="portrait"/>
          <w:cols w:equalWidth="0" w:num="1">
            <w:col w:w="11420"/>
          </w:cols>
          <w:pgMar w:left="240" w:top="459" w:right="239" w:bottom="927"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459" w:right="239" w:bottom="927"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hanging="452"/>
        <w:spacing w:after="0" w:line="252"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 $0.5 million and $3.0 million loss (recorded in Other expense, net) realized on the redemptions and repayments of Allison Transmission Inc.’s (“ATI”), a wholly-owned subsidiary of the Company, long-term debt for the three months ended September 30, 2012 and 2011, respectively. Represents a $21.6 million and $11.3 million loss (recorded in Other expense, net) realized on the redemptions and repayments of ATI’s long-term debt for the nine months ended September 30, 2012 and 2011, respectively.</w:t>
      </w:r>
    </w:p>
    <w:p>
      <w:pPr>
        <w:spacing w:after="0" w:line="1" w:lineRule="exact"/>
        <w:rPr>
          <w:rFonts w:ascii="Arial" w:cs="Arial" w:eastAsia="Arial" w:hAnsi="Arial"/>
          <w:sz w:val="18"/>
          <w:szCs w:val="18"/>
          <w:color w:val="auto"/>
        </w:rPr>
      </w:pPr>
    </w:p>
    <w:p>
      <w:pPr>
        <w:ind w:left="460" w:right="160" w:hanging="452"/>
        <w:spacing w:after="0" w:line="281"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During the second quarter of 2012, we increased our liability related to the Dual Power Inverter Module (“DPIM”) extended coverage program due to claims data and additional design issues identified during introduction of replacement units. The increase in liability resulted in a charge of approximately $9.4 million (recorded in Selling, general and administrative expenses) for the nine months ended September 30, 2012.</w:t>
      </w:r>
    </w:p>
    <w:p>
      <w:pPr>
        <w:spacing w:after="0" w:line="2" w:lineRule="exact"/>
        <w:rPr>
          <w:rFonts w:ascii="Arial" w:cs="Arial" w:eastAsia="Arial" w:hAnsi="Arial"/>
          <w:sz w:val="16"/>
          <w:szCs w:val="16"/>
          <w:color w:val="auto"/>
        </w:rPr>
      </w:pPr>
    </w:p>
    <w:p>
      <w:pPr>
        <w:jc w:val="both"/>
        <w:ind w:left="460" w:right="34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 $2.3 million settlement charge (recorded in Other expense, net) for the nine months ended September 30, 2012 related to the settlement of pension obligations for certain qualified hourly employees from our hourly defined benefit pension plan to General Motors’ pension plan as part of the Asset Purchase Agreement (as defined in our Registration Statement on Form S-1/A).</w:t>
      </w:r>
    </w:p>
    <w:p>
      <w:pPr>
        <w:spacing w:after="0" w:line="1" w:lineRule="exact"/>
        <w:rPr>
          <w:rFonts w:ascii="Arial" w:cs="Arial" w:eastAsia="Arial" w:hAnsi="Arial"/>
          <w:sz w:val="18"/>
          <w:szCs w:val="18"/>
          <w:color w:val="auto"/>
        </w:rPr>
      </w:pPr>
    </w:p>
    <w:p>
      <w:pPr>
        <w:ind w:left="460" w:right="32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($2.1) million and $4.1 million of unrealized (gain) loss (recorded in Other expense, net) on the mark-to-market of our foreign currency and commodities contracts for the three months ended September 30, 2012 and 2011, respectively. Represents ($1.1) million and $5.1 million of unrealized (gain) loss (recorded in Other expense, net) on the mark-to-market of our foreign currency and commodities contracts for the nine months ended September 30, 2012 and 2011, respectively.</w:t>
      </w:r>
    </w:p>
    <w:p>
      <w:pPr>
        <w:spacing w:after="0" w:line="1" w:lineRule="exact"/>
        <w:rPr>
          <w:rFonts w:ascii="Arial" w:cs="Arial" w:eastAsia="Arial" w:hAnsi="Arial"/>
          <w:sz w:val="18"/>
          <w:szCs w:val="18"/>
          <w:color w:val="auto"/>
        </w:rPr>
      </w:pPr>
    </w:p>
    <w:p>
      <w:pPr>
        <w:ind w:left="460" w:right="28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$56.9 million (recorded in Other expense, net) of premiums and expenses related to the tender offer of ATI’s 11.25% senior toggle notes due 2015 (“Senior Toggle 11.25% Notes”) in the second quarter of 2011.</w:t>
      </w:r>
    </w:p>
    <w:p>
      <w:pPr>
        <w:ind w:left="460" w:right="4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 ($2.0) million ($0.7 million recorded in Cost of sales, $0.7 million recorded in Selling, general and administrative expenses, and $0.6 million recorded in Engineering – research and development) favorable adjustment in 2011 related to certain differences between benefits promised under a benefit plan and the administration of the plan.</w:t>
      </w:r>
    </w:p>
    <w:p>
      <w:pPr>
        <w:spacing w:after="0" w:line="1"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a ($0.6) million ($0.1 million recorded as Cost of sales and $0.5 million recorded as Engineering – research and development) payment received from a military contract for restructuring expenses related to a second quarter 2011 salaried employee headcount reduction program.</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employee stock compensation expense and service fees (recorded in Selling, general and administrative expenses) paid to the Sponsors.</w:t>
      </w:r>
    </w:p>
    <w:p>
      <w:pPr>
        <w:spacing w:after="0" w:line="32" w:lineRule="exact"/>
        <w:rPr>
          <w:rFonts w:ascii="Arial" w:cs="Arial" w:eastAsia="Arial" w:hAnsi="Arial"/>
          <w:sz w:val="16"/>
          <w:szCs w:val="16"/>
          <w:color w:val="auto"/>
        </w:rPr>
      </w:pPr>
    </w:p>
    <w:p>
      <w:pPr>
        <w:ind w:left="460" w:right="580" w:hanging="452"/>
        <w:spacing w:after="0" w:line="261"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$12.0 million (recorded in Engineering-research and development) of payments to Fallbrook and Torotrak plc for licenses to expand our position in transmission technologies.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table sets forth certain financial information for the three months ended September 30, 2012 and 2011. The following table and discussion should be read in conjunction with the information contained in our condensed consolidated financial statements and the notes thereto included in Part I, Item 1 of this Quarterly Report on Form 10-Q.</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2012 and 2011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b w:val="1"/>
                <w:bCs w:val="1"/>
                <w:color w:val="auto"/>
                <w:w w:val="91"/>
              </w:rPr>
              <w:t>Three months ended September 30,</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right"/>
              <w:ind w:right="176"/>
              <w:spacing w:after="0" w:line="129"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jc w:val="right"/>
              <w:ind w:right="175"/>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r>
      <w:tr>
        <w:trPr>
          <w:trHeight w:val="161"/>
        </w:trPr>
        <w:tc>
          <w:tcPr>
            <w:tcW w:w="65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80" w:type="dxa"/>
            <w:vAlign w:val="bottom"/>
          </w:tcPr>
          <w:p>
            <w:pPr>
              <w:spacing w:after="0"/>
              <w:rPr>
                <w:sz w:val="14"/>
                <w:szCs w:val="14"/>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2012</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77"/>
              </w:rPr>
              <w:t>of net sales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2011</w:t>
            </w:r>
          </w:p>
        </w:tc>
        <w:tc>
          <w:tcPr>
            <w:tcW w:w="44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sales</w:t>
            </w:r>
          </w:p>
        </w:tc>
      </w:tr>
      <w:tr>
        <w:trPr>
          <w:trHeight w:val="210"/>
        </w:trPr>
        <w:tc>
          <w:tcPr>
            <w:tcW w:w="20" w:type="dxa"/>
            <w:vAlign w:val="bottom"/>
          </w:tcPr>
          <w:p>
            <w:pPr>
              <w:spacing w:after="0"/>
              <w:rPr>
                <w:sz w:val="18"/>
                <w:szCs w:val="18"/>
                <w:color w:val="auto"/>
              </w:rPr>
            </w:pPr>
          </w:p>
        </w:tc>
        <w:tc>
          <w:tcPr>
            <w:tcW w:w="6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493.5</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574.0</w:t>
            </w:r>
          </w:p>
        </w:tc>
        <w:tc>
          <w:tcPr>
            <w:tcW w:w="4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224.4</w:t>
            </w:r>
          </w:p>
        </w:tc>
        <w:tc>
          <w:tcPr>
            <w:tcW w:w="200" w:type="dxa"/>
            <w:vAlign w:val="bottom"/>
          </w:tcPr>
          <w:p>
            <w:pPr>
              <w:spacing w:after="0"/>
              <w:rPr>
                <w:sz w:val="18"/>
                <w:szCs w:val="18"/>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45.5%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257.6</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44.9%</w:t>
            </w: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96.7</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19.6</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101.6</w:t>
            </w:r>
          </w:p>
        </w:tc>
        <w:tc>
          <w:tcPr>
            <w:tcW w:w="640" w:type="dxa"/>
            <w:vAlign w:val="bottom"/>
          </w:tcPr>
          <w:p>
            <w:pPr>
              <w:jc w:val="right"/>
              <w:spacing w:after="0"/>
              <w:rPr>
                <w:sz w:val="20"/>
                <w:szCs w:val="20"/>
                <w:color w:val="auto"/>
              </w:rPr>
            </w:pPr>
            <w:r>
              <w:rPr>
                <w:rFonts w:ascii="Arial" w:cs="Arial" w:eastAsia="Arial" w:hAnsi="Arial"/>
                <w:sz w:val="18"/>
                <w:szCs w:val="18"/>
                <w:color w:val="auto"/>
              </w:rPr>
              <w:t>17.7</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Engineering — research and development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35.9</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6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132.6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133.5</w:t>
            </w:r>
          </w:p>
        </w:tc>
        <w:tc>
          <w:tcPr>
            <w:tcW w:w="4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91.8</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18.6</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124.1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Other expense, net: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(40.8)</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(63.3)</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w:t>
            </w: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Other expense, net</w:t>
            </w:r>
          </w:p>
        </w:tc>
        <w:tc>
          <w:tcPr>
            <w:tcW w:w="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w:t>
            </w:r>
          </w:p>
        </w:tc>
        <w:tc>
          <w:tcPr>
            <w:tcW w:w="12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(3.7)</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r>
      <w:tr>
        <w:trPr>
          <w:trHeight w:val="27"/>
        </w:trPr>
        <w:tc>
          <w:tcPr>
            <w:tcW w:w="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expense, net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(42.6)</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(67.0)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w:t>
            </w:r>
          </w:p>
        </w:tc>
      </w:tr>
      <w:tr>
        <w:trPr>
          <w:trHeight w:val="222"/>
        </w:trPr>
        <w:tc>
          <w:tcPr>
            <w:tcW w:w="65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4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32.2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38.8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Net sales for the quarter ended September 30, 2012 were $493.5 million compared to $574.0 million for the quarter ended September 30, 2011, a decrease of 14.0%. The decrease was principally driven by a $56.0 million, or 56.0%, decrease in net sales of global off-highway products driven by lower North American demand from natural gas fracturing applications due to weakness in natural gas pricing, a decrease in net sales of $10.0 million, or 5.0%, in North America on-highway commercial products, a decrease in net sales of $9.0 million, or 10.0%, in parts and other products, and a decrease in net sales of $7.0 million, or 9.0%, in military products primarily driven by wheeled and tracked product requirements, partially offset by an increase in net sales of $2.0 million, or 7.0%, for hybrid-propulsion systems primarily driven by intra-year movements in the timing of orders.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Gross profit for the quarter ended September 30, 2012 was $224.4 million compared to $257.6 million for the quarter ended September 30, 2011, a decrease of 12.9%. The decrease was principally driven by $54.0 million related to decreased net sales, partially offset by $10.0 million attributable to improved manufacturing performance, $6.0 million of favorable material costs and $5.0 million of price increases on certain products.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Selling, general and administrative expenses for the quarter ended September 30, 2012 were $96.7 million compared to $101.6 million for the quarter ended September 30, 2011, a decrease of 4.8%. The decrease was principally driven by lower global commercial spending activities, partially offset by $4.4 million of favorable product warranty expense adjustments in 2011.</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Engineering – research and development expenses for the quarter ended September 30, 2012 were $35.9 million compared to $31.9 million for the quarter ended September 30, 2011, an increase of 12.5%. The increase was principally driven by $12.0 million of certain technology-related license expenses, partially offset by timing of other product initiatives spending.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Interest expense, net for the quarter ended September 30, 2012 was $40.8 million compared to $63.3 million for the quarter ended September 30, 2011, a decrease of 35.5%. The decrease was principally driven by a $17.5 million decrease in mark-to-market expense for our interest rate derivatives and $12.8 million of lower interest expense as a result of debt repayments and purchases, partially offset by $3.7 million of higher amortization of deferred financing fees related to the refinancing of our Senior Secured Credit Facility, $2.5 million of higher interest expense related to higher interest rates on the Term B-2 Loan and Term B-3 Loan and $1.6 million of higher interest expense primarily due to the effectiveness of $700.0 million of new interest rate swaps at higher interest rates.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Other expense, net for the quarter ended September 30, 2012 was $1.8 million compared to $3.7 million for the quarter ended September 30, 2011. The decrease in expense was principally driven by $4.3 million of favorable foreign currency exchange, $4.1 million of higher gains on derivative contracts and a $2.5 million decrease in premiums and expenses related to redemptions of long-term debt, partially offset by a $6.4 million impairment of technology-related investments and $2.7 million of decreased Grant Program income.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Income tax expense for the quarter ended September 30, 2012 was $17.0 million resulting in an effective tax rate of 34.6% versus an effective tax rate of 32.0% for the quarter ended September 30, 2011. The change in effective tax rate was principally driven by discrete activity in the third quarter 2012 being higher than discrete activity in the third quarter 2011.</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September 30, 2012 and 2011</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table sets forth certain financial information for the nine months ended September 30, 2012 and 2011. The following table and discussion should be read in conjunction with the information contained in our condensed consolidated financial statements and the notes thereto included in Part I, Item 1 of this Quarterly Report on Form 10-Q.</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b w:val="1"/>
                <w:bCs w:val="1"/>
                <w:color w:val="auto"/>
                <w:w w:val="92"/>
              </w:rPr>
              <w:t>Nine months ended September 30,</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right"/>
              <w:ind w:right="157"/>
              <w:spacing w:after="0" w:line="12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jc w:val="right"/>
              <w:ind w:right="175"/>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4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74"/>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77"/>
              </w:rPr>
              <w:t>of net sales</w:t>
            </w:r>
          </w:p>
        </w:tc>
        <w:tc>
          <w:tcPr>
            <w:tcW w:w="8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sales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1,654.8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1,646.7</w:t>
            </w:r>
          </w:p>
        </w:tc>
        <w:tc>
          <w:tcPr>
            <w:tcW w:w="4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Gross profit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760.1</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45.9%</w:t>
            </w:r>
          </w:p>
        </w:tc>
        <w:tc>
          <w:tcPr>
            <w:tcW w:w="8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732.0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Selling, general and administrative expenses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307.0</w:t>
            </w:r>
          </w:p>
        </w:tc>
        <w:tc>
          <w:tcPr>
            <w:tcW w:w="144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18.5</w:t>
            </w:r>
          </w:p>
        </w:tc>
        <w:tc>
          <w:tcPr>
            <w:tcW w:w="8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299.1</w:t>
            </w:r>
          </w:p>
        </w:tc>
        <w:tc>
          <w:tcPr>
            <w:tcW w:w="640" w:type="dxa"/>
            <w:vAlign w:val="bottom"/>
          </w:tcPr>
          <w:p>
            <w:pPr>
              <w:jc w:val="right"/>
              <w:spacing w:after="0"/>
              <w:rPr>
                <w:sz w:val="20"/>
                <w:szCs w:val="20"/>
                <w:color w:val="auto"/>
              </w:rPr>
            </w:pPr>
            <w:r>
              <w:rPr>
                <w:rFonts w:ascii="Arial" w:cs="Arial" w:eastAsia="Arial" w:hAnsi="Arial"/>
                <w:sz w:val="18"/>
                <w:szCs w:val="18"/>
                <w:color w:val="auto"/>
              </w:rPr>
              <w:t>18.2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Engineering — research and development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87.0</w:t>
            </w:r>
          </w:p>
        </w:tc>
        <w:tc>
          <w:tcPr>
            <w:tcW w:w="14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5.3</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90.4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394.0</w:t>
            </w:r>
          </w:p>
        </w:tc>
        <w:tc>
          <w:tcPr>
            <w:tcW w:w="144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23.8</w:t>
            </w:r>
          </w:p>
        </w:tc>
        <w:tc>
          <w:tcPr>
            <w:tcW w:w="8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389.5</w:t>
            </w:r>
          </w:p>
        </w:tc>
        <w:tc>
          <w:tcPr>
            <w:tcW w:w="640" w:type="dxa"/>
            <w:vAlign w:val="bottom"/>
          </w:tcPr>
          <w:p>
            <w:pPr>
              <w:jc w:val="right"/>
              <w:spacing w:after="0"/>
              <w:rPr>
                <w:sz w:val="20"/>
                <w:szCs w:val="20"/>
                <w:color w:val="auto"/>
              </w:rPr>
            </w:pPr>
            <w:r>
              <w:rPr>
                <w:rFonts w:ascii="Arial" w:cs="Arial" w:eastAsia="Arial" w:hAnsi="Arial"/>
                <w:sz w:val="18"/>
                <w:szCs w:val="18"/>
                <w:color w:val="auto"/>
              </w:rPr>
              <w:t>23.7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366.1</w:t>
            </w:r>
          </w:p>
        </w:tc>
        <w:tc>
          <w:tcPr>
            <w:tcW w:w="14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22.1</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342.5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Other expense, net: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8"/>
              </w:rPr>
              <w:t>(115.6)</w:t>
            </w:r>
          </w:p>
        </w:tc>
        <w:tc>
          <w:tcPr>
            <w:tcW w:w="14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(7.0)</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(183.9)</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Premiums and expenses on tender offer for long-term debt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(56.9)</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expense, net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(55.4)</w:t>
            </w:r>
          </w:p>
        </w:tc>
        <w:tc>
          <w:tcPr>
            <w:tcW w:w="14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(3.3)</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vMerge w:val="restart"/>
          </w:tcPr>
          <w:p>
            <w:pPr>
              <w:ind w:left="860"/>
              <w:spacing w:after="0"/>
              <w:rPr>
                <w:sz w:val="20"/>
                <w:szCs w:val="20"/>
                <w:color w:val="auto"/>
              </w:rPr>
            </w:pPr>
            <w:r>
              <w:rPr>
                <w:rFonts w:ascii="Arial" w:cs="Arial" w:eastAsia="Arial" w:hAnsi="Arial"/>
                <w:sz w:val="18"/>
                <w:szCs w:val="18"/>
                <w:color w:val="auto"/>
              </w:rPr>
              <w:t>Total other expense, net</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7"/>
              </w:rPr>
              <w:t>(171.0)</w:t>
            </w:r>
          </w:p>
        </w:tc>
        <w:tc>
          <w:tcPr>
            <w:tcW w:w="2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(10.3)</w:t>
            </w:r>
          </w:p>
        </w:tc>
        <w:tc>
          <w:tcPr>
            <w:tcW w:w="5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(241.7)</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195.1</w:t>
            </w:r>
          </w:p>
        </w:tc>
        <w:tc>
          <w:tcPr>
            <w:tcW w:w="14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11.8</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307.9</w:t>
            </w:r>
          </w:p>
        </w:tc>
        <w:tc>
          <w:tcPr>
            <w:tcW w:w="144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18.6</w:t>
            </w: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(42.3)</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503.0</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30.4%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Net sales for the nine months ended September 30, 2012 were $1,654.8 million compared to $1,646.7 million for the nine months ended September 30, 2011, an increase of 0.5%. The increase was principally driven by a $89.0 million, or 9.0%, increase in net sales of global on-highway commercial products, an increase in net sales of $16.0 million, or 24.0%, of outside North America off-highway products and a $6.0 million, or 2.0%, increase in net sales of parts and other products, partially offset by a decrease in net sales of $70.0 million, or 33.0%, of North America off-highway products driven by lower demand from natural gas fracturing applications due to weakness in natural gas pricing, a decrease in net sales of $24.0 million, or 22.0%, for hybrid-propulsion systems for transit buses primarily driven by lower municipal spending and a decrease in net sales of $3.0 million, or 1.0%, in military products primarily driven by tracked product requirements.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Gross profit for the nine months ended September 30, 2012 was $760.1 million compared to $732.0 million for the nine months ended September 30, 2011, an increase of 3.8%. The increase was principally driven by $15.0 million of price increases on certain products, $14.0 million attributable to improved manufacturing performance and $7.0 million of favorable material costs, partially offset by $7.0 million related to unfavorable product mix and $1.0 million of unfavorable foreign currency exchange.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Selling, general and administrative expenses for the nine months ended September 30, 2012 were $307.0 million compared to $299.1 million for the nine months ended September 30, 2011, an increase of 2.6%. The increase was principally driven by $9.4 million related to the DPIM extended coverage program and $8.7 million of favorable product warranty expense adjustments in 2011, partially offset by lower global commercial spending activities.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Engineering – research and development expenses for the nine months ended September 30, 2012 were $87.0 million compared to $90.4 million for the nine months ended September 30, 2011, a decrease of 3.8%. The decrease was principally driven by product initiatives spending, partially offset by $2.4 million of certain technology-related license expenses.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Interest expense, net for the nine months ended September 30, 2012 was $115.6 million compared to $183.9 million for the nine months ended September 30, 2011, a decrease of 37.1%. The decrease was principally driven by $41.4 million of lower interest expense as a result of debt repayments and purchases, and a $38.9 million decrease in mark-to-market expense for our interest rate derivatives, partially offset by $8.4 million of higher interest expense primarily due to the effectiveness of $700.0 million of new interest rate swaps at higher interest rates and $2.1 million of higher interest expense primarily driven by higher interest rates on the Term B-2 Loan and Term B-3 Loan.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Premiums and expenses on tender offer for long-term debt.</w:t>
      </w:r>
    </w:p>
    <w:p>
      <w:pPr>
        <w:spacing w:after="0" w:line="90"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In May 2011, we completed a cash tender offer to purchase any and all of our Senior Toggle 11.25% Notes. The tender offer resulted in us purchasing $468.1 million of $505.3 million of our outstanding Senior Toggle 11.25% Notes with premiums and expenses totaling $56.9 million.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9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Other expense, net for the nine months ended September 30, 2012 was $55.4 million compared to $0.9 million for the nine months ended September 30, 2011. The increase in expense was principally driven by a $16.0 million payment to terminate the services agreement with the Sponsors, a $14.4 million impairment of technology-related investments, a $10.3 million increase in premiums and expenses related to redemptions of long-term debt, $6.1 million of fees and expenses related to our initial public offering, $5.4 million of decreased Grant Program income, a $3.7 million favorable vendor settlement in 2011 and $2.3 million related to the hourly pension plan settlement, partially offset by $3.6 million of favorable foreign currency exchange and $0.9 million of higher gains on derivative contracts.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Income tax benefit (expense) for the nine months ended September 30, 2012 was $307.9 million resulting in an effective tax rate of 157.8% versus an effective tax rate of (42.0%) for the nine months ended September 30, 2011. The change in effective tax rate was principally driven by the release of our valuation allowance on our deferred tax assets in the second quarter of 2012. Management determined, based on the evaluation of both objective and subjective evidence available, that a valuation allowance was no longer necessary and that it is more likely than not that the deferred tax assets are fully realizable.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We generate cash primarily from our operating activities. We had total available cash and cash equivalents of $81.9 million and $314.0 million as of September 30, 2012 and December 31, 2011, respectively. Of the available cash and cash equivalents, approximately $76.9 million and $188.1 million was deposited in operating accounts while approximately $5.0 million and $125.9 million was invested in U.S. government backed securities as of September 30, 2012 and December 31, 2011, respectively.</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Additionally, we had $371.7 million and $369.2 million available under the revolving credit facility, net of approximately $28.3 million and $30.8 million in letters of credit issued and outstanding as of September 30, 2012 and December 31, 2011, respectively. During the third quarter of 2012, we borrowed $7.5 million on our revolving credit facility as part of our debt management plans and subsequently repaid the amounts within the third quarter.</w:t>
      </w:r>
    </w:p>
    <w:p>
      <w:pPr>
        <w:spacing w:after="0" w:line="10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On March 9, 2012, ATI entered into an amendment with the term loan lenders under its Senior Secured Credit Facility to extend the maturity of approximately $801.1 million in principal amount of the term loan (“Term B-2 Loan”) from August 7, 2014 to August 7, 2017 and to increase the applicable margin over the LIBOR to 3.50% for such extended term loan. On August 23, 2012, ATI entered into an amendment with the term loan lenders under its Senior Secured Credit Facility to extend the maturity of approximately $850.0 million in principal amount of the term loan (“Term B-3 Loan”) from August 7, 2014 to August 23, 2019 and to increase the applicable margin over the LIBOR (but not less than 1%) for such extended term loan to either 3.00% or 3.25%, subject to our total leverage ratio. The remaining term loan of approximately $801.3 million with an applicable margin over LIBOR of up to 2.75% matures in August 2014 (“Term B-1 Loan”) (together the Term B-1 Loan, Term B-2 Loan, Term B-3 Loan and revolving credit facility defined as the “Senior Secured Credit Facility”).</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principal uses of cash are operating expenses, capital expenditures, debt service and working capital needs. The following table shows our sources and uses of funds for the nine months ended September 30, 2012 and 2011 (in millions):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Statement of Cash Flows Data</w:t>
            </w: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42"/>
        </w:trPr>
        <w:tc>
          <w:tcPr>
            <w:tcW w:w="4460" w:type="dxa"/>
            <w:vAlign w:val="bottom"/>
            <w:tcBorders>
              <w:bottom w:val="single" w:sz="8" w:color="CCEEFF"/>
            </w:tcBorders>
            <w:vMerge w:val="continue"/>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2012</w:t>
            </w:r>
          </w:p>
        </w:tc>
        <w:tc>
          <w:tcPr>
            <w:tcW w:w="6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flows from operating activities</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385.4</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Cash flows used for investing activities</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(108.5)</w:t>
            </w: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for financing activities</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(508.3)</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(289.3)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the growth in our operations, it may be necessary from time to time in the future to borrow under the Senior Secured Credit Facility to meet cash demands. We anticipate cash provided by operating activities, cash and cash equivalents and borrowing capacity under the Senior Secured Credit Facility will be sufficient to meet our cash requirements for the next twelve months.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Operating activities for the nine months ended September 30, 2012 generated $385.4 million of cash compared to $397.3 million for the nine months ended September 30, 2011. The decrease was primarily driven by lower accounts payable, higher inventories as a result of inconsistent commercial vehicle production schedules and labor negotiations planning, and lower other liabilities, net, partially offset by increased net income adjusted for items not providing or using cash and lower accounts receivable.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used for investing activities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Investing activities for the nine months ended September 30, 2012 used $108.5 million of cash compared to $15.5 million for the nine months ended September 30, 2011. The increase was primarily driven by an increase of $38.6 million in capital expenditures, a $14.4 million investment in technology-related initiatives, a 2011 reduction in collateral requirements related to certain of our interest rate derivatives and 2011 proceeds related to the sale of property. The increase in capital expenditures was attributable to the continued expansion of our India facility, higher product initiatives spending and increased investments in productivity and replacement programs, partially offset by 2011 construction of our Hungarian manufacturing facility. The India expansion project was completed and production commenced during the third quarter of 2012.</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used for financing activities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Financing activities for the nine months ended September 30, 2012 used $508.3 million of cash compared to $289.3 million of cash used for the nine months ended September 30, 2011. The increase was primarily driven by $203.1 million of increased payments, repurchases and redemptions of the Company’s long-term debt, $21.8 million for dividend payments made in 2012, $18.4 million of payments related to extending a portion of the Senior Secured Credit Facility, and a $2.5 million principal payment on our Japanese Yen denominated unsecured short-term notes, partially offset by $15.0 million of 2011 debt issuance costs and $10.1 million related to the proceeds from the issuance of common stock in 2012.</w:t>
      </w:r>
    </w:p>
    <w:p>
      <w:pPr>
        <w:spacing w:after="0" w:line="116"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In February 2012, ATI redeemed $200.0 million of 11.0% senior cash pay notes due November 2015 (“11.0% Senior Notes”) resulting in a loss (the premium between the purchase price of the notes and the face value of such notes) of $13.5 million, including deferred financing fees written off.</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May 2012, ATI redeemed the remaining $109.8 million of the 11.0% Senior Notes resulting in a loss (the premium between the purchase price of the notes and the face value of such notes) of $7.3 million, including deferred financing fees written off.</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Prior to May 15, 2015, we may redeem some or all of ATI’s 7.125% senior cash pay notes due May 2019 (“7.125% Senior Notes”) by paying the applicable “make-whole” premium. At any time on or after May 15, 2015, we may redeem some or all of the 7.125% Senior Notes at specified redemption prices in the governing indenture.</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liquidity requirements are significant, primarily due to our debt service requirements. A one-eighth percent change in assumed interest rates for the Senior Secured Credit Facility, if fully drawn, as of September 30, 2012 would have a yearly impact of $2.1 million on interest expense, which includes the partial offset of our interest rate swaps. Our ability to make payments on and to refinance our indebtedness, and to fund planned capital expenditures will depend on our ability to generate cash in the future. This is subject to general economic, financial, competitive, legislative, regulatory and other factors that may be beyond our control.</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November 2008, we entered into an amendment related to the Senior Secured Credit Facility that permits us to make discounted voluntary prepayments of our term loan in an aggregated amount not to exceed $750.0 million pursuant to a modified Dutch auction. As part of the May 2011 amendment to the Senior Secured Credit Facility, the amount available for discounted voluntary prepayments of the term loan pursuant to a modified Dutch auction was reset to $750.0 million. This provision is available to us for so long as the Senior Secured Credit Facility is outstanding. For the nine months ended September 30, 2012 and 2011, we did not make any discounted prepayments of our term loan under this amendment.</w:t>
      </w:r>
    </w:p>
    <w:p>
      <w:pPr>
        <w:spacing w:after="0" w:line="11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In addition, we made principal payments of $150.5 million and $82.8 million on the Senior Secured Credit Facility for the nine months ended September 30, 2012 and 2011, respectively. The principal payments made on the Senior Secured Credit Facility for the nine months ended September 30, 2012 and 2011 resulted in losses of $0.8 million and $0.6 million, respectively, associated with the write off of related deferred debt issuance costs.</w:t>
      </w:r>
    </w:p>
    <w:p>
      <w:pPr>
        <w:spacing w:after="0" w:line="10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Senior Secured Credit Facility requires us to maintain a specified maximum total senior secured leverage ratio of 5.50x for the remainder of the term of the loans.</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of September 30, 2012, we were in compliance with the maximum total senior secured leverage ratio, achieving a 3.24x ratio. Within the terms of the Senior Secured Credit Facility, a senior secured leverage ratio below 3.50x results in a 25 basis point reduction to the applicable margin for the Term B-1 Loan, a 12.5 basis point reduction to the commitment fee and elimination of excess cash flow payments on the term loan for the applicable year. These reductions remain in effect as long as we continue to achieve a senior secured leverage ratio below 3.50x. There are no reductions to the applicable margin available for the Term B-2 Loan. A total leverage ratio below 3.25x results in a 25 basis point reduction to the applicable margin for the Term B-3 Loan.</w:t>
      </w:r>
    </w:p>
    <w:p>
      <w:pPr>
        <w:spacing w:after="0" w:line="11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In addition to the maximum total senior secured leverage ratio, the Senior Secured Credit Facility and the indentures governing the 7.125% Senior Notes include, among other things, customary restrictions (subject to certain exceptions) on our ability to incur certain indebtedness or liens, make certain investments or declare or pay certain dividends. As of September 30, 2012, we are in compliance with all covenants under the Senior Secured Credit Facility.</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To manage interest rate risk associated with our variable rate debt, we have eight interest rate swap contracts as of September 30, 2012 that qualify as derivatives under authoritative accounting guidance for derivative instruments and hedging activities. Our interest rate swaps do not qualify for hedge accounting treatment and, as a result, fair value adjustments are charged directly to interest expense in the Condensed Consolidated Statements of Comprehensive Income. The contracts are used strictly as an economic hedge and not for speculative purposes.</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of September 30, 2012, certain of our interest rate derivatives contain credit-risk and collateral contingent features. Certain interest rate derivatives contain provisions under which downgrades in our credit rating could require us to increase our collateral. Certain interest rate derivatives also contain provisions under which we may be required to post additional collateral if LIBOR reaches certain levels. As of September 30, 2012, we have been required to post collateral of $2.7 million in cash and $23.0 million in letters of credit. Our collateral requirements are driven by changes in interest rates, and therefore we may be required to post additional collateral until the LIBOR curve reaches zero.</w:t>
      </w:r>
    </w:p>
    <w:p>
      <w:pPr>
        <w:spacing w:after="0" w:line="1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Assuming all collateral contingent features remain the same, a 1% increase or decrease in the LIBOR interest rate curve as of September 30, 2012 would reduce our collateral requirement by approximately $21.4 million, in a combination of cash and letters of credit, or increase our collateral requirement by approximately $3.9 million,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are a party to various legal actions and administrative proceedings and subject to various claims arising in the ordinary course of business, including those relating to commercial transactions, product liability, safety, health, taxes, environmental and other matters. For more information, see NOTE M in the notes to our condensed consolidated financial statements included in Part I, Item 1 of this Quarterly Report on Form 10-Q.</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Accounting Estimates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principal accounting policies are described in the “Basis of Presentation and Summary of Significant Accounting Policies” section in the notes to the consolidated financial statements for the year ended December 31, 2011 included in our Registration Statement on Form S-1/A. The preparation of the condensed consolidated financial statements in accordance with GAAP requires management to make estimates and assumptions that affect the reported amounts of some assets and liabilities and, in some instances, the reported amounts of revenues and expenses during the applicable reporting period. Differences between actual and estimate are recorded in the period identified. Management believes the accounting estimates discussed above represent those accounting estimates requiring the exercise of judgment where a different set of judgments could result in the greatest changes to our reported results.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a party to any off-balance sheet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July 2012, the Financial Accounting Standards Board (“FASB”) issued authoritative accounting guidance on testing indefinite-lived intangibles for impairment. The guidance gives an entity the option to first assess qualitative factors to determine whether the existence of events and circumstances indicates that it is more likely than not that the indefinite-lived intangible asset is impaired. If an entity concludes that it is more likely than not that the indefinite-lived intangible asset is impaired, then it is required to determine the fair value of the indefinite-lived intangible asset and perform the quantitative impairment test by comparing the fair value with the carrying amount. However, if an entity concludes otherwise, then the entity is not required to take further action. The guidance is effective for annual and interim impairment tests performed for fiscal years beginning after September 15, 2012 with early adoption permitted. The Company is considering early adoption of this guidance in conjunction with the fiscal year 2012 annual indefinite-lived intangible impairment test. This guidance only changes the methodology of testing for impairment and will not affect the outcome of such testing. Therefore, the adoption of this guidance is not expected to have a material effect on our consolidated financial statements.</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December 2011, the FASB issued authoritative accounting guidance on enhancing disclosures to evaluate the effect or potential effect of netting arrangements on an entity’s financial position. The guidance requires improved information and disclosures about gross and net amounts of recognized assets and liabilities of financial and derivative instruments that are offset in an entity’s statement of financial position. The guidance is to be applied retrospectively for reporting periods beginning on or after January 1, 2013. The adoption of this guidance is not expected to have a material effect on our consolidated financial statements.</w:t>
      </w:r>
    </w:p>
    <w:p>
      <w:pPr>
        <w:spacing w:after="0" w:line="143"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In September 2011, the FASB issued authoritative accounting guidance on testing goodwill for impairment. Under the revised guidance, entities testing goodwill for impairment have the option of performing a qualitative assessment before calculating fair value (i.e., Step 1 of the goodwill impairment test). If entities determine, on the basis of qualitative factors, that fair value is more likely than not less than carrying value, the two-step impairment test would be required. The guidance does not change how goodwill is calculated or assigned to reporting units, nor does it revise the requirement to test goodwill annually for impairment. In addition, it does not amend the requirement to test goodwill for impairment between annual tests if events or circumstances warrant; however, it does revise the examples of events and circumstances that an entity should consider. The guidance became effective for annual and interim goodwill impairment tests performed for fiscal years beginning after December 15, 2011. Early adoption was permitted; however, the Company did not early adopt this guidance and continued to perform Step 1 of the goodwill impairment analysis for fiscal year 2011. The adoption of this guidance will occur in conjunction with fiscal year 2012 annual goodwill impairment test. This guidance only changes the methodology of testing for impairment and will not affect the outcome of such testing. Therefore, the adoption of this guidance is not expected to have a material effect on our consolidated financial statements.</w:t>
      </w:r>
    </w:p>
    <w:p>
      <w:pPr>
        <w:spacing w:after="0" w:line="12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June 2011, the FASB issued authoritative accounting guidance on improving comparability, consistency, and transparency of items reported in other comprehensive income. The guidance eliminates the option to present components of other comprehensive income as part of the statement of changes in stockholders’ equity and requires either a single continuous statement of comprehensive income or in two separate but consecutive statements. In a single continuous statement, the entity is required to present the components of net income and total net income, the components of other comprehensive income and a total for other comprehensive income, along with the total of comprehensive income in that statement. In the two-statement approach, the first statement should present total net income and its components followed consecutively by a second statement that should present total other comprehensive income, the components of other comprehensive income, and the total of comprehensive income. In December 2011, the FASB issued additional authoritative accounting guidance indefinitely deferring the requirement to present reclassifications of items out of accumulated other comprehensive income. The accounting guidance also establishes a common approach with International Financial Reporting Standards (“IFRS”). The guidance is to be applied retrospectively for interim and annual reporting periods beginning after December 15, 2011 for public entities. The adoption of this guidance did not have a material effect on our condensed consolidated financial statements, but required a change in the presentation of comprehensive income from the notes of our condensed consolidated financial statements to the face of our condensed consolidated financial statements.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May 2011, the FASB issued authoritative accounting guidance that amended wording used to describe many of the requirements in measuring fair value and disclosing information about fair value measurements. The changes are not intended to change the application of the requirements of fair value measurement, but to clarify the application and disclosure of information. The amendments to the accounting guidance also establish a common approach with IFRS. The guidance is to be applied prospectively for interim and annual reporting periods beginning after December 15, 2011. The adoption of this guidance did not have a material effect on our condensed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August 7, 2007, the Sponsors entered into a services agreement with ATI, pursuant to which ATI paid the Sponsors an annual fee of approximately $3.0 million (shared equally by the Sponsors) for certain advisory, consulting and other services to be performed by the Sponsors, exclusive of the reimbursements for certain out-of-pocket expenses incurred in connection with the performance of such services, and additional reasonable compensation for other services provided by the Sponsors from time to time, including consulting and other services with respect to acquisitions and divestitures or sales of equity or debt instruments. In March 2012, we agreed with the Sponsors to terminate the services agreement. We agreed to make a termination payment of $16.0 million, representing the present value of payments over the remaining estimated term of the services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 Held by Executive Officers</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As of September 30, 2012, Lawrence E. Dewey, our Chairman, President and Chief Executive Officer, David S. Graziosi, our Executive Vice President, Chief Financial Officer and Treasurer, and Robert M. Price, our Vice President, Human Resources, held approximately $100,000, $450,000, and $150,000, respectively in aggregate principal amount of the 7.125% Senior Notes.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6"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This Quarterly Report on Form 10-Q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the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risks related to our substantial indebtedness; our participation in markets that are competitive; general economic and industry conditions; our ability to prepare for, respond to and successfully achieve our objectives relating to technological and market developments and changing customer needs; the failure of markets outside North America to increase adoption of fully-automatic transmissions; the discovery of defects in our products, resulting in delays in new model launches, recall campaigns and/or increased warranty costs and reduction in future sales or damage to our brand and reputation; the concentration of our net sales in our top five customers and the loss of any one of these; risks associated with our international operations; brand and reputational risks; our intention to pay dividends; and labor strikes, work stoppages or similar labor disputes, which could significantly disrupt our operations or those of our principal customers.</w:t>
      </w:r>
    </w:p>
    <w:p>
      <w:pPr>
        <w:spacing w:after="0" w:line="128"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Important factors that could cause actual results to differ materially from our expectations are disclosed under Part II, Item 1A. “Risk Factors” and under “Risk Factors” in our prospectus filed pursuant to Rule 424 (b)(1) under the Securities Act of 1933, as amended, dated as of March 15, 2012 and filed with the Securities and Exchange Commission on March 15, 2012 (Registration No. 333-172932). All written and oral forward-looking statements attributable to us, or persons acting on our behalf, are expressly qualified in their entirety by the cautionary statements as well as other cautionary statements that are made from time to time in our public communications. You should evaluate all forward-looking statements made in this Quarterly Report on Form 10-Q in the context of these risks and uncertainties.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exposure to market risk consists of changes in interest rates, foreign currency rate fluctuations and movements in commodity prices.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We are subject to interest rate market risk in connection with a portion of our long-term debt. Our principal interest rate exposure relates to outstanding amounts under the Senior Secured Credit Facility. The Senior Secured Credit Facility provides for variable rate borrowings of up to $2,817.2 million including $371.7 million under our revolving credit facility, net of $28.3 million of letters of credit. Assuming the Senior Secured Credit Facility is fully drawn, each one-eighth percentage point increase or decrease in the applicable interest rates would correspondingly change our interest expense on the Senior Secured Credit Facility by approximately $2.1 million per year. This includes the partial offset of the interest rate swaps described below. As of September 30, 2012, we had no outstanding borrowings against the revolving credit facility.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order to mitigate our exposure to LIBOR on the Senior Secured Credit Facility, we have entered into certain interest rate swap agreements as follows: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Notional</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5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Amount</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5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Effective</w:t>
            </w:r>
          </w:p>
        </w:tc>
        <w:tc>
          <w:tcPr>
            <w:tcW w:w="10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(in</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LIBOR</w:t>
            </w:r>
          </w:p>
        </w:tc>
      </w:tr>
      <w:tr>
        <w:trPr>
          <w:trHeight w:val="161"/>
        </w:trPr>
        <w:tc>
          <w:tcPr>
            <w:tcW w:w="592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Counterparty</w:t>
            </w:r>
          </w:p>
        </w:tc>
        <w:tc>
          <w:tcPr>
            <w:tcW w:w="3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3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millions)</w:t>
            </w:r>
          </w:p>
        </w:tc>
        <w:tc>
          <w:tcPr>
            <w:tcW w:w="4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Fixed Rate</w:t>
            </w:r>
          </w:p>
        </w:tc>
        <w:tc>
          <w:tcPr>
            <w:tcW w:w="200" w:type="dxa"/>
            <w:vAlign w:val="bottom"/>
            <w:tcBorders>
              <w:bottom w:val="single" w:sz="8" w:color="CCEEFF"/>
            </w:tcBorders>
          </w:tcPr>
          <w:p>
            <w:pPr>
              <w:spacing w:after="0"/>
              <w:rPr>
                <w:sz w:val="14"/>
                <w:szCs w:val="14"/>
                <w:color w:val="auto"/>
              </w:rPr>
            </w:pPr>
          </w:p>
        </w:tc>
      </w:tr>
      <w:tr>
        <w:trPr>
          <w:trHeight w:val="210"/>
        </w:trPr>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Rate Swap D</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Fifth Third Bank</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2009-2013</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4.26%</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Interest Rate Swap E</w:t>
            </w: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Barclays Capital</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2010-2013</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150.0</w:t>
            </w:r>
          </w:p>
        </w:tc>
        <w:tc>
          <w:tcPr>
            <w:tcW w:w="4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2.79%</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F</w:t>
            </w:r>
          </w:p>
        </w:tc>
        <w:tc>
          <w:tcPr>
            <w:tcW w:w="158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9"/>
              </w:rPr>
              <w:t>Barclays Capital</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2010-2013</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Interest Rate Swap G</w:t>
            </w: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Barclays Capital</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2010-2013</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75.0</w:t>
            </w:r>
          </w:p>
        </w:tc>
        <w:tc>
          <w:tcPr>
            <w:tcW w:w="4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2.99%</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H</w:t>
            </w:r>
          </w:p>
        </w:tc>
        <w:tc>
          <w:tcPr>
            <w:tcW w:w="158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9"/>
              </w:rPr>
              <w:t>Barclays Capital</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2011-2014</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Interest Rate Swap I</w:t>
            </w: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Deutsche Bank</w:t>
            </w:r>
          </w:p>
        </w:tc>
        <w:tc>
          <w:tcPr>
            <w:tcW w:w="780" w:type="dxa"/>
            <w:vAlign w:val="bottom"/>
          </w:tcPr>
          <w:p>
            <w:pPr>
              <w:jc w:val="center"/>
              <w:spacing w:after="0"/>
              <w:rPr>
                <w:sz w:val="20"/>
                <w:szCs w:val="20"/>
                <w:color w:val="auto"/>
              </w:rPr>
            </w:pPr>
            <w:r>
              <w:rPr>
                <w:rFonts w:ascii="Arial" w:cs="Arial" w:eastAsia="Arial" w:hAnsi="Arial"/>
                <w:sz w:val="18"/>
                <w:szCs w:val="18"/>
                <w:color w:val="auto"/>
                <w:w w:val="85"/>
              </w:rPr>
              <w:t>2011-2014</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350.0</w:t>
            </w:r>
          </w:p>
        </w:tc>
        <w:tc>
          <w:tcPr>
            <w:tcW w:w="4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3.77%</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J</w:t>
            </w:r>
          </w:p>
        </w:tc>
        <w:tc>
          <w:tcPr>
            <w:tcW w:w="158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1"/>
              </w:rPr>
              <w:t>UBS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2013-2014</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w:t>
            </w:r>
          </w:p>
        </w:tc>
      </w:tr>
      <w:tr>
        <w:trPr>
          <w:trHeight w:val="222"/>
        </w:trPr>
        <w:tc>
          <w:tcPr>
            <w:tcW w:w="5920" w:type="dxa"/>
            <w:vAlign w:val="bottom"/>
          </w:tcPr>
          <w:p>
            <w:pPr>
              <w:spacing w:after="0"/>
              <w:rPr>
                <w:sz w:val="20"/>
                <w:szCs w:val="20"/>
                <w:color w:val="auto"/>
              </w:rPr>
            </w:pPr>
            <w:r>
              <w:rPr>
                <w:rFonts w:ascii="Arial" w:cs="Arial" w:eastAsia="Arial" w:hAnsi="Arial"/>
                <w:sz w:val="18"/>
                <w:szCs w:val="18"/>
                <w:color w:val="auto"/>
              </w:rPr>
              <w:t>Interest Rate Swap K</w:t>
            </w: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UBS</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2013-2014</w:t>
            </w:r>
          </w:p>
        </w:tc>
        <w:tc>
          <w:tcPr>
            <w:tcW w:w="3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125.0</w:t>
            </w:r>
          </w:p>
        </w:tc>
        <w:tc>
          <w:tcPr>
            <w:tcW w:w="4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3.05%</w:t>
            </w:r>
          </w:p>
        </w:tc>
      </w:tr>
    </w:tbl>
    <w:p>
      <w:pPr>
        <w:spacing w:after="0" w:line="14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certain circumstances, we and the counterparty are required to provide additional collateral under these swaps. We are exposed to increased interest expense if a counterparty defaults. Refer to NOTE F and NOTE G of our condensed consolidated financial statements included in Part I, Item 1 of this Quarterly Report on Form 10-Q.</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While our net sales and costs are denominated primarily in U.S. Dollars, net sales, costs, assets and liabilities are generated in other currencies including Japanese Yen, Euro, Chinese Yuan Renminbi, Canadian Dollar, British Pound, Hungarian Forint, Brazilian Real and Indian Rupee. The expansion of our business outside North America may further increase the risk that cash flows resulting from these activities may be adversely affected by changes in currency exchange rates. As of September 30, 2012, we do not hold any hedging contracts which are intended to hedge either known or forecasted cash flow payments denominated in such currencies. We do not intend to hold financial instruments for trading or speculative purposes.</w:t>
      </w:r>
    </w:p>
    <w:p>
      <w:pPr>
        <w:spacing w:after="0" w:line="1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Assuming current levels of foreign currency transactions, a 10% increase or decrease in the Japanese Yen, Euro, Chinese Yuan Renminbi, Canadian Dollar and Indian Rupee would correspondingly change our earnings by an estimated $5 million per year. All other exposure to foreign currencies is considered immaterial.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subject to changes in our cost of sales caused by movements in underlying commodity prices. Approximately two-thirds of our cost of sales consists of purchased components with significant raw material content. A substantial portion of the purchased parts are made of aluminum and steel. The cost of aluminum parts include an adjustment factor on future purchases for fluctuations in aluminum prices based on accepted industry indices. In addition, a substantial amount of steel-based contracts also include an index-based component. As our costs change, we are able to pass through a portion of the charges to certain of our customers according to our long-term supply agreements. We historically have not entered into long-term purchase contracts related to the purchase of aluminum and steel. We currently hold commodity swap contracts that are intended to hedge forecasted aluminum and steel purchases. Based on our forecasted demand for the remainder of 2012, as of September 30, 2012, the hedge contracts cover approximately 37% of our aluminum requirements and 9% of our steel requirements. Based on our forecasted demand for 2013, as of September 30, 2012, the hedge contracts cover approximately 34% of our aluminum requirements and 0% of our steel requirements. Based on our forecasted demand for 2014, as of September 30, 2012, the hedge contracts cover approximately 23% of our aluminum requirements and 0% of our steel requirements. We do not intend to hold financial instruments for trading or speculative purposes.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Assuming current levels of commodity purchases, a 10% increase or decrease in the price of aluminum and steel would correspondingly change our earnings by approximately $1 million and $5 million per year, respectively. This includes the partial offset of our hedging contracts described above.</w:t>
      </w:r>
    </w:p>
    <w:p>
      <w:pPr>
        <w:spacing w:after="0" w:line="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Many of our recently renewed long-term customer supply agreements have incorporated a cost-sharing arrangement related to future commodity price fluctuations. Our hedging policy is that we only hedge for our exposure and do not hedge any portion of the customers’ exposure. For purposes of the sensitivity analysis above, the impact of these cost sharing arrangements have not been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Rules 13a-15(e) or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Based on that evaluation, our chief executive officer and chief financial officer concluded that our disclosure controls and procedures as of the end of the period covered by this Quarterly Report on Form 10-Q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There were no changes in our internal control over financial reporting (as defined in Rules 13a-15(f) or 15d-15(f) under the Exchange Act) during the period covered by this Quarterly Report on Form 10-Q that have materially affected, or are reasonably likely to materially affect, our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From time to time, we are a party to various legal actions in the normal course of our business, including those related to commercial transactions, product liability, safety, health, taxes, environmental and other matters. See NOTE M in the notes to the condensed consolidated financial statements included in Part I, Item 1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4"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There have been no material changes from our risk factors as previously reported in the prospectus filed pursuant to Rule 424(b)(1) under the Securities Act of 1933, as amended, dated as of March 15, 2012 and filed with the Securities and Exchange Commission on March 15, 2012 (Registration No. 333-172932).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560" w:type="dxa"/>
            <w:vAlign w:val="bottom"/>
            <w:gridSpan w:val="3"/>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97"/>
        </w:trPr>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320" w:type="dxa"/>
            <w:vAlign w:val="bottom"/>
            <w:tcBorders>
              <w:bottom w:val="single" w:sz="8" w:color="auto"/>
            </w:tcBorders>
            <w:gridSpan w:val="2"/>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780" w:type="dxa"/>
            <w:vAlign w:val="bottom"/>
            <w:tcBorders>
              <w:bottom w:val="single" w:sz="8" w:color="auto"/>
            </w:tcBorders>
          </w:tcPr>
          <w:p>
            <w:pPr>
              <w:spacing w:after="0"/>
              <w:rPr>
                <w:sz w:val="8"/>
                <w:szCs w:val="8"/>
                <w:color w:val="auto"/>
              </w:rPr>
            </w:pPr>
          </w:p>
        </w:tc>
      </w:tr>
      <w:tr>
        <w:trPr>
          <w:trHeight w:val="289"/>
        </w:trPr>
        <w:tc>
          <w:tcPr>
            <w:tcW w:w="100" w:type="dxa"/>
            <w:vAlign w:val="bottom"/>
          </w:tcPr>
          <w:p>
            <w:pPr>
              <w:spacing w:after="0"/>
              <w:rPr>
                <w:sz w:val="24"/>
                <w:szCs w:val="24"/>
                <w:color w:val="auto"/>
              </w:rPr>
            </w:pPr>
          </w:p>
        </w:tc>
        <w:tc>
          <w:tcPr>
            <w:tcW w:w="11320" w:type="dxa"/>
            <w:vAlign w:val="bottom"/>
            <w:gridSpan w:val="5"/>
          </w:tcPr>
          <w:p>
            <w:pPr>
              <w:ind w:left="360"/>
              <w:spacing w:after="0"/>
              <w:rPr>
                <w:sz w:val="20"/>
                <w:szCs w:val="20"/>
                <w:color w:val="auto"/>
              </w:rPr>
            </w:pPr>
            <w:r>
              <w:rPr>
                <w:rFonts w:ascii="Arial" w:cs="Arial" w:eastAsia="Arial" w:hAnsi="Arial"/>
                <w:sz w:val="18"/>
                <w:szCs w:val="18"/>
                <w:color w:val="auto"/>
              </w:rPr>
              <w:t>(a) Exhibits</w:t>
            </w:r>
          </w:p>
        </w:tc>
      </w:tr>
      <w:tr>
        <w:trPr>
          <w:trHeight w:val="340"/>
        </w:trPr>
        <w:tc>
          <w:tcPr>
            <w:tcW w:w="100" w:type="dxa"/>
            <w:vAlign w:val="bottom"/>
          </w:tcPr>
          <w:p>
            <w:pPr>
              <w:spacing w:after="0"/>
              <w:rPr>
                <w:sz w:val="24"/>
                <w:szCs w:val="2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Exhibit</w:t>
            </w:r>
          </w:p>
        </w:tc>
        <w:tc>
          <w:tcPr>
            <w:tcW w:w="5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168"/>
        </w:trPr>
        <w:tc>
          <w:tcPr>
            <w:tcW w:w="10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Number</w:t>
            </w:r>
          </w:p>
        </w:tc>
        <w:tc>
          <w:tcPr>
            <w:tcW w:w="508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80" w:type="dxa"/>
            <w:vAlign w:val="bottom"/>
          </w:tcPr>
          <w:p>
            <w:pPr>
              <w:spacing w:after="0"/>
              <w:rPr>
                <w:sz w:val="14"/>
                <w:szCs w:val="14"/>
                <w:color w:val="auto"/>
              </w:rPr>
            </w:pPr>
          </w:p>
        </w:tc>
      </w:tr>
      <w:tr>
        <w:trPr>
          <w:trHeight w:val="316"/>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10.22</w:t>
            </w:r>
          </w:p>
        </w:tc>
        <w:tc>
          <w:tcPr>
            <w:tcW w:w="240" w:type="dxa"/>
            <w:vAlign w:val="bottom"/>
          </w:tcPr>
          <w:p>
            <w:pPr>
              <w:spacing w:after="0"/>
              <w:rPr>
                <w:sz w:val="24"/>
                <w:szCs w:val="24"/>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89"/>
              </w:rPr>
              <w:t>Amendment No. 4 to the Credit Agreement, dated as of August 23, 2012, among Allison Transmission Holdings, Inc., Allison Transmission, Inc.,</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1"/>
              </w:rPr>
              <w:t>as Borrower, the several banks and other financial institutions or entities from time to time parties thereto as Lenders, Citicorp North America,</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2"/>
              </w:rPr>
              <w:t>Inc., as Administrative Agent and the other agents and arrangers party thereto (Incorporated by reference to Exhibit 10.1 to the Registrant’s</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Current Report on Form 8-K dated August 23, 2012)</w:t>
            </w:r>
          </w:p>
        </w:tc>
      </w:tr>
      <w:tr>
        <w:trPr>
          <w:trHeight w:val="318"/>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2"/>
              </w:rPr>
              <w:t>Certification of Chief Executive Officer pursuant to Rule 13a-14(a)/15d-14a and pursuant to Section 302 of the Sarbanes-Oxley Act of 2002</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(filed herewith)</w:t>
            </w:r>
          </w:p>
        </w:tc>
      </w:tr>
      <w:tr>
        <w:trPr>
          <w:trHeight w:val="318"/>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89"/>
              </w:rPr>
              <w:t>Certification of Chief Financial Officer pursuant to Rule 13a-14(a)/15d-14a and pursuant to Section 302 of the Sarbanes-Oxley Act of 2002 (filed</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herewith)</w:t>
            </w:r>
          </w:p>
        </w:tc>
      </w:tr>
      <w:tr>
        <w:trPr>
          <w:trHeight w:val="318"/>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0"/>
              </w:rPr>
              <w:t>Certification of Periodic Report by Chief Executive Officer and Chief Financial Officer pursuant to U.S.C. Section 1350, as adopted pursuant to</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Section 906 of the Sarbanes-Oxley Act of 2002 (filed herewith)</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XBRL Instance Document*</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220" w:right="80" w:hanging="212"/>
        <w:spacing w:after="0" w:line="259"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Pursuant to Rule 406T of Regulation S-T, this interactive data file is deemed not filed or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40" w:type="dxa"/>
            <w:vAlign w:val="bottom"/>
          </w:tcPr>
          <w:p>
            <w:pPr>
              <w:spacing w:after="0"/>
              <w:rPr>
                <w:sz w:val="20"/>
                <w:szCs w:val="20"/>
                <w:color w:val="auto"/>
              </w:rPr>
            </w:pPr>
            <w:r>
              <w:rPr>
                <w:rFonts w:ascii="Arial" w:cs="Arial" w:eastAsia="Arial" w:hAnsi="Arial"/>
                <w:sz w:val="18"/>
                <w:szCs w:val="18"/>
                <w:color w:val="auto"/>
              </w:rPr>
              <w:t>Date: October 31, 2012</w:t>
            </w:r>
          </w:p>
        </w:tc>
        <w:tc>
          <w:tcPr>
            <w:tcW w:w="7780" w:type="dxa"/>
            <w:vAlign w:val="bottom"/>
            <w:gridSpan w:val="2"/>
          </w:tcPr>
          <w:p>
            <w:pPr>
              <w:ind w:left="2180"/>
              <w:spacing w:after="0"/>
              <w:rPr>
                <w:sz w:val="20"/>
                <w:szCs w:val="20"/>
                <w:color w:val="auto"/>
              </w:rPr>
            </w:pPr>
            <w:r>
              <w:rPr>
                <w:rFonts w:ascii="Arial" w:cs="Arial" w:eastAsia="Arial" w:hAnsi="Arial"/>
                <w:sz w:val="18"/>
                <w:szCs w:val="18"/>
                <w:b w:val="1"/>
                <w:bCs w:val="1"/>
                <w:color w:val="auto"/>
              </w:rPr>
              <w:t>ALLISON TRANSMISSION HOLDINGS, INC.</w:t>
            </w:r>
          </w:p>
        </w:tc>
      </w:tr>
      <w:tr>
        <w:trPr>
          <w:trHeight w:val="432"/>
        </w:trPr>
        <w:tc>
          <w:tcPr>
            <w:tcW w:w="3640" w:type="dxa"/>
            <w:vAlign w:val="bottom"/>
          </w:tcPr>
          <w:p>
            <w:pPr>
              <w:spacing w:after="0"/>
              <w:rPr>
                <w:sz w:val="24"/>
                <w:szCs w:val="24"/>
                <w:color w:val="auto"/>
              </w:rPr>
            </w:pPr>
          </w:p>
        </w:tc>
        <w:tc>
          <w:tcPr>
            <w:tcW w:w="2760" w:type="dxa"/>
            <w:vAlign w:val="bottom"/>
          </w:tcPr>
          <w:p>
            <w:pPr>
              <w:ind w:left="21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E. Dewey</w:t>
            </w:r>
          </w:p>
        </w:tc>
      </w:tr>
      <w:tr>
        <w:trPr>
          <w:trHeight w:val="217"/>
        </w:trPr>
        <w:tc>
          <w:tcPr>
            <w:tcW w:w="3640" w:type="dxa"/>
            <w:vAlign w:val="bottom"/>
          </w:tcPr>
          <w:p>
            <w:pPr>
              <w:spacing w:after="0"/>
              <w:rPr>
                <w:sz w:val="18"/>
                <w:szCs w:val="18"/>
                <w:color w:val="auto"/>
              </w:rPr>
            </w:pPr>
          </w:p>
        </w:tc>
        <w:tc>
          <w:tcPr>
            <w:tcW w:w="2760" w:type="dxa"/>
            <w:vAlign w:val="bottom"/>
          </w:tcPr>
          <w:p>
            <w:pPr>
              <w:ind w:left="218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Lawrence E. Dewey</w:t>
            </w:r>
          </w:p>
        </w:tc>
      </w:tr>
      <w:tr>
        <w:trPr>
          <w:trHeight w:val="222"/>
        </w:trPr>
        <w:tc>
          <w:tcPr>
            <w:tcW w:w="3640" w:type="dxa"/>
            <w:vAlign w:val="bottom"/>
          </w:tcPr>
          <w:p>
            <w:pPr>
              <w:spacing w:after="0"/>
              <w:rPr>
                <w:sz w:val="19"/>
                <w:szCs w:val="19"/>
                <w:color w:val="auto"/>
              </w:rPr>
            </w:pPr>
          </w:p>
        </w:tc>
        <w:tc>
          <w:tcPr>
            <w:tcW w:w="2760" w:type="dxa"/>
            <w:vAlign w:val="bottom"/>
          </w:tcPr>
          <w:p>
            <w:pPr>
              <w:ind w:left="218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Chairman, President and Chief Executive Officer</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October 31, 2012</w:t>
            </w:r>
          </w:p>
        </w:tc>
        <w:tc>
          <w:tcPr>
            <w:tcW w:w="2760" w:type="dxa"/>
            <w:vAlign w:val="bottom"/>
          </w:tcPr>
          <w:p>
            <w:pPr>
              <w:ind w:left="21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 Graziosi</w:t>
            </w:r>
          </w:p>
        </w:tc>
      </w:tr>
      <w:tr>
        <w:trPr>
          <w:trHeight w:val="217"/>
        </w:trPr>
        <w:tc>
          <w:tcPr>
            <w:tcW w:w="3640" w:type="dxa"/>
            <w:vAlign w:val="bottom"/>
          </w:tcPr>
          <w:p>
            <w:pPr>
              <w:spacing w:after="0"/>
              <w:rPr>
                <w:sz w:val="18"/>
                <w:szCs w:val="18"/>
                <w:color w:val="auto"/>
              </w:rPr>
            </w:pPr>
          </w:p>
        </w:tc>
        <w:tc>
          <w:tcPr>
            <w:tcW w:w="2760" w:type="dxa"/>
            <w:vAlign w:val="bottom"/>
          </w:tcPr>
          <w:p>
            <w:pPr>
              <w:ind w:left="218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David S. Graziosi</w:t>
            </w:r>
          </w:p>
        </w:tc>
      </w:tr>
      <w:tr>
        <w:trPr>
          <w:trHeight w:val="216"/>
        </w:trPr>
        <w:tc>
          <w:tcPr>
            <w:tcW w:w="3640" w:type="dxa"/>
            <w:vAlign w:val="bottom"/>
          </w:tcPr>
          <w:p>
            <w:pPr>
              <w:spacing w:after="0"/>
              <w:rPr>
                <w:sz w:val="18"/>
                <w:szCs w:val="18"/>
                <w:color w:val="auto"/>
              </w:rPr>
            </w:pPr>
          </w:p>
        </w:tc>
        <w:tc>
          <w:tcPr>
            <w:tcW w:w="2760" w:type="dxa"/>
            <w:vAlign w:val="bottom"/>
          </w:tcPr>
          <w:p>
            <w:pPr>
              <w:ind w:left="218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w w:val="99"/>
              </w:rPr>
              <w:t>Executive Vice President, Chief Financial Officer and Treasurer</w:t>
            </w:r>
          </w:p>
        </w:tc>
      </w:tr>
      <w:tr>
        <w:trPr>
          <w:trHeight w:val="222"/>
        </w:trPr>
        <w:tc>
          <w:tcPr>
            <w:tcW w:w="36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365"/>
        </w:trPr>
        <w:tc>
          <w:tcPr>
            <w:tcW w:w="3640" w:type="dxa"/>
            <w:vAlign w:val="bottom"/>
          </w:tcPr>
          <w:p>
            <w:pPr>
              <w:spacing w:after="0"/>
              <w:rPr>
                <w:sz w:val="24"/>
                <w:szCs w:val="24"/>
                <w:color w:val="auto"/>
              </w:rPr>
            </w:pPr>
          </w:p>
        </w:tc>
        <w:tc>
          <w:tcPr>
            <w:tcW w:w="2760" w:type="dxa"/>
            <w:vAlign w:val="bottom"/>
          </w:tcPr>
          <w:p>
            <w:pPr>
              <w:ind w:left="1980"/>
              <w:spacing w:after="0"/>
              <w:rPr>
                <w:sz w:val="20"/>
                <w:szCs w:val="20"/>
                <w:color w:val="auto"/>
              </w:rPr>
            </w:pPr>
            <w:r>
              <w:rPr>
                <w:rFonts w:ascii="Arial" w:cs="Arial" w:eastAsia="Arial" w:hAnsi="Arial"/>
                <w:sz w:val="18"/>
                <w:szCs w:val="18"/>
                <w:color w:val="auto"/>
              </w:rPr>
              <w:t>36</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Lawrence E. Dewey, certify that:</w:t>
      </w:r>
    </w:p>
    <w:p>
      <w:pPr>
        <w:spacing w:after="0" w:line="9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Allison Transmission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October 31,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Lawrence E. Dewey</w:t>
      </w:r>
    </w:p>
    <w:p>
      <w:pPr>
        <w:spacing w:after="0" w:line="1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Title:</w:t>
        <w:tab/>
        <w:t>Chairman, President and Chief Executive Officer</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David S. Graziosi, certify that:</w:t>
      </w:r>
    </w:p>
    <w:p>
      <w:pPr>
        <w:spacing w:after="0" w:line="9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Allison Transmission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Dated: October 31,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813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David S. Graziosi</w:t>
      </w:r>
    </w:p>
    <w:p>
      <w:pPr>
        <w:spacing w:after="0" w:line="1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Executive Vice President, Chief Financial Officer and Treasurer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Quarterly Report of Allison Transmission Holdings, Inc. (the “Company”) on Form 10-Q for the quarter ending September 30, 2012 as filed with the Securities and Exchange Commission on the date hereof (the “Report”), we, Lawrence E. Dewey, Chairman, President and Chief Executive Officer of the Company, and David S. Graziosi, Executive Vice President, Chief Financial Officer and Treasurer of the Company, certify, pursuant to 18 U.S.C. § 1350 as adopted pursuant to § 906 of the Sarbanes-Oxley Act of 2002, that:</w:t>
      </w:r>
    </w:p>
    <w:p>
      <w:pPr>
        <w:spacing w:after="0" w:line="6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31,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Lawrence E. Dewey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 October 31,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S. Graziosi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4"/>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2019-12-09T19:07:48Z</dcterms:created>
  <dcterms:modified xsi:type="dcterms:W3CDTF">2019-12-09T19:07:48Z</dcterms:modified>
</cp:coreProperties>
</file>