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159385</wp:posOffset>
            </wp:positionV>
            <wp:extent cx="2015490"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549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3"/>
              </w:rPr>
              <w:t>Delaware</w:t>
            </w:r>
          </w:p>
        </w:tc>
        <w:tc>
          <w:tcPr>
            <w:tcW w:w="1680" w:type="dxa"/>
            <w:vAlign w:val="bottom"/>
          </w:tcPr>
          <w:p>
            <w:pPr>
              <w:jc w:val="right"/>
              <w:ind w:right="201"/>
              <w:spacing w:after="0"/>
              <w:rPr>
                <w:sz w:val="20"/>
                <w:szCs w:val="20"/>
                <w:color w:val="auto"/>
              </w:rPr>
            </w:pPr>
            <w:r>
              <w:rPr>
                <w:rFonts w:ascii="Arial" w:cs="Arial" w:eastAsia="Arial" w:hAnsi="Arial"/>
                <w:sz w:val="18"/>
                <w:szCs w:val="18"/>
                <w:b w:val="1"/>
                <w:bCs w:val="1"/>
                <w:color w:val="auto"/>
              </w:rPr>
              <w:t>26-0414014</w:t>
            </w:r>
          </w:p>
        </w:tc>
      </w:tr>
      <w:tr>
        <w:trPr>
          <w:trHeight w:val="149"/>
        </w:trPr>
        <w:tc>
          <w:tcPr>
            <w:tcW w:w="6020" w:type="dxa"/>
            <w:vAlign w:val="bottom"/>
          </w:tcPr>
          <w:p>
            <w:pPr>
              <w:jc w:val="center"/>
              <w:ind w:right="3478"/>
              <w:spacing w:after="0" w:line="149" w:lineRule="exact"/>
              <w:rPr>
                <w:sz w:val="20"/>
                <w:szCs w:val="20"/>
                <w:color w:val="auto"/>
              </w:rPr>
            </w:pPr>
            <w:r>
              <w:rPr>
                <w:rFonts w:ascii="Arial" w:cs="Arial" w:eastAsia="Arial" w:hAnsi="Arial"/>
                <w:sz w:val="14"/>
                <w:szCs w:val="14"/>
                <w:b w:val="1"/>
                <w:bCs w:val="1"/>
                <w:color w:val="auto"/>
                <w:w w:val="94"/>
              </w:rPr>
              <w:t>(State of Incorporation)</w:t>
            </w:r>
          </w:p>
        </w:tc>
        <w:tc>
          <w:tcPr>
            <w:tcW w:w="168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20" w:type="dxa"/>
            <w:vAlign w:val="bottom"/>
          </w:tcPr>
          <w:p>
            <w:pPr>
              <w:spacing w:after="0"/>
              <w:rPr>
                <w:sz w:val="16"/>
                <w:szCs w:val="16"/>
                <w:color w:val="auto"/>
              </w:rPr>
            </w:pPr>
          </w:p>
        </w:tc>
        <w:tc>
          <w:tcPr>
            <w:tcW w:w="168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1"/>
              </w:rPr>
              <w:t>One Allison Way</w:t>
            </w:r>
          </w:p>
        </w:tc>
        <w:tc>
          <w:tcPr>
            <w:tcW w:w="1680" w:type="dxa"/>
            <w:vAlign w:val="bottom"/>
          </w:tcPr>
          <w:p>
            <w:pPr>
              <w:spacing w:after="0"/>
              <w:rPr>
                <w:sz w:val="24"/>
                <w:szCs w:val="24"/>
                <w:color w:val="auto"/>
              </w:rPr>
            </w:pPr>
          </w:p>
        </w:tc>
      </w:tr>
      <w:tr>
        <w:trPr>
          <w:trHeight w:val="225"/>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4"/>
              </w:rPr>
              <w:t>Indianapolis, IN</w:t>
            </w:r>
          </w:p>
        </w:tc>
        <w:tc>
          <w:tcPr>
            <w:tcW w:w="1680" w:type="dxa"/>
            <w:vAlign w:val="bottom"/>
          </w:tcPr>
          <w:p>
            <w:pPr>
              <w:jc w:val="right"/>
              <w:ind w:right="401"/>
              <w:spacing w:after="0"/>
              <w:rPr>
                <w:sz w:val="20"/>
                <w:szCs w:val="20"/>
                <w:color w:val="auto"/>
              </w:rPr>
            </w:pPr>
            <w:r>
              <w:rPr>
                <w:rFonts w:ascii="Arial" w:cs="Arial" w:eastAsia="Arial" w:hAnsi="Arial"/>
                <w:sz w:val="18"/>
                <w:szCs w:val="18"/>
                <w:b w:val="1"/>
                <w:bCs w:val="1"/>
                <w:color w:val="auto"/>
              </w:rPr>
              <w:t>46222</w:t>
            </w:r>
          </w:p>
        </w:tc>
      </w:tr>
      <w:tr>
        <w:trPr>
          <w:trHeight w:val="186"/>
        </w:trPr>
        <w:tc>
          <w:tcPr>
            <w:tcW w:w="6020" w:type="dxa"/>
            <w:vAlign w:val="bottom"/>
          </w:tcPr>
          <w:p>
            <w:pPr>
              <w:jc w:val="center"/>
              <w:ind w:right="347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8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20" w:type="dxa"/>
            <w:vAlign w:val="bottom"/>
          </w:tcPr>
          <w:p>
            <w:pPr>
              <w:jc w:val="right"/>
              <w:ind w:right="1318"/>
              <w:spacing w:after="0"/>
              <w:rPr>
                <w:sz w:val="20"/>
                <w:szCs w:val="20"/>
                <w:color w:val="auto"/>
              </w:rPr>
            </w:pPr>
            <w:r>
              <w:rPr>
                <w:rFonts w:ascii="Arial" w:cs="Arial" w:eastAsia="Arial" w:hAnsi="Arial"/>
                <w:sz w:val="18"/>
                <w:szCs w:val="18"/>
                <w:b w:val="1"/>
                <w:bCs w:val="1"/>
                <w:color w:val="auto"/>
              </w:rPr>
              <w:t>(317) 242-5000</w:t>
            </w:r>
          </w:p>
        </w:tc>
        <w:tc>
          <w:tcPr>
            <w:tcW w:w="1680" w:type="dxa"/>
            <w:vAlign w:val="bottom"/>
          </w:tcPr>
          <w:p>
            <w:pPr>
              <w:spacing w:after="0"/>
              <w:rPr>
                <w:sz w:val="24"/>
                <w:szCs w:val="24"/>
                <w:color w:val="auto"/>
              </w:rPr>
            </w:pPr>
          </w:p>
        </w:tc>
      </w:tr>
      <w:tr>
        <w:trPr>
          <w:trHeight w:val="186"/>
        </w:trPr>
        <w:tc>
          <w:tcPr>
            <w:tcW w:w="6020" w:type="dxa"/>
            <w:vAlign w:val="bottom"/>
          </w:tcPr>
          <w:p>
            <w:pPr>
              <w:jc w:val="center"/>
              <w:ind w:left="201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6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4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80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October 17, 2017, there were 141,760,746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694"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80" w:type="dxa"/>
            <w:vAlign w:val="bottom"/>
            <w:gridSpan w:val="9"/>
            <w:vMerge w:val="restart"/>
          </w:tcPr>
          <w:p>
            <w:pPr>
              <w:jc w:val="center"/>
              <w:ind w:right="2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780" w:type="dxa"/>
            <w:vAlign w:val="bottom"/>
            <w:vMerge w:val="restart"/>
          </w:tcPr>
          <w:p>
            <w:pPr>
              <w:spacing w:after="0"/>
              <w:rPr>
                <w:sz w:val="14"/>
                <w:szCs w:val="14"/>
                <w:color w:val="auto"/>
              </w:rPr>
            </w:pPr>
          </w:p>
        </w:tc>
        <w:tc>
          <w:tcPr>
            <w:tcW w:w="2200" w:type="dxa"/>
            <w:vAlign w:val="bottom"/>
            <w:gridSpan w:val="3"/>
          </w:tcPr>
          <w:p>
            <w:pPr>
              <w:ind w:left="18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80" w:type="dxa"/>
            <w:vAlign w:val="bottom"/>
            <w:tcBorders>
              <w:bottom w:val="single" w:sz="8" w:color="0000EE"/>
            </w:tcBorders>
            <w:gridSpan w:val="9"/>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1.</w:t>
            </w:r>
          </w:p>
        </w:tc>
        <w:tc>
          <w:tcPr>
            <w:tcW w:w="380" w:type="dxa"/>
            <w:vAlign w:val="bottom"/>
            <w:gridSpan w:val="2"/>
          </w:tcPr>
          <w:p>
            <w:pPr>
              <w:spacing w:after="0"/>
              <w:rPr>
                <w:sz w:val="24"/>
                <w:szCs w:val="24"/>
                <w:color w:val="auto"/>
              </w:rPr>
            </w:pPr>
          </w:p>
        </w:tc>
        <w:tc>
          <w:tcPr>
            <w:tcW w:w="82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200" w:type="dxa"/>
            <w:vAlign w:val="bottom"/>
            <w:gridSpan w:val="3"/>
          </w:tcPr>
          <w:p>
            <w:pPr>
              <w:jc w:val="center"/>
              <w:ind w:left="1691"/>
              <w:spacing w:after="0"/>
              <w:rPr>
                <w:sz w:val="20"/>
                <w:szCs w:val="20"/>
                <w:color w:val="auto"/>
              </w:rPr>
            </w:pPr>
            <w:r>
              <w:rPr>
                <w:rFonts w:ascii="Arial" w:cs="Arial" w:eastAsia="Arial" w:hAnsi="Arial"/>
                <w:sz w:val="18"/>
                <w:szCs w:val="18"/>
                <w:color w:val="auto"/>
                <w:w w:val="94"/>
              </w:rPr>
              <w:t>2-18</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5320" w:type="dxa"/>
            <w:vAlign w:val="bottom"/>
            <w:gridSpan w:val="11"/>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w:t>
              </w:r>
            </w:hyperlink>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860" w:type="dxa"/>
            <w:vAlign w:val="bottom"/>
            <w:tcBorders>
              <w:top w:val="single" w:sz="8" w:color="0000EE"/>
            </w:tcBorders>
            <w:gridSpan w:val="4"/>
          </w:tcPr>
          <w:p>
            <w:pPr>
              <w:spacing w:after="0"/>
              <w:rPr>
                <w:sz w:val="24"/>
                <w:szCs w:val="24"/>
                <w:color w:val="auto"/>
              </w:rPr>
            </w:pPr>
          </w:p>
        </w:tc>
        <w:tc>
          <w:tcPr>
            <w:tcW w:w="3680" w:type="dxa"/>
            <w:vAlign w:val="bottom"/>
            <w:gridSpan w:val="4"/>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4260" w:type="dxa"/>
            <w:vAlign w:val="bottom"/>
            <w:gridSpan w:val="7"/>
          </w:tcPr>
          <w:p>
            <w:pPr>
              <w:spacing w:after="0"/>
              <w:rPr>
                <w:sz w:val="24"/>
                <w:szCs w:val="24"/>
                <w:color w:val="auto"/>
              </w:rPr>
            </w:pPr>
          </w:p>
        </w:tc>
        <w:tc>
          <w:tcPr>
            <w:tcW w:w="2200" w:type="dxa"/>
            <w:vAlign w:val="bottom"/>
            <w:gridSpan w:val="3"/>
          </w:tcPr>
          <w:p>
            <w:pPr>
              <w:jc w:val="center"/>
              <w:ind w:left="1691"/>
              <w:spacing w:after="0"/>
              <w:rPr>
                <w:sz w:val="20"/>
                <w:szCs w:val="20"/>
                <w:color w:val="auto"/>
              </w:rPr>
            </w:pPr>
            <w:r>
              <w:rPr>
                <w:rFonts w:ascii="Arial" w:cs="Arial" w:eastAsia="Arial" w:hAnsi="Arial"/>
                <w:sz w:val="18"/>
                <w:szCs w:val="18"/>
                <w:color w:val="auto"/>
                <w:w w:val="94"/>
              </w:rPr>
              <w:t>5-18</w:t>
            </w: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2.</w:t>
            </w:r>
          </w:p>
        </w:tc>
        <w:tc>
          <w:tcPr>
            <w:tcW w:w="380" w:type="dxa"/>
            <w:vAlign w:val="bottom"/>
            <w:gridSpan w:val="2"/>
          </w:tcPr>
          <w:p>
            <w:pPr>
              <w:spacing w:after="0"/>
              <w:rPr>
                <w:sz w:val="24"/>
                <w:szCs w:val="24"/>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800" w:type="dxa"/>
            <w:vAlign w:val="bottom"/>
            <w:gridSpan w:val="2"/>
          </w:tcPr>
          <w:p>
            <w:pPr>
              <w:spacing w:after="0"/>
              <w:rPr>
                <w:sz w:val="24"/>
                <w:szCs w:val="24"/>
                <w:color w:val="auto"/>
              </w:rPr>
            </w:pPr>
          </w:p>
        </w:tc>
        <w:tc>
          <w:tcPr>
            <w:tcW w:w="2200" w:type="dxa"/>
            <w:vAlign w:val="bottom"/>
            <w:gridSpan w:val="3"/>
          </w:tcPr>
          <w:p>
            <w:pPr>
              <w:jc w:val="center"/>
              <w:ind w:left="1691"/>
              <w:spacing w:after="0"/>
              <w:rPr>
                <w:sz w:val="20"/>
                <w:szCs w:val="20"/>
                <w:color w:val="auto"/>
              </w:rPr>
            </w:pPr>
            <w:r>
              <w:rPr>
                <w:rFonts w:ascii="Arial" w:cs="Arial" w:eastAsia="Arial" w:hAnsi="Arial"/>
                <w:sz w:val="18"/>
                <w:szCs w:val="18"/>
                <w:color w:val="auto"/>
                <w:w w:val="91"/>
              </w:rPr>
              <w:t>19-29</w:t>
            </w:r>
          </w:p>
        </w:tc>
        <w:tc>
          <w:tcPr>
            <w:tcW w:w="0" w:type="dxa"/>
            <w:vAlign w:val="bottom"/>
          </w:tcPr>
          <w:p>
            <w:pPr>
              <w:spacing w:after="0"/>
              <w:rPr>
                <w:sz w:val="1"/>
                <w:szCs w:val="1"/>
                <w:color w:val="auto"/>
              </w:rPr>
            </w:pPr>
          </w:p>
        </w:tc>
      </w:tr>
      <w:tr>
        <w:trPr>
          <w:trHeight w:val="304"/>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Item 3.</w:t>
            </w:r>
          </w:p>
        </w:tc>
        <w:tc>
          <w:tcPr>
            <w:tcW w:w="260" w:type="dxa"/>
            <w:vAlign w:val="bottom"/>
          </w:tcPr>
          <w:p>
            <w:pPr>
              <w:spacing w:after="0"/>
              <w:rPr>
                <w:sz w:val="24"/>
                <w:szCs w:val="24"/>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3900" w:type="dxa"/>
            <w:vAlign w:val="bottom"/>
            <w:gridSpan w:val="5"/>
          </w:tcPr>
          <w:p>
            <w:pPr>
              <w:spacing w:after="0"/>
              <w:rPr>
                <w:sz w:val="24"/>
                <w:szCs w:val="24"/>
                <w:color w:val="auto"/>
              </w:rPr>
            </w:pPr>
          </w:p>
        </w:tc>
        <w:tc>
          <w:tcPr>
            <w:tcW w:w="2200" w:type="dxa"/>
            <w:vAlign w:val="bottom"/>
            <w:gridSpan w:val="3"/>
          </w:tcPr>
          <w:p>
            <w:pPr>
              <w:jc w:val="center"/>
              <w:ind w:left="1691"/>
              <w:spacing w:after="0"/>
              <w:rPr>
                <w:sz w:val="20"/>
                <w:szCs w:val="20"/>
                <w:color w:val="auto"/>
              </w:rPr>
            </w:pPr>
            <w:r>
              <w:rPr>
                <w:rFonts w:ascii="Arial" w:cs="Arial" w:eastAsia="Arial" w:hAnsi="Arial"/>
                <w:sz w:val="18"/>
                <w:szCs w:val="18"/>
                <w:color w:val="auto"/>
                <w:w w:val="91"/>
              </w:rPr>
              <w:t>30-31</w:t>
            </w:r>
          </w:p>
        </w:tc>
        <w:tc>
          <w:tcPr>
            <w:tcW w:w="0" w:type="dxa"/>
            <w:vAlign w:val="bottom"/>
          </w:tcPr>
          <w:p>
            <w:pPr>
              <w:spacing w:after="0"/>
              <w:rPr>
                <w:sz w:val="1"/>
                <w:szCs w:val="1"/>
                <w:color w:val="auto"/>
              </w:rPr>
            </w:pPr>
          </w:p>
        </w:tc>
      </w:tr>
      <w:tr>
        <w:trPr>
          <w:trHeight w:val="304"/>
        </w:trPr>
        <w:tc>
          <w:tcPr>
            <w:tcW w:w="9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26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194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1.</w:t>
            </w:r>
          </w:p>
        </w:tc>
        <w:tc>
          <w:tcPr>
            <w:tcW w:w="380" w:type="dxa"/>
            <w:vAlign w:val="bottom"/>
            <w:gridSpan w:val="2"/>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6920" w:type="dxa"/>
            <w:vAlign w:val="bottom"/>
            <w:gridSpan w:val="14"/>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26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6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0"/>
              </w:rPr>
              <w:t>Item 6.</w:t>
            </w:r>
          </w:p>
        </w:tc>
        <w:tc>
          <w:tcPr>
            <w:tcW w:w="38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3740" w:type="dxa"/>
            <w:vAlign w:val="bottom"/>
            <w:tcBorders>
              <w:top w:val="single" w:sz="8" w:color="0000EE"/>
            </w:tcBorders>
            <w:gridSpan w:val="11"/>
          </w:tcPr>
          <w:p>
            <w:pPr>
              <w:spacing w:after="0"/>
              <w:rPr>
                <w:sz w:val="24"/>
                <w:szCs w:val="24"/>
                <w:color w:val="auto"/>
              </w:rPr>
            </w:pPr>
          </w:p>
        </w:tc>
        <w:tc>
          <w:tcPr>
            <w:tcW w:w="3920" w:type="dxa"/>
            <w:vAlign w:val="bottom"/>
            <w:gridSpan w:val="6"/>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Signatures</w:t>
              </w:r>
            </w:hyperlink>
          </w:p>
        </w:tc>
        <w:tc>
          <w:tcPr>
            <w:tcW w:w="7500" w:type="dxa"/>
            <w:vAlign w:val="bottom"/>
            <w:gridSpan w:val="16"/>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20" w:type="dxa"/>
            <w:vAlign w:val="bottom"/>
            <w:gridSpan w:val="15"/>
          </w:tcPr>
          <w:p>
            <w:pPr>
              <w:ind w:left="47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Allison Transmission Holdings, Inc.</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0" w:type="dxa"/>
            <w:vAlign w:val="bottom"/>
          </w:tcPr>
          <w:p>
            <w:pPr>
              <w:jc w:val="center"/>
              <w:ind w:left="14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(unaudited, dollars in millions, except per share data)</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271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156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665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324"/>
        </w:trPr>
        <w:tc>
          <w:tcPr>
            <w:tcW w:w="906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4"/>
                <w:szCs w:val="24"/>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456</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1,175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Goodwill</w:t>
            </w:r>
          </w:p>
        </w:tc>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1,941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8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Product warranty liability</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193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8"/>
        </w:trPr>
        <w:tc>
          <w:tcPr>
            <w:tcW w:w="90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04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2,536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393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231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3,706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stock, $0.01 par value, 1,880,000,000 shares authorized, 142,735,480 shares issued and outstanding and</w:t>
            </w:r>
          </w:p>
        </w:tc>
        <w:tc>
          <w:tcPr>
            <w:tcW w:w="180" w:type="dxa"/>
            <w:vAlign w:val="bottom"/>
            <w:shd w:val="clear" w:color="auto" w:fill="CCEEFF"/>
          </w:tcPr>
          <w:p>
            <w:pPr>
              <w:spacing w:after="0"/>
              <w:rPr>
                <w:sz w:val="17"/>
                <w:szCs w:val="17"/>
                <w:color w:val="auto"/>
              </w:rPr>
            </w:pPr>
          </w:p>
        </w:tc>
        <w:tc>
          <w:tcPr>
            <w:tcW w:w="124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163,795,604 shares issued and outstanding, respectively</w:t>
            </w:r>
          </w:p>
        </w:tc>
        <w:tc>
          <w:tcPr>
            <w:tcW w:w="180" w:type="dxa"/>
            <w:vAlign w:val="bottom"/>
            <w:shd w:val="clear" w:color="auto" w:fill="CCEEFF"/>
          </w:tcPr>
          <w:p>
            <w:pPr>
              <w:spacing w:after="0"/>
              <w:rPr>
                <w:sz w:val="20"/>
                <w:szCs w:val="20"/>
                <w:color w:val="auto"/>
              </w:rPr>
            </w:pPr>
          </w:p>
        </w:tc>
        <w:tc>
          <w:tcPr>
            <w:tcW w:w="12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Non-voting common stock, $0.01 par value, 20,000,000 shares authorized, none issued and outstanding</w:t>
            </w:r>
          </w:p>
        </w:tc>
        <w:tc>
          <w:tcPr>
            <w:tcW w:w="180" w:type="dxa"/>
            <w:vAlign w:val="bottom"/>
          </w:tcPr>
          <w:p>
            <w:pPr>
              <w:spacing w:after="0"/>
              <w:rPr>
                <w:sz w:val="18"/>
                <w:szCs w:val="18"/>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Paid in capital</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1,750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(1,144)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(52)</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540" w:type="dxa"/>
            <w:vAlign w:val="bottom"/>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LIABILITIES &amp; STOCKHOLDERS’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84"/>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595</w:t>
            </w:r>
          </w:p>
        </w:tc>
        <w:tc>
          <w:tcPr>
            <w:tcW w:w="7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1,674</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w w:val="99"/>
              </w:rPr>
              <w:t>293</w:t>
            </w:r>
          </w:p>
        </w:tc>
        <w:tc>
          <w:tcPr>
            <w:tcW w:w="2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831</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w w:val="99"/>
              </w:rPr>
              <w:t>302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843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245</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198</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(26)</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(78)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Expenses related to long-term debt refinancing</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443</w:t>
            </w: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(59)</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(154)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111</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Basic earnings per share attributable to common stockholders</w:t>
            </w:r>
          </w:p>
        </w:tc>
        <w:tc>
          <w:tcPr>
            <w:tcW w:w="620" w:type="dxa"/>
            <w:vAlign w:val="bottom"/>
            <w:gridSpan w:val="2"/>
            <w:shd w:val="clear" w:color="auto" w:fill="CCEEFF"/>
          </w:tcPr>
          <w:p>
            <w:pPr>
              <w:jc w:val="right"/>
              <w:ind w:right="484"/>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w w:val="85"/>
              </w:rPr>
              <w:t>0.75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1.91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 attributable to common</w:t>
            </w: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b w:val="1"/>
                <w:bCs w:val="1"/>
                <w:color w:val="auto"/>
              </w:rPr>
              <w:t>stockholders</w:t>
            </w:r>
          </w:p>
        </w:tc>
        <w:tc>
          <w:tcPr>
            <w:tcW w:w="620" w:type="dxa"/>
            <w:vAlign w:val="bottom"/>
            <w:gridSpan w:val="2"/>
          </w:tcPr>
          <w:p>
            <w:pPr>
              <w:jc w:val="right"/>
              <w:ind w:right="484"/>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w w:val="85"/>
              </w:rPr>
              <w:t>0.75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0.27</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1.90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620" w:type="dxa"/>
            <w:vAlign w:val="bottom"/>
            <w:gridSpan w:val="2"/>
            <w:shd w:val="clear" w:color="auto" w:fill="CCEEFF"/>
          </w:tcPr>
          <w:p>
            <w:pPr>
              <w:jc w:val="right"/>
              <w:ind w:right="484"/>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w w:val="85"/>
              </w:rPr>
              <w:t>0.15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0.45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 net of tax</w:t>
            </w: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116</w:t>
            </w:r>
          </w:p>
        </w:tc>
        <w:tc>
          <w:tcPr>
            <w:tcW w:w="20" w:type="dxa"/>
            <w:vAlign w:val="bottom"/>
            <w:tcBorders>
              <w:bottom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7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Nine months ended</w:t>
            </w:r>
          </w:p>
        </w:tc>
      </w:tr>
      <w:tr>
        <w:trPr>
          <w:trHeight w:val="149"/>
        </w:trPr>
        <w:tc>
          <w:tcPr>
            <w:tcW w:w="9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6"/>
          </w:tcPr>
          <w:p>
            <w:pPr>
              <w:jc w:val="right"/>
              <w:ind w:right="40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98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9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derivatives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Expenses related to long-term debt refinancing</w:t>
            </w:r>
          </w:p>
        </w:tc>
        <w:tc>
          <w:tcPr>
            <w:tcW w:w="8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Excess tax benefit from stock-based compensation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and liabilities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23"/>
        </w:trPr>
        <w:tc>
          <w:tcPr>
            <w:tcW w:w="986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Additions of long-lived assets</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technology-related initiatives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986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(778)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 on revolving credit facility</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Repayments on revolving credit facility</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(415)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long-term debt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Dividend payments</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Payments on long-term debt</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(1,212)</w:t>
            </w: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financing fees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9860" w:type="dxa"/>
            <w:vAlign w:val="bottom"/>
          </w:tcPr>
          <w:p>
            <w:pPr>
              <w:ind w:left="360"/>
              <w:spacing w:after="0"/>
              <w:rPr>
                <w:sz w:val="20"/>
                <w:szCs w:val="20"/>
                <w:color w:val="auto"/>
              </w:rPr>
            </w:pPr>
            <w:r>
              <w:rPr>
                <w:rFonts w:ascii="Arial" w:cs="Arial" w:eastAsia="Arial" w:hAnsi="Arial"/>
                <w:sz w:val="18"/>
                <w:szCs w:val="18"/>
                <w:color w:val="auto"/>
              </w:rPr>
              <w:t>Taxes paid related to net share settlement of equity awards</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9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Excess tax benefit from stock-based compensation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986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6"/>
              </w:rPr>
              <w:t>(447)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860" w:type="dxa"/>
            <w:vAlign w:val="bottom"/>
          </w:tcPr>
          <w:p>
            <w:pPr>
              <w:ind w:left="720"/>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223"/>
        </w:trPr>
        <w:tc>
          <w:tcPr>
            <w:tcW w:w="98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60" w:type="dxa"/>
            <w:vAlign w:val="bottom"/>
          </w:tcPr>
          <w:p>
            <w:pPr>
              <w:ind w:left="720"/>
              <w:spacing w:after="0"/>
              <w:rPr>
                <w:sz w:val="20"/>
                <w:szCs w:val="20"/>
                <w:color w:val="auto"/>
              </w:rPr>
            </w:pPr>
            <w:r>
              <w:rPr>
                <w:rFonts w:ascii="Arial" w:cs="Arial" w:eastAsia="Arial" w:hAnsi="Arial"/>
                <w:sz w:val="18"/>
                <w:szCs w:val="18"/>
                <w:color w:val="auto"/>
              </w:rPr>
              <w:t>Interest paid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9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8"/>
          <w:szCs w:val="18"/>
          <w:b w:val="1"/>
          <w:bCs w:val="1"/>
          <w:color w:val="auto"/>
        </w:rPr>
        <w:t>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The Company has approximately 2,600 employees and 13 different transmission product lines. Although approximately 78% of revenues were generated in North America in 2016, the Company has a global presence by serving customers in Europe, Asia, South America and Africa. The Company serves customers through an independent network of approximately 1,400 independent distributor and dealer locations worldwide.</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9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2016 as filed with the Securities and Exchange Commission (“SEC”) on February 24, 2017. The presentation of certain prior year disclosures has been modified to conform to the current year presentation, as commencing in the first quarter of 2017, the Company elected to report financial data in whole millions of dollars, except as otherwise noted. The interim period financial results for the three and nine month periods presented are not necessarily indicative of results to be expected for any other interim period or for the entire year.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long-lived asset impairment tests, useful lives for depreciation and amortization, warranty liabilities, environmental liabilities,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6" w:name="page7"/>
    <w:bookmarkEnd w:id="6"/>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Impairment of Assets</w:t>
      </w:r>
    </w:p>
    <w:p>
      <w:pPr>
        <w:spacing w:after="0" w:line="117"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During the fourth quarter of every year, the Company performs additional reviews of its goodwill, other intangible assets and long-lived assets to determine whether the carrying value of an asset may not be recoverable. The Company has recorded impairments to both its Trade name and long-lived assets in prior periods with the most recent impairments recorded in 2015.</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performs its annual goodwill and intangible assets impairment analysis on October 31 of every year. Events or circumstances that could unfavorably impact the key assumptions in the impairment test include lower net sales, the Company’s inability to execute on marketing programs and/or delay in the introduction of new products, lower gross margins or failure to obtain forecasted cost reductions, or a higher discount rate as a result of market conditions.</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carrying value of long-lived assets is evaluated when events or circumstances indicate that there has been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 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January 2017, the Financial Accounting Standards Board (“FASB”) issued authoritative accounting guidance on evaluation of goodwill for impairment. The guidance modifies the approach to assessing impairment from testing the implied fair value goodwill to testing the fair value of the reporting unit carrying the goodwill, which eliminates Step 2 of the current evaluation guidance. The intent of this amendment is to reduce the cost and complexity of evaluating goodwill. The guidance was early adopted by the Company effective July 1, 2017. The adoption of this guidance did not have an impact on the Company’s consolidated financial statements.</w:t>
      </w:r>
    </w:p>
    <w:p>
      <w:pPr>
        <w:spacing w:after="0" w:line="18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March 2016, the FASB issued authoritative accounting guidance on share-based payment awards to employees. The guidance involves several aspects of the accounting for share-based payment transactions, including the income tax consequences, classification of awards as either equity or liabilities, and classification on the statement of cash flows. The guidance was adopted by the Company effective January 1, 2017. Management recorded an excess tax benefit of $5 million and $16 million to income tax expense and as a component of operating cash flows for the three months and nine months ended September 30, 2017, respectively, and made the accounting policy election to account for forfeitures as they occur.</w:t>
      </w:r>
    </w:p>
    <w:p>
      <w:pPr>
        <w:spacing w:after="0" w:line="15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In July 2015, the FASB issued authoritative accounting guidance to simplify the measurement of inventory. The guidance requires that inventory be measured at the lower of cost and net realizable value. When evidence exists that the net realizable value of inventory is lower than its cost, the difference shall be recognized as a loss in earnings in the period in which it occurs. Inventory measured using last-in, first-out and the retail inventory method are not impacted by the new guidance. The guidance was adopted by the Company effective January 1, 2017. The adoption of this guidance did not have a material impact on the Company’s consolidated financial statements.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May 2017, the FASB issued authoritative accounting guidance on accounting for modifications to the terms of employee stock compensation. The guidance clarifies which changes to terms or conditions of share-based payment awards require the entity to apply modification accounting. The guidance will be effective for the Company in fiscal year 2018, but early adoption is permitted. Management is currently evaluating the impact of this guidance on the Company’s consolidated financial statements.</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March 2017, the FASB issued authoritative accounting guidance on the presentation of net periodic pension costs and net periodic postretirement benefit costs. The guidance clarifies the presentation of component costs within an employer’s financial statements and restricts component costs eligible for capitalization to the service cost component. The Company did not early adopt, therefore the guidance will be effective for the Company in fiscal year 2018. Management is currently evaluating the impact of this guidance on the Company’s consolidated financial statements.</w:t>
      </w:r>
    </w:p>
    <w:p>
      <w:pPr>
        <w:spacing w:after="0" w:line="17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October 2016, the FASB issued authoritative accounting guidance on the income tax consequences of intra-company transfers other than inventory. This guidance addresses the timing of the recognition of current and deferred income taxes. Under this guidance, the recognition of current or deferred income taxes will occur at the time of the transfer of the asset. The Company did not early adopt; therefore, the guidance will be effective for the Company in fiscal year 2018. Management is currently evaluating the impact of this guidance on the Company’s consolidated financial statements.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 w:name="page8"/>
    <w:bookmarkEnd w:id="7"/>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August 2016, the FASB issued authoritative accounting guidance on the presentation and classification of certain cash receipts and cash payments on the statement of cash flows. The guidance specifically addresses cash flow issues with the objective of reducing the diversity in practice. The Company did not early adopt; therefore, the guidance will be effective for the Company in fiscal year 2018. Management is currently evaluating the impact of this guidance on the Company’s consolidated financial statements.</w:t>
      </w:r>
    </w:p>
    <w:p>
      <w:pPr>
        <w:spacing w:after="0" w:line="187" w:lineRule="exact"/>
        <w:rPr>
          <w:sz w:val="20"/>
          <w:szCs w:val="20"/>
          <w:color w:val="auto"/>
        </w:rPr>
      </w:pPr>
    </w:p>
    <w:p>
      <w:pPr>
        <w:jc w:val="both"/>
        <w:ind w:right="40" w:firstLine="456"/>
        <w:spacing w:after="0" w:line="297" w:lineRule="auto"/>
        <w:rPr>
          <w:sz w:val="20"/>
          <w:szCs w:val="20"/>
          <w:color w:val="auto"/>
        </w:rPr>
      </w:pPr>
      <w:r>
        <w:rPr>
          <w:rFonts w:ascii="Arial" w:cs="Arial" w:eastAsia="Arial" w:hAnsi="Arial"/>
          <w:sz w:val="16"/>
          <w:szCs w:val="16"/>
          <w:color w:val="auto"/>
        </w:rPr>
        <w:t>In February 2016, the FASB issued authoritative accounting guidance on lease accounting.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new guidance also introduces new disclosure requirements for leasing arrangements. The guidance will be effective for the Company in fiscal year 2019, and the Company does not plan to early adopt. Management is currently evaluating the impact of this guidance on the Company’s consolidated financial statements.</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January 2016, the FASB issued authoritative accounting guidance on the classification of equity securities with readily determinable fair values into different categories (e.g. trading or available-for-sale) and the requirement for equity securities to be measured at fair value with changes in fair value recognized in net income. The Company did not early adopt; therefore, the guidance will be effective prospectively for the Company in fiscal year 2018. Upon adoption, a cumulative-effect adjustment to retained earnings in the consolidated balance sheets will be reclassified to beginning retained earnings. Management has evaluated the impact of this guidance and expects the unrealized gains and losses for fair value measurement of the Company’s available-for-sale securities to be recognized in net income upon adoption.</w:t>
      </w:r>
    </w:p>
    <w:p>
      <w:pPr>
        <w:spacing w:after="0" w:line="19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May 2014, the FASB issued authoritative accounting guidance on a company’s accounting for revenue from contracts with customers, which guidance has subsequently been amended.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disclosures regarding the nature, timing, amount and uncertainty of revenue that is recognized. The guidance allows either full or modified retrospective adoption. The Company did not early adopt; therefore, the guidance will be effective for the Company for the annual and interim periods beginning in fiscal year 2018. The Company will implement the guidance using the modified retrospective approach. Management has determined that the revenue streams that will be impacted by the guidance relate to non-standard transmission coverages. Certain contracts are also being reviewed individually for the potential impact. No significant changes or additions to our internal controls over financial reporting are expected as a result of implementing this guidance.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NOTE C.</w:t>
            </w:r>
          </w:p>
        </w:tc>
        <w:tc>
          <w:tcPr>
            <w:tcW w:w="5680" w:type="dxa"/>
            <w:vAlign w:val="bottom"/>
            <w:gridSpan w:val="2"/>
          </w:tcPr>
          <w:p>
            <w:pPr>
              <w:ind w:left="200"/>
              <w:spacing w:after="0"/>
              <w:rPr>
                <w:sz w:val="20"/>
                <w:szCs w:val="20"/>
                <w:color w:val="auto"/>
              </w:rPr>
            </w:pPr>
            <w:r>
              <w:rPr>
                <w:rFonts w:ascii="Arial" w:cs="Arial" w:eastAsia="Arial" w:hAnsi="Arial"/>
                <w:sz w:val="18"/>
                <w:szCs w:val="18"/>
                <w:b w:val="1"/>
                <w:bCs w:val="1"/>
                <w:color w:val="auto"/>
              </w:rPr>
              <w:t>INVENTORIES</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6620" w:type="dxa"/>
            <w:vAlign w:val="bottom"/>
            <w:gridSpan w:val="3"/>
          </w:tcPr>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80" w:type="dxa"/>
            <w:vAlign w:val="bottom"/>
            <w:gridSpan w:val="3"/>
          </w:tcPr>
          <w:p>
            <w:pPr>
              <w:ind w:left="1000"/>
              <w:spacing w:after="0"/>
              <w:rPr>
                <w:sz w:val="20"/>
                <w:szCs w:val="20"/>
                <w:color w:val="auto"/>
              </w:rPr>
            </w:pPr>
            <w:r>
              <w:rPr>
                <w:rFonts w:ascii="Arial" w:cs="Arial" w:eastAsia="Arial" w:hAnsi="Arial"/>
                <w:sz w:val="14"/>
                <w:szCs w:val="14"/>
                <w:b w:val="1"/>
                <w:bCs w:val="1"/>
                <w:color w:val="auto"/>
                <w:w w:val="89"/>
              </w:rPr>
              <w:t>September 30,</w:t>
            </w:r>
          </w:p>
        </w:tc>
        <w:tc>
          <w:tcPr>
            <w:tcW w:w="1560" w:type="dxa"/>
            <w:vAlign w:val="bottom"/>
            <w:gridSpan w:val="4"/>
          </w:tcPr>
          <w:p>
            <w:pPr>
              <w:ind w:left="6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Purchased parts and raw materials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Work in progress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Finished goods</w:t>
            </w:r>
          </w:p>
        </w:tc>
        <w:tc>
          <w:tcPr>
            <w:tcW w:w="1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inventories</w:t>
            </w:r>
          </w:p>
        </w:tc>
        <w:tc>
          <w:tcPr>
            <w:tcW w:w="120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J, “Other Current Liabilities” for more information.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8" w:name="page9"/>
    <w:bookmarkEnd w:id="8"/>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D.</w:t>
      </w:r>
      <w:r>
        <w:rPr>
          <w:sz w:val="20"/>
          <w:szCs w:val="20"/>
          <w:color w:val="auto"/>
        </w:rPr>
        <w:tab/>
      </w: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September 30, 2017 and December 31, 2016, the carrying amount of the Company’s Goodwill was $1,941 million. The following presents a summary of other intangible assets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4"/>
              </w:rPr>
              <w:t>September 30, 2017</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6"/>
              </w:rPr>
              <w:t>December 31, 2016</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Intangible</w:t>
            </w:r>
          </w:p>
        </w:tc>
        <w:tc>
          <w:tcPr>
            <w:tcW w:w="28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Intangible</w:t>
            </w:r>
          </w:p>
        </w:tc>
        <w:tc>
          <w:tcPr>
            <w:tcW w:w="340" w:type="dxa"/>
            <w:vAlign w:val="bottom"/>
          </w:tcPr>
          <w:p>
            <w:pPr>
              <w:spacing w:after="0"/>
              <w:rPr>
                <w:sz w:val="10"/>
                <w:szCs w:val="10"/>
                <w:color w:val="auto"/>
              </w:rPr>
            </w:pPr>
          </w:p>
        </w:tc>
        <w:tc>
          <w:tcPr>
            <w:tcW w:w="82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Intangible</w:t>
            </w:r>
          </w:p>
        </w:tc>
        <w:tc>
          <w:tcPr>
            <w:tcW w:w="28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Intangible</w:t>
            </w:r>
          </w:p>
        </w:tc>
        <w:tc>
          <w:tcPr>
            <w:tcW w:w="60" w:type="dxa"/>
            <w:vAlign w:val="bottom"/>
          </w:tcPr>
          <w:p>
            <w:pPr>
              <w:spacing w:after="0"/>
              <w:rPr>
                <w:sz w:val="10"/>
                <w:szCs w:val="10"/>
                <w:color w:val="auto"/>
              </w:rPr>
            </w:pPr>
          </w:p>
        </w:tc>
      </w:tr>
      <w:tr>
        <w:trPr>
          <w:trHeight w:val="171"/>
        </w:trPr>
        <w:tc>
          <w:tcPr>
            <w:tcW w:w="3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7"/>
              </w:rPr>
              <w:t>assets, gross</w:t>
            </w:r>
          </w:p>
        </w:tc>
        <w:tc>
          <w:tcPr>
            <w:tcW w:w="2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assets, net</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9"/>
              </w:rPr>
              <w:t>assets, gross</w:t>
            </w:r>
          </w:p>
        </w:tc>
        <w:tc>
          <w:tcPr>
            <w:tcW w:w="2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1"/>
              </w:rPr>
              <w:t>assets, net</w:t>
            </w: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1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Trade name</w:t>
            </w:r>
          </w:p>
        </w:tc>
        <w:tc>
          <w:tcPr>
            <w:tcW w:w="1400" w:type="dxa"/>
            <w:vAlign w:val="bottom"/>
            <w:gridSpan w:val="2"/>
          </w:tcPr>
          <w:p>
            <w:pPr>
              <w:ind w:left="118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790</w:t>
            </w:r>
          </w:p>
        </w:tc>
        <w:tc>
          <w:tcPr>
            <w:tcW w:w="50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790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790</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790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(562)</w:t>
            </w: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270</w:t>
            </w:r>
          </w:p>
        </w:tc>
        <w:tc>
          <w:tcPr>
            <w:tcW w:w="2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832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(386)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Non-compete agreement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Tooling rights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(1,035)</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1,175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2,210</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1,242</w:t>
            </w:r>
          </w:p>
        </w:tc>
      </w:tr>
      <w:tr>
        <w:trPr>
          <w:trHeight w:val="20"/>
        </w:trPr>
        <w:tc>
          <w:tcPr>
            <w:tcW w:w="3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As of September 30, 2017 and December 31, 2016, the net carrying value of our Goodwill and other intangible assets was $3,116 million and $3,183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2018</w:t>
            </w:r>
          </w:p>
        </w:tc>
        <w:tc>
          <w:tcPr>
            <w:tcW w:w="3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210"/>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$ 87</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$ 86</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$ 45</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$ 43</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E.</w:t>
      </w:r>
      <w:r>
        <w:rPr>
          <w:sz w:val="20"/>
          <w:szCs w:val="20"/>
          <w:color w:val="auto"/>
        </w:rPr>
        <w:tab/>
      </w: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6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2017 and December 31, 2016, the Company did not have any Level 3 financial assets or liabilities.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9" w:name="page10"/>
    <w:bookmarkEnd w:id="9"/>
    <w:p>
      <w:pPr>
        <w:ind w:right="2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assets and liabilities that are measured at fair value include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8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uses valuations from the issuing financial institution for the fair value measurement of interest rate derivatives.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Condensed Consolidated Balance Sheets. The Company has not qualified for hedge accounting treatment for the interest rate swaps and, as a result, fair value adjustments are charged directly to Interest expense, net in the Condensed Consolidated Statements of Comprehensive Income.</w:t>
      </w:r>
    </w:p>
    <w:p>
      <w:pPr>
        <w:spacing w:after="0" w:line="19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September 30, 2017 and December 31, 2016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3"/>
              </w:rPr>
              <w:t>Fair Value Measurements Using</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vMerge w:val="restart"/>
          </w:tcPr>
          <w:p>
            <w:pPr>
              <w:jc w:val="center"/>
              <w:ind w:left="398"/>
              <w:spacing w:after="0"/>
              <w:rPr>
                <w:sz w:val="20"/>
                <w:szCs w:val="20"/>
                <w:color w:val="auto"/>
              </w:rPr>
            </w:pPr>
            <w:r>
              <w:rPr>
                <w:rFonts w:ascii="Arial" w:cs="Arial" w:eastAsia="Arial" w:hAnsi="Arial"/>
                <w:sz w:val="14"/>
                <w:szCs w:val="14"/>
                <w:b w:val="1"/>
                <w:bCs w:val="1"/>
                <w:color w:val="auto"/>
                <w:w w:val="93"/>
              </w:rPr>
              <w:t>Significant Other</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Observable Inputs (Level 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50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8"/>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8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8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 net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(19)</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6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7"/>
                <w:szCs w:val="17"/>
                <w:b w:val="1"/>
                <w:bCs w:val="1"/>
                <w:color w:val="auto"/>
                <w:w w:val="72"/>
              </w:rPr>
              <w:t>(19)</w:t>
            </w: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7"/>
                <w:szCs w:val="17"/>
                <w:color w:val="auto"/>
                <w:w w:val="72"/>
              </w:rPr>
              <w:t>(29)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F.</w:t>
            </w:r>
          </w:p>
        </w:tc>
        <w:tc>
          <w:tcPr>
            <w:tcW w:w="7020" w:type="dxa"/>
            <w:vAlign w:val="bottom"/>
          </w:tcPr>
          <w:p>
            <w:pPr>
              <w:ind w:left="220"/>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7940" w:type="dxa"/>
            <w:vAlign w:val="bottom"/>
            <w:gridSpan w:val="2"/>
          </w:tcPr>
          <w:p>
            <w:pPr>
              <w:ind w:left="460"/>
              <w:spacing w:after="0"/>
              <w:rPr>
                <w:sz w:val="20"/>
                <w:szCs w:val="20"/>
                <w:color w:val="auto"/>
              </w:rPr>
            </w:pPr>
            <w:r>
              <w:rPr>
                <w:rFonts w:ascii="Arial" w:cs="Arial" w:eastAsia="Arial" w:hAnsi="Arial"/>
                <w:sz w:val="18"/>
                <w:szCs w:val="18"/>
                <w:color w:val="auto"/>
              </w:rPr>
              <w:t>Long-term debt and maturities are as follows (dollars in millions):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9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Pr>
          <w:p>
            <w:pPr>
              <w:spacing w:after="0"/>
              <w:rPr>
                <w:sz w:val="24"/>
                <w:szCs w:val="2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920" w:type="dxa"/>
            <w:vAlign w:val="bottom"/>
          </w:tcPr>
          <w:p>
            <w:pPr>
              <w:spacing w:after="0"/>
              <w:rPr>
                <w:sz w:val="14"/>
                <w:szCs w:val="14"/>
                <w:color w:val="auto"/>
              </w:rPr>
            </w:pPr>
          </w:p>
        </w:tc>
        <w:tc>
          <w:tcPr>
            <w:tcW w:w="7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Senior Secured Credit Facility Term B-3 Loan, variable, due 2022</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1,179</w:t>
            </w:r>
          </w:p>
        </w:tc>
        <w:tc>
          <w:tcPr>
            <w:tcW w:w="9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1,188</w:t>
            </w:r>
          </w:p>
        </w:tc>
      </w:tr>
      <w:tr>
        <w:trPr>
          <w:trHeight w:val="216"/>
        </w:trPr>
        <w:tc>
          <w:tcPr>
            <w:tcW w:w="9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Senior Notes, fixed 5.0%, due 2024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23"/>
        </w:trPr>
        <w:tc>
          <w:tcPr>
            <w:tcW w:w="9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Senior Notes, fixed 4.75%, due 2027</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2,579</w:t>
            </w:r>
          </w:p>
        </w:tc>
        <w:tc>
          <w:tcPr>
            <w:tcW w:w="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2,188</w:t>
            </w:r>
          </w:p>
        </w:tc>
      </w:tr>
      <w:tr>
        <w:trPr>
          <w:trHeight w:val="216"/>
        </w:trPr>
        <w:tc>
          <w:tcPr>
            <w:tcW w:w="9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920" w:type="dxa"/>
            <w:vAlign w:val="bottom"/>
          </w:tcPr>
          <w:p>
            <w:pPr>
              <w:spacing w:after="0"/>
              <w:rPr>
                <w:sz w:val="18"/>
                <w:szCs w:val="18"/>
                <w:color w:val="auto"/>
              </w:rPr>
            </w:pPr>
          </w:p>
        </w:tc>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financing costs,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23"/>
        </w:trPr>
        <w:tc>
          <w:tcPr>
            <w:tcW w:w="920" w:type="dxa"/>
            <w:vAlign w:val="bottom"/>
          </w:tcPr>
          <w:p>
            <w:pPr>
              <w:spacing w:after="0"/>
              <w:rPr>
                <w:sz w:val="19"/>
                <w:szCs w:val="19"/>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Total long-term debt,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2,536</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As of September 30, 2017, the Company had $2,579 million of indebtedness associated with Allison Transmission, Inc.’s (“ATI”), the Company’s wholly-owned subsidiary, 5.0% Senior Notes due September 2024 (“5.0% Senior Notes”), ATI’s 4.75% Senior Notes due October 2027 (“4.75% Senior Notes”) and ATI’s Senior Secured Credit Facility (“Senior Secured Credit Facility”), which consists of the Senior Secured Credit Facility Term B-3 Loan due 2022 (“Term B-3 Loan”) and the Senior Secured Credit Facility revolving credit facility due 2021 (“Revolving Credit Facility”).</w:t>
      </w:r>
    </w:p>
    <w:p>
      <w:pPr>
        <w:spacing w:after="0" w:line="171"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The fair value of the Company’s long-term debt obligations as of September 30, 2017 was $2,623 million. The fair value is based on quoted Level 2 market prices of the Company’s debt as of September 30, 2017.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March 2017, ATI entered into an amendment with the term loan lenders under its Senior Secured Credit Facility to lower the applicable margins on the Term B-3 Loan by 0.5%. The amendment also eliminated the minimum LIBOR floor and reduced the minimum floor applicable to the base rate from</w:t>
      </w:r>
    </w:p>
    <w:p>
      <w:pPr>
        <w:ind w:right="280"/>
        <w:spacing w:after="0" w:line="261" w:lineRule="auto"/>
        <w:rPr>
          <w:sz w:val="20"/>
          <w:szCs w:val="20"/>
          <w:color w:val="auto"/>
        </w:rPr>
      </w:pPr>
      <w:r>
        <w:rPr>
          <w:rFonts w:ascii="Arial" w:cs="Arial" w:eastAsia="Arial" w:hAnsi="Arial"/>
          <w:sz w:val="18"/>
          <w:szCs w:val="18"/>
          <w:color w:val="auto"/>
        </w:rPr>
        <w:t>1.75% to 1.00% on the Term B-3 Loan. The March 2017 amendment was treated as a modification to the Senior Secured Credit Facility under GAAP, and thus the Company recorded $1 million as new deferred financing fees.</w:t>
      </w:r>
    </w:p>
    <w:p>
      <w:pPr>
        <w:spacing w:after="0" w:line="18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September 2017, ATI entered into a joinder agreement with the lenders under its Senior Secured Credit Facility to increase the available commitments under the Revolving Credit Facility from $450 million to $550 million. The joinder agreement was treated as a modification to the Revolving Credit Facility under GAAP.</w:t>
      </w:r>
    </w:p>
    <w:p>
      <w:pPr>
        <w:spacing w:after="0" w:line="18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B-3 Loan, as of September 30, 2017, is either (a) 2.00% over the LIBOR or (b) 1.00% over the greater of the prime lending rate as quoted by the administrative agent and the federal funds effective rate published by the Federal Reserve Bank of New York plus 0.5%, provided that neither is below</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1.00%. As of September 30, 2017, the Company elected to pay the lowest all-in rate of LIBOR plus the applicable margin, or 3.24%, on the Term B-3 Loan. The Senior Secured Credit Facility requires minimum quarterly principal payments on the Term B-3 Loan as well as prepayments from certain net cash proceeds of non-ordinary course asset sales and casualty and condemnation events and from a percentage of excess cash flow, if applicable. The minimum required quarterly principal payment on the Term B-3 Loan through its maturity date of September 2022 is $3 million. As of September 30, 2017, there had been no payments required for certain net cash proceeds of non-ordinary course asset sales and casualty and condemnation events. The remaining principal balance is due upon maturity.</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Secured Credit Facility also provides a Revolving Credit Facility, net of an allowance for up to $75 million in outstanding letters of credit commitments. Throughout the nine months ended September 30, 2017, the Company made periodic withdrawals and payments on the Revolving Credit Facility as part of its debt management plans. The maximum amount outstanding at any time during the nine months ended September 30, 2017 on the Revolving Credit Facility was $300 million. As of September 30, 2017, the Company had $533 million available under the Revolving Credit Facility, net of $17 million in letters of credit. Revolving credit borrowings bear interest at a variable base rate plus an applicable margin based on the Company’s total leverage ratio. Interest on the Revolving Credit Facility is either (a) 1.75% over the LIBOR or (b) 0.75% over the greater of the prime lending rate in effect on such day and the federal funds effective rate published by the Federal Reserve Bank of New York plus 0.5%, provided that neither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1" w:name="page12"/>
    <w:bookmarkEnd w:id="11"/>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below 1.75%. In addition, there is an annual commitment fee, based on the Company’s total leverage ratio, on the average unused revolving credit borrowings available under the Revolving Credit Facility. Revolving credit borrowings are payable at the option of the Company throughout the term of the Senior Secured Credit Facility with the balance due in September 2021.</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Senior Secured Credit Facility requires the Company to maintain a specified maximum total senior secured leverage ratio of 5.50x when revolving loan commitments remain outstanding on the Revolving Credit Facility at the end of a fiscal quarter. As of September 30, 2017, the Company had no revolving loans outstanding; however the Company would have been in compliance with the maximum total senior secured leverage ratio, achieving a 1.19x ratio. Additionally, within the terms of the Senior Secured Credit Facility, a senior secured leverage ratio at or below 4.00x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These reductions would remain in effect as long as the Company achieves a total leverage ratio at or below the related threshold. As of September 30, 2017, the total leverage ratio was 2.90x.</w:t>
      </w:r>
    </w:p>
    <w:p>
      <w:pPr>
        <w:spacing w:after="0" w:line="167"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September 30, 2017, the Company is in compliance with all covenants under the Senior Secured Credit Facility.</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5.0% Senior Notes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5.0%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2017, the Company is in compliance with all covenants under the indenture governing the 5.0% Senior Notes.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4.75% Senior Notes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September 2017, ATI completed an offering of $400 million of 4.75% Senior Notes. The 4.75% Senior Notes were offered in a private placement exempt from registration under the Securities Act of 1933, as amended. The proceeds from the offering were used for general corporate purposes and to pay related transaction fees and expenses. As a result of the offering, the Company recorded approximately $5 million as deferred financing fees in the Condensed Consolidated Balance Sheets.</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4.75%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2017, the Company is in compliance with all covenants under the indenture governing the 4.75% Senior Notes.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2" w:name="page13"/>
    <w:bookmarkEnd w:id="1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G.</w:t>
      </w:r>
      <w:r>
        <w:rPr>
          <w:sz w:val="20"/>
          <w:szCs w:val="20"/>
          <w:color w:val="auto"/>
        </w:rPr>
        <w:tab/>
      </w:r>
      <w:r>
        <w:rPr>
          <w:rFonts w:ascii="Arial" w:cs="Arial" w:eastAsia="Arial" w:hAnsi="Arial"/>
          <w:sz w:val="18"/>
          <w:szCs w:val="18"/>
          <w:b w:val="1"/>
          <w:bCs w:val="1"/>
          <w:color w:val="auto"/>
        </w:rPr>
        <w:t>DERIVATIVES</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swaps and commodity swaps, when appropriate. The Company’s current derivative instruments are used strictly as an economic hedge and not for speculative purposes. As necessary, the Company adjusts the values of the derivative instruments for counter-party or credit risk.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net in the Condensed Consolidated Statements of Comprehensive Income.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interest rate derivatives as of September 30, 2017 and December 31, 2016 follows (dollars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w w:val="96"/>
              </w:rPr>
              <w:t>September 30, 2017</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1"/>
              </w:rPr>
              <w:t>December 31, 2016</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5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48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540" w:type="dxa"/>
            <w:vAlign w:val="bottom"/>
            <w:vMerge w:val="restart"/>
          </w:tcPr>
          <w:p>
            <w:pPr>
              <w:spacing w:after="0"/>
              <w:rPr>
                <w:sz w:val="10"/>
                <w:szCs w:val="10"/>
                <w:color w:val="auto"/>
              </w:rPr>
            </w:pPr>
          </w:p>
        </w:tc>
        <w:tc>
          <w:tcPr>
            <w:tcW w:w="10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CCEEFF"/>
            </w:tcBorders>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3.44%</w:t>
            </w: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L, Aug 2016 – Aug 2019*</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3.43%</w:t>
            </w:r>
          </w:p>
        </w:tc>
        <w:tc>
          <w:tcPr>
            <w:tcW w:w="5960" w:type="dxa"/>
            <w:vAlign w:val="bottom"/>
          </w:tcPr>
          <w:p>
            <w:pPr>
              <w:ind w:left="20"/>
              <w:spacing w:after="0"/>
              <w:rPr>
                <w:sz w:val="20"/>
                <w:szCs w:val="20"/>
                <w:color w:val="auto"/>
              </w:rPr>
            </w:pPr>
            <w:r>
              <w:rPr>
                <w:rFonts w:ascii="Arial" w:cs="Arial" w:eastAsia="Arial" w:hAnsi="Arial"/>
                <w:sz w:val="18"/>
                <w:szCs w:val="18"/>
                <w:color w:val="auto"/>
              </w:rPr>
              <w:t>Interest Rate Swap M, Aug 2016 – Aug 2019*</w:t>
            </w: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3.37%</w:t>
            </w: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N, Aug 2016 – Aug 2019*</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3.19%</w:t>
            </w:r>
          </w:p>
        </w:tc>
        <w:tc>
          <w:tcPr>
            <w:tcW w:w="5960" w:type="dxa"/>
            <w:vAlign w:val="bottom"/>
          </w:tcPr>
          <w:p>
            <w:pPr>
              <w:ind w:left="20"/>
              <w:spacing w:after="0"/>
              <w:rPr>
                <w:sz w:val="20"/>
                <w:szCs w:val="20"/>
                <w:color w:val="auto"/>
              </w:rPr>
            </w:pPr>
            <w:r>
              <w:rPr>
                <w:rFonts w:ascii="Arial" w:cs="Arial" w:eastAsia="Arial" w:hAnsi="Arial"/>
                <w:sz w:val="18"/>
                <w:szCs w:val="18"/>
                <w:color w:val="auto"/>
              </w:rPr>
              <w:t>Interest Rate Swap O, Aug 2016 – Aug 2019*</w:t>
            </w: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3.08%</w:t>
            </w: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P, Aug 2016 – Aug 2019*</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2.99%</w:t>
            </w:r>
          </w:p>
        </w:tc>
        <w:tc>
          <w:tcPr>
            <w:tcW w:w="5960" w:type="dxa"/>
            <w:vAlign w:val="bottom"/>
          </w:tcPr>
          <w:p>
            <w:pPr>
              <w:ind w:left="20"/>
              <w:spacing w:after="0"/>
              <w:rPr>
                <w:sz w:val="20"/>
                <w:szCs w:val="20"/>
                <w:color w:val="auto"/>
              </w:rPr>
            </w:pPr>
            <w:r>
              <w:rPr>
                <w:rFonts w:ascii="Arial" w:cs="Arial" w:eastAsia="Arial" w:hAnsi="Arial"/>
                <w:sz w:val="18"/>
                <w:szCs w:val="18"/>
                <w:color w:val="auto"/>
              </w:rPr>
              <w:t>Interest Rate Swap Q, Aug 2016 – Aug 2019*</w:t>
            </w: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2.98%</w:t>
            </w: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R, Aug 2016 – Aug 2019*</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2.73%</w:t>
            </w:r>
          </w:p>
        </w:tc>
        <w:tc>
          <w:tcPr>
            <w:tcW w:w="5960" w:type="dxa"/>
            <w:vAlign w:val="bottom"/>
          </w:tcPr>
          <w:p>
            <w:pPr>
              <w:ind w:left="20"/>
              <w:spacing w:after="0"/>
              <w:rPr>
                <w:sz w:val="20"/>
                <w:szCs w:val="20"/>
                <w:color w:val="auto"/>
              </w:rPr>
            </w:pPr>
            <w:r>
              <w:rPr>
                <w:rFonts w:ascii="Arial" w:cs="Arial" w:eastAsia="Arial" w:hAnsi="Arial"/>
                <w:sz w:val="18"/>
                <w:szCs w:val="18"/>
                <w:color w:val="auto"/>
              </w:rPr>
              <w:t>Interest Rate Swap S, Aug 2016 – Aug 2019*</w:t>
            </w: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2.74%</w:t>
            </w: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T, Aug 2016 – Aug 2019*</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2.66%</w:t>
            </w:r>
          </w:p>
        </w:tc>
        <w:tc>
          <w:tcPr>
            <w:tcW w:w="5960" w:type="dxa"/>
            <w:vAlign w:val="bottom"/>
          </w:tcPr>
          <w:p>
            <w:pPr>
              <w:ind w:left="20"/>
              <w:spacing w:after="0"/>
              <w:rPr>
                <w:sz w:val="20"/>
                <w:szCs w:val="20"/>
                <w:color w:val="auto"/>
              </w:rPr>
            </w:pPr>
            <w:r>
              <w:rPr>
                <w:rFonts w:ascii="Arial" w:cs="Arial" w:eastAsia="Arial" w:hAnsi="Arial"/>
                <w:sz w:val="18"/>
                <w:szCs w:val="18"/>
                <w:color w:val="auto"/>
              </w:rPr>
              <w:t>Interest Rate Swap U, Aug 2016 – Aug 2019*</w:t>
            </w: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2.60%</w:t>
            </w: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V, Aug 2016 – Aug 2019*</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5960" w:type="dxa"/>
            <w:vAlign w:val="bottom"/>
          </w:tcPr>
          <w:p>
            <w:pPr>
              <w:ind w:left="20"/>
              <w:spacing w:after="0"/>
              <w:rPr>
                <w:sz w:val="20"/>
                <w:szCs w:val="20"/>
                <w:color w:val="auto"/>
              </w:rPr>
            </w:pPr>
            <w:r>
              <w:rPr>
                <w:rFonts w:ascii="Arial" w:cs="Arial" w:eastAsia="Arial" w:hAnsi="Arial"/>
                <w:sz w:val="18"/>
                <w:szCs w:val="18"/>
                <w:color w:val="auto"/>
              </w:rPr>
              <w:t>Interest Rate Swap W, Aug 2016 – Aug 2019*</w:t>
            </w: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2.25%</w:t>
            </w: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X, Aug 2016 – Aug 2019*</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 includes LIBOR floor of 1.00%</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540" w:type="dxa"/>
            <w:vAlign w:val="bottom"/>
          </w:tcPr>
          <w:p>
            <w:pPr>
              <w:jc w:val="right"/>
              <w:ind w:right="40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5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tabular disclosures further describe the Company’s interest rate derivative instruments and their impact on the financial condition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96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94"/>
              </w:rPr>
              <w:t>September 30, 2017</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19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Fair Value</w:t>
            </w:r>
          </w:p>
        </w:tc>
        <w:tc>
          <w:tcPr>
            <w:tcW w:w="500" w:type="dxa"/>
            <w:vAlign w:val="bottom"/>
            <w:gridSpan w:val="2"/>
          </w:tcPr>
          <w:p>
            <w:pPr>
              <w:spacing w:after="0"/>
              <w:rPr>
                <w:sz w:val="12"/>
                <w:szCs w:val="12"/>
                <w:color w:val="auto"/>
              </w:rPr>
            </w:pPr>
          </w:p>
        </w:tc>
        <w:tc>
          <w:tcPr>
            <w:tcW w:w="1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1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5660" w:type="dxa"/>
            <w:vAlign w:val="bottom"/>
          </w:tcPr>
          <w:p>
            <w:pPr>
              <w:spacing w:after="0"/>
              <w:rPr>
                <w:sz w:val="17"/>
                <w:szCs w:val="17"/>
                <w:color w:val="auto"/>
              </w:rPr>
            </w:pPr>
          </w:p>
        </w:tc>
        <w:tc>
          <w:tcPr>
            <w:tcW w:w="196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Other current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gridSpan w:val="2"/>
          </w:tcPr>
          <w:p>
            <w:pPr>
              <w:ind w:left="60"/>
              <w:spacing w:after="0" w:line="198" w:lineRule="exact"/>
              <w:rPr>
                <w:sz w:val="20"/>
                <w:szCs w:val="20"/>
                <w:color w:val="auto"/>
              </w:rPr>
            </w:pPr>
            <w:r>
              <w:rPr>
                <w:rFonts w:ascii="Arial" w:cs="Arial" w:eastAsia="Arial" w:hAnsi="Arial"/>
                <w:sz w:val="18"/>
                <w:szCs w:val="18"/>
                <w:color w:val="auto"/>
              </w:rPr>
              <w:t>Other current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6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960" w:type="dxa"/>
            <w:vAlign w:val="bottom"/>
            <w:gridSpan w:val="2"/>
          </w:tcPr>
          <w:p>
            <w:pPr>
              <w:ind w:left="60"/>
              <w:spacing w:after="0"/>
              <w:rPr>
                <w:sz w:val="20"/>
                <w:szCs w:val="20"/>
                <w:color w:val="auto"/>
              </w:rPr>
            </w:pPr>
            <w:r>
              <w:rPr>
                <w:rFonts w:ascii="Arial" w:cs="Arial" w:eastAsia="Arial" w:hAnsi="Arial"/>
                <w:sz w:val="18"/>
                <w:szCs w:val="18"/>
                <w:b w:val="1"/>
                <w:bCs w:val="1"/>
                <w:color w:val="auto"/>
              </w:rPr>
              <w:t>liabilities</w:t>
            </w:r>
          </w:p>
        </w:tc>
        <w:tc>
          <w:tcPr>
            <w:tcW w:w="2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(10)</w:t>
            </w:r>
          </w:p>
        </w:tc>
        <w:tc>
          <w:tcPr>
            <w:tcW w:w="1880" w:type="dxa"/>
            <w:vAlign w:val="bottom"/>
            <w:gridSpan w:val="2"/>
          </w:tcPr>
          <w:p>
            <w:pPr>
              <w:ind w:left="60"/>
              <w:spacing w:after="0"/>
              <w:rPr>
                <w:sz w:val="20"/>
                <w:szCs w:val="20"/>
                <w:color w:val="auto"/>
              </w:rPr>
            </w:pPr>
            <w:r>
              <w:rPr>
                <w:rFonts w:ascii="Arial" w:cs="Arial" w:eastAsia="Arial" w:hAnsi="Arial"/>
                <w:sz w:val="18"/>
                <w:szCs w:val="18"/>
                <w:color w:val="auto"/>
              </w:rPr>
              <w:t>liabilities</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99"/>
              </w:rPr>
              <w:t>(11)</w:t>
            </w:r>
          </w:p>
        </w:tc>
      </w:tr>
      <w:tr>
        <w:trPr>
          <w:trHeight w:val="198"/>
        </w:trPr>
        <w:tc>
          <w:tcPr>
            <w:tcW w:w="566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60"/>
              <w:spacing w:after="0" w:line="198" w:lineRule="exact"/>
              <w:rPr>
                <w:sz w:val="20"/>
                <w:szCs w:val="20"/>
                <w:color w:val="auto"/>
              </w:rPr>
            </w:pPr>
            <w:r>
              <w:rPr>
                <w:rFonts w:ascii="Arial" w:cs="Arial" w:eastAsia="Arial" w:hAnsi="Arial"/>
                <w:sz w:val="18"/>
                <w:szCs w:val="18"/>
                <w:b w:val="1"/>
                <w:bCs w:val="1"/>
                <w:color w:val="auto"/>
              </w:rPr>
              <w:t>Other non-current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ind w:left="60"/>
              <w:spacing w:after="0" w:line="198" w:lineRule="exact"/>
              <w:rPr>
                <w:sz w:val="20"/>
                <w:szCs w:val="20"/>
                <w:color w:val="auto"/>
              </w:rPr>
            </w:pPr>
            <w:r>
              <w:rPr>
                <w:rFonts w:ascii="Arial" w:cs="Arial" w:eastAsia="Arial" w:hAnsi="Arial"/>
                <w:sz w:val="18"/>
                <w:szCs w:val="18"/>
                <w:color w:val="auto"/>
              </w:rPr>
              <w:t>Other non-current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6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w:t>
            </w:r>
          </w:p>
        </w:tc>
        <w:tc>
          <w:tcPr>
            <w:tcW w:w="1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(18)</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5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74"/>
              </w:rPr>
              <w:t>)</w:t>
            </w: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ind w:left="160"/>
              <w:spacing w:after="0"/>
              <w:rPr>
                <w:sz w:val="20"/>
                <w:szCs w:val="20"/>
                <w:color w:val="auto"/>
              </w:rPr>
            </w:pPr>
            <w:r>
              <w:rPr>
                <w:rFonts w:ascii="Arial" w:cs="Arial" w:eastAsia="Arial" w:hAnsi="Arial"/>
                <w:sz w:val="17"/>
                <w:szCs w:val="17"/>
                <w:color w:val="auto"/>
                <w:w w:val="72"/>
              </w:rPr>
              <w:t>(29)</w:t>
            </w:r>
          </w:p>
        </w:tc>
        <w:tc>
          <w:tcPr>
            <w:tcW w:w="10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tabular disclosure describes the location and impact on the Company’s results of operations related to unrealized gain (loss) on interest rate derivatives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ind w:left="80"/>
              <w:spacing w:after="0"/>
              <w:rPr>
                <w:sz w:val="20"/>
                <w:szCs w:val="20"/>
                <w:color w:val="auto"/>
              </w:rPr>
            </w:pPr>
            <w:r>
              <w:rPr>
                <w:rFonts w:ascii="Arial" w:cs="Arial" w:eastAsia="Arial" w:hAnsi="Arial"/>
                <w:sz w:val="14"/>
                <w:szCs w:val="14"/>
                <w:b w:val="1"/>
                <w:bCs w:val="1"/>
                <w:color w:val="auto"/>
                <w:w w:val="90"/>
              </w:rPr>
              <w:t>Nine months ended September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Location of impact on results of operations</w:t>
            </w:r>
          </w:p>
        </w:tc>
        <w:tc>
          <w:tcPr>
            <w:tcW w:w="1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4200" w:type="dxa"/>
            <w:vAlign w:val="bottom"/>
          </w:tcPr>
          <w:p>
            <w:pPr>
              <w:spacing w:after="0"/>
              <w:rPr>
                <w:sz w:val="20"/>
                <w:szCs w:val="20"/>
                <w:color w:val="auto"/>
              </w:rPr>
            </w:pPr>
            <w:r>
              <w:rPr>
                <w:rFonts w:ascii="Arial" w:cs="Arial" w:eastAsia="Arial" w:hAnsi="Arial"/>
                <w:sz w:val="18"/>
                <w:szCs w:val="18"/>
                <w:color w:val="auto"/>
              </w:rPr>
              <w:t>Interest expense, net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9</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w:t>
            </w:r>
          </w:p>
        </w:tc>
      </w:tr>
      <w:tr>
        <w:trPr>
          <w:trHeight w:val="346"/>
        </w:trPr>
        <w:tc>
          <w:tcPr>
            <w:tcW w:w="4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279"/>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NOTE H.</w:t>
            </w:r>
          </w:p>
        </w:tc>
        <w:tc>
          <w:tcPr>
            <w:tcW w:w="4380" w:type="dxa"/>
            <w:vAlign w:val="bottom"/>
          </w:tcPr>
          <w:p>
            <w:pPr>
              <w:ind w:left="200"/>
              <w:spacing w:after="0"/>
              <w:rPr>
                <w:sz w:val="20"/>
                <w:szCs w:val="20"/>
                <w:color w:val="auto"/>
              </w:rPr>
            </w:pPr>
            <w:r>
              <w:rPr>
                <w:rFonts w:ascii="Arial" w:cs="Arial" w:eastAsia="Arial" w:hAnsi="Arial"/>
                <w:sz w:val="18"/>
                <w:szCs w:val="18"/>
                <w:b w:val="1"/>
                <w:bCs w:val="1"/>
                <w:color w:val="auto"/>
              </w:rPr>
              <w:t>PRODUCT WARRANTY LIABILITIES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000" w:type="dxa"/>
            <w:vAlign w:val="bottom"/>
            <w:gridSpan w:val="6"/>
          </w:tcPr>
          <w:p>
            <w:pPr>
              <w:ind w:left="460"/>
              <w:spacing w:after="0"/>
              <w:rPr>
                <w:sz w:val="20"/>
                <w:szCs w:val="20"/>
                <w:color w:val="auto"/>
              </w:rPr>
            </w:pPr>
            <w:r>
              <w:rPr>
                <w:rFonts w:ascii="Arial" w:cs="Arial" w:eastAsia="Arial" w:hAnsi="Arial"/>
                <w:sz w:val="18"/>
                <w:szCs w:val="18"/>
                <w:color w:val="auto"/>
              </w:rPr>
              <w:t>Product warranty liability activities consist of the following (dollars in millions):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1"/>
              </w:rPr>
              <w:t>Three months ended September 30,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14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(23)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Net adjustments to liability</w:t>
            </w:r>
          </w:p>
        </w:tc>
        <w:tc>
          <w:tcPr>
            <w:tcW w:w="14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September 30, 2017, the current and non-current product warranty liabilities were $22 million and $27 million, respectively. As of September 30, 2016, the current and non-current product warranty liabilities were $28 million and $42 million, respectively.</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I.</w:t>
      </w:r>
      <w:r>
        <w:rPr>
          <w:sz w:val="20"/>
          <w:szCs w:val="20"/>
          <w:color w:val="auto"/>
        </w:rPr>
        <w:tab/>
      </w:r>
      <w:r>
        <w:rPr>
          <w:rFonts w:ascii="Arial" w:cs="Arial" w:eastAsia="Arial" w:hAnsi="Arial"/>
          <w:sz w:val="18"/>
          <w:szCs w:val="18"/>
          <w:b w:val="1"/>
          <w:bCs w:val="1"/>
          <w:color w:val="auto"/>
        </w:rPr>
        <w:t>DEFERRED REVENUE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September 30, 2017, the current and non-current deferred revenue were $33 million and $75 million, respectively. As of September 30, 2016, the current and non-current deferred revenue were $24 million and $61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activity consists of the following (dollars in millions):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6"/>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71"/>
        </w:trPr>
        <w:tc>
          <w:tcPr>
            <w:tcW w:w="44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83"/>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84</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Increases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7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108</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85</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Deferred revenue recorded in current and non-current liabilities related to extended transmission coverage (“ETC”) as of September 30, 2017 were $29 million and $70 million, respectively. Deferred revenue recorded in current and non-current liabilities related to ETC as of September 30, 2016 were $24 million and $61 million, respectively.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NOTE J.</w:t>
            </w:r>
          </w:p>
        </w:tc>
        <w:tc>
          <w:tcPr>
            <w:tcW w:w="7560" w:type="dxa"/>
            <w:vAlign w:val="bottom"/>
          </w:tcPr>
          <w:p>
            <w:pPr>
              <w:ind w:left="380"/>
              <w:spacing w:after="0"/>
              <w:rPr>
                <w:sz w:val="20"/>
                <w:szCs w:val="20"/>
                <w:color w:val="auto"/>
              </w:rPr>
            </w:pPr>
            <w:r>
              <w:rPr>
                <w:rFonts w:ascii="Arial" w:cs="Arial" w:eastAsia="Arial" w:hAnsi="Arial"/>
                <w:sz w:val="18"/>
                <w:szCs w:val="18"/>
                <w:b w:val="1"/>
                <w:bCs w:val="1"/>
                <w:color w:val="auto"/>
              </w:rPr>
              <w:t>OTHER CURRENT LIABILITIES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8320" w:type="dxa"/>
            <w:vAlign w:val="bottom"/>
            <w:gridSpan w:val="3"/>
          </w:tcPr>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 of</w:t>
            </w:r>
          </w:p>
        </w:tc>
      </w:tr>
      <w:tr>
        <w:trPr>
          <w:trHeight w:val="149"/>
        </w:trPr>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460" w:type="dxa"/>
            <w:vAlign w:val="bottom"/>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and related costs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Sales allowances</w:t>
            </w:r>
          </w:p>
        </w:tc>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46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46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Taxes payable</w:t>
            </w:r>
          </w:p>
        </w:tc>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Vendor buyback obligation</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46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Defense price reduction reserve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Other accruals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7"/>
        </w:trPr>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1120" w:val="left"/>
        </w:tabs>
        <w:rPr>
          <w:sz w:val="20"/>
          <w:szCs w:val="20"/>
          <w:color w:val="auto"/>
        </w:rPr>
      </w:pPr>
      <w:r>
        <w:rPr>
          <w:rFonts w:ascii="Arial" w:cs="Arial" w:eastAsia="Arial" w:hAnsi="Arial"/>
          <w:sz w:val="18"/>
          <w:szCs w:val="18"/>
          <w:b w:val="1"/>
          <w:bCs w:val="1"/>
          <w:color w:val="auto"/>
        </w:rPr>
        <w:t>NOTE K.</w:t>
      </w:r>
      <w:r>
        <w:rPr>
          <w:sz w:val="20"/>
          <w:szCs w:val="20"/>
          <w:color w:val="auto"/>
        </w:rPr>
        <w:tab/>
      </w: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net periodic benefit cost consist of the following (dollars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89"/>
              </w:rPr>
              <w:t>Pension Plans</w:t>
            </w: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left="37"/>
              <w:spacing w:after="0"/>
              <w:rPr>
                <w:sz w:val="20"/>
                <w:szCs w:val="20"/>
                <w:color w:val="auto"/>
              </w:rPr>
            </w:pPr>
            <w:r>
              <w:rPr>
                <w:rFonts w:ascii="Arial" w:cs="Arial" w:eastAsia="Arial" w:hAnsi="Arial"/>
                <w:sz w:val="14"/>
                <w:szCs w:val="14"/>
                <w:b w:val="1"/>
                <w:bCs w:val="1"/>
                <w:color w:val="auto"/>
                <w:w w:val="91"/>
              </w:rPr>
              <w:t>Post-retirement Benefits</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40" w:type="dxa"/>
            <w:vAlign w:val="bottom"/>
            <w:gridSpan w:val="9"/>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Three months ended September 30,</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40" w:type="dxa"/>
            <w:vAlign w:val="bottom"/>
            <w:gridSpan w:val="7"/>
          </w:tcPr>
          <w:p>
            <w:pPr>
              <w:jc w:val="center"/>
              <w:ind w:right="70"/>
              <w:spacing w:after="0" w:line="119" w:lineRule="exact"/>
              <w:rPr>
                <w:sz w:val="20"/>
                <w:szCs w:val="20"/>
                <w:color w:val="auto"/>
              </w:rPr>
            </w:pPr>
            <w:r>
              <w:rPr>
                <w:rFonts w:ascii="Arial" w:cs="Arial" w:eastAsia="Arial" w:hAnsi="Arial"/>
                <w:sz w:val="13"/>
                <w:szCs w:val="13"/>
                <w:b w:val="1"/>
                <w:bCs w:val="1"/>
                <w:color w:val="auto"/>
                <w:w w:val="98"/>
              </w:rPr>
              <w:t>Three months ended September 30,</w:t>
            </w:r>
          </w:p>
        </w:tc>
        <w:tc>
          <w:tcPr>
            <w:tcW w:w="100" w:type="dxa"/>
            <w:vAlign w:val="bottom"/>
          </w:tcPr>
          <w:p>
            <w:pPr>
              <w:spacing w:after="0"/>
              <w:rPr>
                <w:sz w:val="10"/>
                <w:szCs w:val="10"/>
                <w:color w:val="auto"/>
              </w:rPr>
            </w:pPr>
          </w:p>
        </w:tc>
      </w:tr>
      <w:tr>
        <w:trPr>
          <w:trHeight w:val="171"/>
        </w:trPr>
        <w:tc>
          <w:tcPr>
            <w:tcW w:w="4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Service cost</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3</w:t>
            </w:r>
          </w:p>
        </w:tc>
        <w:tc>
          <w:tcPr>
            <w:tcW w:w="8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445"/>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5"/>
          </w:tcPr>
          <w:p>
            <w:pPr>
              <w:jc w:val="right"/>
              <w:ind w:right="708"/>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5"/>
            <w:shd w:val="clear" w:color="auto" w:fill="CCEEFF"/>
          </w:tcPr>
          <w:p>
            <w:pPr>
              <w:jc w:val="right"/>
              <w:ind w:right="868"/>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ind w:right="4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5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Pension Plans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center"/>
              <w:ind w:left="37"/>
              <w:spacing w:after="0"/>
              <w:rPr>
                <w:sz w:val="20"/>
                <w:szCs w:val="20"/>
                <w:color w:val="auto"/>
              </w:rPr>
            </w:pPr>
            <w:r>
              <w:rPr>
                <w:rFonts w:ascii="Arial" w:cs="Arial" w:eastAsia="Arial" w:hAnsi="Arial"/>
                <w:sz w:val="14"/>
                <w:szCs w:val="14"/>
                <w:b w:val="1"/>
                <w:bCs w:val="1"/>
                <w:color w:val="auto"/>
                <w:w w:val="91"/>
              </w:rPr>
              <w:t>Post-retirement Benefits</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80" w:type="dxa"/>
            <w:vAlign w:val="bottom"/>
            <w:gridSpan w:val="8"/>
          </w:tcPr>
          <w:p>
            <w:pPr>
              <w:jc w:val="right"/>
              <w:ind w:right="173"/>
              <w:spacing w:after="0" w:line="119" w:lineRule="exact"/>
              <w:rPr>
                <w:sz w:val="20"/>
                <w:szCs w:val="20"/>
                <w:color w:val="auto"/>
              </w:rPr>
            </w:pPr>
            <w:r>
              <w:rPr>
                <w:rFonts w:ascii="Arial" w:cs="Arial" w:eastAsia="Arial" w:hAnsi="Arial"/>
                <w:sz w:val="13"/>
                <w:szCs w:val="13"/>
                <w:b w:val="1"/>
                <w:bCs w:val="1"/>
                <w:color w:val="auto"/>
                <w:w w:val="98"/>
              </w:rPr>
              <w:t>Nine months ended September 30,</w:t>
            </w:r>
          </w:p>
        </w:tc>
        <w:tc>
          <w:tcPr>
            <w:tcW w:w="42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40" w:type="dxa"/>
            <w:vAlign w:val="bottom"/>
            <w:gridSpan w:val="7"/>
          </w:tcPr>
          <w:p>
            <w:pPr>
              <w:jc w:val="center"/>
              <w:ind w:right="50"/>
              <w:spacing w:after="0" w:line="119" w:lineRule="exact"/>
              <w:rPr>
                <w:sz w:val="20"/>
                <w:szCs w:val="20"/>
                <w:color w:val="auto"/>
              </w:rPr>
            </w:pPr>
            <w:r>
              <w:rPr>
                <w:rFonts w:ascii="Arial" w:cs="Arial" w:eastAsia="Arial" w:hAnsi="Arial"/>
                <w:sz w:val="13"/>
                <w:szCs w:val="13"/>
                <w:b w:val="1"/>
                <w:bCs w:val="1"/>
                <w:color w:val="auto"/>
                <w:w w:val="98"/>
              </w:rPr>
              <w:t>Nine months ended September 30,</w:t>
            </w:r>
          </w:p>
        </w:tc>
        <w:tc>
          <w:tcPr>
            <w:tcW w:w="100" w:type="dxa"/>
            <w:vAlign w:val="bottom"/>
          </w:tcPr>
          <w:p>
            <w:pPr>
              <w:spacing w:after="0"/>
              <w:rPr>
                <w:sz w:val="10"/>
                <w:szCs w:val="10"/>
                <w:color w:val="auto"/>
              </w:rPr>
            </w:pPr>
          </w:p>
        </w:tc>
      </w:tr>
      <w:tr>
        <w:trPr>
          <w:trHeight w:val="171"/>
        </w:trPr>
        <w:tc>
          <w:tcPr>
            <w:tcW w:w="4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Service cost</w:t>
            </w:r>
          </w:p>
        </w:tc>
        <w:tc>
          <w:tcPr>
            <w:tcW w:w="200" w:type="dxa"/>
            <w:vAlign w:val="bottom"/>
            <w:gridSpan w:val="2"/>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w:t>
            </w:r>
          </w:p>
        </w:tc>
        <w:tc>
          <w:tcPr>
            <w:tcW w:w="460" w:type="dxa"/>
            <w:vAlign w:val="bottom"/>
          </w:tcPr>
          <w:p>
            <w:pPr>
              <w:spacing w:after="0"/>
              <w:rPr>
                <w:sz w:val="18"/>
                <w:szCs w:val="18"/>
                <w:color w:val="auto"/>
              </w:rPr>
            </w:pPr>
          </w:p>
        </w:tc>
        <w:tc>
          <w:tcPr>
            <w:tcW w:w="1000" w:type="dxa"/>
            <w:vAlign w:val="bottom"/>
            <w:gridSpan w:val="3"/>
          </w:tcPr>
          <w:p>
            <w:pPr>
              <w:jc w:val="right"/>
              <w:ind w:right="405"/>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5"/>
            <w:shd w:val="clear" w:color="auto" w:fill="CCEEFF"/>
          </w:tcPr>
          <w:p>
            <w:pPr>
              <w:jc w:val="right"/>
              <w:ind w:right="948"/>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270" w:right="699" w:bottom="1440" w:gutter="0" w:footer="0" w:header="0"/>
        </w:sectPr>
      </w:pPr>
    </w:p>
    <w:bookmarkStart w:id="15" w:name="page16"/>
    <w:bookmarkEnd w:id="15"/>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L.</w:t>
      </w:r>
      <w:r>
        <w:rPr>
          <w:sz w:val="20"/>
          <w:szCs w:val="20"/>
          <w:color w:val="auto"/>
        </w:rPr>
        <w:tab/>
      </w: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For the three and nine months ended September 30, 2017, the Company recorded total tax expense of $59 million and $154 million, respectively. The effective tax rate for both the three and nine months ended September 30, 2017 was 35%. For the three and nine months ended September 30, 2016, the Company recorded total tax expense of $26 million and $93 million, respectively. The effective tax rate for the three and nine months ended September 30, 2016 was 37% and 38%, respectively. The decrease in effective tax rate for the three and nine months ended September 30, 2017 was principally driven by increased U.S. income tax deductions and discrete activity related to excess tax benefit from stock-based compensation.</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 forward periods, experience with tax attributes expiring unused, and tax planning alternatives. The weight given to these considerations depends upon the degree to which they can be objectively verified.</w:t>
      </w:r>
    </w:p>
    <w:p>
      <w:pPr>
        <w:spacing w:after="0" w:line="188"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Company continues to provide for a valuation allowance on certain of its foreign deferred tax assets. The Company has determined, based on the evaluation of both objective and subjective evidence available, that this valuation allowance is necessary and that it is more likely than not that the deferred tax assets are not fully realizable.</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accordance with the FASB’s authoritative guidance on accounting for uncertainty in income taxes, the Company has recorded a liability for unrecognized tax benefits related to a 2010 Research &amp; Development Credit as of September 30, 2017 and December 31, 2016. The accounting guidance prescribes a recognition threshold and measurement attributes for the financial statement recognition and measurement of a tax position taken or expected to be taken in a tax return. All of the Company’s returns will remain subject to examination by the various taxing authorities for the duration of the applicable statute of limitations (generally three years from the later of the date of filing or the due date of the return).</w:t>
      </w:r>
    </w:p>
    <w:p>
      <w:pPr>
        <w:spacing w:after="0" w:line="3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M.</w:t>
      </w:r>
      <w:r>
        <w:rPr>
          <w:sz w:val="20"/>
          <w:szCs w:val="20"/>
          <w:color w:val="auto"/>
        </w:rPr>
        <w:tab/>
      </w: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reconcile changes in Accumulated other comprehensive loss (“AOCL”) by component (net of tax, dollars in millions):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1"/>
              </w:rPr>
              <w:t>Three months ended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Available-for-</w:t>
            </w:r>
          </w:p>
        </w:tc>
        <w:tc>
          <w:tcPr>
            <w:tcW w:w="100" w:type="dxa"/>
            <w:vAlign w:val="bottom"/>
          </w:tcPr>
          <w:p>
            <w:pPr>
              <w:spacing w:after="0"/>
              <w:rPr>
                <w:sz w:val="10"/>
                <w:szCs w:val="10"/>
                <w:color w:val="auto"/>
              </w:rPr>
            </w:pPr>
          </w:p>
        </w:tc>
        <w:tc>
          <w:tcPr>
            <w:tcW w:w="132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Defined</w:t>
            </w:r>
          </w:p>
        </w:tc>
        <w:tc>
          <w:tcPr>
            <w:tcW w:w="20" w:type="dxa"/>
            <w:vAlign w:val="bottom"/>
          </w:tcPr>
          <w:p>
            <w:pPr>
              <w:spacing w:after="0"/>
              <w:rPr>
                <w:sz w:val="10"/>
                <w:szCs w:val="10"/>
                <w:color w:val="auto"/>
              </w:rPr>
            </w:pPr>
          </w:p>
        </w:tc>
        <w:tc>
          <w:tcPr>
            <w:tcW w:w="90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Foreign</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sale</w:t>
            </w:r>
          </w:p>
        </w:tc>
        <w:tc>
          <w:tcPr>
            <w:tcW w:w="100" w:type="dxa"/>
            <w:vAlign w:val="bottom"/>
          </w:tcPr>
          <w:p>
            <w:pPr>
              <w:spacing w:after="0"/>
              <w:rPr>
                <w:sz w:val="12"/>
                <w:szCs w:val="12"/>
                <w:color w:val="auto"/>
              </w:rPr>
            </w:pPr>
          </w:p>
        </w:tc>
        <w:tc>
          <w:tcPr>
            <w:tcW w:w="13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benefit</w:t>
            </w:r>
          </w:p>
        </w:tc>
        <w:tc>
          <w:tcPr>
            <w:tcW w:w="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8"/>
              </w:rPr>
              <w:t>securities</w:t>
            </w:r>
          </w:p>
        </w:tc>
        <w:tc>
          <w:tcPr>
            <w:tcW w:w="6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pension items</w:t>
            </w:r>
          </w:p>
        </w:tc>
        <w:tc>
          <w:tcPr>
            <w:tcW w:w="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7"/>
              </w:rPr>
              <w:t>items</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AOCL as of June 30, 2016</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10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1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 income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AOCL as of September 30, 2016</w:t>
            </w:r>
          </w:p>
        </w:tc>
        <w:tc>
          <w:tcPr>
            <w:tcW w:w="10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(57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AOCL as of June 30, 2017</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340"/>
              <w:spacing w:after="0"/>
              <w:rPr>
                <w:sz w:val="20"/>
                <w:szCs w:val="20"/>
                <w:color w:val="auto"/>
              </w:rPr>
            </w:pPr>
            <w:r>
              <w:rPr>
                <w:rFonts w:ascii="Arial" w:cs="Arial" w:eastAsia="Arial" w:hAnsi="Arial"/>
                <w:sz w:val="18"/>
                <w:szCs w:val="18"/>
                <w:color w:val="auto"/>
                <w:w w:val="95"/>
              </w:rPr>
              <w:t>Other comprehensive (loss) income before reclassifications</w:t>
            </w: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5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1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 income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AOCL as of September 30, 2017</w:t>
            </w:r>
          </w:p>
        </w:tc>
        <w:tc>
          <w:tcPr>
            <w:tcW w:w="10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3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(52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60" w:type="dxa"/>
            <w:vAlign w:val="bottom"/>
            <w:vMerge w:val="restart"/>
          </w:tcPr>
          <w:p>
            <w:pPr>
              <w:jc w:val="right"/>
              <w:ind w:right="53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0" w:right="37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2"/>
              </w:rPr>
              <w:t>Nine months ended</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4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Available-for-</w:t>
            </w:r>
          </w:p>
        </w:tc>
        <w:tc>
          <w:tcPr>
            <w:tcW w:w="120" w:type="dxa"/>
            <w:vAlign w:val="bottom"/>
          </w:tcPr>
          <w:p>
            <w:pPr>
              <w:spacing w:after="0"/>
              <w:rPr>
                <w:sz w:val="10"/>
                <w:szCs w:val="10"/>
                <w:color w:val="auto"/>
              </w:rPr>
            </w:pPr>
          </w:p>
        </w:tc>
        <w:tc>
          <w:tcPr>
            <w:tcW w:w="134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Defined</w:t>
            </w:r>
          </w:p>
        </w:tc>
        <w:tc>
          <w:tcPr>
            <w:tcW w:w="1160" w:type="dxa"/>
            <w:vAlign w:val="bottom"/>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Foreign</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sale</w:t>
            </w:r>
          </w:p>
        </w:tc>
        <w:tc>
          <w:tcPr>
            <w:tcW w:w="120" w:type="dxa"/>
            <w:vAlign w:val="bottom"/>
          </w:tcPr>
          <w:p>
            <w:pPr>
              <w:spacing w:after="0"/>
              <w:rPr>
                <w:sz w:val="12"/>
                <w:szCs w:val="12"/>
                <w:color w:val="auto"/>
              </w:rPr>
            </w:pPr>
          </w:p>
        </w:tc>
        <w:tc>
          <w:tcPr>
            <w:tcW w:w="13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benefit</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currency</w:t>
            </w:r>
          </w:p>
        </w:tc>
        <w:tc>
          <w:tcPr>
            <w:tcW w:w="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rPr>
              <w:t>securities</w:t>
            </w:r>
          </w:p>
        </w:tc>
        <w:tc>
          <w:tcPr>
            <w:tcW w:w="6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pension items</w:t>
            </w:r>
          </w:p>
        </w:tc>
        <w:tc>
          <w:tcPr>
            <w:tcW w:w="100" w:type="dxa"/>
            <w:vAlign w:val="bottom"/>
          </w:tcPr>
          <w:p>
            <w:pPr>
              <w:spacing w:after="0"/>
              <w:rPr>
                <w:sz w:val="14"/>
                <w:szCs w:val="14"/>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items</w:t>
            </w:r>
          </w:p>
        </w:tc>
        <w:tc>
          <w:tcPr>
            <w:tcW w:w="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AOCL as of December 31, 2015</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jc w:val="right"/>
              <w:ind w:right="48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current period other comprehensive (loss)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AOCL as of September 30, 2016</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tcPr>
          <w:p>
            <w:pPr>
              <w:jc w:val="right"/>
              <w:ind w:right="48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02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6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6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92"/>
              </w:rPr>
              <w:t>(57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as of December 31, 2016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(loss) income before reclassifications</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current period other comprehensive (loss)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AOCL as of September 30, 2017</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tcPr>
          <w:p>
            <w:pPr>
              <w:jc w:val="right"/>
              <w:ind w:right="480"/>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3"/>
        </w:trPr>
        <w:tc>
          <w:tcPr>
            <w:tcW w:w="602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6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6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2"/>
              </w:rPr>
              <w:t>(52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Amounts reclassified from AOCL</w:t>
            </w:r>
          </w:p>
        </w:tc>
        <w:tc>
          <w:tcPr>
            <w:tcW w:w="1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4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5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ended</w:t>
            </w:r>
          </w:p>
        </w:tc>
        <w:tc>
          <w:tcPr>
            <w:tcW w:w="880" w:type="dxa"/>
            <w:vAlign w:val="bottom"/>
          </w:tcPr>
          <w:p>
            <w:pPr>
              <w:jc w:val="center"/>
              <w:ind w:left="20"/>
              <w:spacing w:after="0" w:line="149" w:lineRule="exact"/>
              <w:rPr>
                <w:sz w:val="20"/>
                <w:szCs w:val="20"/>
                <w:color w:val="auto"/>
              </w:rPr>
            </w:pPr>
            <w:r>
              <w:rPr>
                <w:rFonts w:ascii="Arial" w:cs="Arial" w:eastAsia="Arial" w:hAnsi="Arial"/>
                <w:sz w:val="14"/>
                <w:szCs w:val="14"/>
                <w:b w:val="1"/>
                <w:bCs w:val="1"/>
                <w:color w:val="auto"/>
                <w:w w:val="92"/>
              </w:rPr>
              <w:t>ended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Affected line item in the Condensed Consolidated</w:t>
            </w:r>
          </w:p>
        </w:tc>
        <w:tc>
          <w:tcPr>
            <w:tcW w:w="0" w:type="dxa"/>
            <w:vAlign w:val="bottom"/>
          </w:tcPr>
          <w:p>
            <w:pPr>
              <w:spacing w:after="0"/>
              <w:rPr>
                <w:sz w:val="1"/>
                <w:szCs w:val="1"/>
                <w:color w:val="auto"/>
              </w:rPr>
            </w:pPr>
          </w:p>
        </w:tc>
      </w:tr>
      <w:tr>
        <w:trPr>
          <w:trHeight w:val="144"/>
        </w:trPr>
        <w:tc>
          <w:tcPr>
            <w:tcW w:w="344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AOCL Components</w:t>
            </w:r>
          </w:p>
        </w:tc>
        <w:tc>
          <w:tcPr>
            <w:tcW w:w="1440" w:type="dxa"/>
            <w:vAlign w:val="bottom"/>
            <w:gridSpan w:val="3"/>
          </w:tcPr>
          <w:p>
            <w:pPr>
              <w:jc w:val="center"/>
              <w:ind w:right="52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3"/>
          </w:tcPr>
          <w:p>
            <w:pPr>
              <w:jc w:val="center"/>
              <w:ind w:right="52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3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82"/>
        </w:trPr>
        <w:tc>
          <w:tcPr>
            <w:tcW w:w="3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Amortization of defined benefit pension</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w:t>
            </w:r>
          </w:p>
        </w:tc>
        <w:tc>
          <w:tcPr>
            <w:tcW w:w="880" w:type="dxa"/>
            <w:vAlign w:val="bottom"/>
          </w:tcPr>
          <w:p>
            <w:pPr>
              <w:jc w:val="right"/>
              <w:ind w:right="70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500"/>
              <w:spacing w:after="0"/>
              <w:rPr>
                <w:sz w:val="20"/>
                <w:szCs w:val="20"/>
                <w:color w:val="auto"/>
              </w:rPr>
            </w:pPr>
            <w:r>
              <w:rPr>
                <w:rFonts w:ascii="Arial" w:cs="Arial" w:eastAsia="Arial" w:hAnsi="Arial"/>
                <w:sz w:val="18"/>
                <w:szCs w:val="18"/>
                <w:color w:val="auto"/>
                <w:w w:val="79"/>
              </w:rPr>
              <w:t>1</w:t>
            </w:r>
          </w:p>
        </w:tc>
        <w:tc>
          <w:tcPr>
            <w:tcW w:w="3220" w:type="dxa"/>
            <w:vAlign w:val="bottom"/>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 before tax</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w:t>
            </w:r>
          </w:p>
        </w:tc>
        <w:tc>
          <w:tcPr>
            <w:tcW w:w="88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79"/>
              </w:rPr>
              <w:t>1</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Income tax</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w:t>
            </w:r>
          </w:p>
        </w:tc>
        <w:tc>
          <w:tcPr>
            <w:tcW w:w="88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79"/>
              </w:rPr>
              <w:t>1</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Amounts reclassified from AOCL</w:t>
            </w:r>
          </w:p>
        </w:tc>
        <w:tc>
          <w:tcPr>
            <w:tcW w:w="1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4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880" w:type="dxa"/>
            <w:vAlign w:val="bottom"/>
          </w:tcPr>
          <w:p>
            <w:pPr>
              <w:jc w:val="center"/>
              <w:ind w:left="2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ended</w:t>
            </w:r>
          </w:p>
        </w:tc>
        <w:tc>
          <w:tcPr>
            <w:tcW w:w="880" w:type="dxa"/>
            <w:vAlign w:val="bottom"/>
          </w:tcPr>
          <w:p>
            <w:pPr>
              <w:jc w:val="center"/>
              <w:ind w:left="20"/>
              <w:spacing w:after="0" w:line="149" w:lineRule="exact"/>
              <w:rPr>
                <w:sz w:val="20"/>
                <w:szCs w:val="20"/>
                <w:color w:val="auto"/>
              </w:rPr>
            </w:pPr>
            <w:r>
              <w:rPr>
                <w:rFonts w:ascii="Arial" w:cs="Arial" w:eastAsia="Arial" w:hAnsi="Arial"/>
                <w:sz w:val="14"/>
                <w:szCs w:val="14"/>
                <w:b w:val="1"/>
                <w:bCs w:val="1"/>
                <w:color w:val="auto"/>
                <w:w w:val="92"/>
              </w:rPr>
              <w:t>ended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Affected line item in the Condensed Consolidated</w:t>
            </w:r>
          </w:p>
        </w:tc>
        <w:tc>
          <w:tcPr>
            <w:tcW w:w="0" w:type="dxa"/>
            <w:vAlign w:val="bottom"/>
          </w:tcPr>
          <w:p>
            <w:pPr>
              <w:spacing w:after="0"/>
              <w:rPr>
                <w:sz w:val="1"/>
                <w:szCs w:val="1"/>
                <w:color w:val="auto"/>
              </w:rPr>
            </w:pPr>
          </w:p>
        </w:tc>
      </w:tr>
      <w:tr>
        <w:trPr>
          <w:trHeight w:val="144"/>
        </w:trPr>
        <w:tc>
          <w:tcPr>
            <w:tcW w:w="344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AOCL Components</w:t>
            </w:r>
          </w:p>
        </w:tc>
        <w:tc>
          <w:tcPr>
            <w:tcW w:w="1440" w:type="dxa"/>
            <w:vAlign w:val="bottom"/>
            <w:gridSpan w:val="3"/>
          </w:tcPr>
          <w:p>
            <w:pPr>
              <w:jc w:val="center"/>
              <w:ind w:right="52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3"/>
          </w:tcPr>
          <w:p>
            <w:pPr>
              <w:jc w:val="center"/>
              <w:ind w:right="52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3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82"/>
        </w:trPr>
        <w:tc>
          <w:tcPr>
            <w:tcW w:w="3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Amortization of defined benefit pension</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w:t>
            </w:r>
          </w:p>
        </w:tc>
        <w:tc>
          <w:tcPr>
            <w:tcW w:w="880" w:type="dxa"/>
            <w:vAlign w:val="bottom"/>
          </w:tcPr>
          <w:p>
            <w:pPr>
              <w:jc w:val="right"/>
              <w:ind w:right="70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500"/>
              <w:spacing w:after="0"/>
              <w:rPr>
                <w:sz w:val="20"/>
                <w:szCs w:val="20"/>
                <w:color w:val="auto"/>
              </w:rPr>
            </w:pPr>
            <w:r>
              <w:rPr>
                <w:rFonts w:ascii="Arial" w:cs="Arial" w:eastAsia="Arial" w:hAnsi="Arial"/>
                <w:sz w:val="18"/>
                <w:szCs w:val="18"/>
                <w:color w:val="auto"/>
                <w:w w:val="79"/>
              </w:rPr>
              <w:t>3</w:t>
            </w:r>
          </w:p>
        </w:tc>
        <w:tc>
          <w:tcPr>
            <w:tcW w:w="3220" w:type="dxa"/>
            <w:vAlign w:val="bottom"/>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 before tax</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w:t>
            </w:r>
          </w:p>
        </w:tc>
        <w:tc>
          <w:tcPr>
            <w:tcW w:w="88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79"/>
              </w:rPr>
              <w:t>3</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Income tax</w:t>
            </w:r>
          </w:p>
        </w:tc>
        <w:tc>
          <w:tcPr>
            <w:tcW w:w="1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w:t>
            </w:r>
          </w:p>
        </w:tc>
        <w:tc>
          <w:tcPr>
            <w:tcW w:w="3220" w:type="dxa"/>
            <w:vAlign w:val="bottom"/>
          </w:tcPr>
          <w:p>
            <w:pPr>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w:t>
            </w:r>
          </w:p>
        </w:tc>
        <w:tc>
          <w:tcPr>
            <w:tcW w:w="88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79"/>
              </w:rPr>
              <w:t>2</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Prior service cost is included in the computation of the Company’s net periodic benefit cost. Please see NOTE K “Employee Benefit Plans” for additional details.</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240" w:top="265" w:right="699" w:bottom="1440" w:gutter="0" w:footer="0" w:header="0"/>
        </w:sectPr>
      </w:pPr>
    </w:p>
    <w:bookmarkStart w:id="17" w:name="page18"/>
    <w:bookmarkEnd w:id="17"/>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N.</w:t>
      </w:r>
      <w:r>
        <w:rPr>
          <w:sz w:val="20"/>
          <w:szCs w:val="20"/>
          <w:color w:val="auto"/>
        </w:rPr>
        <w:tab/>
      </w: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The Company has an agreement with the Environmental Protection Agency to perform remedial activities at the Company’s Indianapolis, Indiana manufacturing facilities related to historical soil and groundwater contamination. As of September 30, 2017, the Company had a liability recorded in the amount of $13 million.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O.</w:t>
      </w:r>
      <w:r>
        <w:rPr>
          <w:sz w:val="20"/>
          <w:szCs w:val="20"/>
          <w:color w:val="auto"/>
        </w:rPr>
        <w:tab/>
      </w:r>
      <w:r>
        <w:rPr>
          <w:rFonts w:ascii="Arial" w:cs="Arial" w:eastAsia="Arial" w:hAnsi="Arial"/>
          <w:sz w:val="17"/>
          <w:szCs w:val="17"/>
          <w:b w:val="1"/>
          <w:bCs w:val="1"/>
          <w:color w:val="auto"/>
        </w:rPr>
        <w:t>EARNINGS PER SHARE</w:t>
      </w:r>
    </w:p>
    <w:p>
      <w:pPr>
        <w:spacing w:after="0" w:line="12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generated when the award generates a tax deduction. If there would be a shortfall, such an amount would be a reduction of the proceeds to the extent of the gains. The diluted weighted-average common shares outstanding exclude the anti-dilutive effect of certain stock options since such options had an exercise price in excess of the monthly average market value of our common stock. For each of the three months and nine months ended September 30, 2017, 0.2 million outstanding stock options were not included in the diluted EPS calculation because they were anti-dilutive. For each of the three months and nine months ended September 30, 2016, 0.6 million outstanding stock options were not included in the diluted EPS calculation because they were anti-dilutive.</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reconciles the numerators and denominators used to calculate basic EPS and diluted EPS (in millions,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4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w w:val="96"/>
              </w:rPr>
              <w:t>Three months ended September 30,</w:t>
            </w:r>
          </w:p>
        </w:tc>
        <w:tc>
          <w:tcPr>
            <w:tcW w:w="120" w:type="dxa"/>
            <w:vAlign w:val="bottom"/>
          </w:tcPr>
          <w:p>
            <w:pPr>
              <w:spacing w:after="0"/>
              <w:rPr>
                <w:sz w:val="14"/>
                <w:szCs w:val="14"/>
                <w:color w:val="auto"/>
              </w:rPr>
            </w:pPr>
          </w:p>
        </w:tc>
        <w:tc>
          <w:tcPr>
            <w:tcW w:w="23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6"/>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111</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880" w:type="dxa"/>
            <w:vAlign w:val="bottom"/>
          </w:tcPr>
          <w:p>
            <w:pPr>
              <w:ind w:left="360"/>
              <w:spacing w:after="0"/>
              <w:rPr>
                <w:sz w:val="20"/>
                <w:szCs w:val="20"/>
                <w:color w:val="auto"/>
              </w:rPr>
            </w:pPr>
            <w:r>
              <w:rPr>
                <w:rFonts w:ascii="Arial" w:cs="Arial" w:eastAsia="Arial" w:hAnsi="Arial"/>
                <w:sz w:val="18"/>
                <w:szCs w:val="18"/>
                <w:color w:val="auto"/>
              </w:rPr>
              <w:t>Diluted weighted average shares of common stock outstanding</w:t>
            </w: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600" w:type="dxa"/>
            <w:vAlign w:val="bottom"/>
            <w:gridSpan w:val="2"/>
            <w:shd w:val="clear" w:color="auto" w:fill="CCEEFF"/>
          </w:tcPr>
          <w:p>
            <w:pPr>
              <w:jc w:val="right"/>
              <w:ind w:right="426"/>
              <w:spacing w:after="0"/>
              <w:rPr>
                <w:sz w:val="20"/>
                <w:szCs w:val="20"/>
                <w:color w:val="auto"/>
              </w:rPr>
            </w:pPr>
            <w:r>
              <w:rPr>
                <w:rFonts w:ascii="Arial" w:cs="Arial" w:eastAsia="Arial" w:hAnsi="Arial"/>
                <w:sz w:val="18"/>
                <w:szCs w:val="18"/>
                <w:b w:val="1"/>
                <w:bCs w:val="1"/>
                <w:color w:val="auto"/>
                <w:w w:val="79"/>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5"/>
              </w:rPr>
              <w:t>0.75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1.91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 attributable to common stockholders</w:t>
            </w: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0.75</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6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P.</w:t>
      </w:r>
      <w:r>
        <w:rPr>
          <w:sz w:val="20"/>
          <w:szCs w:val="20"/>
          <w:color w:val="auto"/>
        </w:rPr>
        <w:tab/>
      </w: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Company’s current stock repurchase program was announced on November 14, 2016. The Board of Directors authorized the Company to repurchase up to $1,000 million of its common stock on the open market or through privately negotiated transactions through December 31, 2019. The timing and amount of stock purchases are subject to market conditions and corporate needs. This stock repurchase program may be extended, modified, suspended or discontinued at any time at the Company’s discretion. During the three and nine months ended September 30, 2017, the Company repurchased approximately $239 million and $778 million, respectively, of its common stock under the repurchase program.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18" w:name="page19"/>
    <w:bookmarkEnd w:id="18"/>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Q.</w:t>
      </w:r>
      <w:r>
        <w:rPr>
          <w:sz w:val="20"/>
          <w:szCs w:val="20"/>
          <w:color w:val="auto"/>
        </w:rPr>
        <w:tab/>
      </w:r>
      <w:r>
        <w:rPr>
          <w:rFonts w:ascii="Arial" w:cs="Arial" w:eastAsia="Arial" w:hAnsi="Arial"/>
          <w:sz w:val="17"/>
          <w:szCs w:val="17"/>
          <w:b w:val="1"/>
          <w:bCs w:val="1"/>
          <w:color w:val="auto"/>
        </w:rPr>
        <w:t>CERTAIN RELATIONSHIPS AND RELATED PARTY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Repurchase of Common Stock held by ValueAct Capital Master Fund</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3, 2017, the Company entered into a stock repurchase agreement with ValueAct Capital Master Fund, L.P., a related party, to repurchase 10,525,204 shares of the Company’s common stock for approximately $363 million. The shares were repurchased under the stock repurchase program approved by the Board of Directors in November 2016. The purchase closed on February 8, 2017 and was funded with cash on hand and borrowings under the Revolving Credit Facility. The shares were subsequently retired.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270" w:right="439" w:bottom="1440" w:gutter="0" w:footer="0" w:header="0"/>
        </w:sectPr>
      </w:pPr>
    </w:p>
    <w:bookmarkStart w:id="19" w:name="page20"/>
    <w:bookmarkEnd w:id="1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have approximately 2,600 employees and 13 different transmission product lines. Although approximately 78% of revenues were generated in North America in 2016, we have a global presence by serving customers in Europe, Asia, South America and Africa. We serve customers through a network of approximately 1,400 independent distributor and dealer locations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21"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Our net sales are driven by commercial vehicle production, which tends to be correlated to macroeconomic conditions. Our 2017 net sales reflect stronger demand for North America Off-Highway service parts, global On-Highway products and global Off-Highway products.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Third Quarter Net Sales by End Market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 Market</w:t>
            </w:r>
          </w:p>
        </w:tc>
        <w:tc>
          <w:tcPr>
            <w:tcW w:w="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Q3 2017</w:t>
            </w:r>
          </w:p>
        </w:tc>
        <w:tc>
          <w:tcPr>
            <w:tcW w:w="52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Q3 2016</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 Variance</w:t>
            </w:r>
          </w:p>
        </w:tc>
        <w:tc>
          <w:tcPr>
            <w:tcW w:w="0" w:type="dxa"/>
            <w:vAlign w:val="bottom"/>
          </w:tcPr>
          <w:p>
            <w:pPr>
              <w:spacing w:after="0"/>
              <w:rPr>
                <w:sz w:val="1"/>
                <w:szCs w:val="1"/>
                <w:color w:val="auto"/>
              </w:rPr>
            </w:pPr>
          </w:p>
        </w:tc>
      </w:tr>
      <w:tr>
        <w:trPr>
          <w:trHeight w:val="158"/>
        </w:trPr>
        <w:tc>
          <w:tcPr>
            <w:tcW w:w="64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88"/>
              </w:rPr>
              <w:t>Net Sales</w:t>
            </w:r>
          </w:p>
        </w:tc>
        <w:tc>
          <w:tcPr>
            <w:tcW w:w="520" w:type="dxa"/>
            <w:vAlign w:val="bottom"/>
          </w:tcPr>
          <w:p>
            <w:pPr>
              <w:spacing w:after="0"/>
              <w:rPr>
                <w:sz w:val="13"/>
                <w:szCs w:val="13"/>
                <w:color w:val="auto"/>
              </w:rPr>
            </w:pPr>
          </w:p>
        </w:tc>
        <w:tc>
          <w:tcPr>
            <w:tcW w:w="11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Net Sales</w:t>
            </w: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North America On-Highway</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282</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224</w:t>
            </w:r>
          </w:p>
        </w:tc>
        <w:tc>
          <w:tcPr>
            <w:tcW w:w="5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North America Electric Hybrid-Propulsion Systems for Transit Bus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and 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5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North America On-Highway end market net sales were up 26% for the third quarter 2017 compared to the third quarter 2016, principally driven by higher demand for Rugged Duty Series and Highway Series models.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North America Electric Hybrid-Propulsion Systems for Transit Bus end market net sales were up $11 million for the third quarter 2017 compared to the third quarter 2016, principally driven by the timing of certain transit property orders.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North America Off-Highway end market net sales were up $16 million for the third quarter 2017 compared to the third quarter 2016, principally driven by higher demand from hydraulic fracturing applications.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0" w:right="259" w:bottom="1440" w:gutter="0" w:footer="0" w:header="0"/>
        </w:sectPr>
      </w:pPr>
    </w:p>
    <w:bookmarkStart w:id="20" w:name="page21"/>
    <w:bookmarkEnd w:id="2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Defense end market net sales were up $10 million for the third quarter 2017 compared to the third quarter 2016, principally driven by higher demand.</w:t>
      </w:r>
    </w:p>
    <w:p>
      <w:pPr>
        <w:spacing w:after="0" w:line="248"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Outside North America On-Highway end market net sales were up 14% for the third quarter 2017 compared to the third quarter 2016, principally driven by higher demand in Asia and Europe.</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Outside North America Off-Highway end market net sales were up $12 million for the third quarter 2017 compared to the third quarter 2016, principally driven by improved demand in the mining and energy sectors.</w:t>
      </w:r>
    </w:p>
    <w:p>
      <w:pPr>
        <w:spacing w:after="0" w:line="170"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Service Parts, Support Equipment and Other end market net sales were up 45% for the third quarter 2017 compared to the third quarter 2016, principally driven by higher demand for North America Off-Highway service parts, global On-Highway service parts and global support equipment.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generate our net sales primarily from the sale of transmissions, transmission parts, support equipment, defense kits, engineering services, royalties and extended transmission coverage to a wide array of original equipment manufacturers,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nine months ended September 30, 2017, direct material costs were approximately 70%, overhead costs were approximately 24%, and direct labor costs were approximately 6% of total cost of sales. We are subject to changes in our cost of sales caused by movements in underlying commodity prices. We seek to hedge against this risk by using commodity swap contracts and long-term supply agreements (“LTSAs”). See Part I, Item 3 “Quantitative and Qualitative Disclosures about Market Risk—Commodity Price Risk” included below.</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1" w:name="page22"/>
    <w:bookmarkEnd w:id="2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margin to measure our operating profitability. We believe that Adjusted EBITDA and Adjusted EBITDA margin provide management, investors and creditors with useful measures of the operational results of our business and increase the period-to-period comparability of our operating profitability and comparability with other companies. Adjusted EBITDA margin is also used in the calculation of management’s incentive compensation program. The most directly comparable U.S. generally accepted accounting principles (“GAAP”) measure to Adjusted EBITDA is Net income. Adjusted EBITDA is calculated as the earnings before interest expense, income tax expense, amortization of intangible assets, depreciation of property, plant and equipment and other adjustments as defined by Allison Transmission, Inc.’s (“ATI”) Term B-3 Loan due 2022 (“Term B-3 Loan”, and together with the revolving portion of ATI’s senior secured credit facility (“Revolving Credit Facility”), defined as the “Senior Secured Credit Facility”). Adjusted EBITDA margin is calculated as Adjusted EBITDA divided by net sales.</w:t>
      </w:r>
    </w:p>
    <w:p>
      <w:pPr>
        <w:spacing w:after="0" w:line="19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and strengthening our balance sheet.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w:t>
      </w:r>
    </w:p>
    <w:p>
      <w:pPr>
        <w:spacing w:after="0" w:line="15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is a reconciliation of Net income to Adjusted EBITDA and Adjusted EBITDA margin and a reconciliation of Net cash provided by operating activities to Adjusted free cash flow:</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(unaudited, dollars in millions)</w:t>
            </w:r>
          </w:p>
        </w:tc>
        <w:tc>
          <w:tcPr>
            <w:tcW w:w="240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Pr>
          <w:p>
            <w:pPr>
              <w:spacing w:after="0"/>
              <w:rPr>
                <w:sz w:val="14"/>
                <w:szCs w:val="14"/>
                <w:color w:val="auto"/>
              </w:rPr>
            </w:pPr>
          </w:p>
        </w:tc>
        <w:tc>
          <w:tcPr>
            <w:tcW w:w="232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572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289</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plus: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Depreciation of property, plant and equipment</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 (a)</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Dual power inverter module units extended coverage (b)</w:t>
            </w:r>
          </w:p>
        </w:tc>
        <w:tc>
          <w:tcPr>
            <w:tcW w:w="18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(gain) on foreign exchange (c)</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Technology-related investment expense (d)</w:t>
            </w:r>
          </w:p>
        </w:tc>
        <w:tc>
          <w:tcPr>
            <w:tcW w:w="180" w:type="dxa"/>
            <w:vAlign w:val="bottom"/>
          </w:tcPr>
          <w:p>
            <w:pPr>
              <w:spacing w:after="0"/>
              <w:rPr>
                <w:sz w:val="18"/>
                <w:szCs w:val="18"/>
                <w:color w:val="auto"/>
              </w:rPr>
            </w:pPr>
          </w:p>
        </w:tc>
        <w:tc>
          <w:tcPr>
            <w:tcW w:w="11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related to long-term debt refinancing (e)</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Unrealized gain on commodity hedge contracts (f)</w:t>
            </w:r>
          </w:p>
        </w:tc>
        <w:tc>
          <w:tcPr>
            <w:tcW w:w="180" w:type="dxa"/>
            <w:vAlign w:val="bottom"/>
          </w:tcPr>
          <w:p>
            <w:pPr>
              <w:spacing w:after="0"/>
              <w:rPr>
                <w:sz w:val="18"/>
                <w:szCs w:val="18"/>
                <w:color w:val="auto"/>
              </w:rPr>
            </w:pPr>
          </w:p>
        </w:tc>
        <w:tc>
          <w:tcPr>
            <w:tcW w:w="11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 activism expenses (g)</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Adjusted EBITDA (Non-GAAP)</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79"/>
              </w:rPr>
              <w:t>658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(GAAP)</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1,674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Adjusted EBITDA margin (Non-GAAP)</w:t>
            </w:r>
          </w:p>
        </w:tc>
        <w:tc>
          <w:tcPr>
            <w:tcW w:w="180" w:type="dxa"/>
            <w:vAlign w:val="bottom"/>
          </w:tcPr>
          <w:p>
            <w:pPr>
              <w:spacing w:after="0"/>
              <w:rPr>
                <w:sz w:val="20"/>
                <w:szCs w:val="20"/>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40.5%</w:t>
            </w:r>
          </w:p>
        </w:tc>
        <w:tc>
          <w:tcPr>
            <w:tcW w:w="1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Additions of long-lived assets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Stockholder activism expenses (g)</w:t>
            </w:r>
          </w:p>
        </w:tc>
        <w:tc>
          <w:tcPr>
            <w:tcW w:w="180" w:type="dxa"/>
            <w:vAlign w:val="bottom"/>
          </w:tcPr>
          <w:p>
            <w:pPr>
              <w:spacing w:after="0"/>
              <w:rPr>
                <w:sz w:val="18"/>
                <w:szCs w:val="18"/>
                <w:color w:val="auto"/>
              </w:rPr>
            </w:pPr>
          </w:p>
        </w:tc>
        <w:tc>
          <w:tcPr>
            <w:tcW w:w="11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 (h)</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Adjusted free cash flow (Non-GAAP)</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79"/>
              </w:rPr>
              <w:t>452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00" w:hanging="452"/>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employee stock compensation expense (recorded in Cost of sales, Selling, general and administrative, and Engineering – research and development).</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adjustment (recorded in Selling, general and administrative) associated with the Dual Power Inverter Module (“DPIM”) extended coverage program liability. The DPIM liability will continue to be reviewed for any changes in estimates as additional claims data and field information become available.</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losses (gains) (recorded in Other (expense) income, net) on intercompany financing transactions related to investments in plant assets for our India facility.</w:t>
      </w:r>
    </w:p>
    <w:p>
      <w:pPr>
        <w:ind w:left="460" w:right="26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charge (recorded in Other (expense) income, net) for investments in co-development agreements to expand our position in transmission technologies.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2" w:name="page23"/>
    <w:bookmarkEnd w:id="22"/>
    <w:p>
      <w:pPr>
        <w:ind w:left="452" w:hanging="452"/>
        <w:spacing w:after="0"/>
        <w:tabs>
          <w:tab w:leader="none" w:pos="452"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Represents expenses related to the refinancing of ATI’s, our wholly-owned subsidiary, Senior Secured Credit Facility in the third quarter of 2016.</w:t>
      </w:r>
    </w:p>
    <w:p>
      <w:pPr>
        <w:spacing w:after="0" w:line="46" w:lineRule="exact"/>
        <w:rPr>
          <w:rFonts w:ascii="Arial" w:cs="Arial" w:eastAsia="Arial" w:hAnsi="Arial"/>
          <w:sz w:val="16"/>
          <w:szCs w:val="16"/>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unrealized gains (recorded in Other (expense) income, net) on the mark-to-market of our commodity hedge contracts.</w:t>
      </w:r>
    </w:p>
    <w:p>
      <w:pPr>
        <w:spacing w:after="0" w:line="9" w:lineRule="exact"/>
        <w:rPr>
          <w:rFonts w:ascii="Arial" w:cs="Arial" w:eastAsia="Arial" w:hAnsi="Arial"/>
          <w:sz w:val="18"/>
          <w:szCs w:val="18"/>
          <w:color w:val="auto"/>
        </w:rPr>
      </w:pPr>
    </w:p>
    <w:p>
      <w:pPr>
        <w:ind w:left="452" w:right="20" w:hanging="452"/>
        <w:spacing w:after="0" w:line="250" w:lineRule="auto"/>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expenses (recorded in Selling, general and administrative) directly associated with stockholder activism activity including the notice, and subsequent withdrawal, of director nomination and governance proposals by Ashe Capital Management, LP.</w:t>
      </w:r>
    </w:p>
    <w:p>
      <w:pPr>
        <w:ind w:left="452" w:hanging="452"/>
        <w:spacing w:after="0" w:line="261" w:lineRule="auto"/>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amount of tax benefit (recorded in Income tax expense) related to stock-based compensation adjusted from cash flows from operating activities to cash flows from financing activities.</w:t>
      </w:r>
    </w:p>
    <w:p>
      <w:pPr>
        <w:spacing w:after="0" w:line="116"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72"/>
          </w:cols>
          <w:pgMar w:left="248" w:top="274"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three months ended September 30, 2017 and 2016</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three months ended September 30, 2017 and 2016.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8"/>
              </w:rPr>
              <w:t>Three months ended 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0"/>
                <w:szCs w:val="10"/>
                <w:color w:val="auto"/>
              </w:rPr>
            </w:pPr>
          </w:p>
        </w:tc>
        <w:tc>
          <w:tcPr>
            <w:tcW w:w="940" w:type="dxa"/>
            <w:vAlign w:val="bottom"/>
            <w:gridSpan w:val="2"/>
          </w:tcPr>
          <w:p>
            <w:pPr>
              <w:jc w:val="right"/>
              <w:ind w:right="172"/>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0"/>
                <w:szCs w:val="10"/>
                <w:color w:val="auto"/>
              </w:rPr>
            </w:pPr>
          </w:p>
        </w:tc>
        <w:tc>
          <w:tcPr>
            <w:tcW w:w="6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3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of net sales</w:t>
            </w:r>
          </w:p>
        </w:tc>
        <w:tc>
          <w:tcPr>
            <w:tcW w:w="60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right w:val="single" w:sz="8" w:color="CCEEFF"/>
            </w:tcBorders>
            <w:vMerge w:val="continue"/>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$595</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434</w:t>
            </w:r>
          </w:p>
        </w:tc>
        <w:tc>
          <w:tcPr>
            <w:tcW w:w="5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b w:val="1"/>
                <w:bCs w:val="1"/>
                <w:color w:val="auto"/>
                <w:w w:val="79"/>
              </w:rPr>
              <w:t>49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230</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w w:val="79"/>
              </w:rPr>
              <w:t>51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79"/>
              </w:rPr>
              <w:t>204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2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b w:val="1"/>
                <w:bCs w:val="1"/>
                <w:color w:val="auto"/>
                <w:w w:val="79"/>
              </w:rPr>
              <w:t>13</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w w:val="79"/>
              </w:rPr>
              <w:t>18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79"/>
              </w:rPr>
              <w:t>100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w w:val="79"/>
              </w:rPr>
              <w:t>33</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104</w:t>
            </w: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(22)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Expenses related to long-term debt refinancing</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(12)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w w:val="79"/>
              </w:rPr>
              <w:t>29</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gridSpan w:val="2"/>
            <w:vMerge w:val="continue"/>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0"/>
              </w:rPr>
              <w:t>$</w:t>
            </w:r>
            <w:r>
              <w:rPr>
                <w:rFonts w:ascii="Arial" w:cs="Arial" w:eastAsia="Arial" w:hAnsi="Arial"/>
                <w:sz w:val="18"/>
                <w:szCs w:val="18"/>
                <w:b w:val="1"/>
                <w:bCs w:val="1"/>
                <w:color w:val="auto"/>
                <w:w w:val="70"/>
              </w:rPr>
              <w:t xml:space="preserve"> 111</w:t>
            </w:r>
          </w:p>
        </w:tc>
        <w:tc>
          <w:tcPr>
            <w:tcW w:w="26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b w:val="1"/>
                <w:bCs w:val="1"/>
                <w:color w:val="auto"/>
              </w:rPr>
              <w:t>19%</w:t>
            </w: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54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Net sales for the quarter ended September 30, 2017 were $595 million compared to $434 million for the quarter ended September 30, 2016, an increase of 37%. The increase was principally driven by a $58 million, or 26%, increase in net sales in the North America On-Highway end market principally driven by higher demand for Rugged Duty Series and Highway Series models, a $43 million, or 45%, increase in net sales in the Service Parts, Support Equipment and Other end market principally driven by higher demand for North America Off-Highway service parts, global On-Highway service parts and global support equipment, a $16 million increase in net sales in the North America Off-Highway end market principally driven by higher demand from hydraulic fracturing applications, a $12 million increase in net sales in the Outside North America Off-Highway end market principally driven by improved demand in the mining and energy sectors, an $11 million, or 14%, increase in net sales in the Outside North America On-Highway end market principally driven by higher demand in Asia and Europe, an $11 million increase in net sales in the North America Electric Hybrid-Propulsion Systems for Transit Bus end market principally driven by the timing of certain transit property orders, and a $10 million, or 40%, increase in net sales in the Defense end market principally driven by higher demand.</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Cost of sales for the quarter ended September 30, 2017 was $293 million compared to $230 million for the quarter ended September 30, 2016, an increase of 27%. The increase was principally driven by increased material costs and manufacturing expenses commensurate with increased net sales and $2 million of higher incentive compensation expense.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Gross profit for the quarter ended September 30, 2017 was $302 million compared to $204 million for the quarter ended September 30, 2016, an increase of 48%. The increase was principally driven by $101 million related to increased net sales and $7 million of price increases on certain products, partially offset by $4 million of unfavorable material costs, $4 million of increased manufacturing expense commensurate with increased net sales and $2 million of higher incentive compensation expense. Gross profit as a percent of net sales for the quarter was higher than for the same period in 2016 principally driven by favorable sales volume and price increases on certain products, partially offset by unfavorable material costs and higher incentive compensation expense.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70" w:right="299" w:bottom="1440" w:gutter="0" w:footer="0" w:header="0"/>
        </w:sectPr>
      </w:pPr>
    </w:p>
    <w:bookmarkStart w:id="24" w:name="page25"/>
    <w:bookmarkEnd w:id="2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 general and administrative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Selling, general and administrative expenses for the quarter ended September 30, 2017 were $78 million compared to $79 million for the quarter ended September 30, 2016, a decrease of 1%. The decrease was principally driven by $3 million of favorable product warranty adjustments and $3 million of favorable DPIM adjustments, partially offset by increased commercial activities spending and $2 million of higher incentive compensation expense.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Engineering expenses for the quarter ended September 30, 2017 were $26 million compared to $21 million for the quarter ended September 30, 2016, an increase of 24%. The increase was principally driven by increased product initiatives spending and $2 million of higher incentive compensation expense.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Interest expense, net for the quarter ended September 30, 2017 was $26 million compared to $22 million for the quarter ended September 30, 2016, an increase of 18%. The increase was principally driven by $12 million of higher interest expense for ATI’s 5.0% Senior Notes due September 2024 (“5.0% Senior Notes”) that were issued in September 2016, $1 million of interest expense related to revolving loans outstanding on our Revolving Credit Facility and $1 million of higher interest expense for our interest rate derivatives that became effective in August 2016, partially offset by $10 million of lower interest expense as a result of debt repayments related to ATI’s Term B-3 Loan, $1 million of favorable mark-to-market adjustments for our interest rate derivatives and $1 million of lower amortization of deferred financing fees.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 related to long-term debt refinancing</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September 2016, we refinanced our Senior Secured Credit Facility, resulting in a one-time expense of $12 million for the three months ended September 30, 2016.</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Other (expense) income, net for the quarter ended September 30, 2017 was ($2) million compared to $1 million for the quarter ended September 30, 2016. The change in Other (expense) income, net was principally driven by $2 million of 2017 losses on intercompany financing, $1 million of 2016 gains on intercompany financing and $1 million of higher foreign exchange losses, partially offset by $1 million of 2016 technology-related investment expense for investments in co-development agreements to expand our position in transmission technologies.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Income tax expense for the quarter ended September 30, 2017 was $59 million resulting in an effective tax rate of 35% versus an effective tax rate of 37% for the quarter ended September 30, 2016. The decrease in the effective tax rate was principally driven by increased U.S. income tax deductions and discrete activity related to excess tax benefit from stock-based compensation.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Comparison of nine months ended September 30, 2017 and 2016</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nine months ended September 30, 2017 and 2016.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9"/>
              </w:rPr>
              <w:t>Nine months ended 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0"/>
                <w:szCs w:val="10"/>
                <w:color w:val="auto"/>
              </w:rPr>
            </w:pPr>
          </w:p>
        </w:tc>
        <w:tc>
          <w:tcPr>
            <w:tcW w:w="940" w:type="dxa"/>
            <w:vAlign w:val="bottom"/>
            <w:gridSpan w:val="2"/>
          </w:tcPr>
          <w:p>
            <w:pPr>
              <w:jc w:val="right"/>
              <w:ind w:right="172"/>
              <w:spacing w:after="0" w:line="119" w:lineRule="exact"/>
              <w:rPr>
                <w:sz w:val="20"/>
                <w:szCs w:val="20"/>
                <w:color w:val="auto"/>
              </w:rPr>
            </w:pPr>
            <w:r>
              <w:rPr>
                <w:rFonts w:ascii="Arial" w:cs="Arial" w:eastAsia="Arial" w:hAnsi="Arial"/>
                <w:sz w:val="13"/>
                <w:szCs w:val="13"/>
                <w:b w:val="1"/>
                <w:bCs w:val="1"/>
                <w:color w:val="auto"/>
              </w:rPr>
              <w:t>%</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2016</w:t>
            </w:r>
          </w:p>
        </w:tc>
        <w:tc>
          <w:tcPr>
            <w:tcW w:w="520" w:type="dxa"/>
            <w:vAlign w:val="bottom"/>
          </w:tcPr>
          <w:p>
            <w:pPr>
              <w:spacing w:after="0"/>
              <w:rPr>
                <w:sz w:val="10"/>
                <w:szCs w:val="10"/>
                <w:color w:val="auto"/>
              </w:rPr>
            </w:pPr>
          </w:p>
        </w:tc>
        <w:tc>
          <w:tcPr>
            <w:tcW w:w="6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of net sales</w:t>
            </w: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1,674</w:t>
            </w:r>
          </w:p>
        </w:tc>
        <w:tc>
          <w:tcPr>
            <w:tcW w:w="260" w:type="dxa"/>
            <w:vAlign w:val="bottom"/>
            <w:tcBorders>
              <w:left w:val="single" w:sz="8" w:color="CCEEFF"/>
            </w:tcBorders>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1,371</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831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725</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843</w:t>
            </w:r>
          </w:p>
        </w:tc>
        <w:tc>
          <w:tcPr>
            <w:tcW w:w="2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50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260" w:type="dxa"/>
            <w:vAlign w:val="bottom"/>
            <w:tcBorders>
              <w:left w:val="single" w:sz="8" w:color="CCEEFF"/>
            </w:tcBorders>
            <w:shd w:val="clear" w:color="auto" w:fill="CCEEFF"/>
          </w:tcPr>
          <w:p>
            <w:pPr>
              <w:spacing w:after="0"/>
              <w:rPr>
                <w:sz w:val="18"/>
                <w:szCs w:val="18"/>
                <w:color w:val="auto"/>
              </w:rPr>
            </w:pP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5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2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w:t>
            </w: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Expenses related to long-term debt refinancing</w:t>
            </w: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(154)</w:t>
            </w: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2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154</w:t>
            </w:r>
          </w:p>
        </w:tc>
        <w:tc>
          <w:tcPr>
            <w:tcW w:w="52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Net sales for the nine months ended September 30, 2017 were $1,674 million compared to $1,371 million for the nine months ended September 30, 2016, an increase of 22%. The increase was principally driven by a $123 million, or 46%, increase in net sales in the Service Parts, Support Equipment and Other end market principally driven by higher demand for North America service parts and global support equipment, a $91 million, or 12%, increase in net sales in the North America On-Highway end market principally driven by higher demand for Rugged Duty Series and Highway Series models, a $24 million, or 11%, increase in net sales in the Outside North America On-Highway end market principally driven by higher demand in Asia and Europe, a $22 million increase in net sales in the Outside North America Off-Highway end market principally driven by higher demand in the mining and energy sectors, a</w:t>
      </w:r>
    </w:p>
    <w:p>
      <w:pPr>
        <w:spacing w:after="0" w:line="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$16 million increase in net sales in the North America Off-Highway end market principally driven by higher demand from hydraulic fracturing applications, a $14 million, or 18%, increase in net sales in the Defense end market principally driven by higher demand, and a $13 million, or 32%, increase in net sales in the North America Electric Hybrid-Propulsion Systems for Transit Bus end market principally driven by the timing of certain transit property orders.</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Cost of sales for the nine months ended September 30, 2017 was $831 million compared to $725 million for the nine months ended September 30, 2016, an increase of 15%. The increase was principally driven by increased material costs and manufacturing expenses commensurate with increased net sales and $9 million of higher incentive compensation expense.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Gross profit for the nine months ended September 30, 2017 was $843 million compared to $646 million for the nine months ended September 30, 2016, an increase of 30%. The increase was principally driven by $184 million related to increased net sales and $29 million of price increases on certain products, partially offset by $9 million of higher incentive compensation expense, $5 million of unfavorable material costs, and $2 million of higher manufacturing expense commensurate with increased net sales. Gross profit as a percent of net sales for the nine months ended September 30, 2017 was higher than for the same period in 2016 principally driven by increased sales volume and price increases on certain products, partially offset by higher incentive compensation expense and unfavorable material costs.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6" w:name="page27"/>
    <w:bookmarkEnd w:id="26"/>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 general and administrative</w:t>
      </w:r>
    </w:p>
    <w:p>
      <w:pPr>
        <w:spacing w:after="0" w:line="11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Selling, general and administrative expenses for the nine months ended September 30, 2017 were $245 million compared to $240 million for the nine months ended September 30, 2016, an increase of 2%. The increase was principally driven by $13 million of higher incentive compensation expense,</w:t>
      </w:r>
    </w:p>
    <w:p>
      <w:pPr>
        <w:ind w:right="420"/>
        <w:spacing w:after="0" w:line="323" w:lineRule="auto"/>
        <w:rPr>
          <w:sz w:val="20"/>
          <w:szCs w:val="20"/>
          <w:color w:val="auto"/>
        </w:rPr>
      </w:pPr>
      <w:r>
        <w:rPr>
          <w:rFonts w:ascii="Arial" w:cs="Arial" w:eastAsia="Arial" w:hAnsi="Arial"/>
          <w:sz w:val="16"/>
          <w:szCs w:val="16"/>
          <w:color w:val="auto"/>
        </w:rPr>
        <w:t>$2 million of higher stock-based compensation expense and increased commercial activities spending, partially offset by $7 million of favorable product warranty adjustments, $4 million of stockholder activism expenses in 2016 that did not recur in 2017 and $4 million of favorable DPIM adjustments.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Engineering expenses for the nine months ended September 30, 2017 were $74 million compared to $64 million for the nine months ended September 30, 2016, an increase of 16%. The increase was principally driven by $5 million of higher incentive compensation expense and increased product initiatives spending.</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Interest expense, net for the nine months ended September 30, 2017 was $78 million compared to $84 million for the nine months ended September 30, 2016, a decrease of 7%. The decrease was principally driven by $35 million of lower interest expense as a result of debt repayments related to ATI’s Term B-3 Loan, $21 million of favorable mark-to-market adjustments for our interest rate derivatives and $2 million of lower deferred financing fees, partially offset by $37 million of interest expense for ATI’s 5.0% Senior Notes that were issued in September 2016, $9 million of higher interest expense for our interest rate derivatives that became effective in August 2016 and $4 million of interest expense related to revolving loans outstanding on our Revolving Credit Facility.</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 related to long-term debt refinancing</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September 2016, we refinanced our Senior Secured Credit Facility, resulting in a one-time expense of $12 million for the nine months ended September 30, 2016.</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(expense) income, net for the nine months ended September 30, 2017 was ($3) million compared to $1 million for the nine months ended September 30, 2016. The change in Other (expense) income, net was principally driven by $2 million of higher technology-related investment expense for investments in co-development agreements to expand our position in transmission technologies, $1 million of higher foreign exchange losses and $1 million of higher losses on intercompany financing.</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Income tax expense for the nine months ended September 30, 2017 was $154 million resulting in an effective tax rate of 35% versus an effective tax rate of 38% for the nine months ended September 30, 2016. The decrease in the effective tax rate was principally driven by increased U.S. income tax deductions and discrete activity related to excess tax benefit from stock-based compensation.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generate cash primarily from our operating activities to fund our operating, investing and financing activities. Our principal uses of cash are operating expenses, capital expenditures, debt service, stock repurchases, dividends on common stock and working capital needs. We had total available cash and cash equivalents of $210 million and $205 million as of September 30, 2017 and December 31, 2016, respectively. Of the available cash and cash equivalents, approximately $210 million and $124 million were deposited in operating accounts as of September 30, 2017 and December 31, 2016, respectively, while approximately $81 million were invested in U.S. government backed securities as of December 31, 2016.</w:t>
      </w:r>
    </w:p>
    <w:p>
      <w:pPr>
        <w:spacing w:after="0" w:line="1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As of September 30, 2017, the total of cash and cash equivalents held by foreign subsidiaries was $71 million, the majority of which was located in Europe and China. The geographic location of our cash aligns with our business growth strategy. We manage our worldwide cash requirements considering available funds among the subsidiaries through which we conduct our business and the cost effectiveness with which those funds can be accessed. As a result, we do not currently anticipate any local liquidity restrictions to preclude us from funding our targeted expectations or operating needs with local resources.</w:t>
      </w:r>
    </w:p>
    <w:p>
      <w:pPr>
        <w:spacing w:after="0" w:line="15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If we distribute our foreign cash balance to the U.S. or to other foreign subsidiaries, we could be required to accrue and pay U.S. taxes. For example, we would be required to accrue and pay additional U.S. taxes if we repatriate earnings from certain foreign subsidiaries whose earnings we have asserted are permanently reinvested outside of the U.S. Foreign earnings for which we assert permanent reinvestment outside the U.S. consist primarily of earnings of our Europe and China subsidiaries. We currently do not foresee a need to repatriate any earnings from these subsidiaries for which we have asserted permanent reinvestment.</w:t>
      </w:r>
    </w:p>
    <w:p>
      <w:pPr>
        <w:spacing w:after="0" w:line="188"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Our liquidity requirements are significant, primarily due to our debt service requirements. As of September 30, 2017, we had $1,179 million of indebtedness associated with ATI’s Term B-3 Loan, $1,000 million of indebtedness associated with ATI’s 5.0% Senior Notes and $400 million of indebtedness associated with ATI’s 4.75% Senior Notes due October 2027 (“4.75% Senior Notes”). The minimum required quarterly principal payment on ATI’s Term B-3 Loan through its maturity date of September 2022 is $3 million. There are no required quarterly principal payments on ATI’s 5.0% Senior Notes and 4.75% Senior Notes.</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 We made principal payments of $293 million and $424 million on the Senior Secured Credit Facility during the three and nine months ended September 30, 2017, respectively. We made principal payments of $1,200 million and $1,212 million on the Senior Secured Credit Facility during the three months and nine months ended September 30, 2016, respectively.</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Senior Secured Credit Facility provides for a $550 million Revolving Credit Facility, net of an allowance for up to $75 million in outstanding letters of credit commitments. Throughout the nine months ended September 30, 2017, we made periodic withdrawals and payments on the Revolving Credit Facility as part of our debt management plans. The maximum amount outstanding at any time during the nine months ended September 30, 2017 on the Revolving Credit Facility was $300 million. As of September 30, 2017, we had $533 million available under the Revolving Credit Facility, net of $17 million in letters of credit. As of September 30, 2017, we had no outstanding revolving loans outstanding. If we have revolving loan commitments outstanding on the Revolving Credit Facility at the end of a fiscal quarter, the Senior Secured Credit Facility requires us to maintain a specified maximum total senior secured leverage ratio of 5.50x. Additionally, within the terms of the Senior Secured Credit Facility, a senior secured leverage ratio at or below 4.00x results in the elimination of excess cash flow payments on the Senior Secured Credit Facility for the applicable year. As of September 30, 2017, our senior secured leverage ratio was 1.19x. The Senior Secured Credit Facility also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These reductions would remain in effect as long as we achieve a total leverage ratio at or below the related threshold. As of September 30, 2017, our total leverage ratio was 2.90x.</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28" w:name="page29"/>
    <w:bookmarkEnd w:id="28"/>
    <w:p>
      <w:pPr>
        <w:ind w:right="18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Senior Secured Credit Facility includes, among other things, customary restrictions (subject to certain exceptions) on our ability to incur certain indebtedness, grant certain liens, make certain investments, declare or pay certain dividends, or repurchase shares of our common stock. The indentures governing the 5.0% Senior Notes and 4.75%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September 30, 2017, we are in compliance with all covenants under the Senior Secured Credit Facility and indentures governing the 5.0% Senior Notes and 4.75% Senior Notes.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credit ratings are reviewed by Moody’s Investors Service (“Moody’s”) and Fitch Ratings (“Fitch”). In September 2017, our credit ratings were reviewed by Moody’s and Fitch. Moody’s held our corporate rating at ‘Ba2’ and our 5.0% Senior Notes rating at ‘Ba3’, upgraded our Term B-3 Loan rating to ‘Baa3’, and assigned ‘Ba3’ to the 4.75% Senior Notes. Fitch held our corporate rating at ‘BB’, our Term B-3 Loan rating at ‘BB+’, and our 5.0% Senior Notes rating at ‘BB’ and assigned ‘BB’ to the 4.75% Senior Notes.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November 14, 2016, our Board of Directors authorized us to purchase up to $1,000 million of our common stock under a stock repurchase program. During the three and nine months ended September 30, 2017, we repurchased approximately $239 million and $778 million, respectively, of our common stock under the repurchase program.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sources and uses of funds for the nine months ended September 30, 2017 and 2016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vMerge w:val="continue"/>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160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(43)</w:t>
            </w:r>
          </w:p>
        </w:tc>
        <w:tc>
          <w:tcPr>
            <w:tcW w:w="5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16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(447)</w:t>
            </w:r>
          </w:p>
        </w:tc>
        <w:tc>
          <w:tcPr>
            <w:tcW w:w="5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Operating activities for the nine months ended September 30, 2017 generated $492 million of cash compared to $416 million for the nine months ended September 30, 2016. The increase was principally driven by increased gross profit, higher accounts payable and higher deferred revenue, partially offset by higher accounts receivable, increased cash income taxes, higher inventories, increased cash interest expense and increased incentive compensation payments.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Investing activities for the nine months ended September 30, 2017 used $43 million of cash compared to $37 million for the nine months ended September 30, 2016. The increase was principally driven by an increase of $4 million in capital expenditures and an increase of $2 million in technology-related initiatives. The increase in capital expenditures was principally driven by spending related to investments in productivity and replacement programs and higher product initiatives spending.</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1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Financing activities for the nine months ended September 30, 2017 used $447 million of cash compared to $466 million for the nine months ended September 30, 2016. The decrease was principally driven by $603 million of increased net debt borrowings, $14 million of lower debt financing fees, $8 million of lower dividend payments and $5 million of increased proceeds from common stock issuance, partially offset by $609 million of increased repurchases of common stock.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Contingencies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N, “Commitments and Contingencies” of our condensed consolidated financial statements included in Part I, Item 1 of this Quarterly Report on Form 10-Q.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2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 discussion of our critical accounting policies and significant accounting estimates are described in Part II, Item 7 “Management’s Discussion and Analysis” section in our Annual Report on Form 10-K for the year ended December 31, 2016 as filed with the Securities and Exchange Commission on February 24, 2017.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nine months ended September 30,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B, “Summary of Significant Accounting Policies” in Part I, Item 1, of this Quarterly Report on Form 10-Q.</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uncertainty in the global regulatory and business environments in which we operate; our participation in markets that are competitive; the highly cyclical industries in which certain of our end users operate; the failure of markets outside North America to increase adoption of fully-automatic transmissions; the concentration of our net sales in our top five customers and the loss of any one of these; future reductions or changes in government subsidies for hybrid vehicles and other external factors impacting demand; U.S. defense spending; general economic and industry conditions; the discovery of defects in our products, resulting in delays in new model launches, recall campaigns and/or increased warranty costs and reduction in future sales or damage to our brand and reputation; our ability to prepare for, respond to and successfully achieve our objectives relating to technological and market developments, competitive threats and changing customer needs; risks associated with our international operations; labor strikes, work stoppages or similar labor disputes, which could significantly disrupt our operations or those of our principal customers; and our intention to pay dividends and repurchase shares of our common stock.</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2016 as filed with the Securities and Exchange Commission on February 24, 2017.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30" w:name="page31"/>
    <w:bookmarkEnd w:id="3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$1,712 million including $533 million under our Revolving Credit Facility, net of $17 million of letters of credit. A one-eighth percent increase or decrease in assumed interest rates for the Senior Secured Credit Facility, if fully drawn, as of September 30, 2017 would have an impact of approximately $1 million on interest expense. As of September 30, 2017, we had no outstanding borrowings under our Revolving Credit Facility.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Notional</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9"/>
              </w:rPr>
              <w:t>LIBOR Fixed</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Counterparty</w:t>
            </w:r>
          </w:p>
        </w:tc>
        <w:tc>
          <w:tcPr>
            <w:tcW w:w="440" w:type="dxa"/>
            <w:vAlign w:val="bottom"/>
            <w:vMerge w:val="restart"/>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Rate Swap L*</w:t>
            </w:r>
          </w:p>
        </w:tc>
        <w:tc>
          <w:tcPr>
            <w:tcW w:w="12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Barclays</w:t>
            </w:r>
          </w:p>
        </w:tc>
        <w:tc>
          <w:tcPr>
            <w:tcW w:w="440" w:type="dxa"/>
            <w:vAlign w:val="bottom"/>
            <w:vMerge w:val="continue"/>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Aug 2016-Aug 2019</w:t>
            </w: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0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Interest Rate Swap M*</w:t>
            </w: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JP Morgan</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w:t>
            </w:r>
          </w:p>
        </w:tc>
        <w:tc>
          <w:tcPr>
            <w:tcW w:w="17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Bank of America</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Interest Rate Swap O*</w:t>
            </w: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Deutsche Bank</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w:t>
            </w:r>
          </w:p>
        </w:tc>
        <w:tc>
          <w:tcPr>
            <w:tcW w:w="17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Barclays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Interest Rate Swap Q*</w:t>
            </w: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Barclays</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R*</w:t>
            </w:r>
          </w:p>
        </w:tc>
        <w:tc>
          <w:tcPr>
            <w:tcW w:w="17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Deutsche Bank</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Interest Rate Swap S*</w:t>
            </w: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Deutsche Bank</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T*</w:t>
            </w:r>
          </w:p>
        </w:tc>
        <w:tc>
          <w:tcPr>
            <w:tcW w:w="17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3"/>
              </w:rPr>
              <w:t>Bank of America</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Interest Rate Swap U*</w:t>
            </w: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Fifth Third Bank</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V*</w:t>
            </w:r>
          </w:p>
        </w:tc>
        <w:tc>
          <w:tcPr>
            <w:tcW w:w="17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5"/>
              </w:rPr>
              <w:t>Fifth Third Bank</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Interest Rate Swap W*</w:t>
            </w: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Fifth Third Bank</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X*</w:t>
            </w:r>
          </w:p>
        </w:tc>
        <w:tc>
          <w:tcPr>
            <w:tcW w:w="17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3"/>
              </w:rPr>
              <w:t>Huntington Bank</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includes LIBOR floor of 1.00%</w:t>
      </w:r>
    </w:p>
    <w:p>
      <w:pPr>
        <w:spacing w:after="0" w:line="225" w:lineRule="exact"/>
        <w:rPr>
          <w:sz w:val="20"/>
          <w:szCs w:val="20"/>
          <w:color w:val="auto"/>
        </w:rPr>
      </w:pPr>
    </w:p>
    <w:p>
      <w:pPr>
        <w:jc w:val="both"/>
        <w:ind w:right="420" w:firstLine="456"/>
        <w:spacing w:after="0" w:line="277" w:lineRule="auto"/>
        <w:rPr>
          <w:sz w:val="20"/>
          <w:szCs w:val="20"/>
          <w:color w:val="auto"/>
        </w:rPr>
      </w:pPr>
      <w:r>
        <w:rPr>
          <w:rFonts w:ascii="Arial" w:cs="Arial" w:eastAsia="Arial" w:hAnsi="Arial"/>
          <w:sz w:val="18"/>
          <w:szCs w:val="18"/>
          <w:color w:val="auto"/>
        </w:rPr>
        <w:t>We are exposed to increased interest expense if a counterparty defaults. Refer to NOTE F, “Debt” and NOTE G, “Derivatives” of the notes to our condensed consolidated financial statements included in Part I, Item 1 of this Quarterly Report on Form 10-Q.</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and Chinese Yuan Renminbi would correspondingly change our earnings, net of tax, by an estimated $3 million per year. All other exposure to foreign currencies is considered immaterial.</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580" w:right="319" w:bottom="1440" w:gutter="0" w:footer="0" w:header="0"/>
        </w:sectPr>
      </w:pPr>
    </w:p>
    <w:bookmarkStart w:id="31" w:name="page32"/>
    <w:bookmarkEnd w:id="3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Commodity Price Risk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commodity swaps that are intended to hedge forecasted aluminum purchases. Based on our forecasted demand for 2017 and 2018, as of September 30, 2017, the hedge contracts cover approximately 21% and 0% of our aluminum requirements, respectively. We do not hold financial instruments for trading or speculative purposes.</w:t>
      </w:r>
    </w:p>
    <w:p>
      <w:pPr>
        <w:spacing w:after="0" w:line="17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Assuming current levels of commodity purchases, a 10% increase or decrease in the price of aluminum and steel would correspondingly change our earnings, net of tax, by approximately $2 million and $5 million per year, respectively. This includes the partial offset of our hedging contracts described above.</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hedge our exposure and do not hedge any portion of the customers’ exposure. For purposes of the sensitivity analysis above, the impact of these cost sharing arrangements has not been included.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2" w:name="page33"/>
    <w:bookmarkEnd w:id="3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0" w:right="259" w:bottom="1440" w:gutter="0" w:footer="0" w:header="0"/>
        </w:sectPr>
      </w:pPr>
    </w:p>
    <w:bookmarkStart w:id="33" w:name="page34"/>
    <w:bookmarkEnd w:id="33"/>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See NOTE N, “Commitments and Contingencies” in the notes to the condensed consolidated financial statements included in Part I, Item 1 of this Quarterly Report on Form 10-Q.</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2016 as filed with the Securities and Exchange Commission on February 24,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related to our repurchases of our common stock on a monthly basis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Total Number</w:t>
            </w:r>
          </w:p>
        </w:tc>
        <w:tc>
          <w:tcPr>
            <w:tcW w:w="500" w:type="dxa"/>
            <w:vAlign w:val="bottom"/>
          </w:tcPr>
          <w:p>
            <w:pPr>
              <w:spacing w:after="0"/>
              <w:rPr>
                <w:sz w:val="12"/>
                <w:szCs w:val="12"/>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as Part of</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Publicly</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60" w:type="dxa"/>
            <w:vAlign w:val="bottom"/>
          </w:tcPr>
          <w:p>
            <w:pPr>
              <w:jc w:val="right"/>
              <w:ind w:right="58"/>
              <w:spacing w:after="0" w:line="149" w:lineRule="exact"/>
              <w:rPr>
                <w:sz w:val="20"/>
                <w:szCs w:val="20"/>
                <w:color w:val="auto"/>
              </w:rPr>
            </w:pPr>
            <w:r>
              <w:rPr>
                <w:rFonts w:ascii="Arial" w:cs="Arial" w:eastAsia="Arial" w:hAnsi="Arial"/>
                <w:sz w:val="14"/>
                <w:szCs w:val="14"/>
                <w:b w:val="1"/>
                <w:bCs w:val="1"/>
                <w:color w:val="auto"/>
              </w:rPr>
              <w:t>of Shares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Paid per</w:t>
            </w: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1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860" w:type="dxa"/>
            <w:vAlign w:val="bottom"/>
          </w:tcPr>
          <w:p>
            <w:pPr>
              <w:jc w:val="right"/>
              <w:ind w:right="18"/>
              <w:spacing w:after="0"/>
              <w:rPr>
                <w:sz w:val="20"/>
                <w:szCs w:val="20"/>
                <w:color w:val="auto"/>
              </w:rPr>
            </w:pPr>
            <w:r>
              <w:rPr>
                <w:rFonts w:ascii="Arial" w:cs="Arial" w:eastAsia="Arial" w:hAnsi="Arial"/>
                <w:sz w:val="14"/>
                <w:szCs w:val="14"/>
                <w:b w:val="1"/>
                <w:bCs w:val="1"/>
                <w:color w:val="auto"/>
              </w:rPr>
              <w:t>Purchased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Share</w:t>
            </w: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or Programs</w:t>
            </w:r>
            <w:r>
              <w:rPr>
                <w:rFonts w:ascii="Arial" w:cs="Arial" w:eastAsia="Arial" w:hAnsi="Arial"/>
                <w:sz w:val="12"/>
                <w:szCs w:val="12"/>
                <w:b w:val="1"/>
                <w:bCs w:val="1"/>
                <w:color w:val="auto"/>
                <w:w w:val="93"/>
              </w:rPr>
              <w:t>(1)</w:t>
            </w:r>
          </w:p>
        </w:tc>
        <w:tc>
          <w:tcPr>
            <w:tcW w:w="11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Under Plans</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July 1 – July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1,995,937</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1,995,937</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323,609,815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August 1 – August 31, 2017</w:t>
            </w:r>
          </w:p>
        </w:tc>
        <w:tc>
          <w:tcPr>
            <w:tcW w:w="860" w:type="dxa"/>
            <w:vAlign w:val="bottom"/>
          </w:tcPr>
          <w:p>
            <w:pPr>
              <w:jc w:val="right"/>
              <w:spacing w:after="0"/>
              <w:rPr>
                <w:sz w:val="20"/>
                <w:szCs w:val="20"/>
                <w:color w:val="auto"/>
              </w:rPr>
            </w:pPr>
            <w:r>
              <w:rPr>
                <w:rFonts w:ascii="Arial" w:cs="Arial" w:eastAsia="Arial" w:hAnsi="Arial"/>
                <w:sz w:val="18"/>
                <w:szCs w:val="18"/>
                <w:color w:val="auto"/>
              </w:rPr>
              <w:t>1,868,672</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35.26</w:t>
            </w:r>
          </w:p>
        </w:tc>
        <w:tc>
          <w:tcPr>
            <w:tcW w:w="50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1,868,672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257,716,837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September 1 – September 30,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2,795,216</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2,795,216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160,005,528</w:t>
            </w: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6,659,825</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35.89</w:t>
            </w:r>
          </w:p>
        </w:tc>
        <w:tc>
          <w:tcPr>
            <w:tcW w:w="5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6,659,825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These values reflect repurchases made under the stock repurchase program approved by the Board of Directors on November 14, 2016 authorizing $1,000 million of repurchases through December 31, 2019.</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240" w:top="513" w:right="4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Exhibit</w:t>
            </w:r>
          </w:p>
        </w:tc>
        <w:tc>
          <w:tcPr>
            <w:tcW w:w="1720" w:type="dxa"/>
            <w:vAlign w:val="bottom"/>
          </w:tcPr>
          <w:p>
            <w:pPr>
              <w:spacing w:after="0"/>
              <w:rPr>
                <w:sz w:val="14"/>
                <w:szCs w:val="14"/>
                <w:color w:val="auto"/>
              </w:rPr>
            </w:pPr>
          </w:p>
        </w:tc>
        <w:tc>
          <w:tcPr>
            <w:tcW w:w="6160" w:type="dxa"/>
            <w:vAlign w:val="bottom"/>
            <w:gridSpan w:val="3"/>
            <w:vMerge w:val="restart"/>
          </w:tcPr>
          <w:p>
            <w:pPr>
              <w:ind w:left="3060"/>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16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220" w:type="dxa"/>
            <w:vAlign w:val="bottom"/>
            <w:gridSpan w:val="11"/>
          </w:tcPr>
          <w:p>
            <w:pPr>
              <w:spacing w:after="0"/>
              <w:rPr>
                <w:rFonts w:ascii="Arial" w:cs="Arial" w:eastAsia="Arial" w:hAnsi="Arial"/>
                <w:sz w:val="18"/>
                <w:szCs w:val="18"/>
                <w:color w:val="0000EE"/>
                <w:w w:val="95"/>
              </w:rPr>
            </w:pPr>
            <w:hyperlink r:id="rId61">
              <w:r>
                <w:rPr>
                  <w:rFonts w:ascii="Arial" w:cs="Arial" w:eastAsia="Arial" w:hAnsi="Arial"/>
                  <w:sz w:val="18"/>
                  <w:szCs w:val="18"/>
                  <w:color w:val="0000EE"/>
                  <w:w w:val="95"/>
                </w:rPr>
                <w:t>Indenture, dated as of September 26, 2017, between Allison Transmission, Inc. and Wilmington Trust, National Association, as Trustee</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780" w:type="dxa"/>
            <w:vAlign w:val="bottom"/>
            <w:tcBorders>
              <w:right w:val="single" w:sz="8" w:color="0000EE"/>
            </w:tcBorders>
            <w:gridSpan w:val="2"/>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(including form of Note) (incorporated by reference to Exhibit 4.1 to the Registrant’s Current Report on Form 8-K filed September 26, 2017)</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10220" w:type="dxa"/>
            <w:vAlign w:val="bottom"/>
            <w:tcBorders>
              <w:bottom w:val="single" w:sz="8" w:color="0000EE"/>
            </w:tcBorders>
            <w:gridSpan w:val="11"/>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Incremental Facility Joinder Agreement, dated as of September 26, 2017, supplementing the Amended and Restated Credit Agreement, dated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as of September 23, 2016, among Allison Transmission Holdings, Inc., Allison Transmission, Inc., as Borrower, the several banks and other</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financial institutions or entities from time to time parties thereto as lenders and Citicorp North America, Inc., as Administrative Agent</w:t>
              </w:r>
            </w:hyperlink>
          </w:p>
        </w:tc>
        <w:tc>
          <w:tcPr>
            <w:tcW w:w="5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(incorporated by reference to Exhibit 10.1 to the Registrant’s Current Report on Form 8-K filed September 26, 2017)</w:t>
              </w:r>
            </w:hyperlink>
          </w:p>
        </w:tc>
        <w:tc>
          <w:tcPr>
            <w:tcW w:w="18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7880" w:type="dxa"/>
            <w:vAlign w:val="bottom"/>
            <w:gridSpan w:val="4"/>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Chief Executive Officer pursuant to Rule 13a-14(a)/15d-14(a) as adopted pursuant to Section</w:t>
              </w:r>
            </w:hyperlink>
          </w:p>
        </w:tc>
        <w:tc>
          <w:tcPr>
            <w:tcW w:w="2340" w:type="dxa"/>
            <w:vAlign w:val="bottom"/>
            <w:gridSpan w:val="7"/>
          </w:tcPr>
          <w:p>
            <w:pPr>
              <w:ind w:left="60"/>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302 of the Sarbanes-Oxley Act</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of 2002 (filed herewith)</w:t>
              </w:r>
            </w:hyperlink>
          </w:p>
        </w:tc>
        <w:tc>
          <w:tcPr>
            <w:tcW w:w="5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7880" w:type="dxa"/>
            <w:vAlign w:val="bottom"/>
            <w:gridSpan w:val="4"/>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Chief Financial Officer pursuant to Rule 13a-14(a)/15d-14(a) as adopted pursuant to Section</w:t>
              </w:r>
            </w:hyperlink>
          </w:p>
        </w:tc>
        <w:tc>
          <w:tcPr>
            <w:tcW w:w="2340" w:type="dxa"/>
            <w:vAlign w:val="bottom"/>
            <w:gridSpan w:val="7"/>
          </w:tcPr>
          <w:p>
            <w:pPr>
              <w:ind w:left="20"/>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302 of the Sarbanes-Oxley Act</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of 2002 (filed herewith)</w:t>
              </w:r>
            </w:hyperlink>
          </w:p>
        </w:tc>
        <w:tc>
          <w:tcPr>
            <w:tcW w:w="5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10220" w:type="dxa"/>
            <w:vAlign w:val="bottom"/>
            <w:gridSpan w:val="11"/>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Certification of Periodic Report by Chief Executive Officer and Chief Financial Officer pursuant to 18 U.S.C. Section 1350, as adopted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pursuant to Section 906 of the Sarbanes-Oxley Act of 2002 (filed herewith)</w:t>
              </w:r>
            </w:hyperlink>
          </w:p>
        </w:tc>
        <w:tc>
          <w:tcPr>
            <w:tcW w:w="23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788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101.SCH</w:t>
            </w: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7"/>
              </w:rPr>
              <w:t>101.CAL</w:t>
            </w: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gridSpan w:val="3"/>
          </w:tcPr>
          <w:p>
            <w:pPr>
              <w:jc w:val="center"/>
              <w:ind w:right="500"/>
              <w:spacing w:after="0"/>
              <w:rPr>
                <w:sz w:val="20"/>
                <w:szCs w:val="20"/>
                <w:color w:val="auto"/>
              </w:rPr>
            </w:pPr>
            <w:r>
              <w:rPr>
                <w:rFonts w:ascii="Arial" w:cs="Arial" w:eastAsia="Arial" w:hAnsi="Arial"/>
                <w:sz w:val="18"/>
                <w:szCs w:val="18"/>
                <w:color w:val="auto"/>
                <w:w w:val="92"/>
              </w:rPr>
              <w:t>101.DEF</w:t>
            </w: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8"/>
              </w:rPr>
              <w:t>101.LAB</w:t>
            </w: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gridSpan w:val="3"/>
          </w:tcPr>
          <w:p>
            <w:pPr>
              <w:jc w:val="center"/>
              <w:ind w:right="500"/>
              <w:spacing w:after="0"/>
              <w:rPr>
                <w:sz w:val="20"/>
                <w:szCs w:val="20"/>
                <w:color w:val="auto"/>
              </w:rPr>
            </w:pPr>
            <w:r>
              <w:rPr>
                <w:rFonts w:ascii="Arial" w:cs="Arial" w:eastAsia="Arial" w:hAnsi="Arial"/>
                <w:sz w:val="18"/>
                <w:szCs w:val="18"/>
                <w:color w:val="auto"/>
                <w:w w:val="91"/>
              </w:rPr>
              <w:t>101.PRE</w:t>
            </w: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80" w:type="dxa"/>
            <w:vAlign w:val="bottom"/>
            <w:gridSpan w:val="2"/>
          </w:tcPr>
          <w:p>
            <w:pPr>
              <w:ind w:left="4460"/>
              <w:spacing w:after="0"/>
              <w:rPr>
                <w:sz w:val="20"/>
                <w:szCs w:val="20"/>
                <w:color w:val="auto"/>
              </w:rPr>
            </w:pPr>
            <w:r>
              <w:rPr>
                <w:rFonts w:ascii="Arial" w:cs="Arial" w:eastAsia="Arial" w:hAnsi="Arial"/>
                <w:sz w:val="18"/>
                <w:szCs w:val="18"/>
                <w:color w:val="auto"/>
              </w:rPr>
              <w:t>34</w:t>
            </w: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35" w:name="page36"/>
    <w:bookmarkEnd w:id="35"/>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ALLISON TRANSMISSION HOLDINGS, INC.</w:t>
      </w:r>
    </w:p>
    <w:p>
      <w:pPr>
        <w:spacing w:after="0" w:line="229"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Date: October 31, 2017</w:t>
      </w:r>
      <w:r>
        <w:rPr>
          <w:sz w:val="20"/>
          <w:szCs w:val="20"/>
          <w:color w:val="auto"/>
        </w:rPr>
        <w:tab/>
      </w:r>
      <w:r>
        <w:rPr>
          <w:rFonts w:ascii="Arial" w:cs="Arial" w:eastAsia="Arial" w:hAnsi="Arial"/>
          <w:sz w:val="17"/>
          <w:szCs w:val="17"/>
          <w:color w:val="auto"/>
        </w:rPr>
        <w:t>By: /s/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Lawrence E. Dewey</w:t>
      </w:r>
    </w:p>
    <w:p>
      <w:pPr>
        <w:spacing w:after="0" w:line="23" w:lineRule="exact"/>
        <w:rPr>
          <w:sz w:val="20"/>
          <w:szCs w:val="20"/>
          <w:color w:val="auto"/>
        </w:rPr>
      </w:pPr>
    </w:p>
    <w:p>
      <w:pPr>
        <w:ind w:left="5920"/>
        <w:spacing w:after="0"/>
        <w:tabs>
          <w:tab w:leader="none" w:pos="6500" w:val="left"/>
        </w:tabs>
        <w:rPr>
          <w:sz w:val="20"/>
          <w:szCs w:val="20"/>
          <w:color w:val="auto"/>
        </w:rPr>
      </w:pPr>
      <w:r>
        <w:rPr>
          <w:rFonts w:ascii="Arial" w:cs="Arial" w:eastAsia="Arial" w:hAnsi="Arial"/>
          <w:sz w:val="18"/>
          <w:szCs w:val="18"/>
          <w:color w:val="auto"/>
        </w:rPr>
        <w:t>Title:</w:t>
        <w:tab/>
        <w:t>Chairman of the Board and Chief Executive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Date: October 31, 2017</w:t>
      </w:r>
      <w:r>
        <w:rPr>
          <w:sz w:val="20"/>
          <w:szCs w:val="20"/>
          <w:color w:val="auto"/>
        </w:rPr>
        <w:tab/>
      </w:r>
      <w:r>
        <w:rPr>
          <w:rFonts w:ascii="Arial" w:cs="Arial" w:eastAsia="Arial" w:hAnsi="Arial"/>
          <w:sz w:val="17"/>
          <w:szCs w:val="17"/>
          <w:color w:val="auto"/>
        </w:rPr>
        <w:t>By: /s/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David S. Graziosi</w:t>
      </w:r>
    </w:p>
    <w:p>
      <w:pPr>
        <w:spacing w:after="0" w:line="23" w:lineRule="exact"/>
        <w:rPr>
          <w:sz w:val="20"/>
          <w:szCs w:val="20"/>
          <w:color w:val="auto"/>
        </w:rPr>
      </w:pPr>
    </w:p>
    <w:p>
      <w:pPr>
        <w:ind w:left="5920"/>
        <w:spacing w:after="0"/>
        <w:tabs>
          <w:tab w:leader="none" w:pos="6500" w:val="left"/>
        </w:tabs>
        <w:rPr>
          <w:sz w:val="20"/>
          <w:szCs w:val="20"/>
          <w:color w:val="auto"/>
        </w:rPr>
      </w:pPr>
      <w:r>
        <w:rPr>
          <w:rFonts w:ascii="Arial" w:cs="Arial" w:eastAsia="Arial" w:hAnsi="Arial"/>
          <w:sz w:val="18"/>
          <w:szCs w:val="18"/>
          <w:color w:val="auto"/>
        </w:rPr>
        <w:t>Title:</w:t>
        <w:tab/>
        <w:t>President and Chief Financial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Accounting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40"/>
          </w:cols>
          <w:pgMar w:left="240" w:top="270" w:right="9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131"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80" w:right="560" w:hanging="572"/>
        <w:spacing w:after="0" w:line="291"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jc w:val="both"/>
        <w:ind w:left="1140" w:right="100" w:hanging="565"/>
        <w:spacing w:after="0" w:line="264" w:lineRule="auto"/>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40" w:right="100" w:hanging="565"/>
        <w:spacing w:after="0" w:line="264" w:lineRule="auto"/>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260" w:hanging="572"/>
        <w:spacing w:after="0" w:line="308"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40" w:right="20" w:hanging="565"/>
        <w:spacing w:after="0" w:line="308" w:lineRule="auto"/>
        <w:tabs>
          <w:tab w:leader="none" w:pos="114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140" w:right="540" w:hanging="565"/>
        <w:spacing w:after="0" w:line="277" w:lineRule="auto"/>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131"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80" w:right="560" w:hanging="572"/>
        <w:spacing w:after="0" w:line="291"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jc w:val="both"/>
        <w:ind w:left="1140" w:right="100" w:hanging="565"/>
        <w:spacing w:after="0" w:line="264"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40" w:right="100" w:hanging="565"/>
        <w:spacing w:after="0" w:line="264"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260" w:hanging="572"/>
        <w:spacing w:after="0" w:line="308"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40" w:right="20" w:hanging="565"/>
        <w:spacing w:after="0" w:line="308" w:lineRule="auto"/>
        <w:tabs>
          <w:tab w:leader="none" w:pos="114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140" w:right="540" w:hanging="565"/>
        <w:spacing w:after="0" w:line="277"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September 30, 2017 as filed with the Securities and Exchange Commission on the date hereof (the “Report”), we, Lawrence E. Dewey, Chairman and Chief Executive Officer of the Company, and David S. Graziosi, President and Chief Financial Officer of the Company, certify, pursuant to 18 U.S.C. § 1350 as adopted pursuant to § 906 of the Sarbanes-Oxley Act of 2002, that:</w:t>
      </w:r>
    </w:p>
    <w:p>
      <w:pPr>
        <w:spacing w:after="0" w:line="92"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61" Type="http://schemas.openxmlformats.org/officeDocument/2006/relationships/hyperlink" Target="http://www.sec.gov/Archives/edgar/data/1411207/000119312517294436/d420544dex41.htm" TargetMode="External"/><Relationship Id="rId62" Type="http://schemas.openxmlformats.org/officeDocument/2006/relationships/hyperlink" Target="http://www.sec.gov/Archives/edgar/data/1411207/000119312517294436/d42054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2019-12-29T03:39:28Z</dcterms:created>
  <dcterms:modified xsi:type="dcterms:W3CDTF">2019-12-29T03:39:28Z</dcterms:modified>
</cp:coreProperties>
</file>