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159385</wp:posOffset>
            </wp:positionV>
            <wp:extent cx="201549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549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3"/>
              </w:rPr>
              <w:t>Delaware</w:t>
            </w:r>
          </w:p>
        </w:tc>
        <w:tc>
          <w:tcPr>
            <w:tcW w:w="1680" w:type="dxa"/>
            <w:vAlign w:val="bottom"/>
          </w:tcPr>
          <w:p>
            <w:pPr>
              <w:jc w:val="right"/>
              <w:ind w:right="201"/>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6020" w:type="dxa"/>
            <w:vAlign w:val="bottom"/>
          </w:tcPr>
          <w:p>
            <w:pPr>
              <w:jc w:val="center"/>
              <w:ind w:right="347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168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spacing w:after="0"/>
              <w:rPr>
                <w:sz w:val="16"/>
                <w:szCs w:val="16"/>
                <w:color w:val="auto"/>
              </w:rPr>
            </w:pP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1"/>
              </w:rPr>
              <w:t>One Allison Way</w:t>
            </w:r>
          </w:p>
        </w:tc>
        <w:tc>
          <w:tcPr>
            <w:tcW w:w="1680" w:type="dxa"/>
            <w:vAlign w:val="bottom"/>
          </w:tcPr>
          <w:p>
            <w:pPr>
              <w:spacing w:after="0"/>
              <w:rPr>
                <w:sz w:val="24"/>
                <w:szCs w:val="24"/>
                <w:color w:val="auto"/>
              </w:rPr>
            </w:pPr>
          </w:p>
        </w:tc>
      </w:tr>
      <w:tr>
        <w:trPr>
          <w:trHeight w:val="225"/>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4"/>
              </w:rPr>
              <w:t>Indianapolis, IN</w:t>
            </w:r>
          </w:p>
        </w:tc>
        <w:tc>
          <w:tcPr>
            <w:tcW w:w="1680" w:type="dxa"/>
            <w:vAlign w:val="bottom"/>
          </w:tcPr>
          <w:p>
            <w:pPr>
              <w:jc w:val="right"/>
              <w:ind w:right="401"/>
              <w:spacing w:after="0"/>
              <w:rPr>
                <w:sz w:val="20"/>
                <w:szCs w:val="20"/>
                <w:color w:val="auto"/>
              </w:rPr>
            </w:pPr>
            <w:r>
              <w:rPr>
                <w:rFonts w:ascii="Arial" w:cs="Arial" w:eastAsia="Arial" w:hAnsi="Arial"/>
                <w:sz w:val="18"/>
                <w:szCs w:val="18"/>
                <w:b w:val="1"/>
                <w:bCs w:val="1"/>
                <w:color w:val="auto"/>
              </w:rPr>
              <w:t>46222</w:t>
            </w:r>
          </w:p>
        </w:tc>
      </w:tr>
      <w:tr>
        <w:trPr>
          <w:trHeight w:val="186"/>
        </w:trPr>
        <w:tc>
          <w:tcPr>
            <w:tcW w:w="6020" w:type="dxa"/>
            <w:vAlign w:val="bottom"/>
          </w:tcPr>
          <w:p>
            <w:pPr>
              <w:jc w:val="center"/>
              <w:ind w:right="34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20" w:type="dxa"/>
            <w:vAlign w:val="bottom"/>
          </w:tcPr>
          <w:p>
            <w:pPr>
              <w:jc w:val="right"/>
              <w:ind w:right="1318"/>
              <w:spacing w:after="0"/>
              <w:rPr>
                <w:sz w:val="20"/>
                <w:szCs w:val="20"/>
                <w:color w:val="auto"/>
              </w:rPr>
            </w:pPr>
            <w:r>
              <w:rPr>
                <w:rFonts w:ascii="Arial" w:cs="Arial" w:eastAsia="Arial" w:hAnsi="Arial"/>
                <w:sz w:val="18"/>
                <w:szCs w:val="18"/>
                <w:b w:val="1"/>
                <w:bCs w:val="1"/>
                <w:color w:val="auto"/>
              </w:rPr>
              <w:t>(317) 242-5000</w:t>
            </w:r>
          </w:p>
        </w:tc>
        <w:tc>
          <w:tcPr>
            <w:tcW w:w="1680" w:type="dxa"/>
            <w:vAlign w:val="bottom"/>
          </w:tcPr>
          <w:p>
            <w:pPr>
              <w:spacing w:after="0"/>
              <w:rPr>
                <w:sz w:val="24"/>
                <w:szCs w:val="24"/>
                <w:color w:val="auto"/>
              </w:rPr>
            </w:pPr>
          </w:p>
        </w:tc>
      </w:tr>
      <w:tr>
        <w:trPr>
          <w:trHeight w:val="186"/>
        </w:trPr>
        <w:tc>
          <w:tcPr>
            <w:tcW w:w="6020" w:type="dxa"/>
            <w:vAlign w:val="bottom"/>
          </w:tcPr>
          <w:p>
            <w:pPr>
              <w:jc w:val="center"/>
              <w:ind w:left="20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6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40" w:val="left"/>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July 16, 2018, there were 130,467,369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8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9"/>
            <w:vMerge w:val="restart"/>
          </w:tcPr>
          <w:p>
            <w:pPr>
              <w:jc w:val="center"/>
              <w:ind w:right="2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780" w:type="dxa"/>
            <w:vAlign w:val="bottom"/>
            <w:vMerge w:val="restart"/>
          </w:tcPr>
          <w:p>
            <w:pPr>
              <w:spacing w:after="0"/>
              <w:rPr>
                <w:sz w:val="15"/>
                <w:szCs w:val="15"/>
                <w:color w:val="auto"/>
              </w:rPr>
            </w:pPr>
          </w:p>
        </w:tc>
        <w:tc>
          <w:tcPr>
            <w:tcW w:w="2200" w:type="dxa"/>
            <w:vAlign w:val="bottom"/>
            <w:gridSpan w:val="3"/>
          </w:tcPr>
          <w:p>
            <w:pPr>
              <w:ind w:left="18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bottom w:val="single" w:sz="8" w:color="0000EE"/>
            </w:tcBorders>
            <w:gridSpan w:val="9"/>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2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200" w:type="dxa"/>
            <w:vAlign w:val="bottom"/>
            <w:gridSpan w:val="3"/>
          </w:tcPr>
          <w:p>
            <w:pPr>
              <w:jc w:val="center"/>
              <w:ind w:left="1671"/>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320" w:type="dxa"/>
            <w:vAlign w:val="bottom"/>
            <w:gridSpan w:val="11"/>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82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860" w:type="dxa"/>
            <w:vAlign w:val="bottom"/>
            <w:tcBorders>
              <w:top w:val="single" w:sz="8" w:color="0000EE"/>
            </w:tcBorders>
            <w:gridSpan w:val="4"/>
          </w:tcPr>
          <w:p>
            <w:pPr>
              <w:spacing w:after="0"/>
              <w:rPr>
                <w:sz w:val="24"/>
                <w:szCs w:val="24"/>
                <w:color w:val="auto"/>
              </w:rPr>
            </w:pPr>
          </w:p>
        </w:tc>
        <w:tc>
          <w:tcPr>
            <w:tcW w:w="3680" w:type="dxa"/>
            <w:vAlign w:val="bottom"/>
            <w:gridSpan w:val="4"/>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260" w:type="dxa"/>
            <w:vAlign w:val="bottom"/>
            <w:gridSpan w:val="7"/>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Arial" w:cs="Arial" w:eastAsia="Arial" w:hAnsi="Arial"/>
                <w:sz w:val="18"/>
                <w:szCs w:val="18"/>
                <w:color w:val="auto"/>
                <w:w w:val="94"/>
              </w:rPr>
              <w:t>6-20</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800" w:type="dxa"/>
            <w:vAlign w:val="bottom"/>
            <w:gridSpan w:val="2"/>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Arial" w:cs="Arial" w:eastAsia="Arial" w:hAnsi="Arial"/>
                <w:sz w:val="18"/>
                <w:szCs w:val="18"/>
                <w:color w:val="auto"/>
                <w:w w:val="91"/>
              </w:rPr>
              <w:t>21-31</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3900" w:type="dxa"/>
            <w:vAlign w:val="bottom"/>
            <w:gridSpan w:val="5"/>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826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194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6920" w:type="dxa"/>
            <w:vAlign w:val="bottom"/>
            <w:gridSpan w:val="14"/>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82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3740" w:type="dxa"/>
            <w:vAlign w:val="bottom"/>
            <w:tcBorders>
              <w:top w:val="single" w:sz="8" w:color="0000EE"/>
            </w:tcBorders>
            <w:gridSpan w:val="11"/>
          </w:tcPr>
          <w:p>
            <w:pPr>
              <w:spacing w:after="0"/>
              <w:rPr>
                <w:sz w:val="24"/>
                <w:szCs w:val="24"/>
                <w:color w:val="auto"/>
              </w:rPr>
            </w:pPr>
          </w:p>
        </w:tc>
        <w:tc>
          <w:tcPr>
            <w:tcW w:w="3920" w:type="dxa"/>
            <w:vAlign w:val="bottom"/>
            <w:gridSpan w:val="6"/>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7500" w:type="dxa"/>
            <w:vAlign w:val="bottom"/>
            <w:gridSpan w:val="16"/>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6320" w:type="dxa"/>
            <w:vAlign w:val="bottom"/>
            <w:gridSpan w:val="15"/>
          </w:tcPr>
          <w:p>
            <w:pPr>
              <w:ind w:left="47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6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60" w:type="dxa"/>
            <w:vAlign w:val="bottom"/>
          </w:tcPr>
          <w:p>
            <w:pPr>
              <w:jc w:val="center"/>
              <w:ind w:left="1650"/>
              <w:spacing w:after="0"/>
              <w:rPr>
                <w:sz w:val="20"/>
                <w:szCs w:val="20"/>
                <w:color w:val="auto"/>
              </w:rPr>
            </w:pPr>
            <w:r>
              <w:rPr>
                <w:rFonts w:ascii="Arial" w:cs="Arial" w:eastAsia="Arial" w:hAnsi="Arial"/>
                <w:sz w:val="18"/>
                <w:szCs w:val="18"/>
                <w:b w:val="1"/>
                <w:bCs w:val="1"/>
                <w:color w:val="auto"/>
                <w:w w:val="89"/>
              </w:rPr>
              <w:t>Allison Transmission Holdings, Inc.</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960" w:type="dxa"/>
            <w:vAlign w:val="bottom"/>
          </w:tcPr>
          <w:p>
            <w:pPr>
              <w:jc w:val="center"/>
              <w:ind w:left="16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960" w:type="dxa"/>
            <w:vAlign w:val="bottom"/>
          </w:tcPr>
          <w:p>
            <w:pPr>
              <w:jc w:val="center"/>
              <w:ind w:left="1650"/>
              <w:spacing w:after="0"/>
              <w:rPr>
                <w:sz w:val="20"/>
                <w:szCs w:val="20"/>
                <w:color w:val="auto"/>
              </w:rPr>
            </w:pPr>
            <w:r>
              <w:rPr>
                <w:rFonts w:ascii="Arial" w:cs="Arial" w:eastAsia="Arial" w:hAnsi="Arial"/>
                <w:sz w:val="18"/>
                <w:szCs w:val="18"/>
                <w:b w:val="1"/>
                <w:bCs w:val="1"/>
                <w:color w:val="auto"/>
                <w:w w:val="89"/>
              </w:rPr>
              <w:t>(unaudited, dollars in millions, except per share data)</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Accounts receivable – net of allowance for doubtful accounts of $1 and $0, respectively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8"/>
        </w:trPr>
        <w:tc>
          <w:tcPr>
            <w:tcW w:w="882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633</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8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1,109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4,171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warranty liability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324"/>
        </w:trPr>
        <w:tc>
          <w:tcPr>
            <w:tcW w:w="8820" w:type="dxa"/>
            <w:vAlign w:val="bottom"/>
            <w:gridSpan w:val="3"/>
          </w:tcPr>
          <w:p>
            <w:pPr>
              <w:spacing w:after="0"/>
              <w:rPr>
                <w:sz w:val="20"/>
                <w:szCs w:val="20"/>
                <w:color w:val="auto"/>
              </w:rPr>
            </w:pPr>
            <w:r>
              <w:rPr>
                <w:rFonts w:ascii="Arial" w:cs="Arial" w:eastAsia="Arial" w:hAnsi="Arial"/>
                <w:sz w:val="18"/>
                <w:szCs w:val="18"/>
                <w:color w:val="auto"/>
              </w:rPr>
              <w:t>Product warranty liability</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2,520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3,569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O)</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8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1"/>
              </w:rPr>
              <w:t>Common stock, $0.01 par value, 1,880,000,000 shares authorized, 131,226,301 shares issued and outstanding and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520"/>
              <w:spacing w:after="0"/>
              <w:rPr>
                <w:sz w:val="20"/>
                <w:szCs w:val="20"/>
                <w:color w:val="auto"/>
              </w:rPr>
            </w:pPr>
            <w:r>
              <w:rPr>
                <w:rFonts w:ascii="Arial" w:cs="Arial" w:eastAsia="Arial" w:hAnsi="Arial"/>
                <w:sz w:val="18"/>
                <w:szCs w:val="18"/>
                <w:color w:val="auto"/>
              </w:rPr>
              <w:t>139,990,865 shares issued and outstanding, 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Non-voting common stock, $0.01 par value, 20,000,000 shares authorized, none issued and outstanding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Paid in capital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(1,136)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&amp; STOCKHOLDERS’ EQUITY</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4,171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337</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658</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374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716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185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(48)</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6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5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6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5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29" w:lineRule="exact"/>
        <w:rPr>
          <w:sz w:val="20"/>
          <w:szCs w:val="20"/>
          <w:color w:val="auto"/>
        </w:rPr>
      </w:pPr>
    </w:p>
    <w:p>
      <w:pPr>
        <w:jc w:val="center"/>
        <w:ind w:left="99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994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Unrealized gain on derivatives</w:t>
            </w:r>
          </w:p>
        </w:tc>
        <w:tc>
          <w:tcPr>
            <w:tcW w:w="10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(110)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Other assets and liabilities</w:t>
            </w:r>
          </w:p>
        </w:tc>
        <w:tc>
          <w:tcPr>
            <w:tcW w:w="1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of long-lived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Investments in technology-related initiatives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(370)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Dividend payments</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Debt financing fees</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on revolving credit facility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Repayments on revolving credit facility</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(439)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(103)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tcPr>
          <w:p>
            <w:pPr>
              <w:ind w:left="700"/>
              <w:spacing w:after="0"/>
              <w:rPr>
                <w:sz w:val="20"/>
                <w:szCs w:val="20"/>
                <w:color w:val="auto"/>
              </w:rPr>
            </w:pPr>
            <w:r>
              <w:rPr>
                <w:rFonts w:ascii="Arial" w:cs="Arial" w:eastAsia="Arial" w:hAnsi="Arial"/>
                <w:sz w:val="18"/>
                <w:szCs w:val="18"/>
                <w:color w:val="auto"/>
              </w:rPr>
              <w:t>Income taxes paid</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commercial and defense fully 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Company has approximately 2,700 employees and 13 different transmission product lines. Although approximately 79% of revenues were generated in North America in 2017, the Company has a global presence by serving customers in Europe, Asia, South America and Africa. The Company serves customers through an independent network of approximately 1,400 independent distributor and dealer locations worldwide.</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2017 as filed with the Securities and Exchange Commission (“SEC”) on February 15, 2018. The interim period financial results for the three and six month periods presented are not necessarily indicative of results to be expected for any other interim period or for the entire year.</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August 2017, the Financial Accounting Standards Board (“FASB”) issued authoritative accounting guidance on accounting for derivative and hedge instruments. Among other things, the guidance allows the initial hedge effectiveness assessment to be performed by the end of the quarter in which the hedge is designated, permits a qualitative assessment for certain hedges if an expectation of high effectiveness can be supported throughout the term of the hedge, and removes the requirement to record ineffectiveness on cash flow hedges immediately through earnings when the hedge is highly effective. The guidance was early adopted by the Company effective April 1, 2018 and applied upon entering into interest rate swaps designated as cash flow hedges during the period ended June 30, 2018. When adopted in an interim period, the guidance is required to be reflected as of the beginning of the year of adoption. The Company has not previously designated any derivative instruments as hedging instruments, and thus, the adoption of this guidance did not have a material impact on the Company’s consolidated financial statements.</w:t>
      </w:r>
    </w:p>
    <w:p>
      <w:pPr>
        <w:spacing w:after="0" w:line="17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May 2017, the FASB issued authoritative accounting guidance on accounting for modifications to the terms of employee stock compensation. The guidance clarifies which changes to terms or conditions of share-based payment awards require the entity to apply modification accounting. The guidance was adopted by the Company effective January 1, 2018 and did not have a material impact on the Company’s consolidated financial statements.</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2017, the FASB issued authoritative accounting guidance on the presentation of net periodic pension costs and net periodic post-retirement benefit costs. The guidance clarifies the presentation of component costs within an employer’s financial statements and restricts component costs eligible for capitalization to the service cost component. The guidance was adopted by the Company effective January 1, 2018 and did not have a material impact on the Company’s consolidated financial statements.</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guidance was adopted by the Company effective January 1, 2018 and did not have a material impact on the Company’s consolidated financial statements.</w:t>
      </w:r>
    </w:p>
    <w:p>
      <w:pPr>
        <w:spacing w:after="0" w:line="147" w:lineRule="exact"/>
        <w:rPr>
          <w:sz w:val="20"/>
          <w:szCs w:val="20"/>
          <w:color w:val="auto"/>
        </w:rPr>
      </w:pPr>
    </w:p>
    <w:p>
      <w:pPr>
        <w:ind w:right="500" w:firstLine="456"/>
        <w:spacing w:after="0" w:line="293" w:lineRule="auto"/>
        <w:rPr>
          <w:sz w:val="20"/>
          <w:szCs w:val="20"/>
          <w:color w:val="auto"/>
        </w:rPr>
      </w:pPr>
      <w:r>
        <w:rPr>
          <w:rFonts w:ascii="Arial" w:cs="Arial" w:eastAsia="Arial" w:hAnsi="Arial"/>
          <w:sz w:val="16"/>
          <w:szCs w:val="16"/>
          <w:color w:val="auto"/>
        </w:rPr>
        <w:t>In May 2014, the FASB issued authoritative accounting guidance on a company’s accounting for revenue from contracts with customers, which guidance was subsequently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was adopted by the Company effective January 1, 2018 on a modified retrospective basis. See Note C, “Revenue” for information regarding the impact of the adoption of this guidance.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June 2018, the FASB issued authoritative accounting guidance on accounting for nonemployee awards for goods or services received by a company. The guidance will be effective for the Company in fiscal year 2019, but early adoption is permitted. Management is currently evaluating the impact of this guidance on the Company’s consolidated financial statements.</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February 2018, the FASB issued authoritative accounting guidance on transfers of stranded balances in accumulated other comprehensive loss to retained earnings. The passage of the U.S. Tax Cuts and Jobs Act by the U.S. federal government in December 2017 and existing GAAP requirements to adjust deferred tax assets and liabilities for changes in tax laws or rates created stranded balances in accumulated other comprehensive loss on deferred tax assets and liabilities previously recorded as a component to accumulated other comprehensive loss. The guidance applies to companies affected by these stranded balances and allows a reclassification of these balances to retained earnings. The guidance will be effective for the Company in fiscal year 2019, but early adoption is permitted. The guidance can be applied either in the period of adoption or retrospectively to each period in which the effect of the change in the U.S. federal corporate income tax rate in the U.S. Tax Cuts and Jobs Act is recognized. Management is currently evaluating affected balances recorded in accumulated other comprehensive loss and expects the impact of this guidance on the Company’s consolidated financial statements to be an immaterial adjustment to retained earnings.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guidance also introduces new disclosure requirements for leasing arrangements. The guidance will be effective for the Company in fiscal year 2019 using a modified retrospective approach. Management is currently evaluating the Company’s lease contracts and assessing the impact of the adoption of policy elections and practical expedients prescribed by the guidance. Management does not expect the adoption of this guidance to have a material impact on the Company’s consolidated financial statements.</w:t>
      </w:r>
    </w:p>
    <w:p>
      <w:pPr>
        <w:spacing w:after="0" w:line="3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8"/>
          <w:szCs w:val="18"/>
          <w:b w:val="1"/>
          <w:bCs w:val="1"/>
          <w:color w:val="auto"/>
        </w:rPr>
        <w:t>REVENUE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Revenue Guidance</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New authoritative accounting guidance for revenue was adopted by the Company effective January 1, 2018 using the modified retrospective approach. Current period results are presented in conformity with the new authoritative accounting guidance, while prior period results are presented in conformity with prior accounting guidance.</w:t>
      </w:r>
    </w:p>
    <w:p>
      <w:pPr>
        <w:spacing w:after="0" w:line="18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In accordance with the modified retrospective approach, the Company recorded a one-time adjustment related to sales of Extended Transmission Coverage (“ETC”) contracts open as of the date of adoption, which increased opening retained earnings by $5 million, net of tax, and decreased current deferred revenue by $2 million and non-current deferred revenue by $4 million as of January 1, 2018.</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three months ended June 30, 2018, neither net sales nor deferred revenue were impacted by the application of this guidance. During the six months ended June 30, 2018, the Company increased net sales by $1 million, and decreased non-current deferred revenue by $1 million, compared to prior accounting guidance, as a result of how the Company allocates revenue to the ETC performance obligation in certain contracts under the new authoritative accounting guidance for revenue.</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Under the new authoritative accounting guidance, revenue is recognized as each distinct performance obligation within a contract is satisfied. A performance obligation is a promise in a contract to transfer a distinct good or service to the customer. The Company enters into long-term supply agreements (“LTSAs”) and distributor agreements with certain customers. The LTSAs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5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Many of the Company’s contracts have a single performance obligation, as the promise to transfer the individual good or service is not separately identifiable from other promises in the contracts and is, therefore, not distinct. Some of our contracts have multiple performance obligations, most commonly the sale of both a transmission and ETC. For contracts with multiple performance obligations, the Company allocates the contract’s transaction price to each performance obligation using a ratable allocation based on the standalone selling price of each distinct good or service in the contract.</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Due to the typically short duration of purchase orders and minimal number of open contracts with variable consideration at any point in time, the impact of variable consideration is immaterial. If it were to become material, the Company would explain the methods, assumptions and estimates used to determine the consideration allocated to each performance obligation. The Company estimates the impact of all other incentives based on the related sales and market conditions in the end market vocation.</w:t>
      </w:r>
    </w:p>
    <w:p>
      <w:pPr>
        <w:spacing w:after="0" w:line="178"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June 30, 2018 and December 31, 2017. See Note J, “Deferred Revenue” for more information including the amount of revenue earned during the three and six months ended June 30, 2018 that had been previously deferred. The Company does not have contract assets.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fully automatic transmissions. The following presents disaggregated revenue by categories that best depict how the nature, amount, timing and uncertainty of revenue and cash flows are affected by economic factors (dollars in millions):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300" w:type="dxa"/>
            <w:vAlign w:val="bottom"/>
            <w:gridSpan w:val="3"/>
          </w:tcPr>
          <w:p>
            <w:pPr>
              <w:jc w:val="center"/>
              <w:ind w:left="1259"/>
              <w:spacing w:after="0" w:line="149" w:lineRule="exact"/>
              <w:rPr>
                <w:sz w:val="20"/>
                <w:szCs w:val="20"/>
                <w:color w:val="auto"/>
              </w:rPr>
            </w:pPr>
            <w:r>
              <w:rPr>
                <w:rFonts w:ascii="Arial" w:cs="Arial" w:eastAsia="Arial" w:hAnsi="Arial"/>
                <w:sz w:val="14"/>
                <w:szCs w:val="14"/>
                <w:b w:val="1"/>
                <w:bCs w:val="1"/>
                <w:color w:val="auto"/>
                <w:w w:val="90"/>
              </w:rPr>
              <w:t>ended June 30,</w:t>
            </w:r>
          </w:p>
        </w:tc>
        <w:tc>
          <w:tcPr>
            <w:tcW w:w="1820" w:type="dxa"/>
            <w:vAlign w:val="bottom"/>
            <w:gridSpan w:val="4"/>
          </w:tcPr>
          <w:p>
            <w:pPr>
              <w:ind w:left="840"/>
              <w:spacing w:after="0" w:line="149" w:lineRule="exact"/>
              <w:rPr>
                <w:sz w:val="20"/>
                <w:szCs w:val="20"/>
                <w:color w:val="auto"/>
              </w:rPr>
            </w:pPr>
            <w:r>
              <w:rPr>
                <w:rFonts w:ascii="Arial" w:cs="Arial" w:eastAsia="Arial" w:hAnsi="Arial"/>
                <w:sz w:val="14"/>
                <w:szCs w:val="14"/>
                <w:b w:val="1"/>
                <w:bCs w:val="1"/>
                <w:color w:val="auto"/>
                <w:w w:val="94"/>
              </w:rPr>
              <w:t>ended June 30,</w:t>
            </w:r>
          </w:p>
        </w:tc>
      </w:tr>
      <w:tr>
        <w:trPr>
          <w:trHeight w:val="171"/>
        </w:trPr>
        <w:tc>
          <w:tcPr>
            <w:tcW w:w="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2018</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North America Off-Highway</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Defense</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Outside North America On-Highway</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Outside North America Off-Highway</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Service Parts, Support Equipment and Other</w:t>
            </w:r>
          </w:p>
        </w:tc>
        <w:tc>
          <w:tcPr>
            <w:tcW w:w="1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Disaggregated revenue by end market is further described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North America On-Highway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Revenue from the North America On-Highway end market is driven by the sale of transmissions to original equipment manufacturers (“OEMs”), distributors and dealers that install the transmission into Class 4-5, Class 6-7 and Class 8 straight trucks and metro tractors, conventional transit, shuttle and coach buses, school buses and motorhome applications. Revenue from the North America On-Highway end market also includes the sale of electric hybrid-propulsion systems for transit bus. Revenue is recognized at the point in time when control passes to the customer, which is based on shipping terms when the order is fulfilled by the Company.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North America Off-Highway</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Defense</w:t>
      </w:r>
    </w:p>
    <w:p>
      <w:pPr>
        <w:spacing w:after="0" w:line="11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Revenue from the Defense end market is driven by sales of transmissions to the U.S. Government or its contractors and sales to certain government contractors outside of North America for use in both wheeled and tracked defense vehicle applications. Revenue is recognized at the point in time when control passes to the customer, which is based on shipping terms when the order is fulfilled by the Company.</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Outside North America On-Highway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Revenue from the Outside North America On-Highway end market is driven by the sale of transmissions to OEMs and distributors that produce vehicles for commercial users in medium and heavy duty applications. Revenue is recognized at the point in time when control passes to the customer, which is based on shipping terms when the order is fulfilled by the Company.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Outside North America Off-Highway</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 Parts, Support Equipment and Other</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Revenue from the Service Parts, Support Equipment and Other end market is primarily derived from the sale of transmission parts and fluid purchased for the normal maintenance and repair needs of products in service and the sale of ETC contracts which extend the warranty coverages of transmissions beyond the standard warranty period.</w:t>
      </w:r>
    </w:p>
    <w:p>
      <w:pPr>
        <w:spacing w:after="0" w:line="154"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Revenue is recognized on sales of service parts and support equipment at the point in time when control passes to the customer, which is based on shipping terms when the order is fulfilled by the Company.</w:t>
      </w:r>
    </w:p>
    <w:p>
      <w:pPr>
        <w:spacing w:after="0" w:line="13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sold in one to five 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NOTE D.</w:t>
            </w:r>
          </w:p>
        </w:tc>
        <w:tc>
          <w:tcPr>
            <w:tcW w:w="58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INVENTORIES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760" w:type="dxa"/>
            <w:vAlign w:val="bottom"/>
            <w:gridSpan w:val="3"/>
          </w:tcPr>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660" w:type="dxa"/>
            <w:vAlign w:val="bottom"/>
            <w:gridSpan w:val="3"/>
          </w:tcPr>
          <w:p>
            <w:pPr>
              <w:ind w:left="1140"/>
              <w:spacing w:after="0"/>
              <w:rPr>
                <w:sz w:val="20"/>
                <w:szCs w:val="20"/>
                <w:color w:val="auto"/>
              </w:rPr>
            </w:pPr>
            <w:r>
              <w:rPr>
                <w:rFonts w:ascii="Arial" w:cs="Arial" w:eastAsia="Arial" w:hAnsi="Arial"/>
                <w:sz w:val="14"/>
                <w:szCs w:val="14"/>
                <w:b w:val="1"/>
                <w:bCs w:val="1"/>
                <w:color w:val="auto"/>
                <w:w w:val="89"/>
              </w:rPr>
              <w:t>June 30,</w:t>
            </w:r>
          </w:p>
        </w:tc>
        <w:tc>
          <w:tcPr>
            <w:tcW w:w="1640" w:type="dxa"/>
            <w:vAlign w:val="bottom"/>
            <w:gridSpan w:val="4"/>
          </w:tcPr>
          <w:p>
            <w:pPr>
              <w:ind w:left="7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Work in progress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Finished goods</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K, “Other Current Liabilities” for more information.</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2018 and December 31, 2017, the carrying amount of the Company’s Goodwill was $1,941 million.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6"/>
              </w:rPr>
              <w:t>December 31, 2017</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Intangible</w:t>
            </w:r>
          </w:p>
        </w:tc>
        <w:tc>
          <w:tcPr>
            <w:tcW w:w="180" w:type="dxa"/>
            <w:vAlign w:val="bottom"/>
          </w:tcPr>
          <w:p>
            <w:pPr>
              <w:spacing w:after="0"/>
              <w:rPr>
                <w:sz w:val="10"/>
                <w:szCs w:val="10"/>
                <w:color w:val="auto"/>
              </w:rPr>
            </w:pP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Intangible</w:t>
            </w:r>
          </w:p>
        </w:tc>
        <w:tc>
          <w:tcPr>
            <w:tcW w:w="60" w:type="dxa"/>
            <w:vAlign w:val="bottom"/>
          </w:tcPr>
          <w:p>
            <w:pPr>
              <w:spacing w:after="0"/>
              <w:rPr>
                <w:sz w:val="10"/>
                <w:szCs w:val="10"/>
                <w:color w:val="auto"/>
              </w:rPr>
            </w:pPr>
          </w:p>
        </w:tc>
      </w:tr>
      <w:tr>
        <w:trPr>
          <w:trHeight w:val="171"/>
        </w:trPr>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8"/>
              </w:rPr>
              <w:t>assets, gross</w:t>
            </w: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net</w:t>
            </w: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9"/>
              </w:rPr>
              <w:t>assets, gross</w:t>
            </w:r>
          </w:p>
        </w:tc>
        <w:tc>
          <w:tcPr>
            <w:tcW w:w="2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1"/>
              </w:rPr>
              <w:t>assets, net</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Trade name</w:t>
            </w:r>
          </w:p>
        </w:tc>
        <w:tc>
          <w:tcPr>
            <w:tcW w:w="136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790</w:t>
            </w:r>
          </w:p>
        </w:tc>
        <w:tc>
          <w:tcPr>
            <w:tcW w:w="4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790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790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commercial</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Proprietary technology</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Patented technology — defense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Tooling rights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(1,101)</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2,210</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1,153</w:t>
            </w:r>
          </w:p>
        </w:tc>
      </w:tr>
      <w:tr>
        <w:trPr>
          <w:trHeight w:val="20"/>
        </w:trPr>
        <w:tc>
          <w:tcPr>
            <w:tcW w:w="3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As of June 30, 2018 and December 31, 2017, the net carrying value of the Company’s Goodwill and Other intangible assets, net was $3,050 million and $3,094 million, respectively.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5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$ 86</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820" w:type="dxa"/>
            <w:vAlign w:val="bottom"/>
            <w:vMerge w:val="restart"/>
          </w:tcPr>
          <w:p>
            <w:pPr>
              <w:jc w:val="right"/>
              <w:ind w:right="2539"/>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F.</w:t>
      </w:r>
      <w:r>
        <w:rPr>
          <w:sz w:val="20"/>
          <w:szCs w:val="20"/>
          <w:color w:val="auto"/>
        </w:rPr>
        <w:tab/>
      </w: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2018 and December 31, 2017, the Company did not have any Level 3 financial assets or liabilities.</w:t>
      </w:r>
    </w:p>
    <w:p>
      <w:pPr>
        <w:spacing w:after="0" w:line="17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Condensed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June 30, 2018 and December 31, 2017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2"/>
              </w:rPr>
              <w:t>Fair Value Measurements Using</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gridSpan w:val="7"/>
            <w:vMerge w:val="restart"/>
          </w:tcPr>
          <w:p>
            <w:pPr>
              <w:jc w:val="center"/>
              <w:ind w:right="58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4"/>
              </w:rPr>
              <w:t>Observable Inputs (Level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June 30,</w:t>
            </w:r>
          </w:p>
        </w:tc>
        <w:tc>
          <w:tcPr>
            <w:tcW w:w="980" w:type="dxa"/>
            <w:vAlign w:val="bottom"/>
            <w:tcBorders>
              <w:top w:val="single" w:sz="8" w:color="auto"/>
            </w:tcBorders>
            <w:gridSpan w:val="4"/>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6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2018</w:t>
            </w:r>
          </w:p>
        </w:tc>
        <w:tc>
          <w:tcPr>
            <w:tcW w:w="5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2018</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Rabbi trust assets</w:t>
            </w:r>
          </w:p>
        </w:tc>
        <w:tc>
          <w:tcPr>
            <w:tcW w:w="1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w:t>
            </w:r>
          </w:p>
        </w:tc>
        <w:tc>
          <w:tcPr>
            <w:tcW w:w="6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obligation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w:t>
            </w:r>
          </w:p>
        </w:tc>
        <w:tc>
          <w:tcPr>
            <w:tcW w:w="6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NOTE G.</w:t>
            </w:r>
          </w:p>
        </w:tc>
        <w:tc>
          <w:tcPr>
            <w:tcW w:w="36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20" w:type="dxa"/>
            <w:vAlign w:val="bottom"/>
            <w:vMerge w:val="continue"/>
          </w:tcPr>
          <w:p>
            <w:pPr>
              <w:spacing w:after="0"/>
              <w:rPr>
                <w:sz w:val="24"/>
                <w:szCs w:val="24"/>
                <w:color w:val="auto"/>
              </w:rPr>
            </w:pPr>
          </w:p>
        </w:tc>
        <w:tc>
          <w:tcPr>
            <w:tcW w:w="3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5"/>
          </w:tcPr>
          <w:p>
            <w:pPr>
              <w:ind w:left="460"/>
              <w:spacing w:after="0"/>
              <w:rPr>
                <w:sz w:val="20"/>
                <w:szCs w:val="20"/>
                <w:color w:val="auto"/>
              </w:rPr>
            </w:pPr>
            <w:r>
              <w:rPr>
                <w:rFonts w:ascii="Arial" w:cs="Arial" w:eastAsia="Arial" w:hAnsi="Arial"/>
                <w:sz w:val="18"/>
                <w:szCs w:val="18"/>
                <w:color w:val="auto"/>
                <w:w w:val="99"/>
              </w:rPr>
              <w:t>Long-term debt and maturities are as follows (dollars in millions):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5"/>
          </w:tcPr>
          <w:p>
            <w:pPr>
              <w:jc w:val="center"/>
              <w:ind w:right="162"/>
              <w:spacing w:after="0"/>
              <w:rPr>
                <w:sz w:val="20"/>
                <w:szCs w:val="20"/>
                <w:color w:val="auto"/>
              </w:rPr>
            </w:pPr>
            <w:r>
              <w:rPr>
                <w:rFonts w:ascii="Arial" w:cs="Arial" w:eastAsia="Arial" w:hAnsi="Arial"/>
                <w:sz w:val="14"/>
                <w:szCs w:val="14"/>
                <w:b w:val="1"/>
                <w:bCs w:val="1"/>
                <w:color w:val="auto"/>
                <w:w w:val="90"/>
              </w:rPr>
              <w:t>December 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00" w:type="dxa"/>
            <w:vAlign w:val="bottom"/>
            <w:gridSpan w:val="5"/>
          </w:tcPr>
          <w:p>
            <w:pPr>
              <w:spacing w:after="0"/>
              <w:rPr>
                <w:sz w:val="20"/>
                <w:szCs w:val="20"/>
                <w:color w:val="auto"/>
              </w:rPr>
            </w:pPr>
            <w:r>
              <w:rPr>
                <w:rFonts w:ascii="Arial" w:cs="Arial" w:eastAsia="Arial" w:hAnsi="Arial"/>
                <w:sz w:val="18"/>
                <w:szCs w:val="18"/>
                <w:color w:val="auto"/>
              </w:rPr>
              <w:t>Senior Secured Credit Facility Term B-3 Loan, variable, due 2022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1,148</w:t>
            </w:r>
          </w:p>
        </w:tc>
        <w:tc>
          <w:tcPr>
            <w:tcW w:w="100" w:type="dxa"/>
            <w:vAlign w:val="bottom"/>
          </w:tcPr>
          <w:p>
            <w:pPr>
              <w:spacing w:after="0"/>
              <w:rPr>
                <w:sz w:val="18"/>
                <w:szCs w:val="18"/>
                <w:color w:val="auto"/>
              </w:rPr>
            </w:pPr>
          </w:p>
        </w:tc>
        <w:tc>
          <w:tcPr>
            <w:tcW w:w="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1,176</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Senior Notes, fixed 5.0%, due 2024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1,000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Senior Notes, fixed 4.75%, due 2027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2,548</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2,576</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Total long-term debt, net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2,534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As of June 30, 2018, the Company had $2,548 million of indebtedness associated with Allison Transmission, Inc.’s (“ATI”), the Company’s wholly-owned subsidiary, 5.0% Senior Notes due September 2024 (“5.0% Senior Notes”), ATI’s 4.75% Senior Notes due October 2027 (“4.75% Senior Notes”) and ATI’s Senior Secured Credit Facility (“Senior Secured Credit Facility”), which consists of the Senior Secured Credit Facility Term B-3 Loan due 2022 (“Term B-3 Loan”) and the Senior Secured Credit Facility revolving credit facility due 2021 (“Revolving Credit Facility”).</w:t>
      </w:r>
    </w:p>
    <w:p>
      <w:pPr>
        <w:spacing w:after="0" w:line="17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fair value of the Company’s long-term debt obligations as of June 30, 2018 was $2,507 million. The fair value is based on quoted Level 2 market prices of the Company’s debt as of June 30, 2018. It is not expected that the Company would be able to repurchase all of its debt at these levels. The difference between the fair value and carrying value of the long-term debt is driven primarily by trends in the financial markets.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March 2017, ATI entered into an amendment with the term loan lenders under its Senior Secured Credit Facility to lower the applicable margins on the Term B-3 Loan by 0.5%. The amendment also eliminated the minimum LIBOR floor and reduced the minimum floor applicable to the base rate from</w:t>
      </w:r>
    </w:p>
    <w:p>
      <w:pPr>
        <w:ind w:right="300"/>
        <w:spacing w:after="0" w:line="261" w:lineRule="auto"/>
        <w:rPr>
          <w:sz w:val="20"/>
          <w:szCs w:val="20"/>
          <w:color w:val="auto"/>
        </w:rPr>
      </w:pPr>
      <w:r>
        <w:rPr>
          <w:rFonts w:ascii="Arial" w:cs="Arial" w:eastAsia="Arial" w:hAnsi="Arial"/>
          <w:sz w:val="18"/>
          <w:szCs w:val="18"/>
          <w:color w:val="auto"/>
        </w:rPr>
        <w:t>1.75% to 1.00% on the Term B-3 Loan. The March 2017 amendment was treated as a modification to the Senior Secured Credit Facility under GAAP, and thus the Company recorded $1 million as new deferred financing fees.</w:t>
      </w:r>
    </w:p>
    <w:p>
      <w:pPr>
        <w:spacing w:after="0" w:line="18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September 2017, ATI entered into a joinder agreement with the lenders under its Senior Secured Credit Facility to increase the available commitments under the Revolving Credit Facility from $450 million to $550 million. The joinder agreement was treated as a modification to the Revolving Credit Facility under GAAP.</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March 2018, ATI entered into an amendment with the term loan lenders under its Senior Secured Credit Facility to lower the applicable margins on the Term B-3 Loan by 0.25%. The March 2018 amendment was treated as a modification to the Senior Secured Credit Facility under GAAP, and thus the Company recorded $1 million as new deferred financing fees.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June 30, 2018, is either (a) 1.75% over the LIBOR or (b) 0.75% over the greater of the prime lending rate as quoted by the administrative agent and the federal funds effective rate published by the Federal Reserve Bank of New York plus 0.5%, provided that neither is below</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1.00%. As of June 30, 2018, the Company elected to pay the lowest all-in rate of LIBOR plus the applicable margin, or 3.85%,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through its maturity date of September 2022 is $3 million; however, the Company made voluntary prepayments of the required quarterly principal payments of $25 million during the quarter ended June 30, 2018. As of June 30, 2018, there were no payments required for certain net cash proceeds of non-ordinary course asset sales and casualty and condemnation events. The remaining principal balance is due upon maturity.</w:t>
      </w:r>
    </w:p>
    <w:p>
      <w:pPr>
        <w:spacing w:after="0" w:line="19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As of June 30, 2018, the Company had $533 million available under the Revolving Credit Facility, net of $17 million in letters of credit. Revolving Credit Facility borrowings bear interest at a variable base rate plus an applicable margin based on the Company’s total leverage ratio. Interest on the Revolving Credit Facility is either (a) 1.75% over the LIBOR or (b) 0.75% over the greater of the prime lending rate in effect on such day and the federal funds effective rate published by the Federal Reserve Bank of New York plus 0.5%, provided that neither is below 1.75%. In addition, there is an annual commitment fee, based on the Company’s total leverage ratio, on the average unused revolving credit borrowings available under the Revolving Credit Facility. Revolving Credit Facility borrowings are payable at the option of the Company throughout the term of the Senior Secured Credit Facility with the balance due in September 2021.</w:t>
      </w:r>
    </w:p>
    <w:p>
      <w:pPr>
        <w:spacing w:after="0" w:line="19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of 5.50x when revolving loan commitments remain outstanding on the Revolving Credit Facility at the end of a fiscal quarter. As of June 30, 2018, the Company had no amounts outstanding under the Revolving Credit Facility; however, the Company would have been in compliance with the maximum total senior secured leverage ratio, achieving a 1.03x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remain in effect as long as the Company achieves a total leverage ratio at or below the related threshold. As of June 30, 2018, the Company’s total leverage ratio was 2.40x.</w:t>
      </w:r>
    </w:p>
    <w:p>
      <w:pPr>
        <w:spacing w:after="0" w:line="16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June 30, 2018, the Company was in compliance with all covenants under the Senior Secured Credit Facility.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5.0% Senior Notes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2018, the Company was in compliance with all covenants under the indenture governing the 5.0% Senior Notes.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4.75% Senior Notes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2018, the Company was in compliance with all covenants under the indenture governing the 4.75% Senior Notes.</w:t>
      </w:r>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H.</w:t>
      </w:r>
      <w:r>
        <w:rPr>
          <w:sz w:val="20"/>
          <w:szCs w:val="20"/>
          <w:color w:val="auto"/>
        </w:rPr>
        <w:tab/>
      </w: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swaps that are based on the LIBOR to manage a portion of this exposure. The derivative instruments are not for speculative purposes and are designated as cash flow hedges.</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holds interest rate swaps designated as cash flow hedges that qualify for hedge accounting under the hypothetical derivative method. Fair value adjustments are recorded as a component of accumulated other comprehensive loss (“AOCL”) in the Condensed Consolidated Balance Sheets. Balances in AOCL are reclassified to other comprehensive income when transactions related to the underlying risk are settled. As of June 30, 2018, the Company held interest rate swaps effective from September 2019 to September 2022 with notional values totaling $250 million and a weighted average LIBOR fixed rate of 3.01% and interest rate swaps effective from September 2019 to September 2025 with notional values totaling $250 million and a weighted average LIBOR fixed rate of 3.04%. See NOTE F “Fair Value of Financial Instruments” for information regarding the fair value of the Company’s interest rate swaps.</w:t>
      </w:r>
    </w:p>
    <w:p>
      <w:pPr>
        <w:spacing w:after="0" w:line="16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June 30, 2018</w:t>
            </w: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20" w:type="dxa"/>
            <w:vAlign w:val="bottom"/>
          </w:tcPr>
          <w:p>
            <w:pPr>
              <w:ind w:left="380"/>
              <w:spacing w:after="0" w:line="155" w:lineRule="exact"/>
              <w:rPr>
                <w:sz w:val="20"/>
                <w:szCs w:val="20"/>
                <w:color w:val="auto"/>
              </w:rPr>
            </w:pPr>
            <w:r>
              <w:rPr>
                <w:rFonts w:ascii="Arial" w:cs="Arial" w:eastAsia="Arial" w:hAnsi="Arial"/>
                <w:sz w:val="14"/>
                <w:szCs w:val="14"/>
                <w:b w:val="1"/>
                <w:bCs w:val="1"/>
                <w:color w:val="auto"/>
              </w:rPr>
              <w:t>Balance Sheet Location</w:t>
            </w:r>
          </w:p>
        </w:tc>
        <w:tc>
          <w:tcPr>
            <w:tcW w:w="1120" w:type="dxa"/>
            <w:vAlign w:val="bottom"/>
            <w:gridSpan w:val="3"/>
          </w:tcPr>
          <w:p>
            <w:pPr>
              <w:ind w:left="480"/>
              <w:spacing w:after="0" w:line="155" w:lineRule="exact"/>
              <w:rPr>
                <w:sz w:val="20"/>
                <w:szCs w:val="20"/>
                <w:color w:val="auto"/>
              </w:rPr>
            </w:pPr>
            <w:r>
              <w:rPr>
                <w:rFonts w:ascii="Arial" w:cs="Arial" w:eastAsia="Arial" w:hAnsi="Arial"/>
                <w:sz w:val="14"/>
                <w:szCs w:val="14"/>
                <w:b w:val="1"/>
                <w:bCs w:val="1"/>
                <w:color w:val="auto"/>
                <w:w w:val="92"/>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76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2980" w:type="dxa"/>
            <w:vAlign w:val="bottom"/>
            <w:gridSpan w:val="2"/>
          </w:tcPr>
          <w:p>
            <w:pPr>
              <w:ind w:left="760"/>
              <w:spacing w:after="0"/>
              <w:rPr>
                <w:sz w:val="20"/>
                <w:szCs w:val="20"/>
                <w:color w:val="auto"/>
              </w:rPr>
            </w:pPr>
            <w:r>
              <w:rPr>
                <w:rFonts w:ascii="Arial" w:cs="Arial" w:eastAsia="Arial" w:hAnsi="Arial"/>
                <w:sz w:val="18"/>
                <w:szCs w:val="18"/>
                <w:color w:val="auto"/>
              </w:rPr>
              <w:t>Other non-current liabilities</w:t>
            </w:r>
          </w:p>
        </w:tc>
        <w:tc>
          <w:tcPr>
            <w:tcW w:w="7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7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balance of losses recorded in AOCL as of June 30, 2018 was $2 million. See NOTE N “Accumulated Other Comprehensive Loss” for information regarding activity recorded as a component of AOCL during the three and six months ended June 30, 2018. The Company had no losses recorded in accumulated other comprehensive loss expected to be reclassified to other comprehensive income within the next twelve months as of June 30, 2018.</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8"/>
          <w:szCs w:val="18"/>
          <w:b w:val="1"/>
          <w:bCs w:val="1"/>
          <w:color w:val="auto"/>
        </w:rPr>
        <w:t>PRODUCT WARRANTY LIABILITIES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June 30, 2018, the current and non-current product warranty liabilities were $28 million and $37 million, respectively. As of June 30, 2017, the current and non-current product warranty liabilities were $21 million and $34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2018</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J.</w:t>
      </w:r>
      <w:r>
        <w:rPr>
          <w:sz w:val="20"/>
          <w:szCs w:val="20"/>
          <w:color w:val="auto"/>
        </w:rPr>
        <w:tab/>
      </w: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June 30, 2018, current and non-current deferred revenue was $38 million and $87 million, respectively. As of June 30, 2017, the current and non-current deferred revenue was $28 million and $68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activity consists of the following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71"/>
        </w:trPr>
        <w:tc>
          <w:tcPr>
            <w:tcW w:w="5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2018</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96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Deferred revenue recorded in current and non-current liabilities related to ETC contracts as of June 30, 2018 was $29 million and $71 million, respectively. Deferred revenue recorded in current and non-current liabilities related to ETC contracts as of June 30, 2017 was $27 million and $68 million,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K.</w:t>
      </w:r>
      <w:r>
        <w:rPr>
          <w:sz w:val="20"/>
          <w:szCs w:val="20"/>
          <w:color w:val="auto"/>
        </w:rPr>
        <w:tab/>
      </w: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1"/>
              </w:rPr>
              <w:t>As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left="199"/>
              <w:spacing w:after="0" w:line="149"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156"/>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Sales allowances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Defense price reduction reserve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UAW Local 933 retirement incentive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Non-trade payables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166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L.</w:t>
            </w:r>
          </w:p>
        </w:tc>
        <w:tc>
          <w:tcPr>
            <w:tcW w:w="36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EMPLOYEE BENEFIT PLANS</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20" w:type="dxa"/>
            <w:vAlign w:val="bottom"/>
            <w:gridSpan w:val="2"/>
            <w:vMerge w:val="continue"/>
          </w:tcPr>
          <w:p>
            <w:pPr>
              <w:spacing w:after="0"/>
              <w:rPr>
                <w:sz w:val="24"/>
                <w:szCs w:val="24"/>
                <w:color w:val="auto"/>
              </w:rPr>
            </w:pPr>
          </w:p>
        </w:tc>
        <w:tc>
          <w:tcPr>
            <w:tcW w:w="3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11"/>
          </w:tcPr>
          <w:p>
            <w:pPr>
              <w:ind w:left="460"/>
              <w:spacing w:after="0"/>
              <w:rPr>
                <w:sz w:val="20"/>
                <w:szCs w:val="20"/>
                <w:color w:val="auto"/>
              </w:rPr>
            </w:pPr>
            <w:r>
              <w:rPr>
                <w:rFonts w:ascii="Arial" w:cs="Arial" w:eastAsia="Arial" w:hAnsi="Arial"/>
                <w:sz w:val="18"/>
                <w:szCs w:val="18"/>
                <w:color w:val="auto"/>
                <w:w w:val="95"/>
              </w:rPr>
              <w:t>Components of net periodic benefit cost (credit) consist of the following (dollars in millions):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87"/>
              </w:rPr>
              <w:t>Pension Plans</w:t>
            </w:r>
          </w:p>
        </w:tc>
        <w:tc>
          <w:tcPr>
            <w:tcW w:w="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4"/>
                <w:szCs w:val="14"/>
                <w:b w:val="1"/>
                <w:bCs w:val="1"/>
                <w:color w:val="auto"/>
                <w:w w:val="91"/>
              </w:rPr>
              <w:t>Post-retirement Benefits</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6"/>
          </w:tcPr>
          <w:p>
            <w:pPr>
              <w:jc w:val="center"/>
              <w:ind w:right="53"/>
              <w:spacing w:after="0" w:line="119" w:lineRule="exact"/>
              <w:rPr>
                <w:sz w:val="20"/>
                <w:szCs w:val="20"/>
                <w:color w:val="auto"/>
              </w:rPr>
            </w:pPr>
            <w:r>
              <w:rPr>
                <w:rFonts w:ascii="Arial" w:cs="Arial" w:eastAsia="Arial" w:hAnsi="Arial"/>
                <w:sz w:val="13"/>
                <w:szCs w:val="13"/>
                <w:b w:val="1"/>
                <w:bCs w:val="1"/>
                <w:color w:val="auto"/>
                <w:w w:val="98"/>
              </w:rPr>
              <w:t>Three months ended June 30,</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gridSpan w:val="7"/>
          </w:tcPr>
          <w:p>
            <w:pPr>
              <w:jc w:val="center"/>
              <w:ind w:left="94"/>
              <w:spacing w:after="0" w:line="119" w:lineRule="exact"/>
              <w:rPr>
                <w:sz w:val="20"/>
                <w:szCs w:val="20"/>
                <w:color w:val="auto"/>
              </w:rPr>
            </w:pPr>
            <w:r>
              <w:rPr>
                <w:rFonts w:ascii="Arial" w:cs="Arial" w:eastAsia="Arial" w:hAnsi="Arial"/>
                <w:sz w:val="13"/>
                <w:szCs w:val="13"/>
                <w:b w:val="1"/>
                <w:bCs w:val="1"/>
                <w:color w:val="auto"/>
                <w:w w:val="98"/>
              </w:rPr>
              <w:t>Three months ended June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1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5"/>
          </w:tcPr>
          <w:p>
            <w:pPr>
              <w:jc w:val="right"/>
              <w:ind w:right="545"/>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periodic benefit cost (credit)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3"/>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87"/>
              </w:rPr>
              <w:t>Pension Plans</w:t>
            </w:r>
          </w:p>
        </w:tc>
        <w:tc>
          <w:tcPr>
            <w:tcW w:w="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4"/>
                <w:szCs w:val="14"/>
                <w:b w:val="1"/>
                <w:bCs w:val="1"/>
                <w:color w:val="auto"/>
                <w:w w:val="91"/>
              </w:rPr>
              <w:t>Post-retirement Benefits</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6"/>
          </w:tcPr>
          <w:p>
            <w:pPr>
              <w:jc w:val="center"/>
              <w:ind w:right="53"/>
              <w:spacing w:after="0" w:line="119" w:lineRule="exact"/>
              <w:rPr>
                <w:sz w:val="20"/>
                <w:szCs w:val="20"/>
                <w:color w:val="auto"/>
              </w:rPr>
            </w:pPr>
            <w:r>
              <w:rPr>
                <w:rFonts w:ascii="Arial" w:cs="Arial" w:eastAsia="Arial" w:hAnsi="Arial"/>
                <w:sz w:val="13"/>
                <w:szCs w:val="13"/>
                <w:b w:val="1"/>
                <w:bCs w:val="1"/>
                <w:color w:val="auto"/>
                <w:w w:val="97"/>
              </w:rPr>
              <w:t>Six months ended June 30,</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2018</w:t>
            </w:r>
          </w:p>
        </w:tc>
        <w:tc>
          <w:tcPr>
            <w:tcW w:w="1780" w:type="dxa"/>
            <w:vAlign w:val="bottom"/>
            <w:gridSpan w:val="5"/>
          </w:tcPr>
          <w:p>
            <w:pPr>
              <w:jc w:val="center"/>
              <w:ind w:right="50"/>
              <w:spacing w:after="0" w:line="119" w:lineRule="exact"/>
              <w:rPr>
                <w:sz w:val="20"/>
                <w:szCs w:val="20"/>
                <w:color w:val="auto"/>
              </w:rPr>
            </w:pPr>
            <w:r>
              <w:rPr>
                <w:rFonts w:ascii="Arial" w:cs="Arial" w:eastAsia="Arial" w:hAnsi="Arial"/>
                <w:sz w:val="13"/>
                <w:szCs w:val="13"/>
                <w:b w:val="1"/>
                <w:bCs w:val="1"/>
                <w:color w:val="auto"/>
                <w:w w:val="97"/>
              </w:rPr>
              <w:t>Six months ended June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0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1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5"/>
          </w:tcPr>
          <w:p>
            <w:pPr>
              <w:jc w:val="right"/>
              <w:ind w:right="545"/>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periodic benefit cost (credit)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3"/>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The components of net periodic benefit costs other than the service cost component are included in other income (expense), net in the Condensed Consolidated Statements of Comprehensive Income.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240" w:top="45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the three and six months ended June 30, 2018, the Company recorded total tax expense of $48 million and $88 million, respectively. The effective tax rate for the three and six months ended June 30, 2018 was 22% and 21%, respectively. For the three and six months ended June 30, 2017, the Company recorded total tax expense of $51 million and $95 million, respectively. The effective tax rate for both the three and six months ended June 30, 2017 was 35%. The decrease in the effective tax rate was principally driven by the U.S. Tax Cuts and Jobs Act enacted into law in 2017.</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2017, the SEC issued Staff Accounting Bulletin No. 118 (“SAB 118”), which provides guidance on accounting for the tax effects of the U.S. Tax Cuts and Jobs Act. The Company recognized the income tax effects of the U.S. Tax Cuts and Jobs Act for the year ended December 31, 2017, the reporting period in which the U.S. Tax Cuts and Jobs Act was signed into law, in accordance with SAB 118. As such, the Company’s financial results reflect the income tax effects of the U.S. Tax Cuts and Jobs Act and provisional amounts for those specific income tax effects of the U.S. Tax Cuts and Jobs Act that could be reasonably estimated. During both the three and six months ended June 30, 2018, there were no changes made to the provisional amounts recognized in 2017. The Company will continue to analyze the effects of the U.S. Tax Cuts and Jobs Act and any impact on its financial statements will be recorded in the period identified.</w:t>
      </w:r>
    </w:p>
    <w:p>
      <w:pPr>
        <w:spacing w:after="0" w:line="18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accordance with the FASB’s authoritative guidance on accounting for uncertainty in income taxes, the Company has recorded a liability for unrecognized tax benefits related to a 2010 Research &amp; Development Credit as of June 30, 2018 and December 31, 2017. The accounting guidance prescribes a recognition threshold and measurement attributes for the financial statement recognition and measurement of a tax position taken or expected to be taken in a tax return. All of the Company’s returns will remain subject to examination by the various taxing authorities for the duration of the applicable statute of limitations (generally three years from the later of the date of filing or the due date of the return).</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Available-for-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Derivatives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designated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0"/>
              </w:rPr>
              <w:t>sale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for hedge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pension items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accounting</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7"/>
              </w:rPr>
              <w:t>items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AOCL as of March 31, 2017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AOCL as of June 30, 2017</w:t>
            </w: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AOCL as of March 31, 2018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AOCL as of June 30, 2018</w:t>
            </w: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ind w:left="780"/>
              <w:spacing w:after="0"/>
              <w:rPr>
                <w:sz w:val="20"/>
                <w:szCs w:val="20"/>
                <w:color w:val="auto"/>
              </w:rPr>
            </w:pPr>
            <w:r>
              <w:rPr>
                <w:rFonts w:ascii="Arial" w:cs="Arial" w:eastAsia="Arial" w:hAnsi="Arial"/>
                <w:sz w:val="18"/>
                <w:szCs w:val="18"/>
                <w:b w:val="1"/>
                <w:bCs w:val="1"/>
                <w:color w:val="auto"/>
              </w:rPr>
              <w:t>(2)</w:t>
            </w:r>
          </w:p>
        </w:tc>
        <w:tc>
          <w:tcPr>
            <w:tcW w:w="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Six months ended</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6"/>
              </w:rPr>
              <w:t>Available-for-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Defined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Derivatives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designated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0"/>
              </w:rPr>
              <w:t>sale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benefit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for hedge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w w:val="87"/>
              </w:rPr>
              <w:t>pension items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53"/>
              <w:spacing w:after="0"/>
              <w:rPr>
                <w:sz w:val="20"/>
                <w:szCs w:val="20"/>
                <w:color w:val="auto"/>
              </w:rPr>
            </w:pPr>
            <w:r>
              <w:rPr>
                <w:rFonts w:ascii="Arial" w:cs="Arial" w:eastAsia="Arial" w:hAnsi="Arial"/>
                <w:sz w:val="14"/>
                <w:szCs w:val="14"/>
                <w:b w:val="1"/>
                <w:bCs w:val="1"/>
                <w:color w:val="auto"/>
                <w:w w:val="88"/>
              </w:rPr>
              <w:t>accounting</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items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AOCL as of December 31, 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Income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AOCL as of June 30, 2017</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AOCL as of December 31, 2017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vMerge w:val="restart"/>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Income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AOCL as of June 30, 2018</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4"/>
                <w:szCs w:val="14"/>
                <w:b w:val="1"/>
                <w:bCs w:val="1"/>
                <w:color w:val="auto"/>
                <w:w w:val="98"/>
              </w:rPr>
              <w:t>Amounts reclassified from AOCL</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gridSpan w:val="11"/>
            <w:vMerge w:val="restart"/>
          </w:tcPr>
          <w:p>
            <w:pPr>
              <w:jc w:val="center"/>
              <w:ind w:right="440"/>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20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31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40" w:type="dxa"/>
            <w:vAlign w:val="bottom"/>
            <w:gridSpan w:val="11"/>
          </w:tcPr>
          <w:p>
            <w:pPr>
              <w:spacing w:after="0" w:line="149" w:lineRule="exact"/>
              <w:rPr>
                <w:sz w:val="20"/>
                <w:szCs w:val="20"/>
                <w:color w:val="auto"/>
              </w:rPr>
            </w:pPr>
            <w:r>
              <w:rPr>
                <w:rFonts w:ascii="Arial" w:cs="Arial" w:eastAsia="Arial" w:hAnsi="Arial"/>
                <w:sz w:val="14"/>
                <w:szCs w:val="14"/>
                <w:b w:val="1"/>
                <w:bCs w:val="1"/>
                <w:color w:val="auto"/>
              </w:rPr>
              <w:t>Consolidated Statements of 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6"/>
          </w:tcPr>
          <w:p>
            <w:pPr>
              <w:jc w:val="center"/>
              <w:ind w:right="105"/>
              <w:spacing w:after="0"/>
              <w:rPr>
                <w:sz w:val="20"/>
                <w:szCs w:val="20"/>
                <w:color w:val="auto"/>
              </w:rPr>
            </w:pPr>
            <w:r>
              <w:rPr>
                <w:rFonts w:ascii="Arial" w:cs="Arial" w:eastAsia="Arial" w:hAnsi="Arial"/>
                <w:sz w:val="14"/>
                <w:szCs w:val="14"/>
                <w:b w:val="1"/>
                <w:bCs w:val="1"/>
                <w:color w:val="auto"/>
                <w:w w:val="92"/>
              </w:rPr>
              <w:t>June 30, 2017</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benefit items: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Prior service cost</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w w:val="88"/>
              </w:rPr>
              <w:t>Cost of sales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6"/>
              </w:rPr>
              <w:t>Selling, general and administrative</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440"/>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0" w:type="dxa"/>
            <w:vAlign w:val="bottom"/>
            <w:gridSpan w:val="8"/>
          </w:tcPr>
          <w:p>
            <w:pPr>
              <w:spacing w:after="0"/>
              <w:rPr>
                <w:sz w:val="20"/>
                <w:szCs w:val="20"/>
                <w:color w:val="auto"/>
              </w:rPr>
            </w:pPr>
            <w:r>
              <w:rPr>
                <w:rFonts w:ascii="Arial" w:cs="Arial" w:eastAsia="Arial" w:hAnsi="Arial"/>
                <w:sz w:val="18"/>
                <w:szCs w:val="18"/>
                <w:color w:val="auto"/>
                <w:w w:val="96"/>
              </w:rPr>
              <w:t>Income before income taxes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5"/>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440"/>
              <w:spacing w:after="0"/>
              <w:rPr>
                <w:sz w:val="20"/>
                <w:szCs w:val="20"/>
                <w:color w:val="auto"/>
              </w:rPr>
            </w:pPr>
            <w:r>
              <w:rPr>
                <w:rFonts w:ascii="Arial" w:cs="Arial" w:eastAsia="Arial" w:hAnsi="Arial"/>
                <w:sz w:val="18"/>
                <w:szCs w:val="18"/>
                <w:color w:val="auto"/>
              </w:rPr>
              <w:t>Total reclassifications, net of tax</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4"/>
                <w:szCs w:val="14"/>
                <w:b w:val="1"/>
                <w:bCs w:val="1"/>
                <w:color w:val="auto"/>
                <w:w w:val="98"/>
              </w:rPr>
              <w:t>Amounts reclassified from AOCL</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gridSpan w:val="11"/>
            <w:vMerge w:val="restart"/>
          </w:tcPr>
          <w:p>
            <w:pPr>
              <w:jc w:val="center"/>
              <w:ind w:right="440"/>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Six 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Six months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1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40" w:type="dxa"/>
            <w:vAlign w:val="bottom"/>
            <w:gridSpan w:val="11"/>
          </w:tcPr>
          <w:p>
            <w:pPr>
              <w:spacing w:after="0" w:line="149" w:lineRule="exact"/>
              <w:rPr>
                <w:sz w:val="20"/>
                <w:szCs w:val="20"/>
                <w:color w:val="auto"/>
              </w:rPr>
            </w:pPr>
            <w:r>
              <w:rPr>
                <w:rFonts w:ascii="Arial" w:cs="Arial" w:eastAsia="Arial" w:hAnsi="Arial"/>
                <w:sz w:val="14"/>
                <w:szCs w:val="14"/>
                <w:b w:val="1"/>
                <w:bCs w:val="1"/>
                <w:color w:val="auto"/>
              </w:rPr>
              <w:t>Consolidated Statements of 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6"/>
          </w:tcPr>
          <w:p>
            <w:pPr>
              <w:jc w:val="center"/>
              <w:ind w:right="105"/>
              <w:spacing w:after="0"/>
              <w:rPr>
                <w:sz w:val="20"/>
                <w:szCs w:val="20"/>
                <w:color w:val="auto"/>
              </w:rPr>
            </w:pPr>
            <w:r>
              <w:rPr>
                <w:rFonts w:ascii="Arial" w:cs="Arial" w:eastAsia="Arial" w:hAnsi="Arial"/>
                <w:sz w:val="14"/>
                <w:szCs w:val="14"/>
                <w:b w:val="1"/>
                <w:bCs w:val="1"/>
                <w:color w:val="auto"/>
                <w:w w:val="92"/>
              </w:rPr>
              <w:t>June 30, 2017</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Prior service cost</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w w:val="88"/>
              </w:rPr>
              <w:t>Cost of sales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6"/>
              </w:rPr>
              <w:t>Selling, general and administrative</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440"/>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0" w:type="dxa"/>
            <w:vAlign w:val="bottom"/>
            <w:gridSpan w:val="8"/>
          </w:tcPr>
          <w:p>
            <w:pPr>
              <w:spacing w:after="0"/>
              <w:rPr>
                <w:sz w:val="20"/>
                <w:szCs w:val="20"/>
                <w:color w:val="auto"/>
              </w:rPr>
            </w:pPr>
            <w:r>
              <w:rPr>
                <w:rFonts w:ascii="Arial" w:cs="Arial" w:eastAsia="Arial" w:hAnsi="Arial"/>
                <w:sz w:val="18"/>
                <w:szCs w:val="18"/>
                <w:color w:val="auto"/>
                <w:w w:val="96"/>
              </w:rPr>
              <w:t>Income before income taxes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5"/>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440"/>
              <w:spacing w:after="0"/>
              <w:rPr>
                <w:sz w:val="20"/>
                <w:szCs w:val="20"/>
                <w:color w:val="auto"/>
              </w:rPr>
            </w:pPr>
            <w:r>
              <w:rPr>
                <w:rFonts w:ascii="Arial" w:cs="Arial" w:eastAsia="Arial" w:hAnsi="Arial"/>
                <w:sz w:val="18"/>
                <w:szCs w:val="18"/>
                <w:color w:val="auto"/>
              </w:rPr>
              <w:t>Total reclassifications, net of tax</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Prior service cost is included in the computation of the Company’s net periodic benefit cost. See NOTE L, “Employee Benefit Plans” for additional details.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June 30, 2018, the Company had a liability recorded in the amount of $13 million.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and six months ended both June 30, 2018 and June 30, 2017, there were no outstanding stock options excluded from the diluted EPS calculation because they were anti-dilutive.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19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76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2.37</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Company’s current stock repurchase program was announced on November 14, 2016 when the Board of Directors authorized the Company to repurchase up to $1,000 million of its common stock on the open market or through privately negotiated transactions through December 31, 2019. On November 8, 2017, the Board of Directors authorized the Company to repurchase an additional $500 million of its common stock, bringing the total amount authorized under the current stock repurchase program to $1,500 million through December 31, 2019. The timing and amount of stock purchases are subject to market conditions and corporate needs. This stock repurchase program may be extended, modified, suspended or discontinued at any time at the Company’s discretion. During the three and six months ended June 30, 2018, the Company repurchased $244 million and $370 million, respectively, of its common stock under the repurchase program, leaving $184 million of authorized repurchases remaining under the current stock repurchase program as of June 30, 2018.</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R.</w:t>
      </w:r>
      <w:r>
        <w:rPr>
          <w:sz w:val="20"/>
          <w:szCs w:val="20"/>
          <w:color w:val="auto"/>
        </w:rPr>
        <w:tab/>
      </w:r>
      <w:r>
        <w:rPr>
          <w:rFonts w:ascii="Arial" w:cs="Arial" w:eastAsia="Arial" w:hAnsi="Arial"/>
          <w:sz w:val="17"/>
          <w:szCs w:val="17"/>
          <w:b w:val="1"/>
          <w:bCs w:val="1"/>
          <w:color w:val="auto"/>
        </w:rPr>
        <w:t>CERTAIN RELATIONSHIPS AND RELATED PARTY TRANSACTIONS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 of Common Stock held by ValueAct Capital Master Fund</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February 3, 2017, the Company entered into a stock repurchase agreement with ValueAct Capital Master Fund, L.P., a related party, to repurchase 10,525,204 shares of the Company’s common stock for approximately $363 million. The shares were repurchased under the stock repurchase program approved by the Board of Directors in November 2016. The purchase closed on February 8, 2017 and was funded with cash on hand and borrowings under the Revolving Credit Facility. The shares were subsequently retired.</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30, 2018, the Company announced that its Board of Directors had approved a new authorization under the Company’s current stock repurchase program for the repurchase of up to an additional $500 million of the Company’s outstanding common stock and had removed the termination date of the program. The new authorization brings the total amount authorized under the program to $2,000 million.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“our” or “we”) design and manufacture commercial and defense fully 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4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79% of revenues were generated in North America in 2017, we have a global presence by serving customers in Europe, Asia, South America and Africa. We serve customers through a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July 30, 2018, we announced that our Board of Directors had approved a new authorization under our current stock repurchase program for the repurchase of up to an additional $500 million of our common stock and had removed the termination date of the program. The new authorization brings the total amount authorized under the program to $2,000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Our net sales are driven by commercial vehicle production, which tends to be highly correlated to macroeconomic conditions. In 2018, we expect increased demand for global on-highway products and global off-highway products and price increases on certain products.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Second Quarter Net Sales by End Market (in millions)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540" w:type="dxa"/>
            <w:vAlign w:val="bottom"/>
          </w:tcPr>
          <w:p>
            <w:pPr>
              <w:spacing w:after="0"/>
              <w:rPr>
                <w:sz w:val="14"/>
                <w:szCs w:val="14"/>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6"/>
              </w:rPr>
              <w:t>Q2 2018</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Q2 2017</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 Variance</w:t>
            </w: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Net Sales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Net Sales</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5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5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North America Off-Highway</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Defense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Outside North America On-Highway</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101</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6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Off-Highway</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Service Parts, Support Equipment and Other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169</w:t>
            </w:r>
          </w:p>
        </w:tc>
        <w:tc>
          <w:tcPr>
            <w:tcW w:w="18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136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740" w:type="dxa"/>
            <w:vAlign w:val="bottom"/>
            <w:gridSpan w:val="2"/>
            <w:shd w:val="clear" w:color="auto" w:fill="CCEEFF"/>
          </w:tcPr>
          <w:p>
            <w:pPr>
              <w:ind w:left="15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20" w:right="1460" w:hanging="207"/>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On-Highway end market net sales are inclusive of net sales for North America Electric Hybrid-Propulsion Systems for Transit Bus</w:t>
      </w:r>
    </w:p>
    <w:p>
      <w:pPr>
        <w:spacing w:after="0" w:line="13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North America On-Highway end market net sales were up 9% for the second quarter 2018 compared to the second quarter 2017, principally driven by higher demand for Rugged Duty Series models.</w:t>
      </w:r>
    </w:p>
    <w:p>
      <w:pPr>
        <w:spacing w:after="0" w:line="14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North America Off-Highway end market net sales were up $26 million for the second quarter 2018 compared to the second quarter 2017, principally driven by higher demand from hydraulic fracturing applications.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Defense end market net sales were up $13 million for the second quarter 2018 compared to the second quarter 2017, principally driven by higher Tracked and Wheeled demand.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Outside North America On-Highway end market net sales were up 19% for the second quarter 2018 compared to the second quarter 2017, principally driven by higher demand in Asia and Europe.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up $14 million for the second quarter 2018 compared to the second quarter 2017, principally driven by improved demand in the energy, mining and construction sectors.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Service Parts, Support Equipment and Other end market net sales were up 24% for the second quarter 2018 compared to the second quarter 2017, principally driven by higher demand for global service parts and support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and foreign governments.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six months ended June 30, 2018, direct material costs were approximately 71%, overhead costs were approximately 22%, and direct labor costs were approximately 7% of total cost of sales. We are subject to changes in our cost of sales caused by movements in underlying commodity prices. We seek to hedge against this risk by using long-term supply agreements (“LTSAs”), as appropriate. See Part I, Item 3 “Quantitative and Qualitative Disclosures about Market Risk—Commodity Price Risk” included below.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the earnings before interest expense, income tax expense, amortization of intangible assets, depreciation of property, plant and equipment and other adjustments as defined by Allison Transmission, Inc.’s (“ATI”), our wholly-owned subsidiary, Term B-3 Loan due 2022 (“Term B-3 Loan”, and together with the revolving portion of ATI’s senior secured credit facility (“Revolving Credit Facility”), defined as the “Senior Secured Credit Facility”). Adjusted EBITDA as a percent of net sales is calculated as Adjusted EBITDA divided by net sales.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dollars in millions)</w:t>
            </w:r>
          </w:p>
        </w:tc>
        <w:tc>
          <w:tcPr>
            <w:tcW w:w="1060" w:type="dxa"/>
            <w:vAlign w:val="bottom"/>
          </w:tcPr>
          <w:p>
            <w:pPr>
              <w:spacing w:after="0"/>
              <w:rPr>
                <w:sz w:val="14"/>
                <w:szCs w:val="14"/>
                <w:color w:val="auto"/>
              </w:rPr>
            </w:pPr>
          </w:p>
        </w:tc>
        <w:tc>
          <w:tcPr>
            <w:tcW w:w="206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8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plus: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UAW Local 933 retirement incentive (a)</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Stock-based compensation expense (b)</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(gain) on foreign exchange (c)</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Technology-related investment expense (d)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commodity hedge contracts (e)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(GAAP)</w:t>
            </w:r>
          </w:p>
        </w:tc>
        <w:tc>
          <w:tcPr>
            <w:tcW w:w="120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income as a percent of net sales (GAAP)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120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Deductions to reconcile to Adjusted free cash flow:</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 (Non-GAAP)</w:t>
            </w:r>
          </w:p>
        </w:tc>
        <w:tc>
          <w:tcPr>
            <w:tcW w:w="120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charge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ind w:left="460" w:right="7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ind w:left="460" w:right="22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(gains) (recorded in Other income (expense), net) on intercompany financing transactions related to investments in plant assets for our India facility.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 charge (recorded in Other income (expense), net) for investments in co-development agreements to expand our position in transmission technologies.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unrealized losses (recorded in Other income (expense), net) on the mark-to-market of our commodity hedge contracts.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three months ended June 30, 2018 and 2017</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three months ended June 30, 2018 and 2017.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0"/>
                <w:szCs w:val="10"/>
                <w:color w:val="auto"/>
              </w:rPr>
            </w:pPr>
          </w:p>
        </w:tc>
        <w:tc>
          <w:tcPr>
            <w:tcW w:w="960" w:type="dxa"/>
            <w:vAlign w:val="bottom"/>
          </w:tcPr>
          <w:p>
            <w:pPr>
              <w:jc w:val="right"/>
              <w:ind w:right="314"/>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0"/>
                <w:szCs w:val="10"/>
                <w:color w:val="auto"/>
              </w:rPr>
            </w:pPr>
          </w:p>
        </w:tc>
        <w:tc>
          <w:tcPr>
            <w:tcW w:w="960" w:type="dxa"/>
            <w:vAlign w:val="bottom"/>
          </w:tcPr>
          <w:p>
            <w:pPr>
              <w:jc w:val="right"/>
              <w:ind w:right="31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 net sales</w:t>
            </w: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8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290</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4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4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174</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Net sales for the quarter ended June 30, 2018 were $711 million compared to $580 million for the quarter ended June 30, 2017, an increase of 23%. The increase was principally driven by a $33 million, or 24%, increase in net sales in the Service Parts, Support Equipment and Other end market principally driven by higher demand for global service parts and support equipment, a $29 million, or 9%, increase in net sales in the North America On-Highway end market principally driven by higher demand for Rugged Duty Series models, a $26 million increase in net sales in the North America Off-Highway end market principally driven by higher demand from hydraulic fracturing applications, a $16 million, or 19%, increase in net sales in the Outside North America On-Highway end market principally driven by higher demand in Asia and Europe, a $14 million increase in net sales in the Outside North America Off-Highway end market principally driven by higher demand in the energy, mining and construction sectors and a $13 million, or 43%, increase in net sales in the Defense end market principally driven by higher Tracked and Wheeled demand.</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Cost of sales for the quarter ended June 30, 2018 was $337 million compared to $290 million for the quarter ended June 30, 2017, an increase of 16%. The increase was principally driven by increased direct material costs and manufacturing expenses commensurate with increased net sales and unfavorable material costs.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Gross profit for the quarter ended June 30, 2018 was $374 million compared to $290 million for the quarter ended June 30, 2017, an increase of 29%. The increase was principally driven by $85 million related to increased net sales and $5 million of price increases on certain products, partially offset by</w:t>
      </w:r>
    </w:p>
    <w:p>
      <w:pPr>
        <w:ind w:right="20"/>
        <w:spacing w:after="0" w:line="255" w:lineRule="auto"/>
        <w:rPr>
          <w:sz w:val="20"/>
          <w:szCs w:val="20"/>
          <w:color w:val="auto"/>
        </w:rPr>
      </w:pPr>
      <w:r>
        <w:rPr>
          <w:rFonts w:ascii="Arial" w:cs="Arial" w:eastAsia="Arial" w:hAnsi="Arial"/>
          <w:sz w:val="18"/>
          <w:szCs w:val="18"/>
          <w:color w:val="auto"/>
        </w:rPr>
        <w:t>$4 million of higher manufacturing expenses commensurate with increased net sales, and $3 million of unfavorable material costs. Gross profit as a percent of net sales for the three months ended June 30, 2018 increased 260 basis points compared to the same period in 2017 principally driven by increased net sales and price increases on certain products, partially offset by unfavorable material costs.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Selling, general and administrative expenses for the quarter ended June 30, 2018 were $93 million compared to $88 million for the quarter ended June 30, 2017, an increase of 6%. The increase was principally driven by $8 million of higher product warranty expense commensurate with increased net sales, partially offset by lower incentive compensation expense.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Engineering expenses for the quarter ended June 30, 2018 were $33 million compared to $25 million for the quarter ended June 30, 2017, an increase of 32%. The increase was principally driven by increased product initiatives spending.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expense, net for the quarter ended June 30, 2018 was $30 million compared to $27 million for the quarter ended June 30, 2017, an increase of 11%. The increase was principally driven by $5 million of interest expense for ATI’s 4.75% Senior Notes due October 2027 (“4.75% Senior Notes”) issued in September 2017, partially offset by $2 million of 2017 interest expense that did not recur in 2018 for our interest rate derivatives that were terminated in December 2017.</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income (expense), net for the quarter ended June 30, 2018 was $4 million compared to ($4) million for the quarter ended June 30, 2017. The change was principally driven by $4 million of net periodic benefit credits related to post-retirement benefit plan amendments, $3 million of 2017 technology-related investment expense for investments in co-development agreements to expand our position in transmission technologies that did not recur in 2018 and $1 million of lower losses on foreign exchange on intercompany financing.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Income tax expense for the three months ended June 30, 2018 was $48 million, resulting in an effective tax rate of 22%, compared to $51 million of income tax expense and an effective tax rate of 35% for the three months ended June 30, 2017. The decrease in the effective tax rate was principally driven by the U.S. Tax Cuts and Jobs Act enacted into law in December 2017.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2018 and 2017</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six months ended June 30, 2018 and 2017.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0"/>
                <w:szCs w:val="10"/>
                <w:color w:val="auto"/>
              </w:rPr>
            </w:pPr>
          </w:p>
        </w:tc>
        <w:tc>
          <w:tcPr>
            <w:tcW w:w="96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0"/>
                <w:szCs w:val="10"/>
                <w:color w:val="auto"/>
              </w:rPr>
            </w:pPr>
          </w:p>
        </w:tc>
        <w:tc>
          <w:tcPr>
            <w:tcW w:w="960" w:type="dxa"/>
            <w:vAlign w:val="bottom"/>
          </w:tcPr>
          <w:p>
            <w:pPr>
              <w:jc w:val="right"/>
              <w:ind w:right="31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of net sales</w:t>
            </w: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42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4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658</w:t>
            </w:r>
          </w:p>
        </w:tc>
        <w:tc>
          <w:tcPr>
            <w:tcW w:w="4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48</w:t>
            </w:r>
          </w:p>
        </w:tc>
        <w:tc>
          <w:tcPr>
            <w:tcW w:w="2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538</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185</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4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4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(60)</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(88)</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Net sales for the six months ended June 30, 2018 were $1,374 million compared to $1,079 million for the six months ended June 30, 2017, an increase of 27%. The increase was principally driven by a $93 million, or 16%, increase in net sales in the North America On-Highway end market principally driven by higher demand for Rugged Duty Series models, a $66 million, or 26%, increase in net sales in the Service Parts, Support Equipment and Other end market principally driven by higher demand for global service parts and support equipment, a $58 million increase in net sales in the North America Off-Highway end market principally driven by higher demand from hydraulic fracturing applications, a $35 million, or 22%, increase in net sales in the Outside North America On-Highway end market principally driven by higher demand in Europe and Asia, a $23 million, or 40%, increase in net sales in the Defense end market principally driven by Tracked and Wheeled demand, and a $20 million increase in net sales in the Outside North America Off-Highway end market principally driven by higher demand in the energy, mining and construction sectors.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Cost of sales for the six months ended June 30, 2018 was $658 million compared to $538 million for the six months ended June 30, 2017, an increase of 22%. The increase was principally driven by increased direct material and manufacturing expenses commensurate with increased net sales, expenses of $7 million related to a retirement incentive program for certain UAW Local 933 employees and unfavorable material costs.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Gross profit for the six months ended June 30, 2018 was $716 million compared to $541 million for the six months ended June 30, 2017, an increase of 32%. The increase was principally driven by $188 million related to increased net sales and $11 million of price increases on certain products, partially offset by $12 million of higher manufacturing expenses commensurate with increased net sales, expenses of $7 million due to a retirement incentive program for certain UAW Local 933 employees, and $6 million of unfavorable material costs. Gross profit as a percent of net sales for the six months ended June 30, 2018 increased 200 basis points compared to the same period in 2017 principally driven by increased net sales and price increases on certain products, partially offset by expenses for the retirement incentive program and unfavorable material costs.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Selling, general and administrative expenses for the six months ended June 30, 2018 were $185 million compared to $167 million for the six months ended June 30, 2017, an increase of 11%. The increase was principally driven by $13 million of higher product warranty expense commensurate with increased net sales, $8 million of unfavorable product warranty adjustments and $2 million of favorable 2017 product warranty adjustments that did not recur in 2018, partially offset by $4 million of lower incentive compensation expense and decreased commercial activities spending.</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Engineering expenses for the six months ended June 30, 2018 were $61 million compared to $48 million for the six months ended June 30, 2017, an increase of 27%. The increase was principally driven by increased product initiatives spending.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Interest expense, net for the six months ended June 30, 2018 was $60 million compared to $52 million for the six months ended June 30, 2017, an increase of 15%. The increase was principally driven by $10 million of interest expense for ATI’s 4.75% Senior Notes issued in September 2017, partially offset by $2 million of 2017 interest expense that did not recur in 2018 for our interest rate derivatives that were terminated in December 2017.</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income (expense), net for the six months ended June 30, 2018 was $3 million compared to ($1) for the six months ended June 30, 2017. The change in Other income (expense), net was principally driven by $6 million of net periodic benefit credits related to post-retirement benefit plan amendments and $3 million of 2017 technology-related investment expense for investments in co-development agreements to expand our position in transmission technologies that did not recur in 2018, partially offset by $3 million of unfavorable foreign exchange on intercompany financing and $1 million of lower gains on commodity hedging.</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Income tax expense for the six months ended June 30, 2018 was $88 million resulting in an effective tax rate of 21%, compared to $95 million of income tax expense and an effective tax rate of 35% for the six months ended June 30, 2017. The decrease in the effective tax rate was principally driven by the U.S. Tax Cuts and Jobs Act enacted into law in December 2017.</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capital expenditures, debt service, stock repurchases, dividends on common stock and working capital needs. We had total available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cash equivalents of $96 million and $199 million as of June 30, 2018 and December 31, 2017, respectively. Of the available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 million and $149 million were deposited in operating accounts while $2 million and $50 million were invested in U.S. government backed securities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December 31, 2017, respectively.</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2018, the total of cash and cash equivalents held by foreign subsidiaries was $55 million, the majority of which was located in Europe and China.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expectations or operating needs with local resources.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If we distribute our foreign cash balances to the U.S. or to other foreign subsidiaries, we could be required to accrue and pay taxes. As a result of the U.S. Tax Cuts and Jobs Act, we recorded a charge of $5 million in 2017 for the one-time repatriation tax to be paid to the U.S. Government. We also recorded a deferred tax liability of $2 million in 2017 for the tax liability associated with the remittance of previously taxed income and unremitted earnings for our subsidiaries located in China. The deferred tax liabilities related to unremitted earnings that are indefinitely reinvested are not material.</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liquidity requirements are significant, primarily due to our debt service requirements. As of June 30, 2018, we had $1,148 million of indebtedness associated with ATI’s Term B-3 Loan, $1,000 million of indebtedness associated with ATI’s 5.0% Senior Notes due 2024 (“5.0% Senior Notes”) and</w:t>
      </w:r>
    </w:p>
    <w:p>
      <w:pPr>
        <w:spacing w:after="0" w:line="302" w:lineRule="auto"/>
        <w:rPr>
          <w:sz w:val="20"/>
          <w:szCs w:val="20"/>
          <w:color w:val="auto"/>
        </w:rPr>
      </w:pPr>
      <w:r>
        <w:rPr>
          <w:rFonts w:ascii="Arial" w:cs="Arial" w:eastAsia="Arial" w:hAnsi="Arial"/>
          <w:sz w:val="16"/>
          <w:szCs w:val="16"/>
          <w:color w:val="auto"/>
        </w:rPr>
        <w:t>$400 million of indebtedness associated with ATI’s 4.75% Senior Notes. The minimum required quarterly principal payment on ATI’s Term B-3 Loan through its maturity date of September 2022 is $3 million; however, we made voluntary prepayments of the required quarterly principal payments of $25 million during the quarter ended June 30, 2018. There are no required quarterly principal payments on ATI’s 5.0% Senior Notes and 4.75% Senior Notes.</w:t>
      </w:r>
    </w:p>
    <w:p>
      <w:pPr>
        <w:spacing w:after="0" w:line="15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and growth initiatives will depend on our ability to generate cash in the future. This is subject to general economic, financial, competitive, legislative, regulatory and other factors that may be beyond our control. We made principal payments of $25 million and $28 million on the Senior Secured Credit Facility during the three and six months ended June 30, 2018, respectively. We made principal payments of $73 million and $131 million on the Senior Secured Credit Facility during the three and six months ended June 30, 2017, respectively.</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Senior Secured Credit Facility provides for a $550 million Revolving Credit Facility, net of an allowance for up to $75 million in outstanding letters of credit commitments. As of June 30, 2018, we had $533 million available under the Revolving Credit Facility, net of $17 million in letters of credit. As of June 30, 2018, we had no amounts outstanding under the Revolving Credit Facility. If we have commitments outstanding on the Revolving Credit Facility at the end of a fiscal quarter, the Senior Secured Credit Facility requires us to maintain a specified maximum total senior secured leverage ratio of 5.50x. Additionally, within the terms of the Senior Secured Credit Facility, a senior secured leverage ratio at or below 4.00x results in the elimination of excess cash flow payments on the Senior Secured Credit Facility for the applicable year. As of June 30, 2018, our senior secured leverage ratio was 1.03x.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remain in effect as long as we achieve a total leverage ratio at or below the related threshold. As of June 30, 2018, our total leverage ratio was 2.40x.</w:t>
      </w:r>
    </w:p>
    <w:p>
      <w:pPr>
        <w:spacing w:after="0" w:line="183"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In addition, the Senior Secured Credit Facility includes, among other things, customary restrictions (subject to certain exceptions) on our ability to incur certain indebtedness, grant certain liens, make certain investments, declare or pay certain dividends, and repurchase shares of our common stock. The indentures governing the 5.0% Senior Notes and 4.75%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2018, we are in compliance with all covenants under the Senior Secured Credit Facility and indentures governing the 5.0% Senior Notes and 4.75% Senior Notes.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credit ratings are reviewed by Moody’s Investors Service (“Moody’s”) and Fitch Ratings (“Fitch”). In September 2017, Moody’s held our corporate rating at ‘Ba2’ and our 5.0% Senior Notes rating at ‘Ba3’, upgraded our Term B-3 Loan rating to ‘Baa3’, and assigned ‘Ba3’ to the 4.75% Senior Notes. Fitch held our corporate rating at ‘BB’, our Term B-3 Loan rating at ‘BB+’, and our 5.0% Senior Notes rating at ‘BB’ and assigned ‘BB’ to the 4.75% Senior Notes.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14, 2016, our Board of Directors authorized us to purchase up to $1,000 million of our common stock under a stock repurchase program. On November 8, 2017 our Board of Directors increased the authorization by $500 million, bringing the total amount authorized to $1,500 million. For the three and six months ended June 30, 2018, we repurchased $244 million and $370 million, respectively, of our common stock under the repurchase program. As of June 30, 2018 we had $184 million available under the repurchase program.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six months ended June 30, 2018 and 2017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vMerge w:val="continue"/>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activities for the six months ended June 30, 2018 generated $366 million of cash compared to $277 million for the six months ended June 30,</w:t>
      </w:r>
    </w:p>
    <w:p>
      <w:pPr>
        <w:spacing w:after="0" w:line="4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2017. The increase was principally driven by increased gross profit and higher accounts payable, partially offset by increased defined benefit pension plans funding payments, increased product initiatives spending, higher accounts receivable, increased cash income taxes, increased cash interest expense and increased incentive compensation payments.</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Investing activities for the six months ended June 30, 2018 used $29 million of cash compared to $23 million for the six months ended June 30, 2017. The increase was principally driven by an increase of $9 million in capital expenditures, partially offset by $3 million of decreased spending on technology related investments. The increase in capital expenditures was principally driven by intra-year movement in the timing of spending related to investments in productivity and replacement programs.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Financing activities for the six months ended June 30, 2018 used $439 million of cash compared to $376 million for the six months ended June 30, 2017. The increase was principally driven by $205 million of decreased net borrowings under our revolving credit facility, $22 million of increased payments on long-term debt and $6 million of decreased proceeds from stock issued upon the exercise of stock options, partially offset by $169 million of decreased stock repurchases and $5 million of decreased dividend payments.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O, “Commitments and Contingencies” of our condensed consolidated financial statements included in Part I, Item 1 of this Quarterly Report on Form 10-Q.</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discussion of our critical accounting policies and significant accounting estimates is included in Part II, Item 7 “Management’s Discussion and Analysis” in our Annual Report on Form 10-K for the year ended December 31, 2017 as filed with the Securities and Exchange Commission on February 15, 2018.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six months ended June 30, 2018.</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uncertainty in the global regulatory and business environments in which we operate; the failure of markets outside North America to increase adoption of fully-automatic transmissions; the concentration of our net sales in our top five customers and the loss of any one of these; our ability to prepare for, respond to and successfully achieve our objectives relating to technological and market developments, competitive threats and changing customer needs; U.S. and foreign defense spending; general economic and industry conditions; increases in cost, disruption of supply or shortage of raw materials or components used in our products; the discovery of defects in our products, resulting in delays in new model launches, recall campaigns and/or increased warranty costs and reduction in future sales or damage to our brand and reputation; risks associated with our international operations, including increased trade protectionism; future reductions or changes in government subsidies for hybrid vehicles and other external factors impacting demand; labor strikes, work stoppages or similar labor disputes, which could significantly disrupt our operations or those of our principal customers; and our intention to pay dividends and repurchase shares of our common stock.</w:t>
      </w:r>
    </w:p>
    <w:p>
      <w:pPr>
        <w:spacing w:after="0" w:line="17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2017 as filed with the Securities and Exchange Commission on February 15, 2018. All written and oral forward-looking statements attributable to us, or persons acting on our behalf, are expressly qualified in their entirety by these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$1,681 million including $533 million under our Revolving Credit Facility, net of $17 million of letters of credit. A one-eighth percent increase or decrease in assumed interest rates for the Senior Secured Credit Facility, if fully drawn, as of June 30, 2018 would have an impact of approximately $2 million on interest expense. As of June 30, 2018, we had no outstanding borrowings under our Revolving Credit Facility.</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From time to time, we enter into interest rate swap agreements to hedge our variable interest rate debt. As of June 30, 2018, we held interest rate swaps effective from September 2019 to September 2022 with notional values totaling $250 million and a weighted average LIBOR fixed rate of 3.01% and interest rate swaps effective from September 2019 to September 2025 with notional values totaling $250 million and a weighted average LIBOR fixed rate of 3.04%.</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and Chinese Yuan Renminbi would correspondingly change our earnings, net of tax, by an estimated $7 million per year. We believe other exposure to foreign currencies is immaterial.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Approximately 70%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$4 million and $7 million per year, respectively.</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For purposes of the sensitivity analysis above, the impact of these cost sharing arrangements has not been included.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O, “Commitments and Contingencies” in the notes to the condensed consolidated financial statements included in Part I, Item 1 of this Quarterly Report on Form 10-Q.</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2017 as filed with the Securities and Exchange Commission on February 15,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June 30, 2018:</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3"/>
              </w:rPr>
              <w:t>Total Number</w:t>
            </w:r>
          </w:p>
        </w:tc>
        <w:tc>
          <w:tcPr>
            <w:tcW w:w="50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as Part of</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Publicly</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of Shares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1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Purchased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(1)</w:t>
            </w: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Under Plans</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 April 30,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1,834,031</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1,834,031</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355,703,596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May 1 – May 31, 2018</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2,045,794</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41.91</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2,045,794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269,959,884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2018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2,074,917</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41.33</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2,074,917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184,196,011</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5,954,742</w:t>
            </w:r>
          </w:p>
        </w:tc>
        <w:tc>
          <w:tcPr>
            <w:tcW w:w="20" w:type="dxa"/>
            <w:vAlign w:val="bottom"/>
            <w:tcBorders>
              <w:bottom w:val="single" w:sz="8" w:color="auto"/>
            </w:tcBorders>
          </w:tcPr>
          <w:p>
            <w:pPr>
              <w:spacing w:after="0"/>
              <w:rPr>
                <w:sz w:val="19"/>
                <w:szCs w:val="19"/>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41.03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5,954,742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34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These values reflect repurchases made under the stock repurchase program approved by the Board of Directors on November 14, 2016 and the update approved by the Board of Directors on November 8, 2017 authorizing total repurchases of $1,500 million through December 31, 2019.</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5"/>
          </w:tcPr>
          <w:p>
            <w:pPr>
              <w:ind w:left="100"/>
              <w:spacing w:after="0"/>
              <w:rPr>
                <w:sz w:val="20"/>
                <w:szCs w:val="20"/>
                <w:color w:val="auto"/>
              </w:rPr>
            </w:pPr>
            <w:r>
              <w:rPr>
                <w:rFonts w:ascii="Arial" w:cs="Arial" w:eastAsia="Arial" w:hAnsi="Arial"/>
                <w:sz w:val="18"/>
                <w:szCs w:val="18"/>
                <w:b w:val="1"/>
                <w:bCs w:val="1"/>
                <w:color w:val="auto"/>
              </w:rPr>
              <w:t>Exhibits</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60" w:type="dxa"/>
            <w:vAlign w:val="bottom"/>
            <w:gridSpan w:val="3"/>
            <w:vMerge w:val="restart"/>
          </w:tcPr>
          <w:p>
            <w:pPr>
              <w:ind w:left="3060"/>
              <w:spacing w:after="0"/>
              <w:rPr>
                <w:sz w:val="20"/>
                <w:szCs w:val="20"/>
                <w:color w:val="auto"/>
              </w:rPr>
            </w:pPr>
            <w:r>
              <w:rPr>
                <w:rFonts w:ascii="Arial" w:cs="Arial" w:eastAsia="Arial" w:hAnsi="Arial"/>
                <w:sz w:val="14"/>
                <w:szCs w:val="14"/>
                <w:b w:val="1"/>
                <w:bCs w:val="1"/>
                <w:color w:val="auto"/>
              </w:rPr>
              <w:t>Description</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160" w:type="dxa"/>
            <w:vAlign w:val="bottom"/>
            <w:gridSpan w:val="3"/>
            <w:vMerge w:val="continue"/>
          </w:tcPr>
          <w:p>
            <w:pPr>
              <w:spacing w:after="0"/>
              <w:rPr>
                <w:sz w:val="12"/>
                <w:szCs w:val="12"/>
                <w:color w:val="auto"/>
              </w:rPr>
            </w:pPr>
          </w:p>
        </w:tc>
        <w:tc>
          <w:tcPr>
            <w:tcW w:w="1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gridSpan w:val="3"/>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Executive Officer pursuant to Rule 13a-14(a)/15d-14(a) as adopted pursuant to Section</w:t>
              </w:r>
            </w:hyperlink>
          </w:p>
        </w:tc>
        <w:tc>
          <w:tcPr>
            <w:tcW w:w="2300" w:type="dxa"/>
            <w:vAlign w:val="bottom"/>
            <w:tcBorders>
              <w:bottom w:val="single" w:sz="8" w:color="0000EE"/>
            </w:tcBorders>
            <w:gridSpan w:val="3"/>
          </w:tcPr>
          <w:p>
            <w:pPr>
              <w:ind w:left="60"/>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302 of the Sarbanes-Oxley Act</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gridSpan w:val="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of 2002 (filed herewith)</w:t>
              </w:r>
            </w:hyperlink>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3"/>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80" w:type="dxa"/>
            <w:vAlign w:val="bottom"/>
            <w:gridSpan w:val="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Financial Officer pursuant to Rule 13a-14(a)/15d-14(a) as adopted pursuant to Section</w:t>
              </w:r>
            </w:hyperlink>
          </w:p>
        </w:tc>
        <w:tc>
          <w:tcPr>
            <w:tcW w:w="2300" w:type="dxa"/>
            <w:vAlign w:val="bottom"/>
            <w:gridSpan w:val="3"/>
          </w:tcPr>
          <w:p>
            <w:pPr>
              <w:ind w:left="20"/>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302 of the Sarbanes-Oxley Act</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of 2002 (filed herewith)</w:t>
              </w:r>
            </w:hyperlink>
          </w:p>
        </w:tc>
        <w:tc>
          <w:tcPr>
            <w:tcW w:w="18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3"/>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gridSpan w:val="7"/>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Certification of Periodic Report by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pursuant to Section 906 of the Sarbanes-Oxley Act of 2002 (filed herewith)</w:t>
              </w:r>
            </w:hyperlink>
          </w:p>
        </w:tc>
        <w:tc>
          <w:tcPr>
            <w:tcW w:w="238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4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0" w:type="dxa"/>
            <w:vAlign w:val="bottom"/>
            <w:gridSpan w:val="3"/>
          </w:tcPr>
          <w:p>
            <w:pPr>
              <w:jc w:val="right"/>
              <w:ind w:right="68"/>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940" w:type="dxa"/>
            <w:vAlign w:val="bottom"/>
            <w:gridSpan w:val="3"/>
          </w:tcPr>
          <w:p>
            <w:pPr>
              <w:ind w:left="208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July 31, 2018</w:t>
            </w:r>
          </w:p>
        </w:tc>
        <w:tc>
          <w:tcPr>
            <w:tcW w:w="7940" w:type="dxa"/>
            <w:vAlign w:val="bottom"/>
            <w:gridSpan w:val="3"/>
          </w:tcPr>
          <w:p>
            <w:pPr>
              <w:ind w:left="2080"/>
              <w:spacing w:after="0"/>
              <w:rPr>
                <w:sz w:val="20"/>
                <w:szCs w:val="20"/>
                <w:color w:val="auto"/>
              </w:rPr>
            </w:pPr>
            <w:r>
              <w:rPr>
                <w:rFonts w:ascii="Arial" w:cs="Arial" w:eastAsia="Arial" w:hAnsi="Arial"/>
                <w:sz w:val="18"/>
                <w:szCs w:val="18"/>
                <w:color w:val="auto"/>
              </w:rPr>
              <w:t>By: /s/ David S. Graziosi</w:t>
            </w:r>
          </w:p>
        </w:tc>
      </w:tr>
      <w:tr>
        <w:trPr>
          <w:trHeight w:val="209"/>
        </w:trPr>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David S. Graziosi</w:t>
            </w:r>
          </w:p>
        </w:tc>
      </w:tr>
      <w:tr>
        <w:trPr>
          <w:trHeight w:val="216"/>
        </w:trPr>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480" w:type="dxa"/>
            <w:vAlign w:val="bottom"/>
          </w:tcPr>
          <w:p>
            <w:pPr>
              <w:spacing w:after="0"/>
              <w:rPr>
                <w:sz w:val="20"/>
                <w:szCs w:val="20"/>
                <w:color w:val="auto"/>
              </w:rPr>
            </w:pPr>
            <w:r>
              <w:rPr>
                <w:rFonts w:ascii="Arial" w:cs="Arial" w:eastAsia="Arial" w:hAnsi="Arial"/>
                <w:sz w:val="18"/>
                <w:szCs w:val="18"/>
                <w:color w:val="auto"/>
              </w:rPr>
              <w:t>Date: July 31, 2018</w:t>
            </w:r>
          </w:p>
        </w:tc>
        <w:tc>
          <w:tcPr>
            <w:tcW w:w="7940" w:type="dxa"/>
            <w:vAlign w:val="bottom"/>
            <w:gridSpan w:val="3"/>
          </w:tcPr>
          <w:p>
            <w:pPr>
              <w:ind w:left="2080"/>
              <w:spacing w:after="0"/>
              <w:rPr>
                <w:sz w:val="20"/>
                <w:szCs w:val="20"/>
                <w:color w:val="auto"/>
              </w:rPr>
            </w:pPr>
            <w:r>
              <w:rPr>
                <w:rFonts w:ascii="Arial" w:cs="Arial" w:eastAsia="Arial" w:hAnsi="Arial"/>
                <w:sz w:val="18"/>
                <w:szCs w:val="18"/>
                <w:color w:val="auto"/>
              </w:rPr>
              <w:t>By: /s/ G. Frederick Bohley</w:t>
            </w:r>
          </w:p>
        </w:tc>
      </w:tr>
      <w:tr>
        <w:trPr>
          <w:trHeight w:val="209"/>
        </w:trPr>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G. Frederick Bohley</w:t>
            </w:r>
          </w:p>
        </w:tc>
      </w:tr>
      <w:tr>
        <w:trPr>
          <w:trHeight w:val="216"/>
        </w:trPr>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w w:val="97"/>
              </w:rPr>
              <w:t>Vice President, Chief Financial Officer and Treasurer (Principal</w:t>
            </w:r>
          </w:p>
        </w:tc>
      </w:tr>
      <w:tr>
        <w:trPr>
          <w:trHeight w:val="230"/>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Financial Officer and Principal Accounting Officer)</w:t>
            </w:r>
          </w:p>
        </w:tc>
      </w:tr>
      <w:tr>
        <w:trPr>
          <w:trHeight w:val="365"/>
        </w:trPr>
        <w:tc>
          <w:tcPr>
            <w:tcW w:w="348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560" w:hanging="572"/>
        <w:spacing w:after="0" w:line="291"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140" w:right="100" w:hanging="565"/>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100" w:hanging="565"/>
        <w:spacing w:after="0" w:line="264"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20" w:hanging="565"/>
        <w:spacing w:after="0" w:line="308" w:lineRule="auto"/>
        <w:tabs>
          <w:tab w:leader="none" w:pos="114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140" w:right="540" w:hanging="565"/>
        <w:spacing w:after="0" w:line="277"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G. Frederick Bohley, certify that:</w:t>
      </w:r>
    </w:p>
    <w:p>
      <w:pPr>
        <w:spacing w:after="0" w:line="13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560" w:hanging="572"/>
        <w:spacing w:after="0" w:line="291"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140" w:right="100" w:hanging="565"/>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100" w:hanging="565"/>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20" w:hanging="565"/>
        <w:spacing w:after="0" w:line="308" w:lineRule="auto"/>
        <w:tabs>
          <w:tab w:leader="none" w:pos="11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140" w:right="540" w:hanging="565"/>
        <w:spacing w:after="0" w:line="277"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 Frederick Bohley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June 30, 2018 as filed with the Securities and Exchange Commission on the date hereof (the “Report”), we, David S. Graziosi, President and Chief Executive Officer of the Company, and G. Frederick Bohley, Vice President, Chief Financial Officer and Treasurer of the Company, certify, pursuant to 18 U.S.C. § 1350 as adopted pursuant to § 906 of the Sarbanes-Oxley Act of 2002, that:</w:t>
      </w:r>
    </w:p>
    <w:p>
      <w:pPr>
        <w:spacing w:after="0" w:line="92"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31,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31,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 Frederick Bohley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2019-12-28T20:56:06Z</dcterms:created>
  <dcterms:modified xsi:type="dcterms:W3CDTF">2019-12-28T20:56:06Z</dcterms:modified>
</cp:coreProperties>
</file>