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580" w:right="120" w:hanging="559"/>
        <w:spacing w:after="0" w:line="23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ind w:left="580" w:right="140" w:hanging="559"/>
        <w:spacing w:after="0" w:line="243"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1360" w:type="dxa"/>
        <w:tblCellMar>
          <w:top w:w="0" w:type="dxa"/>
          <w:left w:w="0" w:type="dxa"/>
          <w:bottom w:w="0" w:type="dxa"/>
          <w:right w:w="0" w:type="dxa"/>
        </w:tblCellMar>
      </w:tblPr>
      <w:tr>
        <w:trPr>
          <w:trHeight w:val="247"/>
        </w:trPr>
        <w:tc>
          <w:tcPr>
            <w:tcW w:w="6180" w:type="dxa"/>
            <w:vAlign w:val="bottom"/>
          </w:tcPr>
          <w:p>
            <w:pPr>
              <w:jc w:val="center"/>
              <w:ind w:right="3179"/>
              <w:spacing w:after="0"/>
              <w:rPr>
                <w:sz w:val="20"/>
                <w:szCs w:val="20"/>
                <w:color w:val="auto"/>
              </w:rPr>
            </w:pPr>
            <w:r>
              <w:rPr>
                <w:rFonts w:ascii="Arial" w:cs="Arial" w:eastAsia="Arial" w:hAnsi="Arial"/>
                <w:sz w:val="18"/>
                <w:szCs w:val="18"/>
                <w:b w:val="1"/>
                <w:bCs w:val="1"/>
                <w:color w:val="auto"/>
              </w:rPr>
              <w:t>Delaware</w:t>
            </w:r>
          </w:p>
        </w:tc>
        <w:tc>
          <w:tcPr>
            <w:tcW w:w="1600" w:type="dxa"/>
            <w:vAlign w:val="bottom"/>
          </w:tcPr>
          <w:p>
            <w:pPr>
              <w:jc w:val="right"/>
              <w:ind w:right="141"/>
              <w:spacing w:after="0"/>
              <w:rPr>
                <w:sz w:val="20"/>
                <w:szCs w:val="20"/>
                <w:color w:val="auto"/>
              </w:rPr>
            </w:pPr>
            <w:r>
              <w:rPr>
                <w:rFonts w:ascii="Arial" w:cs="Arial" w:eastAsia="Arial" w:hAnsi="Arial"/>
                <w:sz w:val="18"/>
                <w:szCs w:val="18"/>
                <w:b w:val="1"/>
                <w:bCs w:val="1"/>
                <w:color w:val="auto"/>
              </w:rPr>
              <w:t>26-0414014</w:t>
            </w:r>
          </w:p>
        </w:tc>
      </w:tr>
      <w:tr>
        <w:trPr>
          <w:trHeight w:val="221"/>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(State or Other Jurisdiction of Incorporation or</w:t>
            </w:r>
          </w:p>
        </w:tc>
        <w:tc>
          <w:tcPr>
            <w:tcW w:w="1600" w:type="dxa"/>
            <w:vAlign w:val="bottom"/>
          </w:tcPr>
          <w:p>
            <w:pPr>
              <w:jc w:val="center"/>
              <w:ind w:left="101"/>
              <w:spacing w:after="0"/>
              <w:rPr>
                <w:sz w:val="20"/>
                <w:szCs w:val="20"/>
                <w:color w:val="auto"/>
              </w:rPr>
            </w:pPr>
            <w:r>
              <w:rPr>
                <w:rFonts w:ascii="Arial" w:cs="Arial" w:eastAsia="Arial" w:hAnsi="Arial"/>
                <w:sz w:val="14"/>
                <w:szCs w:val="14"/>
                <w:color w:val="auto"/>
              </w:rPr>
              <w:t>(I.R.S. Employer</w:t>
            </w:r>
          </w:p>
        </w:tc>
      </w:tr>
      <w:tr>
        <w:trPr>
          <w:trHeight w:val="204"/>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Organization)</w:t>
            </w:r>
          </w:p>
        </w:tc>
        <w:tc>
          <w:tcPr>
            <w:tcW w:w="1600" w:type="dxa"/>
            <w:vAlign w:val="bottom"/>
          </w:tcPr>
          <w:p>
            <w:pPr>
              <w:jc w:val="center"/>
              <w:ind w:left="121"/>
              <w:spacing w:after="0"/>
              <w:rPr>
                <w:sz w:val="20"/>
                <w:szCs w:val="20"/>
                <w:color w:val="auto"/>
              </w:rPr>
            </w:pPr>
            <w:r>
              <w:rPr>
                <w:rFonts w:ascii="Arial" w:cs="Arial" w:eastAsia="Arial" w:hAnsi="Arial"/>
                <w:sz w:val="14"/>
                <w:szCs w:val="14"/>
                <w:color w:val="auto"/>
              </w:rPr>
              <w:t>Identification Number)</w:t>
            </w:r>
          </w:p>
        </w:tc>
      </w:tr>
      <w:tr>
        <w:trPr>
          <w:trHeight w:val="398"/>
        </w:trPr>
        <w:tc>
          <w:tcPr>
            <w:tcW w:w="6180" w:type="dxa"/>
            <w:vAlign w:val="bottom"/>
          </w:tcPr>
          <w:p>
            <w:pPr>
              <w:jc w:val="center"/>
              <w:ind w:right="3179"/>
              <w:spacing w:after="0"/>
              <w:rPr>
                <w:sz w:val="20"/>
                <w:szCs w:val="20"/>
                <w:color w:val="auto"/>
              </w:rPr>
            </w:pPr>
            <w:r>
              <w:rPr>
                <w:rFonts w:ascii="Arial" w:cs="Arial" w:eastAsia="Arial" w:hAnsi="Arial"/>
                <w:sz w:val="18"/>
                <w:szCs w:val="18"/>
                <w:b w:val="1"/>
                <w:bCs w:val="1"/>
                <w:color w:val="auto"/>
                <w:w w:val="98"/>
              </w:rPr>
              <w:t>One Allison Way</w:t>
            </w:r>
          </w:p>
        </w:tc>
        <w:tc>
          <w:tcPr>
            <w:tcW w:w="1600" w:type="dxa"/>
            <w:vAlign w:val="bottom"/>
          </w:tcPr>
          <w:p>
            <w:pPr>
              <w:spacing w:after="0"/>
              <w:rPr>
                <w:sz w:val="24"/>
                <w:szCs w:val="24"/>
                <w:color w:val="auto"/>
              </w:rPr>
            </w:pPr>
          </w:p>
        </w:tc>
      </w:tr>
      <w:tr>
        <w:trPr>
          <w:trHeight w:val="283"/>
        </w:trPr>
        <w:tc>
          <w:tcPr>
            <w:tcW w:w="6180" w:type="dxa"/>
            <w:vAlign w:val="bottom"/>
          </w:tcPr>
          <w:p>
            <w:pPr>
              <w:jc w:val="center"/>
              <w:ind w:right="3219"/>
              <w:spacing w:after="0"/>
              <w:rPr>
                <w:sz w:val="20"/>
                <w:szCs w:val="20"/>
                <w:color w:val="auto"/>
              </w:rPr>
            </w:pPr>
            <w:r>
              <w:rPr>
                <w:rFonts w:ascii="Arial" w:cs="Arial" w:eastAsia="Arial" w:hAnsi="Arial"/>
                <w:sz w:val="18"/>
                <w:szCs w:val="18"/>
                <w:b w:val="1"/>
                <w:bCs w:val="1"/>
                <w:color w:val="auto"/>
                <w:w w:val="99"/>
              </w:rPr>
              <w:t>Indianapolis, IN</w:t>
            </w:r>
          </w:p>
        </w:tc>
        <w:tc>
          <w:tcPr>
            <w:tcW w:w="1600" w:type="dxa"/>
            <w:vAlign w:val="bottom"/>
          </w:tcPr>
          <w:p>
            <w:pPr>
              <w:jc w:val="right"/>
              <w:ind w:right="381"/>
              <w:spacing w:after="0"/>
              <w:rPr>
                <w:sz w:val="20"/>
                <w:szCs w:val="20"/>
                <w:color w:val="auto"/>
              </w:rPr>
            </w:pPr>
            <w:r>
              <w:rPr>
                <w:rFonts w:ascii="Arial" w:cs="Arial" w:eastAsia="Arial" w:hAnsi="Arial"/>
                <w:sz w:val="18"/>
                <w:szCs w:val="18"/>
                <w:b w:val="1"/>
                <w:bCs w:val="1"/>
                <w:color w:val="auto"/>
              </w:rPr>
              <w:t>46222</w:t>
            </w:r>
          </w:p>
        </w:tc>
      </w:tr>
      <w:tr>
        <w:trPr>
          <w:trHeight w:val="236"/>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(Address of Principal Executive Offices)</w:t>
            </w:r>
          </w:p>
        </w:tc>
        <w:tc>
          <w:tcPr>
            <w:tcW w:w="1600" w:type="dxa"/>
            <w:vAlign w:val="bottom"/>
          </w:tcPr>
          <w:p>
            <w:pPr>
              <w:jc w:val="center"/>
              <w:ind w:left="121"/>
              <w:spacing w:after="0"/>
              <w:rPr>
                <w:sz w:val="20"/>
                <w:szCs w:val="20"/>
                <w:color w:val="auto"/>
              </w:rPr>
            </w:pPr>
            <w:r>
              <w:rPr>
                <w:rFonts w:ascii="Arial" w:cs="Arial" w:eastAsia="Arial" w:hAnsi="Arial"/>
                <w:sz w:val="14"/>
                <w:szCs w:val="14"/>
                <w:color w:val="auto"/>
              </w:rPr>
              <w:t>(Zip Code)</w:t>
            </w:r>
          </w:p>
        </w:tc>
      </w:tr>
      <w:tr>
        <w:trPr>
          <w:trHeight w:val="532"/>
        </w:trPr>
        <w:tc>
          <w:tcPr>
            <w:tcW w:w="6180" w:type="dxa"/>
            <w:vAlign w:val="bottom"/>
          </w:tcPr>
          <w:p>
            <w:pPr>
              <w:jc w:val="right"/>
              <w:ind w:right="1219"/>
              <w:spacing w:after="0"/>
              <w:rPr>
                <w:sz w:val="20"/>
                <w:szCs w:val="20"/>
                <w:color w:val="auto"/>
              </w:rPr>
            </w:pPr>
            <w:r>
              <w:rPr>
                <w:rFonts w:ascii="Arial" w:cs="Arial" w:eastAsia="Arial" w:hAnsi="Arial"/>
                <w:sz w:val="18"/>
                <w:szCs w:val="18"/>
                <w:b w:val="1"/>
                <w:bCs w:val="1"/>
                <w:color w:val="auto"/>
              </w:rPr>
              <w:t>(317) 242-5000</w:t>
            </w:r>
          </w:p>
        </w:tc>
        <w:tc>
          <w:tcPr>
            <w:tcW w:w="1600" w:type="dxa"/>
            <w:vAlign w:val="bottom"/>
          </w:tcPr>
          <w:p>
            <w:pPr>
              <w:spacing w:after="0"/>
              <w:rPr>
                <w:sz w:val="24"/>
                <w:szCs w:val="24"/>
                <w:color w:val="auto"/>
              </w:rPr>
            </w:pPr>
          </w:p>
        </w:tc>
      </w:tr>
      <w:tr>
        <w:trPr>
          <w:trHeight w:val="236"/>
        </w:trPr>
        <w:tc>
          <w:tcPr>
            <w:tcW w:w="6180" w:type="dxa"/>
            <w:vAlign w:val="bottom"/>
          </w:tcPr>
          <w:p>
            <w:pPr>
              <w:jc w:val="center"/>
              <w:ind w:left="2259"/>
              <w:spacing w:after="0"/>
              <w:rPr>
                <w:sz w:val="20"/>
                <w:szCs w:val="20"/>
                <w:color w:val="auto"/>
              </w:rPr>
            </w:pPr>
            <w:r>
              <w:rPr>
                <w:rFonts w:ascii="Arial" w:cs="Arial" w:eastAsia="Arial" w:hAnsi="Arial"/>
                <w:sz w:val="14"/>
                <w:szCs w:val="14"/>
                <w:color w:val="auto"/>
              </w:rPr>
              <w:t>(Registrant’s Telephone Number, Including Area Code)</w:t>
            </w:r>
          </w:p>
        </w:tc>
        <w:tc>
          <w:tcPr>
            <w:tcW w:w="1600" w:type="dxa"/>
            <w:vAlign w:val="bottom"/>
          </w:tcPr>
          <w:p>
            <w:pPr>
              <w:spacing w:after="0"/>
              <w:rPr>
                <w:sz w:val="20"/>
                <w:szCs w:val="20"/>
                <w:color w:val="auto"/>
              </w:rPr>
            </w:pPr>
          </w:p>
        </w:tc>
      </w:tr>
    </w:tbl>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4"/>
                <w:szCs w:val="14"/>
                <w:color w:val="auto"/>
              </w:rPr>
            </w:pPr>
          </w:p>
        </w:tc>
        <w:tc>
          <w:tcPr>
            <w:tcW w:w="3660" w:type="dxa"/>
            <w:vAlign w:val="bottom"/>
            <w:vMerge w:val="restart"/>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rPr>
              <w:t>Name of Each Exchange</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on which Registered</w:t>
            </w:r>
          </w:p>
        </w:tc>
        <w:tc>
          <w:tcPr>
            <w:tcW w:w="0" w:type="dxa"/>
            <w:vAlign w:val="bottom"/>
          </w:tcPr>
          <w:p>
            <w:pPr>
              <w:spacing w:after="0"/>
              <w:rPr>
                <w:sz w:val="1"/>
                <w:szCs w:val="1"/>
                <w:color w:val="auto"/>
              </w:rPr>
            </w:pPr>
          </w:p>
        </w:tc>
      </w:tr>
      <w:tr>
        <w:trPr>
          <w:trHeight w:val="279"/>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9"/>
              </w:rPr>
              <w:t>Common stock, $0.01 par value</w:t>
            </w: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ALSN</w:t>
            </w: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w:t>
      </w:r>
    </w:p>
    <w:p>
      <w:pPr>
        <w:spacing w:after="0" w:line="13" w:lineRule="exact"/>
        <w:rPr>
          <w:sz w:val="24"/>
          <w:szCs w:val="24"/>
          <w:color w:val="auto"/>
        </w:rPr>
      </w:pPr>
    </w:p>
    <w:p>
      <w:pPr>
        <w:jc w:val="both"/>
        <w:spacing w:after="0" w:line="213" w:lineRule="exact"/>
        <w:rPr>
          <w:sz w:val="20"/>
          <w:szCs w:val="20"/>
          <w:color w:val="auto"/>
        </w:rPr>
      </w:pPr>
      <w:r>
        <w:rPr>
          <w:rFonts w:ascii="Arial" w:cs="Arial" w:eastAsia="Arial" w:hAnsi="Arial"/>
          <w:sz w:val="18"/>
          <w:szCs w:val="18"/>
          <w:color w:val="auto"/>
        </w:rPr>
        <w:t xml:space="preserve">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w:t>
      </w:r>
    </w:p>
    <w:p>
      <w:pPr>
        <w:spacing w:after="0" w:line="13" w:lineRule="exact"/>
        <w:rPr>
          <w:sz w:val="24"/>
          <w:szCs w:val="24"/>
          <w:color w:val="auto"/>
        </w:rPr>
      </w:pPr>
    </w:p>
    <w:p>
      <w:pPr>
        <w:ind w:right="680"/>
        <w:spacing w:after="0" w:line="213" w:lineRule="exact"/>
        <w:rPr>
          <w:sz w:val="20"/>
          <w:szCs w:val="20"/>
          <w:color w:val="auto"/>
        </w:rPr>
      </w:pPr>
      <w:r>
        <w:rPr>
          <w:rFonts w:ascii="Arial" w:cs="Arial" w:eastAsia="Arial" w:hAnsi="Arial"/>
          <w:sz w:val="18"/>
          <w:szCs w:val="18"/>
          <w:color w:val="auto"/>
        </w:rPr>
        <w:t xml:space="preserve">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w:t>
      </w:r>
    </w:p>
    <w:p>
      <w:pPr>
        <w:spacing w:after="0" w:line="13" w:lineRule="exact"/>
        <w:rPr>
          <w:sz w:val="24"/>
          <w:szCs w:val="24"/>
          <w:color w:val="auto"/>
        </w:rPr>
      </w:pPr>
    </w:p>
    <w:p>
      <w:pPr>
        <w:ind w:right="500"/>
        <w:spacing w:after="0" w:line="237" w:lineRule="auto"/>
        <w:rPr>
          <w:sz w:val="20"/>
          <w:szCs w:val="20"/>
          <w:color w:val="auto"/>
        </w:rPr>
      </w:pPr>
      <w:r>
        <w:rPr>
          <w:rFonts w:ascii="Arial" w:cs="Arial" w:eastAsia="Arial" w:hAnsi="Arial"/>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 w:lineRule="exact"/>
        <w:rPr>
          <w:sz w:val="24"/>
          <w:szCs w:val="24"/>
          <w:color w:val="auto"/>
        </w:rPr>
      </w:pPr>
    </w:p>
    <w:p>
      <w:pPr>
        <w:ind w:right="580" w:firstLine="499"/>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00" w:right="260"/>
        <w:spacing w:after="0" w:line="2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13, 2022, there were 92,490,446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00" w:type="dxa"/>
            <w:vAlign w:val="bottom"/>
            <w:gridSpan w:val="26"/>
          </w:tcPr>
          <w:p>
            <w:pPr>
              <w:spacing w:after="0"/>
              <w:rPr>
                <w:sz w:val="20"/>
                <w:szCs w:val="20"/>
                <w:color w:val="auto"/>
              </w:rPr>
            </w:pPr>
            <w:r>
              <w:rPr>
                <w:rFonts w:ascii="Arial" w:cs="Arial" w:eastAsia="Arial" w:hAnsi="Arial"/>
                <w:sz w:val="18"/>
                <w:szCs w:val="18"/>
                <w:color w:val="0000FF"/>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9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0"/>
          </w:tcPr>
          <w:p>
            <w:pPr>
              <w:jc w:val="center"/>
              <w:ind w:right="420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60" w:type="dxa"/>
            <w:vAlign w:val="bottom"/>
            <w:gridSpan w:val="12"/>
            <w:vMerge w:val="restart"/>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220" w:type="dxa"/>
            <w:vAlign w:val="bottom"/>
            <w:gridSpan w:val="2"/>
            <w:vMerge w:val="restart"/>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60" w:type="dxa"/>
            <w:vAlign w:val="bottom"/>
            <w:tcBorders>
              <w:bottom w:val="single" w:sz="8" w:color="0000FF"/>
            </w:tcBorders>
            <w:gridSpan w:val="12"/>
            <w:vMerge w:val="continue"/>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Financial Statements</w:t>
            </w:r>
          </w:p>
        </w:tc>
        <w:tc>
          <w:tcPr>
            <w:tcW w:w="20" w:type="dxa"/>
            <w:vAlign w:val="bottom"/>
            <w:tcBorders>
              <w:bottom w:val="single" w:sz="8" w:color="0000EE"/>
            </w:tcBorders>
          </w:tcPr>
          <w:p>
            <w:pPr>
              <w:spacing w:after="0"/>
              <w:rPr>
                <w:sz w:val="24"/>
                <w:szCs w:val="24"/>
                <w:color w:val="auto"/>
              </w:rPr>
            </w:pPr>
          </w:p>
        </w:tc>
        <w:tc>
          <w:tcPr>
            <w:tcW w:w="7640" w:type="dxa"/>
            <w:vAlign w:val="bottom"/>
            <w:gridSpan w:val="16"/>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 – 7</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33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000" w:type="dxa"/>
            <w:vAlign w:val="bottom"/>
            <w:gridSpan w:val="12"/>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51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220" w:type="dxa"/>
            <w:vAlign w:val="bottom"/>
            <w:gridSpan w:val="4"/>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41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16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48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480" w:type="dxa"/>
            <w:vAlign w:val="bottom"/>
            <w:gridSpan w:val="5"/>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6 – 7</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4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24"/>
                <w:szCs w:val="24"/>
                <w:color w:val="auto"/>
              </w:rPr>
            </w:pPr>
          </w:p>
        </w:tc>
        <w:tc>
          <w:tcPr>
            <w:tcW w:w="4860" w:type="dxa"/>
            <w:vAlign w:val="bottom"/>
            <w:gridSpan w:val="8"/>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 – 23</w:t>
            </w:r>
          </w:p>
        </w:tc>
        <w:tc>
          <w:tcPr>
            <w:tcW w:w="0" w:type="dxa"/>
            <w:vAlign w:val="bottom"/>
          </w:tcPr>
          <w:p>
            <w:pPr>
              <w:spacing w:after="0"/>
              <w:rPr>
                <w:sz w:val="1"/>
                <w:szCs w:val="1"/>
                <w:color w:val="auto"/>
              </w:rPr>
            </w:pPr>
          </w:p>
        </w:tc>
      </w:tr>
      <w:tr>
        <w:trPr>
          <w:trHeight w:val="425"/>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34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24 – 37</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6"/>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38 – 39</w:t>
            </w:r>
          </w:p>
        </w:tc>
        <w:tc>
          <w:tcPr>
            <w:tcW w:w="0" w:type="dxa"/>
            <w:vAlign w:val="bottom"/>
          </w:tcPr>
          <w:p>
            <w:pPr>
              <w:spacing w:after="0"/>
              <w:rPr>
                <w:sz w:val="1"/>
                <w:szCs w:val="1"/>
                <w:color w:val="auto"/>
              </w:rPr>
            </w:pPr>
          </w:p>
        </w:tc>
      </w:tr>
      <w:tr>
        <w:trPr>
          <w:trHeight w:val="411"/>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Item 4.</w:t>
            </w:r>
          </w:p>
        </w:tc>
        <w:tc>
          <w:tcPr>
            <w:tcW w:w="19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Controls and Procedures</w:t>
            </w:r>
          </w:p>
        </w:tc>
        <w:tc>
          <w:tcPr>
            <w:tcW w:w="1340" w:type="dxa"/>
            <w:vAlign w:val="bottom"/>
            <w:gridSpan w:val="2"/>
            <w:vMerge w:val="restart"/>
          </w:tcPr>
          <w:p>
            <w:pPr>
              <w:spacing w:after="0"/>
              <w:rPr>
                <w:sz w:val="24"/>
                <w:szCs w:val="24"/>
                <w:color w:val="auto"/>
              </w:rPr>
            </w:pPr>
          </w:p>
        </w:tc>
        <w:tc>
          <w:tcPr>
            <w:tcW w:w="1520" w:type="dxa"/>
            <w:vAlign w:val="bottom"/>
            <w:gridSpan w:val="7"/>
          </w:tcPr>
          <w:p>
            <w:pPr>
              <w:spacing w:after="0"/>
              <w:rPr>
                <w:sz w:val="24"/>
                <w:szCs w:val="24"/>
                <w:color w:val="auto"/>
              </w:rPr>
            </w:pPr>
          </w:p>
        </w:tc>
        <w:tc>
          <w:tcPr>
            <w:tcW w:w="1140" w:type="dxa"/>
            <w:vAlign w:val="bottom"/>
            <w:gridSpan w:val="3"/>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65"/>
        </w:trPr>
        <w:tc>
          <w:tcPr>
            <w:tcW w:w="960" w:type="dxa"/>
            <w:vAlign w:val="bottom"/>
            <w:vMerge w:val="continue"/>
          </w:tcPr>
          <w:p>
            <w:pPr>
              <w:spacing w:after="0"/>
              <w:rPr>
                <w:sz w:val="5"/>
                <w:szCs w:val="5"/>
                <w:color w:val="auto"/>
              </w:rPr>
            </w:pPr>
          </w:p>
        </w:tc>
        <w:tc>
          <w:tcPr>
            <w:tcW w:w="6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gridSpan w:val="3"/>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660" w:type="dxa"/>
            <w:vAlign w:val="bottom"/>
            <w:gridSpan w:val="10"/>
            <w:vMerge w:val="restart"/>
          </w:tcPr>
          <w:p>
            <w:pPr>
              <w:jc w:val="center"/>
              <w:spacing w:after="0"/>
              <w:rPr>
                <w:sz w:val="20"/>
                <w:szCs w:val="20"/>
                <w:color w:val="auto"/>
              </w:rPr>
            </w:pPr>
            <w:r>
              <w:rPr>
                <w:rFonts w:ascii="Arial" w:cs="Arial" w:eastAsia="Arial" w:hAnsi="Arial"/>
                <w:sz w:val="18"/>
                <w:szCs w:val="18"/>
                <w:b w:val="1"/>
                <w:bCs w:val="1"/>
                <w:color w:val="0000FF"/>
                <w:w w:val="98"/>
              </w:rPr>
              <w:t>PART II. OTHER INFORMATION</w:t>
            </w:r>
          </w:p>
        </w:tc>
        <w:tc>
          <w:tcPr>
            <w:tcW w:w="3360" w:type="dxa"/>
            <w:vAlign w:val="bottom"/>
            <w:gridSpan w:val="3"/>
            <w:vMerge w:val="restart"/>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FF"/>
            </w:tcBorders>
            <w:gridSpan w:val="10"/>
            <w:vMerge w:val="continue"/>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934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860" w:type="dxa"/>
            <w:vAlign w:val="bottom"/>
            <w:gridSpan w:val="18"/>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48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500" w:type="dxa"/>
            <w:vAlign w:val="bottom"/>
            <w:gridSpan w:val="6"/>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6.</w:t>
            </w:r>
          </w:p>
        </w:tc>
        <w:tc>
          <w:tcPr>
            <w:tcW w:w="9340" w:type="dxa"/>
            <w:vAlign w:val="bottom"/>
            <w:gridSpan w:val="25"/>
          </w:tcPr>
          <w:p>
            <w:pPr>
              <w:spacing w:after="0"/>
              <w:rPr>
                <w:sz w:val="20"/>
                <w:szCs w:val="20"/>
                <w:color w:val="auto"/>
              </w:rPr>
            </w:pPr>
            <w:r>
              <w:rPr>
                <w:rFonts w:ascii="Arial" w:cs="Arial" w:eastAsia="Arial" w:hAnsi="Arial"/>
                <w:sz w:val="18"/>
                <w:szCs w:val="18"/>
                <w:color w:val="0000FF"/>
              </w:rPr>
              <w:t>Exhibits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60" w:type="dxa"/>
            <w:vAlign w:val="bottom"/>
            <w:gridSpan w:val="2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60" w:type="dxa"/>
            <w:vAlign w:val="bottom"/>
          </w:tcPr>
          <w:p>
            <w:pPr>
              <w:spacing w:after="0"/>
              <w:rPr>
                <w:sz w:val="24"/>
                <w:szCs w:val="24"/>
                <w:color w:val="auto"/>
              </w:rPr>
            </w:pPr>
          </w:p>
        </w:tc>
        <w:tc>
          <w:tcPr>
            <w:tcW w:w="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20" w:type="dxa"/>
            <w:vAlign w:val="bottom"/>
            <w:tcBorders>
              <w:bottom w:val="single" w:sz="8" w:color="0000EE"/>
            </w:tcBorders>
          </w:tcPr>
          <w:p>
            <w:pPr>
              <w:spacing w:after="0"/>
              <w:rPr>
                <w:sz w:val="24"/>
                <w:szCs w:val="24"/>
                <w:color w:val="auto"/>
              </w:rPr>
            </w:pPr>
          </w:p>
        </w:tc>
        <w:tc>
          <w:tcPr>
            <w:tcW w:w="8460" w:type="dxa"/>
            <w:vAlign w:val="bottom"/>
            <w:gridSpan w:val="21"/>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180</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Accounts receivable – net of allowances for doubtful accounts of $5 and $3, respectively</w:t>
            </w:r>
          </w:p>
        </w:tc>
        <w:tc>
          <w:tcPr>
            <w:tcW w:w="22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374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223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838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711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889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2,074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4,593</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227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487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22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95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2,502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525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3,831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(see Note P)</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80"/>
              <w:spacing w:after="0" w:line="170" w:lineRule="exact"/>
              <w:rPr>
                <w:sz w:val="20"/>
                <w:szCs w:val="20"/>
                <w:color w:val="auto"/>
              </w:rPr>
            </w:pPr>
            <w:r>
              <w:rPr>
                <w:rFonts w:ascii="Arial" w:cs="Arial" w:eastAsia="Arial" w:hAnsi="Arial"/>
                <w:sz w:val="18"/>
                <w:szCs w:val="18"/>
                <w:color w:val="auto"/>
              </w:rPr>
              <w:t>Common stock, $0.01 par value, 1,880,000,000 shares authorized, 93,480,956 shares</w:t>
            </w:r>
          </w:p>
        </w:tc>
        <w:tc>
          <w:tcPr>
            <w:tcW w:w="220" w:type="dxa"/>
            <w:vAlign w:val="bottom"/>
          </w:tcPr>
          <w:p>
            <w:pPr>
              <w:spacing w:after="0"/>
              <w:rPr>
                <w:sz w:val="14"/>
                <w:szCs w:val="14"/>
                <w:color w:val="auto"/>
              </w:rPr>
            </w:pPr>
          </w:p>
        </w:tc>
        <w:tc>
          <w:tcPr>
            <w:tcW w:w="15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7600" w:type="dxa"/>
            <w:vAlign w:val="bottom"/>
          </w:tcPr>
          <w:p>
            <w:pPr>
              <w:ind w:left="280"/>
              <w:spacing w:after="0"/>
              <w:rPr>
                <w:sz w:val="20"/>
                <w:szCs w:val="20"/>
                <w:color w:val="auto"/>
              </w:rPr>
            </w:pPr>
            <w:r>
              <w:rPr>
                <w:rFonts w:ascii="Arial" w:cs="Arial" w:eastAsia="Arial" w:hAnsi="Arial"/>
                <w:sz w:val="18"/>
                <w:szCs w:val="18"/>
                <w:color w:val="auto"/>
              </w:rPr>
              <w:t>issued and outstanding and 99,262,951 shares issued and outstanding, respectively</w:t>
            </w:r>
          </w:p>
        </w:tc>
        <w:tc>
          <w:tcPr>
            <w:tcW w:w="22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60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220" w:type="dxa"/>
            <w:vAlign w:val="bottom"/>
            <w:shd w:val="clear" w:color="auto" w:fill="CFF0FC"/>
          </w:tcPr>
          <w:p>
            <w:pPr>
              <w:spacing w:after="0"/>
              <w:rPr>
                <w:sz w:val="14"/>
                <w:szCs w:val="14"/>
                <w:color w:val="auto"/>
              </w:rPr>
            </w:pPr>
          </w:p>
        </w:tc>
        <w:tc>
          <w:tcPr>
            <w:tcW w:w="15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20"/>
                <w:szCs w:val="20"/>
                <w:color w:val="auto"/>
              </w:rPr>
            </w:pPr>
          </w:p>
        </w:tc>
        <w:tc>
          <w:tcPr>
            <w:tcW w:w="154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80"/>
              <w:spacing w:after="0" w:line="170"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220" w:type="dxa"/>
            <w:vAlign w:val="bottom"/>
          </w:tcPr>
          <w:p>
            <w:pPr>
              <w:spacing w:after="0"/>
              <w:rPr>
                <w:sz w:val="14"/>
                <w:szCs w:val="14"/>
                <w:color w:val="auto"/>
              </w:rPr>
            </w:pPr>
          </w:p>
        </w:tc>
        <w:tc>
          <w:tcPr>
            <w:tcW w:w="15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60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1,843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(1,021 )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(1,126 )</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762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4,593</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-3732530</wp:posOffset>
            </wp:positionV>
            <wp:extent cx="10287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-316230</wp:posOffset>
            </wp:positionV>
            <wp:extent cx="10287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710</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2,051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1,758</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1,092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918</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328</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959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840</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78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226</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47</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136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121</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493</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(88 )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(87 )</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(15 )</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476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418</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(20 )</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139</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390</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324</w:t>
            </w: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Basic earnings per share attributable to common stockholders</w:t>
            </w:r>
          </w:p>
        </w:tc>
        <w:tc>
          <w:tcPr>
            <w:tcW w:w="760" w:type="dxa"/>
            <w:vAlign w:val="bottom"/>
            <w:tcBorders>
              <w:bottom w:val="single" w:sz="8" w:color="auto"/>
            </w:tcBorders>
          </w:tcPr>
          <w:p>
            <w:pPr>
              <w:jc w:val="right"/>
              <w:ind w:right="555"/>
              <w:spacing w:after="0" w:line="196" w:lineRule="exact"/>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0.89</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2.97</w:t>
            </w:r>
          </w:p>
        </w:tc>
      </w:tr>
      <w:tr>
        <w:trPr>
          <w:trHeight w:val="20"/>
        </w:trPr>
        <w:tc>
          <w:tcPr>
            <w:tcW w:w="5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Diluted earnings per share attributable to common stockholders</w:t>
            </w:r>
          </w:p>
        </w:tc>
        <w:tc>
          <w:tcPr>
            <w:tcW w:w="760" w:type="dxa"/>
            <w:vAlign w:val="bottom"/>
            <w:tcBorders>
              <w:top w:val="single" w:sz="8" w:color="auto"/>
              <w:bottom w:val="single" w:sz="8" w:color="auto"/>
            </w:tcBorders>
            <w:shd w:val="clear" w:color="auto" w:fill="CFF0FC"/>
          </w:tcPr>
          <w:p>
            <w:pPr>
              <w:jc w:val="right"/>
              <w:ind w:right="555"/>
              <w:spacing w:after="0" w:line="196" w:lineRule="exact"/>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1.45</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0.89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4.02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2.97</w:t>
            </w: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net of tax</w:t>
            </w:r>
          </w:p>
        </w:tc>
        <w:tc>
          <w:tcPr>
            <w:tcW w:w="760" w:type="dxa"/>
            <w:vAlign w:val="bottom"/>
          </w:tcPr>
          <w:p>
            <w:pPr>
              <w:jc w:val="right"/>
              <w:ind w:right="555"/>
              <w:spacing w:after="0" w:line="196" w:lineRule="exact"/>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138</w:t>
            </w:r>
          </w:p>
        </w:tc>
        <w:tc>
          <w:tcPr>
            <w:tcW w:w="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92</w:t>
            </w:r>
          </w:p>
        </w:tc>
        <w:tc>
          <w:tcPr>
            <w:tcW w:w="40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402</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328</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-1360805</wp:posOffset>
            </wp:positionV>
            <wp:extent cx="939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-1360805</wp:posOffset>
            </wp:positionV>
            <wp:extent cx="8572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-1360805</wp:posOffset>
            </wp:positionV>
            <wp:extent cx="8572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-513080</wp:posOffset>
            </wp:positionV>
            <wp:extent cx="184086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0865" cy="18859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-187960</wp:posOffset>
            </wp:positionV>
            <wp:extent cx="184086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40865" cy="18859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r>
      <w:tr>
        <w:trPr>
          <w:trHeight w:val="196"/>
        </w:trPr>
        <w:tc>
          <w:tcPr>
            <w:tcW w:w="774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390</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324</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Technology-related investments gain</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intercompany foreign exchange</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(89 )</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36</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(32 )</w:t>
            </w:r>
          </w:p>
        </w:tc>
        <w:tc>
          <w:tcPr>
            <w:tcW w:w="1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0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433</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467</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of long-lived assets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(75 )</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Business acquisitions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technology-related investments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Loans to third parties</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Investment in equity method investee</w:t>
            </w: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740" w:type="dxa"/>
            <w:vAlign w:val="bottom"/>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(216 )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(326 )</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Borrowings on revolving credit facility</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95</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Payments on revolving credit facility</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(95 )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 payments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(61 )</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Payments on long-term debt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Payments of acquisition-related contingent liability</w:t>
            </w: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9"/>
        </w:trPr>
        <w:tc>
          <w:tcPr>
            <w:tcW w:w="7740" w:type="dxa"/>
            <w:vAlign w:val="bottom"/>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(285 )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(396 )</w:t>
            </w: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09"/>
        </w:trPr>
        <w:tc>
          <w:tcPr>
            <w:tcW w:w="7740" w:type="dxa"/>
            <w:vAlign w:val="bottom"/>
          </w:tcPr>
          <w:p>
            <w:pPr>
              <w:ind w:left="52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261</w:t>
            </w:r>
          </w:p>
        </w:tc>
      </w:tr>
      <w:tr>
        <w:trPr>
          <w:trHeight w:val="20"/>
        </w:trPr>
        <w:tc>
          <w:tcPr>
            <w:tcW w:w="7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paid during period for:</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85</w:t>
            </w:r>
          </w:p>
        </w:tc>
        <w:tc>
          <w:tcPr>
            <w:tcW w:w="1280" w:type="dxa"/>
            <w:vAlign w:val="bottom"/>
            <w:gridSpan w:val="2"/>
            <w:shd w:val="clear" w:color="auto" w:fill="CFF0FC"/>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r>
      <w:tr>
        <w:trPr>
          <w:trHeight w:val="216"/>
        </w:trPr>
        <w:tc>
          <w:tcPr>
            <w:tcW w:w="7740" w:type="dxa"/>
            <w:vAlign w:val="bottom"/>
          </w:tcPr>
          <w:p>
            <w:pPr>
              <w:ind w:left="520"/>
              <w:spacing w:after="0"/>
              <w:rPr>
                <w:sz w:val="20"/>
                <w:szCs w:val="20"/>
                <w:color w:val="auto"/>
              </w:rPr>
            </w:pPr>
            <w:r>
              <w:rPr>
                <w:rFonts w:ascii="Arial" w:cs="Arial" w:eastAsia="Arial" w:hAnsi="Arial"/>
                <w:sz w:val="18"/>
                <w:szCs w:val="18"/>
                <w:color w:val="auto"/>
              </w:rPr>
              <w:t>Interest</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investing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47"/>
        </w:trPr>
        <w:tc>
          <w:tcPr>
            <w:tcW w:w="7740" w:type="dxa"/>
            <w:vAlign w:val="bottom"/>
          </w:tcPr>
          <w:p>
            <w:pPr>
              <w:ind w:left="520"/>
              <w:spacing w:after="0"/>
              <w:rPr>
                <w:sz w:val="20"/>
                <w:szCs w:val="20"/>
                <w:color w:val="auto"/>
              </w:rPr>
            </w:pPr>
            <w:r>
              <w:rPr>
                <w:rFonts w:ascii="Arial" w:cs="Arial" w:eastAsia="Arial" w:hAnsi="Arial"/>
                <w:sz w:val="18"/>
                <w:szCs w:val="18"/>
                <w:color w:val="auto"/>
              </w:rPr>
              <w:t>Capital expenditures in liabilities</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-2955925</wp:posOffset>
            </wp:positionV>
            <wp:extent cx="11112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-1577340</wp:posOffset>
            </wp:positionV>
            <wp:extent cx="11112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-1294765</wp:posOffset>
            </wp:positionV>
            <wp:extent cx="11112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-1012190</wp:posOffset>
            </wp:positionV>
            <wp:extent cx="1111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Non-voting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5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0" w:type="dxa"/>
            <w:vAlign w:val="bottom"/>
            <w:gridSpan w:val="2"/>
            <w:vMerge w:val="restart"/>
          </w:tcPr>
          <w:p>
            <w:pPr>
              <w:jc w:val="right"/>
              <w:ind w:right="191"/>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53"/>
              <w:spacing w:after="0" w:line="144"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252"/>
              <w:spacing w:after="0" w:line="153" w:lineRule="exact"/>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3"/>
                <w:szCs w:val="13"/>
                <w:color w:val="auto"/>
              </w:rPr>
            </w:pPr>
          </w:p>
        </w:tc>
        <w:tc>
          <w:tcPr>
            <w:tcW w:w="1380" w:type="dxa"/>
            <w:vAlign w:val="bottom"/>
            <w:gridSpan w:val="2"/>
          </w:tcPr>
          <w:p>
            <w:pPr>
              <w:jc w:val="center"/>
              <w:ind w:right="33"/>
              <w:spacing w:after="0" w:line="153" w:lineRule="exact"/>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0"/>
        </w:trPr>
        <w:tc>
          <w:tcPr>
            <w:tcW w:w="306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5"/>
        </w:trPr>
        <w:tc>
          <w:tcPr>
            <w:tcW w:w="3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060" w:type="dxa"/>
            <w:vAlign w:val="bottom"/>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4"/>
                <w:szCs w:val="14"/>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5"/>
        </w:trPr>
        <w:tc>
          <w:tcPr>
            <w:tcW w:w="30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9"/>
        </w:trPr>
        <w:tc>
          <w:tcPr>
            <w:tcW w:w="3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(1,038 )</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line="196" w:lineRule="exact"/>
              <w:rPr>
                <w:sz w:val="20"/>
                <w:szCs w:val="20"/>
                <w:color w:val="auto"/>
              </w:rPr>
            </w:pPr>
            <w:r>
              <w:rPr>
                <w:rFonts w:ascii="Arial" w:cs="Arial" w:eastAsia="Arial" w:hAnsi="Arial"/>
                <w:sz w:val="18"/>
                <w:szCs w:val="18"/>
                <w:color w:val="auto"/>
              </w:rPr>
              <w:t>Balance at June 30, 2022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1,839</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(1,031 )</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(60 )</w:t>
            </w:r>
          </w:p>
        </w:tc>
        <w:tc>
          <w:tcPr>
            <w:tcW w:w="320" w:type="dxa"/>
            <w:vAlign w:val="bottom"/>
            <w:gridSpan w:val="2"/>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0"/>
        </w:trPr>
        <w:tc>
          <w:tcPr>
            <w:tcW w:w="3060" w:type="dxa"/>
            <w:vAlign w:val="bottom"/>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80" w:type="dxa"/>
            <w:vAlign w:val="bottom"/>
          </w:tcPr>
          <w:p>
            <w:pPr>
              <w:spacing w:after="0"/>
              <w:rPr>
                <w:sz w:val="14"/>
                <w:szCs w:val="14"/>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5"/>
        </w:trPr>
        <w:tc>
          <w:tcPr>
            <w:tcW w:w="30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06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35"/>
        </w:trPr>
        <w:tc>
          <w:tcPr>
            <w:tcW w:w="3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(109 )</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139</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49"/>
        </w:trPr>
        <w:tc>
          <w:tcPr>
            <w:tcW w:w="3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1,843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(1,021 )</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-1668780</wp:posOffset>
            </wp:positionV>
            <wp:extent cx="377571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5710" cy="16256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-24765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-24765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Allison Transmission Holdings, Inc.</w:t>
      </w:r>
    </w:p>
    <w:p>
      <w:pPr>
        <w:spacing w:after="0" w:line="4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Non-voting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5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1000" w:type="dxa"/>
            <w:vAlign w:val="bottom"/>
            <w:gridSpan w:val="2"/>
          </w:tcPr>
          <w:p>
            <w:pPr>
              <w:jc w:val="right"/>
              <w:ind w:right="171"/>
              <w:spacing w:after="0" w:line="157"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3"/>
                <w:szCs w:val="13"/>
                <w:color w:val="auto"/>
              </w:rPr>
            </w:pPr>
          </w:p>
        </w:tc>
        <w:tc>
          <w:tcPr>
            <w:tcW w:w="1000" w:type="dxa"/>
            <w:vAlign w:val="bottom"/>
            <w:gridSpan w:val="2"/>
          </w:tcPr>
          <w:p>
            <w:pPr>
              <w:ind w:left="120"/>
              <w:spacing w:after="0" w:line="157"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3"/>
                <w:szCs w:val="13"/>
                <w:color w:val="auto"/>
              </w:rPr>
            </w:pPr>
          </w:p>
        </w:tc>
        <w:tc>
          <w:tcPr>
            <w:tcW w:w="98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72"/>
              <w:spacing w:after="0" w:line="157"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252"/>
              <w:spacing w:after="0" w:line="157" w:lineRule="exact"/>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3"/>
                <w:szCs w:val="13"/>
                <w:color w:val="auto"/>
              </w:rPr>
            </w:pPr>
          </w:p>
        </w:tc>
        <w:tc>
          <w:tcPr>
            <w:tcW w:w="1380" w:type="dxa"/>
            <w:vAlign w:val="bottom"/>
            <w:gridSpan w:val="2"/>
          </w:tcPr>
          <w:p>
            <w:pPr>
              <w:jc w:val="center"/>
              <w:ind w:right="33"/>
              <w:spacing w:after="0" w:line="157" w:lineRule="exact"/>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3"/>
                <w:szCs w:val="13"/>
                <w:color w:val="auto"/>
              </w:rPr>
            </w:pPr>
          </w:p>
        </w:tc>
        <w:tc>
          <w:tcPr>
            <w:tcW w:w="1240" w:type="dxa"/>
            <w:vAlign w:val="bottom"/>
            <w:gridSpan w:val="2"/>
          </w:tcPr>
          <w:p>
            <w:pPr>
              <w:jc w:val="right"/>
              <w:ind w:right="131"/>
              <w:spacing w:after="0" w:line="157"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0"/>
        </w:trPr>
        <w:tc>
          <w:tcPr>
            <w:tcW w:w="304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5"/>
        </w:trPr>
        <w:tc>
          <w:tcPr>
            <w:tcW w:w="3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040" w:type="dxa"/>
            <w:vAlign w:val="bottom"/>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4"/>
                <w:szCs w:val="14"/>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5"/>
        </w:trPr>
        <w:tc>
          <w:tcPr>
            <w:tcW w:w="304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9"/>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(1,038 )</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ind w:left="52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1,832</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(1,126 )</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(73 )</w:t>
            </w:r>
          </w:p>
        </w:tc>
        <w:tc>
          <w:tcPr>
            <w:tcW w:w="320" w:type="dxa"/>
            <w:vAlign w:val="bottom"/>
            <w:gridSpan w:val="2"/>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70"/>
        </w:trPr>
        <w:tc>
          <w:tcPr>
            <w:tcW w:w="3040" w:type="dxa"/>
            <w:vAlign w:val="bottom"/>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80" w:type="dxa"/>
            <w:vAlign w:val="bottom"/>
          </w:tcPr>
          <w:p>
            <w:pPr>
              <w:spacing w:after="0"/>
              <w:rPr>
                <w:sz w:val="14"/>
                <w:szCs w:val="14"/>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35"/>
        </w:trPr>
        <w:tc>
          <w:tcPr>
            <w:tcW w:w="304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04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35"/>
        </w:trPr>
        <w:tc>
          <w:tcPr>
            <w:tcW w:w="3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(224 )</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(61 )</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390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49"/>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1,843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(1,021 )</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-1668780</wp:posOffset>
            </wp:positionV>
            <wp:extent cx="378460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84600" cy="16256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-24765</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59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-24765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55" w:lineRule="exact"/>
        <w:rPr>
          <w:sz w:val="20"/>
          <w:szCs w:val="20"/>
          <w:color w:val="auto"/>
        </w:rPr>
      </w:pPr>
    </w:p>
    <w:p>
      <w:pPr>
        <w:ind w:right="120" w:firstLine="499"/>
        <w:spacing w:after="0" w:line="298"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4" w:lineRule="exact"/>
        <w:rPr>
          <w:sz w:val="20"/>
          <w:szCs w:val="20"/>
          <w:color w:val="auto"/>
        </w:rPr>
      </w:pPr>
    </w:p>
    <w:p>
      <w:pPr>
        <w:jc w:val="both"/>
        <w:ind w:right="260" w:firstLine="499"/>
        <w:spacing w:after="0" w:line="307" w:lineRule="auto"/>
        <w:rPr>
          <w:sz w:val="20"/>
          <w:szCs w:val="20"/>
          <w:color w:val="auto"/>
        </w:rPr>
      </w:pPr>
      <w:r>
        <w:rPr>
          <w:rFonts w:ascii="Arial" w:cs="Arial" w:eastAsia="Arial" w:hAnsi="Arial"/>
          <w:sz w:val="18"/>
          <w:szCs w:val="18"/>
          <w:color w:val="auto"/>
        </w:rPr>
        <w:t>Although approximately 76% of revenues were generated in North America in 2021, the Company has a global presence by serving customers in Asia, Europe, South America and Africa. The Company serves customers through an independent network of approximately 1,400 independent distributor and dealer locations worldwide.</w:t>
      </w:r>
    </w:p>
    <w:p>
      <w:pPr>
        <w:spacing w:after="0" w:line="55" w:lineRule="exact"/>
        <w:rPr>
          <w:sz w:val="20"/>
          <w:szCs w:val="20"/>
          <w:color w:val="auto"/>
        </w:rPr>
      </w:pPr>
    </w:p>
    <w:p>
      <w:pPr>
        <w:ind w:firstLine="499"/>
        <w:spacing w:after="0" w:line="293" w:lineRule="auto"/>
        <w:rPr>
          <w:sz w:val="20"/>
          <w:szCs w:val="20"/>
          <w:color w:val="auto"/>
        </w:rPr>
      </w:pPr>
      <w:r>
        <w:rPr>
          <w:rFonts w:ascii="Arial" w:cs="Arial" w:eastAsia="Arial" w:hAnsi="Arial"/>
          <w:sz w:val="18"/>
          <w:szCs w:val="18"/>
          <w:color w:val="auto"/>
        </w:rPr>
        <w:t>Global markets continue to experience supply chain, labor, energy and raw material constraints as a result of global economic volatility, the war in Ukraine and the COVID-19 pandemic, that impact the Company's business. As a result, during the three and nine months ended September 30, 2022 the Company experienced raw material and component part price inflation, increased freight and logistics costs, increased labor costs, production constraints due to labor shortages and increased foreign exchange volatility. In addition, despite increased customer demand, the Company's net sales for the three and nine months ended September 30, 2022 were negatively impacted as a result of its customers’ inability to secure components from the broader commercial vehicle supply base which resulted in reduced commercial vehicle build schedules. The Company expects that commercial vehicle build schedules will continue to be negatively impacted by the availability of components throughout the remainder of 2022.</w:t>
      </w:r>
    </w:p>
    <w:p>
      <w:pPr>
        <w:spacing w:after="0" w:line="82" w:lineRule="exact"/>
        <w:rPr>
          <w:sz w:val="20"/>
          <w:szCs w:val="20"/>
          <w:color w:val="auto"/>
        </w:rPr>
      </w:pPr>
    </w:p>
    <w:p>
      <w:pPr>
        <w:ind w:right="20" w:firstLine="499"/>
        <w:spacing w:after="0" w:line="298" w:lineRule="auto"/>
        <w:rPr>
          <w:sz w:val="20"/>
          <w:szCs w:val="20"/>
          <w:color w:val="auto"/>
        </w:rPr>
      </w:pPr>
      <w:r>
        <w:rPr>
          <w:rFonts w:ascii="Arial" w:cs="Arial" w:eastAsia="Arial" w:hAnsi="Arial"/>
          <w:sz w:val="18"/>
          <w:szCs w:val="18"/>
          <w:color w:val="auto"/>
        </w:rPr>
        <w:t>To limit the spread of variants and sub-variants of COVID-19, governments have taken, and may in the future take, various actions that have impacted, and may in the future impact, the Company's employees, operations, customers and supply base, including the administration or mandate of vaccinations, travel bans and restrictions, quarantines, curfews, stay-at-home orders, social distancing guidelines and business shutdowns and 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5" w:lineRule="exact"/>
        <w:rPr>
          <w:sz w:val="20"/>
          <w:szCs w:val="20"/>
          <w:color w:val="auto"/>
        </w:rPr>
      </w:pPr>
    </w:p>
    <w:p>
      <w:pPr>
        <w:ind w:right="100" w:firstLine="499"/>
        <w:spacing w:after="0" w:line="295"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20" w:firstLine="494"/>
        <w:spacing w:after="0" w:line="292"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material impact on previously reported net income, total stockholders' equity or cash flows. The condensed consolidated financial statements should be read in conjunction with the audited consolidated financial statements included in the Company’s Form 10-K for the year ended December 31, 2021 as filed with the Securities and Exchange Commission on February 17, 2022. The interim period financial results for the three- and nine-month periods presented are not necessarily indicative of results to be expected for any other interim period or for the entire year.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5" w:lineRule="exact"/>
        <w:rPr>
          <w:sz w:val="20"/>
          <w:szCs w:val="20"/>
          <w:color w:val="auto"/>
        </w:rPr>
      </w:pPr>
    </w:p>
    <w:p>
      <w:pPr>
        <w:ind w:firstLine="494"/>
        <w:spacing w:after="0" w:line="28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core deposit liabilities, environmental liabilities, determination of discount rate and other assumptions for pension and other post-retirement benefit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uncertainty surrounding global economic conditions, including as a result of government actions to control inflation, the war in Ukraine and the ongoing COVID-19 pandemic, and the resulting impacts on our supply chain, demand for our products, foreign exchange rates, interest rates and the cost and availability of raw materials, labor, energy and transport, actual results could differ materially from these estimates and assumptions used in preparation of the financial statements including, but not limited to, future cash flows associated with goodwill, indefinite life intangibles, definite life intangibles, long-lived impairment tests, determination of discount rate and other assumptions for pension and OPEB expense and income taxes. Changes in estimates are recorded in results of operations in the period that the events or circumstances giving rise to such changes occur.</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42" w:lineRule="exact"/>
        <w:rPr>
          <w:sz w:val="20"/>
          <w:szCs w:val="20"/>
          <w:color w:val="auto"/>
        </w:rPr>
      </w:pPr>
    </w:p>
    <w:p>
      <w:pPr>
        <w:ind w:right="200" w:firstLine="499"/>
        <w:spacing w:after="0" w:line="298" w:lineRule="auto"/>
        <w:rPr>
          <w:sz w:val="20"/>
          <w:szCs w:val="20"/>
          <w:color w:val="auto"/>
        </w:rPr>
      </w:pPr>
      <w:r>
        <w:rPr>
          <w:rFonts w:ascii="Arial" w:cs="Arial" w:eastAsia="Arial" w:hAnsi="Arial"/>
          <w:sz w:val="18"/>
          <w:szCs w:val="18"/>
          <w:color w:val="auto"/>
        </w:rPr>
        <w:t>In October 2021, the Financial Accounting Standards Board ("FASB") issued authoritative accounting guidance that requires contract assets and contract liabilities acquired in a business combination to be recognized as if the acquirer originated the contracts. The guidance will be effective for the Company in fiscal year 2023, and the Company does not plan to early adopt. The guidance will be applied prospectively to acquisitions occurring on or after the effective date.</w:t>
      </w:r>
    </w:p>
    <w:p>
      <w:pPr>
        <w:spacing w:after="0" w:line="78" w:lineRule="exact"/>
        <w:rPr>
          <w:sz w:val="20"/>
          <w:szCs w:val="20"/>
          <w:color w:val="auto"/>
        </w:rPr>
      </w:pPr>
    </w:p>
    <w:p>
      <w:pPr>
        <w:ind w:right="80" w:firstLine="499"/>
        <w:spacing w:after="0" w:line="298" w:lineRule="auto"/>
        <w:rPr>
          <w:sz w:val="20"/>
          <w:szCs w:val="20"/>
          <w:color w:val="auto"/>
        </w:rPr>
      </w:pPr>
      <w:r>
        <w:rPr>
          <w:rFonts w:ascii="Arial" w:cs="Arial" w:eastAsia="Arial" w:hAnsi="Arial"/>
          <w:sz w:val="18"/>
          <w:szCs w:val="18"/>
          <w:color w:val="auto"/>
        </w:rPr>
        <w:t>In June 2022, the FASB issued authoritative accounting guidance that requires investments in equity securities which are measured at fair value and are subject to contractual sale restrictions to not reflect the contractual sale restriction in its fair value measurement. The guidance will be effective for the Company in fiscal year 2024, and the Company does not plan to early adopt. Management does not expect the adoption of this guidance to have an impact on the Company's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44" w:lineRule="exact"/>
        <w:rPr>
          <w:sz w:val="20"/>
          <w:szCs w:val="20"/>
          <w:color w:val="auto"/>
        </w:rPr>
      </w:pPr>
    </w:p>
    <w:p>
      <w:pPr>
        <w:ind w:right="40" w:firstLine="494"/>
        <w:spacing w:after="0" w:line="295"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65" w:lineRule="exact"/>
        <w:rPr>
          <w:sz w:val="20"/>
          <w:szCs w:val="20"/>
          <w:color w:val="auto"/>
        </w:rPr>
      </w:pPr>
    </w:p>
    <w:p>
      <w:pPr>
        <w:ind w:right="200" w:firstLine="494"/>
        <w:spacing w:after="0" w:line="307"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55" w:lineRule="exact"/>
        <w:rPr>
          <w:sz w:val="20"/>
          <w:szCs w:val="20"/>
          <w:color w:val="auto"/>
        </w:rPr>
      </w:pPr>
    </w:p>
    <w:p>
      <w:pPr>
        <w:ind w:right="240" w:firstLine="494"/>
        <w:spacing w:after="0" w:line="319" w:lineRule="auto"/>
        <w:rPr>
          <w:sz w:val="20"/>
          <w:szCs w:val="20"/>
          <w:color w:val="auto"/>
        </w:rPr>
      </w:pPr>
      <w:r>
        <w:rPr>
          <w:rFonts w:ascii="Arial" w:cs="Arial" w:eastAsia="Arial" w:hAnsi="Arial"/>
          <w:sz w:val="17"/>
          <w:szCs w:val="17"/>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for any of the three or nine months ended September 30, 2022 or 2021.</w:t>
      </w:r>
    </w:p>
    <w:p>
      <w:pPr>
        <w:spacing w:after="0" w:line="49" w:lineRule="exact"/>
        <w:rPr>
          <w:sz w:val="20"/>
          <w:szCs w:val="20"/>
          <w:color w:val="auto"/>
        </w:rPr>
      </w:pPr>
    </w:p>
    <w:p>
      <w:pPr>
        <w:ind w:right="60" w:firstLine="494"/>
        <w:spacing w:after="0" w:line="295"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2022 and December 31, 2021. See "Note J. Deferred Revenue” for more information, including the amount of revenue earned during each of the three and nine months ended September 30, 2022 and 2021 that had been previously deferred. The Company had no material contract assets as of either September 30, 2022 or December 31, 2021.</w:t>
      </w:r>
    </w:p>
    <w:p>
      <w:pPr>
        <w:spacing w:after="0" w:line="65" w:lineRule="exact"/>
        <w:rPr>
          <w:sz w:val="20"/>
          <w:szCs w:val="20"/>
          <w:color w:val="auto"/>
        </w:rPr>
      </w:pPr>
    </w:p>
    <w:p>
      <w:pPr>
        <w:jc w:val="both"/>
        <w:ind w:right="100" w:firstLine="494"/>
        <w:spacing w:after="0" w:line="307"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0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1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340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1,026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896</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w:t>
            </w:r>
          </w:p>
        </w:tc>
      </w:tr>
      <w:tr>
        <w:trPr>
          <w:trHeight w:val="21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275</w:t>
            </w:r>
          </w:p>
        </w:tc>
      </w:tr>
      <w:tr>
        <w:trPr>
          <w:trHeight w:val="21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434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376</w:t>
            </w:r>
          </w:p>
        </w:tc>
      </w:tr>
      <w:tr>
        <w:trPr>
          <w:trHeight w:val="24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710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2,051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1,758</w:t>
            </w:r>
          </w:p>
        </w:tc>
      </w:tr>
      <w:tr>
        <w:trPr>
          <w:trHeight w:val="618"/>
        </w:trPr>
        <w:tc>
          <w:tcPr>
            <w:tcW w:w="45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8"/>
        </w:trPr>
        <w:tc>
          <w:tcPr>
            <w:tcW w:w="45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-530225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-513080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-530225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-513080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-530225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-513080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40" w:type="dxa"/>
            <w:vAlign w:val="bottom"/>
          </w:tcPr>
          <w:p>
            <w:pPr>
              <w:spacing w:after="0"/>
              <w:rPr>
                <w:sz w:val="16"/>
                <w:szCs w:val="16"/>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r>
      <w:tr>
        <w:trPr>
          <w:trHeight w:val="20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1340" w:type="dxa"/>
            <w:vAlign w:val="bottom"/>
            <w:shd w:val="clear" w:color="auto" w:fill="CFF0FC"/>
          </w:tcPr>
          <w:p>
            <w:pPr>
              <w:jc w:val="right"/>
              <w:ind w:right="1159"/>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112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34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8</w:t>
            </w: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44</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w:t>
            </w:r>
          </w:p>
        </w:tc>
      </w:tr>
      <w:tr>
        <w:trPr>
          <w:trHeight w:val="249"/>
        </w:trPr>
        <w:tc>
          <w:tcPr>
            <w:tcW w:w="7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134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223</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111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111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7" w:lineRule="exact"/>
        <w:rPr>
          <w:sz w:val="20"/>
          <w:szCs w:val="20"/>
          <w:color w:val="auto"/>
        </w:rPr>
      </w:pPr>
    </w:p>
    <w:p>
      <w:pPr>
        <w:ind w:right="220" w:firstLine="494"/>
        <w:spacing w:after="0" w:line="307"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44" w:lineRule="exact"/>
        <w:rPr>
          <w:sz w:val="20"/>
          <w:szCs w:val="20"/>
          <w:color w:val="auto"/>
        </w:rPr>
      </w:pPr>
    </w:p>
    <w:p>
      <w:pPr>
        <w:ind w:right="500" w:firstLine="494"/>
        <w:spacing w:after="0" w:line="333" w:lineRule="auto"/>
        <w:rPr>
          <w:sz w:val="20"/>
          <w:szCs w:val="20"/>
          <w:color w:val="auto"/>
        </w:rPr>
      </w:pPr>
      <w:r>
        <w:rPr>
          <w:rFonts w:ascii="Arial" w:cs="Arial" w:eastAsia="Arial" w:hAnsi="Arial"/>
          <w:sz w:val="18"/>
          <w:szCs w:val="18"/>
          <w:color w:val="auto"/>
        </w:rPr>
        <w:t>As of September 30, 2022 and December 31, 2021, the carrying value of the Company’s Goodwill was $2,074 million and $2,064 million, respectively.</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33"/>
        </w:trPr>
        <w:tc>
          <w:tcPr>
            <w:tcW w:w="4340" w:type="dxa"/>
            <w:vAlign w:val="bottom"/>
          </w:tcPr>
          <w:p>
            <w:pPr>
              <w:spacing w:after="0"/>
              <w:rPr>
                <w:sz w:val="11"/>
                <w:szCs w:val="11"/>
                <w:color w:val="auto"/>
              </w:rPr>
            </w:pPr>
          </w:p>
        </w:tc>
        <w:tc>
          <w:tcPr>
            <w:tcW w:w="960" w:type="dxa"/>
            <w:vAlign w:val="bottom"/>
            <w:gridSpan w:val="2"/>
          </w:tcPr>
          <w:p>
            <w:pPr>
              <w:jc w:val="center"/>
              <w:ind w:right="34"/>
              <w:spacing w:after="0" w:line="133"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58"/>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194"/>
              <w:spacing w:after="0" w:line="157"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3"/>
                <w:szCs w:val="13"/>
                <w:color w:val="auto"/>
              </w:rPr>
            </w:pPr>
          </w:p>
        </w:tc>
        <w:tc>
          <w:tcPr>
            <w:tcW w:w="130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jc w:val="right"/>
              <w:ind w:right="174"/>
              <w:spacing w:after="0" w:line="157" w:lineRule="exact"/>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174"/>
              <w:spacing w:after="0" w:line="157" w:lineRule="exact"/>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3"/>
                <w:szCs w:val="13"/>
                <w:color w:val="auto"/>
              </w:rPr>
            </w:pPr>
          </w:p>
        </w:tc>
        <w:tc>
          <w:tcPr>
            <w:tcW w:w="126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940" w:type="dxa"/>
            <w:vAlign w:val="bottom"/>
          </w:tcPr>
          <w:p>
            <w:pPr>
              <w:jc w:val="right"/>
              <w:ind w:right="152"/>
              <w:spacing w:after="0" w:line="157" w:lineRule="exact"/>
              <w:rPr>
                <w:sz w:val="20"/>
                <w:szCs w:val="20"/>
                <w:color w:val="auto"/>
              </w:rPr>
            </w:pPr>
            <w:r>
              <w:rPr>
                <w:rFonts w:ascii="Arial" w:cs="Arial" w:eastAsia="Arial" w:hAnsi="Arial"/>
                <w:sz w:val="14"/>
                <w:szCs w:val="14"/>
                <w:b w:val="1"/>
                <w:bCs w:val="1"/>
                <w:color w:val="auto"/>
              </w:rPr>
              <w:t>Intangible</w:t>
            </w:r>
          </w:p>
        </w:tc>
      </w:tr>
      <w:tr>
        <w:trPr>
          <w:trHeight w:val="189"/>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154"/>
              <w:spacing w:after="0"/>
              <w:rPr>
                <w:sz w:val="20"/>
                <w:szCs w:val="20"/>
                <w:color w:val="auto"/>
              </w:rPr>
            </w:pPr>
            <w:r>
              <w:rPr>
                <w:rFonts w:ascii="Arial" w:cs="Arial" w:eastAsia="Arial" w:hAnsi="Arial"/>
                <w:sz w:val="14"/>
                <w:szCs w:val="14"/>
                <w:b w:val="1"/>
                <w:bCs w:val="1"/>
                <w:color w:val="auto"/>
                <w:w w:val="99"/>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assets, 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54"/>
              <w:spacing w:after="0"/>
              <w:rPr>
                <w:sz w:val="20"/>
                <w:szCs w:val="20"/>
                <w:color w:val="auto"/>
              </w:rPr>
            </w:pPr>
            <w:r>
              <w:rPr>
                <w:rFonts w:ascii="Arial" w:cs="Arial" w:eastAsia="Arial" w:hAnsi="Arial"/>
                <w:sz w:val="14"/>
                <w:szCs w:val="14"/>
                <w:b w:val="1"/>
                <w:bCs w:val="1"/>
                <w:color w:val="auto"/>
                <w:w w:val="99"/>
              </w:rPr>
              <w:t>gross</w:t>
            </w:r>
          </w:p>
        </w:tc>
        <w:tc>
          <w:tcPr>
            <w:tcW w:w="10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amortization</w:t>
            </w:r>
          </w:p>
        </w:tc>
        <w:tc>
          <w:tcPr>
            <w:tcW w:w="10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assets, net</w:t>
            </w:r>
          </w:p>
        </w:tc>
      </w:tr>
      <w:tr>
        <w:trPr>
          <w:trHeight w:val="20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791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791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791</w:t>
            </w:r>
          </w:p>
        </w:tc>
        <w:tc>
          <w:tcPr>
            <w:tcW w:w="4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791</w:t>
            </w:r>
          </w:p>
        </w:tc>
      </w:tr>
      <w:tr>
        <w:trPr>
          <w:trHeight w:val="21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w:t>
            </w: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88</w:t>
            </w:r>
          </w:p>
        </w:tc>
      </w:tr>
      <w:tr>
        <w:trPr>
          <w:trHeight w:val="21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484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(478 )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4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16"/>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09"/>
        </w:trPr>
        <w:tc>
          <w:tcPr>
            <w:tcW w:w="434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2,202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(1,313 )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889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2,195</w:t>
            </w:r>
          </w:p>
        </w:tc>
        <w:tc>
          <w:tcPr>
            <w:tcW w:w="4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(1,278 )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917</w:t>
            </w:r>
          </w:p>
        </w:tc>
      </w:tr>
      <w:tr>
        <w:trPr>
          <w:trHeight w:val="20"/>
        </w:trPr>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-170815</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-170815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-170815</wp:posOffset>
            </wp:positionV>
            <wp:extent cx="5969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-170815</wp:posOffset>
            </wp:positionV>
            <wp:extent cx="5969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-170815</wp:posOffset>
            </wp:positionV>
            <wp:extent cx="5969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217" w:lineRule="exact"/>
        <w:rPr>
          <w:sz w:val="20"/>
          <w:szCs w:val="20"/>
          <w:color w:val="auto"/>
        </w:rPr>
      </w:pPr>
    </w:p>
    <w:p>
      <w:pPr>
        <w:ind w:right="500" w:firstLine="494"/>
        <w:spacing w:after="0" w:line="318" w:lineRule="auto"/>
        <w:rPr>
          <w:sz w:val="20"/>
          <w:szCs w:val="20"/>
          <w:color w:val="auto"/>
        </w:rPr>
      </w:pPr>
      <w:r>
        <w:rPr>
          <w:rFonts w:ascii="Arial" w:cs="Arial" w:eastAsia="Arial" w:hAnsi="Arial"/>
          <w:sz w:val="18"/>
          <w:szCs w:val="18"/>
          <w:color w:val="auto"/>
        </w:rPr>
        <w:t>As of September 30, 2022 and December 31, 2021, the carrying value of the Company’s Goodwill and Intangible assets, net was $2,963 million and $2,981 million, respectively.</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2027</w:t>
            </w:r>
          </w:p>
        </w:tc>
      </w:tr>
      <w:tr>
        <w:trPr>
          <w:trHeight w:val="249"/>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720" w:type="dxa"/>
            <w:vAlign w:val="bottom"/>
            <w:tcBorders>
              <w:top w:val="single" w:sz="8" w:color="auto"/>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ind w:right="140" w:firstLine="494"/>
        <w:spacing w:after="0" w:line="318" w:lineRule="auto"/>
        <w:rPr>
          <w:sz w:val="20"/>
          <w:szCs w:val="20"/>
          <w:color w:val="auto"/>
        </w:rPr>
      </w:pPr>
      <w:r>
        <w:rPr>
          <w:rFonts w:ascii="Arial" w:cs="Arial" w:eastAsia="Arial" w:hAnsi="Arial"/>
          <w:sz w:val="18"/>
          <w:szCs w:val="18"/>
          <w:color w:val="auto"/>
        </w:rPr>
        <w:t>The following presents a summary of the changes in the goodwill of the Company's single operating and reporting segment (dollars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Goodwill</w:t>
            </w:r>
          </w:p>
        </w:tc>
      </w:tr>
      <w:tr>
        <w:trPr>
          <w:trHeight w:val="20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50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2,064</w:t>
            </w: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16"/>
        </w:trPr>
        <w:tc>
          <w:tcPr>
            <w:tcW w:w="4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Foreign currency translation</w:t>
            </w:r>
          </w:p>
        </w:tc>
        <w:tc>
          <w:tcPr>
            <w:tcW w:w="50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rPr>
              <w:t>Net current period impact to goodwill</w:t>
            </w:r>
          </w:p>
        </w:tc>
        <w:tc>
          <w:tcPr>
            <w:tcW w:w="5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10</w:t>
            </w:r>
          </w:p>
        </w:tc>
      </w:tr>
      <w:tr>
        <w:trPr>
          <w:trHeight w:val="20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50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2,074</w:t>
            </w:r>
          </w:p>
        </w:tc>
      </w:tr>
      <w:tr>
        <w:trPr>
          <w:trHeight w:val="638"/>
        </w:trPr>
        <w:tc>
          <w:tcPr>
            <w:tcW w:w="4240" w:type="dxa"/>
            <w:vAlign w:val="bottom"/>
          </w:tcPr>
          <w:p>
            <w:pPr>
              <w:spacing w:after="0"/>
              <w:rPr>
                <w:sz w:val="24"/>
                <w:szCs w:val="24"/>
                <w:color w:val="auto"/>
              </w:rPr>
            </w:pPr>
          </w:p>
        </w:tc>
        <w:tc>
          <w:tcPr>
            <w:tcW w:w="5000" w:type="dxa"/>
            <w:vAlign w:val="bottom"/>
          </w:tcPr>
          <w:p>
            <w:pPr>
              <w:jc w:val="right"/>
              <w:ind w:right="34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1"/>
        </w:trPr>
        <w:tc>
          <w:tcPr>
            <w:tcW w:w="424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44" w:lineRule="exact"/>
        <w:rPr>
          <w:sz w:val="20"/>
          <w:szCs w:val="20"/>
          <w:color w:val="auto"/>
        </w:rPr>
      </w:pPr>
    </w:p>
    <w:p>
      <w:pPr>
        <w:ind w:right="160" w:firstLine="494"/>
        <w:spacing w:after="0" w:line="290" w:lineRule="auto"/>
        <w:rPr>
          <w:sz w:val="20"/>
          <w:szCs w:val="20"/>
          <w:color w:val="auto"/>
        </w:rPr>
      </w:pPr>
      <w:r>
        <w:rPr>
          <w:rFonts w:ascii="Arial" w:cs="Arial" w:eastAsia="Arial" w:hAnsi="Arial"/>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88" w:lineRule="exact"/>
        <w:rPr>
          <w:sz w:val="20"/>
          <w:szCs w:val="20"/>
          <w:color w:val="auto"/>
        </w:rPr>
      </w:pPr>
    </w:p>
    <w:p>
      <w:pPr>
        <w:ind w:right="320" w:firstLine="494"/>
        <w:spacing w:after="0" w:line="307"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55" w:lineRule="exact"/>
        <w:rPr>
          <w:sz w:val="20"/>
          <w:szCs w:val="20"/>
          <w:color w:val="auto"/>
        </w:rPr>
      </w:pPr>
    </w:p>
    <w:p>
      <w:pPr>
        <w:ind w:right="60" w:firstLine="494"/>
        <w:spacing w:after="0" w:line="292"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85" w:lineRule="exact"/>
        <w:rPr>
          <w:sz w:val="20"/>
          <w:szCs w:val="20"/>
          <w:color w:val="auto"/>
        </w:rPr>
      </w:pPr>
    </w:p>
    <w:p>
      <w:pPr>
        <w:ind w:firstLine="494"/>
        <w:spacing w:after="0" w:line="294"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2022 and December 31, 2021, the Company did not have any Level 3 financial assets or liabilities.</w:t>
      </w:r>
    </w:p>
    <w:p>
      <w:pPr>
        <w:spacing w:after="0" w:line="81" w:lineRule="exact"/>
        <w:rPr>
          <w:sz w:val="20"/>
          <w:szCs w:val="20"/>
          <w:color w:val="auto"/>
        </w:rPr>
      </w:pPr>
    </w:p>
    <w:p>
      <w:pPr>
        <w:ind w:right="120" w:firstLine="494"/>
        <w:spacing w:after="0" w:line="295" w:lineRule="auto"/>
        <w:rPr>
          <w:sz w:val="20"/>
          <w:szCs w:val="20"/>
          <w:color w:val="auto"/>
        </w:rPr>
      </w:pPr>
      <w:r>
        <w:rPr>
          <w:rFonts w:ascii="Arial" w:cs="Arial" w:eastAsia="Arial" w:hAnsi="Arial"/>
          <w:sz w:val="18"/>
          <w:szCs w:val="18"/>
          <w:color w:val="auto"/>
        </w:rPr>
        <w:t>The Company’s assets and liabilities that are measured at fair value include marketable securities, cash equivalents, derivative instruments, assets held in a rabbi trust and a deferred compensation obligation. The Company's marketable securities consist of publicly traded stock of Jing-Jin Electric Technologies Co. Ltd., which has a readily determinable fair value.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65" w:lineRule="exact"/>
        <w:rPr>
          <w:sz w:val="20"/>
          <w:szCs w:val="20"/>
          <w:color w:val="auto"/>
        </w:rPr>
      </w:pPr>
    </w:p>
    <w:p>
      <w:pPr>
        <w:ind w:right="20" w:firstLine="494"/>
        <w:spacing w:after="0" w:line="298" w:lineRule="auto"/>
        <w:rPr>
          <w:sz w:val="20"/>
          <w:szCs w:val="20"/>
          <w:color w:val="auto"/>
        </w:rPr>
      </w:pPr>
      <w:r>
        <w:rPr>
          <w:rFonts w:ascii="Arial" w:cs="Arial" w:eastAsia="Arial" w:hAnsi="Arial"/>
          <w:sz w:val="18"/>
          <w:szCs w:val="18"/>
          <w:color w:val="auto"/>
        </w:rPr>
        <w:t>The Company’s valuation techniques used to calculate the fair value of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78" w:lineRule="exact"/>
        <w:rPr>
          <w:sz w:val="20"/>
          <w:szCs w:val="20"/>
          <w:color w:val="auto"/>
        </w:rPr>
      </w:pPr>
    </w:p>
    <w:p>
      <w:pPr>
        <w:ind w:right="40" w:firstLine="494"/>
        <w:spacing w:after="0" w:line="318"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260"/>
        <w:spacing w:after="0" w:line="351" w:lineRule="auto"/>
        <w:rPr>
          <w:sz w:val="20"/>
          <w:szCs w:val="20"/>
          <w:color w:val="auto"/>
        </w:rPr>
      </w:pPr>
      <w:r>
        <w:rPr>
          <w:rFonts w:ascii="Arial" w:cs="Arial" w:eastAsia="Arial" w:hAnsi="Arial"/>
          <w:sz w:val="17"/>
          <w:szCs w:val="17"/>
          <w:color w:val="auto"/>
        </w:rPr>
        <w:t>which is observable at commonly quoted intervals. The fair values are included in other current and non-current assets and liabilities in the Condensed Consolidated Balance Sheets. See "Note H. Derivatives” for more information regarding the Company's interest rate swaps.</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2022 and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(dollars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center"/>
              <w:ind w:left="199"/>
              <w:spacing w:after="0" w:line="133" w:lineRule="exact"/>
              <w:rPr>
                <w:sz w:val="20"/>
                <w:szCs w:val="20"/>
                <w:color w:val="auto"/>
              </w:rPr>
            </w:pPr>
            <w:r>
              <w:rPr>
                <w:rFonts w:ascii="Arial" w:cs="Arial" w:eastAsia="Arial" w:hAnsi="Arial"/>
                <w:sz w:val="14"/>
                <w:szCs w:val="14"/>
                <w:b w:val="1"/>
                <w:bCs w:val="1"/>
                <w:color w:val="auto"/>
              </w:rPr>
              <w:t>Significant Other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Markets for Identical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4"/>
          </w:tcPr>
          <w:p>
            <w:pPr>
              <w:jc w:val="center"/>
              <w:ind w:left="179"/>
              <w:spacing w:after="0" w:line="149" w:lineRule="exact"/>
              <w:rPr>
                <w:sz w:val="20"/>
                <w:szCs w:val="20"/>
                <w:color w:val="auto"/>
              </w:rPr>
            </w:pPr>
            <w:r>
              <w:rPr>
                <w:rFonts w:ascii="Arial" w:cs="Arial" w:eastAsia="Arial" w:hAnsi="Arial"/>
                <w:sz w:val="14"/>
                <w:szCs w:val="14"/>
                <w:b w:val="1"/>
                <w:bCs w:val="1"/>
                <w:color w:val="auto"/>
              </w:rPr>
              <w:t>Observable Inputs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Assets (Level 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4"/>
                <w:szCs w:val="14"/>
                <w:b w:val="1"/>
                <w:bCs w:val="1"/>
                <w:color w:val="auto"/>
              </w:rPr>
              <w:t>(Level 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400" w:type="dxa"/>
            <w:vAlign w:val="bottom"/>
            <w:gridSpan w:val="2"/>
          </w:tcPr>
          <w:p>
            <w:pPr>
              <w:jc w:val="right"/>
              <w:ind w:right="177"/>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1320" w:type="dxa"/>
            <w:vAlign w:val="bottom"/>
            <w:gridSpan w:val="2"/>
          </w:tcPr>
          <w:p>
            <w:pPr>
              <w:jc w:val="right"/>
              <w:ind w:right="170"/>
              <w:spacing w:after="0" w:line="13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1280" w:type="dxa"/>
            <w:vAlign w:val="bottom"/>
            <w:gridSpan w:val="3"/>
          </w:tcPr>
          <w:p>
            <w:pPr>
              <w:jc w:val="center"/>
              <w:ind w:right="15"/>
              <w:spacing w:after="0" w:line="13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340" w:type="dxa"/>
            <w:vAlign w:val="bottom"/>
            <w:gridSpan w:val="3"/>
          </w:tcPr>
          <w:p>
            <w:pPr>
              <w:jc w:val="right"/>
              <w:ind w:right="159"/>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88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40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1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40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Rabbi trust assets</w:t>
            </w: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line="170" w:lineRule="exact"/>
              <w:rPr>
                <w:sz w:val="20"/>
                <w:szCs w:val="20"/>
                <w:color w:val="auto"/>
              </w:rPr>
            </w:pPr>
            <w:r>
              <w:rPr>
                <w:rFonts w:ascii="Arial" w:cs="Arial" w:eastAsia="Arial" w:hAnsi="Arial"/>
                <w:sz w:val="18"/>
                <w:szCs w:val="18"/>
                <w:color w:val="auto"/>
              </w:rPr>
              <w:t>Deferred compensation</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5"/>
        </w:trPr>
        <w:tc>
          <w:tcPr>
            <w:tcW w:w="27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4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assets (liabilities), net</w:t>
            </w:r>
          </w:p>
        </w:tc>
        <w:tc>
          <w:tcPr>
            <w:tcW w:w="4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19</w:t>
            </w:r>
          </w:p>
        </w:tc>
        <w:tc>
          <w:tcPr>
            <w:tcW w:w="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9"/>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92</w:t>
            </w:r>
          </w:p>
        </w:tc>
        <w:tc>
          <w:tcPr>
            <w:tcW w:w="9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b w:val="1"/>
                <w:bCs w:val="1"/>
                <w:color w:val="auto"/>
              </w:rPr>
              <w:t>19</w:t>
            </w:r>
          </w:p>
        </w:tc>
        <w:tc>
          <w:tcPr>
            <w:tcW w:w="600" w:type="dxa"/>
            <w:vAlign w:val="bottom"/>
            <w:gridSpan w:val="2"/>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(31 )</w:t>
            </w:r>
          </w:p>
        </w:tc>
        <w:tc>
          <w:tcPr>
            <w:tcW w:w="980" w:type="dxa"/>
            <w:vAlign w:val="bottom"/>
            <w:gridSpan w:val="2"/>
          </w:tcPr>
          <w:p>
            <w:pPr>
              <w:jc w:val="right"/>
              <w:ind w:right="679"/>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NOTE G. DEBT</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2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680" w:type="dxa"/>
            <w:vAlign w:val="bottom"/>
            <w:gridSpan w:val="7"/>
          </w:tcPr>
          <w:p>
            <w:pPr>
              <w:ind w:left="500"/>
              <w:spacing w:after="0"/>
              <w:rPr>
                <w:sz w:val="20"/>
                <w:szCs w:val="20"/>
                <w:color w:val="auto"/>
              </w:rPr>
            </w:pPr>
            <w:r>
              <w:rPr>
                <w:rFonts w:ascii="Arial" w:cs="Arial" w:eastAsia="Arial" w:hAnsi="Arial"/>
                <w:sz w:val="18"/>
                <w:szCs w:val="18"/>
                <w:color w:val="auto"/>
              </w:rPr>
              <w:t>Long-term debt and maturities are as follows (dollars in millions):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5"/>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3"/>
          </w:tcPr>
          <w:p>
            <w:pPr>
              <w:jc w:val="center"/>
              <w:ind w:left="37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spacing w:after="0"/>
              <w:rPr>
                <w:sz w:val="18"/>
                <w:szCs w:val="18"/>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627</w:t>
            </w:r>
          </w:p>
        </w:tc>
        <w:tc>
          <w:tcPr>
            <w:tcW w:w="46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400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Senior Notes, fixed 5.875%, due 2029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Senior Notes, fixed 3.75%, due 2031</w:t>
            </w: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1,000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274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3"/>
          </w:tcPr>
          <w:p>
            <w:pPr>
              <w:jc w:val="center"/>
              <w:ind w:left="37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spacing w:after="0"/>
              <w:rPr>
                <w:sz w:val="18"/>
                <w:szCs w:val="18"/>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2,527</w:t>
            </w:r>
          </w:p>
        </w:tc>
        <w:tc>
          <w:tcPr>
            <w:tcW w:w="46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140" w:type="dxa"/>
            <w:vAlign w:val="bottom"/>
            <w:gridSpan w:val="2"/>
          </w:tcPr>
          <w:p>
            <w:pPr>
              <w:ind w:left="520"/>
              <w:spacing w:after="0"/>
              <w:rPr>
                <w:sz w:val="20"/>
                <w:szCs w:val="20"/>
                <w:color w:val="auto"/>
              </w:rPr>
            </w:pPr>
            <w:r>
              <w:rPr>
                <w:rFonts w:ascii="Arial" w:cs="Arial" w:eastAsia="Arial" w:hAnsi="Arial"/>
                <w:sz w:val="18"/>
                <w:szCs w:val="18"/>
                <w:color w:val="auto"/>
              </w:rPr>
              <w:t>deferred financing costs, net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net</w:t>
            </w:r>
          </w:p>
        </w:tc>
        <w:tc>
          <w:tcPr>
            <w:tcW w:w="4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2,502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-2439670</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-2439670</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-2439670</wp:posOffset>
            </wp:positionV>
            <wp:extent cx="5969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-2439670</wp:posOffset>
            </wp:positionV>
            <wp:extent cx="5969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-2439670</wp:posOffset>
            </wp:positionV>
            <wp:extent cx="5969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-589915</wp:posOffset>
            </wp:positionV>
            <wp:extent cx="10287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7" w:lineRule="exact"/>
        <w:rPr>
          <w:sz w:val="20"/>
          <w:szCs w:val="20"/>
          <w:color w:val="auto"/>
        </w:rPr>
      </w:pPr>
    </w:p>
    <w:p>
      <w:pPr>
        <w:ind w:right="60" w:firstLine="494"/>
        <w:spacing w:after="0" w:line="295" w:lineRule="auto"/>
        <w:rPr>
          <w:sz w:val="20"/>
          <w:szCs w:val="20"/>
          <w:color w:val="auto"/>
        </w:rPr>
      </w:pPr>
      <w:r>
        <w:rPr>
          <w:rFonts w:ascii="Arial" w:cs="Arial" w:eastAsia="Arial" w:hAnsi="Arial"/>
          <w:sz w:val="18"/>
          <w:szCs w:val="18"/>
          <w:color w:val="auto"/>
        </w:rPr>
        <w:t>As of September 30, 2022, the Company had $2,527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$627 million due March 2026 (“Term Loan”) and ATI’s revolving credit facility with commitments in the amount of $650 million due September 2025 (“Revolving Credit Facility” and, together with the Term Loan, the “Senior Secured Credit Facility”).</w:t>
      </w:r>
    </w:p>
    <w:p>
      <w:pPr>
        <w:spacing w:after="0" w:line="66" w:lineRule="exact"/>
        <w:rPr>
          <w:sz w:val="20"/>
          <w:szCs w:val="20"/>
          <w:color w:val="auto"/>
        </w:rPr>
      </w:pPr>
    </w:p>
    <w:p>
      <w:pPr>
        <w:jc w:val="both"/>
        <w:ind w:right="180" w:firstLine="494"/>
        <w:spacing w:after="0" w:line="307" w:lineRule="auto"/>
        <w:rPr>
          <w:sz w:val="20"/>
          <w:szCs w:val="20"/>
          <w:color w:val="auto"/>
        </w:rPr>
      </w:pPr>
      <w:r>
        <w:rPr>
          <w:rFonts w:ascii="Arial" w:cs="Arial" w:eastAsia="Arial" w:hAnsi="Arial"/>
          <w:sz w:val="18"/>
          <w:szCs w:val="18"/>
          <w:color w:val="auto"/>
        </w:rPr>
        <w:t>The fair value of the Company’s long-term debt obligations as of September 30, 2022 was $2,197 million. The fair value is based on quoted Level 2 market prices of the Company’s debt as of September 30, 2022. The difference between the fair value and carrying value of the long-term debt is driven primarily by trends in the financial markets.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42" w:lineRule="exact"/>
        <w:rPr>
          <w:sz w:val="20"/>
          <w:szCs w:val="20"/>
          <w:color w:val="auto"/>
        </w:rPr>
      </w:pPr>
    </w:p>
    <w:p>
      <w:pPr>
        <w:ind w:right="20" w:firstLine="494"/>
        <w:spacing w:after="0" w:line="303" w:lineRule="auto"/>
        <w:rPr>
          <w:sz w:val="20"/>
          <w:szCs w:val="20"/>
          <w:color w:val="auto"/>
        </w:rPr>
      </w:pPr>
      <w:r>
        <w:rPr>
          <w:rFonts w:ascii="Arial" w:cs="Arial" w:eastAsia="Arial" w:hAnsi="Arial"/>
          <w:sz w:val="17"/>
          <w:szCs w:val="17"/>
          <w:color w:val="auto"/>
        </w:rPr>
        <w:t>The borrowings under the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Term Loan, as of September 30, 2022, is either (a) 1.75% over a LIBOR rate on deposits in U.S. dollars for one-, two-, three- or six-month periods (or twelve-month or shorter periods if, at the time of the borrowing, available from all relevant lenders) (the "LIBOR Rate"), or (b)</w:t>
      </w:r>
    </w:p>
    <w:p>
      <w:pPr>
        <w:spacing w:after="0" w:line="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September 30, 2022, the Company elected to pay the lowest all-in rate of LIBOR plus the applicable margin, or 4.81%,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September 30, 2022, there had been no payments required for certain net cash proceeds of non-ordinary course asset sales and casualty and condemnation events. The remaining principal balance is due upon maturity.</w:t>
      </w:r>
    </w:p>
    <w:p>
      <w:pPr>
        <w:spacing w:after="0" w:line="68" w:lineRule="exact"/>
        <w:rPr>
          <w:sz w:val="20"/>
          <w:szCs w:val="20"/>
          <w:color w:val="auto"/>
        </w:rPr>
      </w:pPr>
    </w:p>
    <w:p>
      <w:pPr>
        <w:ind w:right="40" w:firstLine="494"/>
        <w:spacing w:after="0" w:line="290"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Throughout the nine months ended September 30, 2022, the Company made periodic withdrawals and payments on the Revolving Credit Facility as part of the Company's cash management plans. The maximum amount outstanding at any time during the nine months ended September 30, 2022 was $75 million. As of September 30, 2022,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LIBOR Rate; when the Company’s first lien net leverage ratio is equal to or less than 4.00x and above 3.50x, interest on the Revolving Credit Facility is (i) 0.50% over the Base Rate or (ii) 1.50% over the LIBOR Rate; and when the Company’s first lien net leverage ratio is equal to or below 3.50x, interest on the Revolving Credit Facility is (y) 0.25% over the Base Rate or (z) 1.25% over the LIBOR Rate. As of September 30, 2022, the applicable margin for the Revolving Credit Facility was 1.25%. In addition, there is an annual commitment fee, based on the Company’s first lien net leverage ratio, on the average unused revolving credit borrowings available under the Revolving Credit Facility. As of September 30, 2022, the commitment fee is 0.25%. Borrowings under the Revolving Credit Facility are payable at the option of the Company throughout the term of the Senior Secured Credit Facility with the balance due in September 2025.</w:t>
      </w:r>
    </w:p>
    <w:p>
      <w:pPr>
        <w:spacing w:after="0" w:line="85" w:lineRule="exact"/>
        <w:rPr>
          <w:sz w:val="20"/>
          <w:szCs w:val="20"/>
          <w:color w:val="auto"/>
        </w:rPr>
      </w:pPr>
    </w:p>
    <w:p>
      <w:pPr>
        <w:ind w:firstLine="494"/>
        <w:spacing w:after="0" w:line="291"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September 30, 2022, the Company had no amounts outstanding under the Revolving Credit Facility; however, the Company would have been in compliance with the maximum first lien net leverage ratio, achieving a 0.48x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85" w:lineRule="exact"/>
        <w:rPr>
          <w:sz w:val="20"/>
          <w:szCs w:val="20"/>
          <w:color w:val="auto"/>
        </w:rPr>
      </w:pPr>
    </w:p>
    <w:p>
      <w:pPr>
        <w:ind w:right="360" w:firstLine="494"/>
        <w:spacing w:after="0" w:line="307"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460"/>
        <w:spacing w:after="0" w:line="406" w:lineRule="auto"/>
        <w:rPr>
          <w:sz w:val="20"/>
          <w:szCs w:val="20"/>
          <w:color w:val="auto"/>
        </w:rPr>
      </w:pPr>
      <w:r>
        <w:rPr>
          <w:rFonts w:ascii="Arial" w:cs="Arial" w:eastAsia="Arial" w:hAnsi="Arial"/>
          <w:sz w:val="18"/>
          <w:szCs w:val="18"/>
          <w:color w:val="auto"/>
        </w:rPr>
        <w:t xml:space="preserve">Company’s common stock. As of September 30, 2022, the Company was in compliance with all covenants under the Credit Agreement. </w:t>
      </w:r>
      <w:r>
        <w:rPr>
          <w:rFonts w:ascii="Arial" w:cs="Arial" w:eastAsia="Arial" w:hAnsi="Arial"/>
          <w:sz w:val="18"/>
          <w:szCs w:val="18"/>
          <w:b w:val="1"/>
          <w:bCs w:val="1"/>
          <w:i w:val="1"/>
          <w:iCs w:val="1"/>
          <w:color w:val="auto"/>
        </w:rPr>
        <w:t>Senior Notes</w:t>
      </w:r>
    </w:p>
    <w:p>
      <w:pPr>
        <w:spacing w:after="0" w:line="1"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Each series of the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2022, the Company was in compliance with all covenants under the indentures governing the Senior Notes.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57" w:lineRule="exact"/>
        <w:rPr>
          <w:sz w:val="20"/>
          <w:szCs w:val="20"/>
          <w:color w:val="auto"/>
        </w:rPr>
      </w:pPr>
    </w:p>
    <w:p>
      <w:pPr>
        <w:ind w:right="160" w:firstLine="494"/>
        <w:spacing w:after="0" w:line="291"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net of tax (“AOCL”) in the Condensed Consolidated Balance Sheets. Balances in AOCL are reclassified to earnings when transactions related to the underlying risk are settled. As of September 30, 2022, the Company held interest rate swaps effective from September 2019 to September 2025 with notional values totaling $250 million and a weighted average LIBOR fixed rate of 3.04%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74" w:lineRule="exact"/>
        <w:rPr>
          <w:sz w:val="20"/>
          <w:szCs w:val="20"/>
          <w:color w:val="auto"/>
        </w:rPr>
      </w:pPr>
    </w:p>
    <w:p>
      <w:pPr>
        <w:ind w:right="780" w:firstLine="494"/>
        <w:spacing w:after="0" w:line="333"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34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Balance Sheet Location</w:t>
            </w:r>
          </w:p>
        </w:tc>
        <w:tc>
          <w:tcPr>
            <w:tcW w:w="14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ind w:right="455"/>
              <w:spacing w:after="0" w:line="14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14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3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jc w:val="right"/>
              <w:ind w:right="12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33"/>
              <w:spacing w:after="0"/>
              <w:rPr>
                <w:sz w:val="20"/>
                <w:szCs w:val="20"/>
                <w:color w:val="auto"/>
              </w:rPr>
            </w:pPr>
            <w:r>
              <w:rPr>
                <w:rFonts w:ascii="Arial" w:cs="Arial" w:eastAsia="Arial" w:hAnsi="Arial"/>
                <w:sz w:val="18"/>
                <w:szCs w:val="18"/>
                <w:b w:val="1"/>
                <w:bCs w:val="1"/>
                <w:color w:val="auto"/>
              </w:rPr>
              <w:t>6</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shd w:val="clear" w:color="auto" w:fill="CFF0FC"/>
          </w:tcPr>
          <w:p>
            <w:pPr>
              <w:spacing w:after="0"/>
              <w:rPr>
                <w:sz w:val="18"/>
                <w:szCs w:val="18"/>
                <w:color w:val="auto"/>
              </w:rPr>
            </w:pPr>
          </w:p>
        </w:tc>
        <w:tc>
          <w:tcPr>
            <w:tcW w:w="34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4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4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33"/>
              <w:spacing w:after="0"/>
              <w:rPr>
                <w:sz w:val="20"/>
                <w:szCs w:val="20"/>
                <w:color w:val="auto"/>
              </w:rPr>
            </w:pPr>
            <w:r>
              <w:rPr>
                <w:rFonts w:ascii="Arial" w:cs="Arial" w:eastAsia="Arial" w:hAnsi="Arial"/>
                <w:sz w:val="18"/>
                <w:szCs w:val="18"/>
                <w:b w:val="1"/>
                <w:bCs w:val="1"/>
                <w:color w:val="auto"/>
              </w:rPr>
              <w:t>19</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FF0FC"/>
          </w:tcPr>
          <w:p>
            <w:pPr>
              <w:spacing w:after="0"/>
              <w:rPr>
                <w:sz w:val="17"/>
                <w:szCs w:val="17"/>
                <w:color w:val="auto"/>
              </w:rPr>
            </w:pPr>
          </w:p>
        </w:tc>
        <w:tc>
          <w:tcPr>
            <w:tcW w:w="3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3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1460" w:type="dxa"/>
            <w:vAlign w:val="bottom"/>
            <w:shd w:val="clear" w:color="auto" w:fill="CFF0FC"/>
          </w:tcPr>
          <w:p>
            <w:pPr>
              <w:jc w:val="right"/>
              <w:ind w:right="125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derivative liabilities</w:t>
            </w:r>
          </w:p>
        </w:tc>
        <w:tc>
          <w:tcPr>
            <w:tcW w:w="3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12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-889635</wp:posOffset>
            </wp:positionV>
            <wp:extent cx="11112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1" w:lineRule="exact"/>
        <w:rPr>
          <w:sz w:val="20"/>
          <w:szCs w:val="20"/>
          <w:color w:val="auto"/>
        </w:rPr>
      </w:pPr>
    </w:p>
    <w:p>
      <w:pPr>
        <w:ind w:right="60" w:firstLine="494"/>
        <w:spacing w:after="0" w:line="298" w:lineRule="auto"/>
        <w:rPr>
          <w:sz w:val="20"/>
          <w:szCs w:val="20"/>
          <w:color w:val="auto"/>
        </w:rPr>
      </w:pPr>
      <w:r>
        <w:rPr>
          <w:rFonts w:ascii="Arial" w:cs="Arial" w:eastAsia="Arial" w:hAnsi="Arial"/>
          <w:sz w:val="18"/>
          <w:szCs w:val="18"/>
          <w:color w:val="auto"/>
        </w:rPr>
        <w:t>The balance of net derivative gains and (losses) recorded in AOCL as of September 30, 2022 and December 31, 2021 was $19 million and ($31) million, respectively. See "Note O. Accumulated Other Comprehensive Loss” for information regarding activity recorded as a component of AOCL during the three and nine months ended September 30, 2022 and 2021. As of September 30, 2022, the Company had $3 million of derivative gains recorded in AOCL expected to be reclassified to earnings within the next twelve months.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44" w:lineRule="exact"/>
        <w:rPr>
          <w:sz w:val="20"/>
          <w:szCs w:val="20"/>
          <w:color w:val="auto"/>
        </w:rPr>
      </w:pPr>
    </w:p>
    <w:p>
      <w:pPr>
        <w:ind w:right="400" w:firstLine="494"/>
        <w:spacing w:after="0" w:line="318" w:lineRule="auto"/>
        <w:rPr>
          <w:sz w:val="20"/>
          <w:szCs w:val="20"/>
          <w:color w:val="auto"/>
        </w:rPr>
      </w:pPr>
      <w:r>
        <w:rPr>
          <w:rFonts w:ascii="Arial" w:cs="Arial" w:eastAsia="Arial" w:hAnsi="Arial"/>
          <w:sz w:val="18"/>
          <w:szCs w:val="18"/>
          <w:color w:val="auto"/>
        </w:rPr>
        <w:t>As of September 30, 2022, current and non-current product warranty liabilities were $26 million and $20 million, respectively. As of September 30, 2021, current and non-current product warranty liabilities were $35 million and $23 million, respectively.</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8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433"/>
              <w:spacing w:after="0"/>
              <w:rPr>
                <w:sz w:val="20"/>
                <w:szCs w:val="20"/>
                <w:color w:val="auto"/>
              </w:rPr>
            </w:pPr>
            <w:r>
              <w:rPr>
                <w:rFonts w:ascii="Arial" w:cs="Arial" w:eastAsia="Arial" w:hAnsi="Arial"/>
                <w:sz w:val="14"/>
                <w:szCs w:val="14"/>
                <w:b w:val="1"/>
                <w:bCs w:val="1"/>
                <w:color w:val="auto"/>
                <w:w w:val="96"/>
              </w:rPr>
              <w:t>2021</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66</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Payments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(24 )</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46</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57" w:lineRule="exact"/>
        <w:rPr>
          <w:sz w:val="20"/>
          <w:szCs w:val="20"/>
          <w:color w:val="auto"/>
        </w:rPr>
      </w:pPr>
    </w:p>
    <w:p>
      <w:pPr>
        <w:ind w:right="240" w:firstLine="494"/>
        <w:spacing w:after="0" w:line="318" w:lineRule="auto"/>
        <w:rPr>
          <w:sz w:val="20"/>
          <w:szCs w:val="20"/>
          <w:color w:val="auto"/>
        </w:rPr>
      </w:pPr>
      <w:r>
        <w:rPr>
          <w:rFonts w:ascii="Arial" w:cs="Arial" w:eastAsia="Arial" w:hAnsi="Arial"/>
          <w:sz w:val="18"/>
          <w:szCs w:val="18"/>
          <w:color w:val="auto"/>
        </w:rPr>
        <w:t>As of September 30, 2022, current and non-current deferred revenue was $39 million and $95 million, respectively. As of September 30, 2021, current and non-current deferred revenue was $37 million and $101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760" w:type="dxa"/>
            <w:vAlign w:val="bottom"/>
            <w:tcBorders>
              <w:top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135</w:t>
            </w:r>
          </w:p>
        </w:tc>
        <w:tc>
          <w:tcPr>
            <w:tcW w:w="16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143</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Increases</w:t>
            </w:r>
          </w:p>
        </w:tc>
        <w:tc>
          <w:tcPr>
            <w:tcW w:w="760" w:type="dxa"/>
            <w:vAlign w:val="bottom"/>
          </w:tcPr>
          <w:p>
            <w:pPr>
              <w:spacing w:after="0"/>
              <w:rPr>
                <w:sz w:val="18"/>
                <w:szCs w:val="18"/>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(9 )</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60" w:type="dxa"/>
            <w:vAlign w:val="bottom"/>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4"/>
              <w:spacing w:after="0"/>
              <w:rPr>
                <w:sz w:val="20"/>
                <w:szCs w:val="20"/>
                <w:color w:val="auto"/>
              </w:rPr>
            </w:pPr>
            <w:r>
              <w:rPr>
                <w:rFonts w:ascii="Arial" w:cs="Arial" w:eastAsia="Arial" w:hAnsi="Arial"/>
                <w:sz w:val="18"/>
                <w:szCs w:val="18"/>
                <w:b w:val="1"/>
                <w:bCs w:val="1"/>
                <w:color w:val="auto"/>
              </w:rPr>
              <w:t>134</w:t>
            </w:r>
          </w:p>
        </w:tc>
        <w:tc>
          <w:tcPr>
            <w:tcW w:w="9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134</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138</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-170815</wp:posOffset>
            </wp:positionV>
            <wp:extent cx="939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8572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-170815</wp:posOffset>
            </wp:positionV>
            <wp:extent cx="857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31" w:lineRule="exact"/>
        <w:rPr>
          <w:sz w:val="20"/>
          <w:szCs w:val="20"/>
          <w:color w:val="auto"/>
        </w:rPr>
      </w:pPr>
    </w:p>
    <w:p>
      <w:pPr>
        <w:ind w:right="420" w:firstLine="494"/>
        <w:spacing w:after="0" w:line="299" w:lineRule="auto"/>
        <w:rPr>
          <w:sz w:val="20"/>
          <w:szCs w:val="20"/>
          <w:color w:val="auto"/>
        </w:rPr>
      </w:pPr>
      <w:r>
        <w:rPr>
          <w:rFonts w:ascii="Arial" w:cs="Arial" w:eastAsia="Arial" w:hAnsi="Arial"/>
          <w:sz w:val="18"/>
          <w:szCs w:val="18"/>
          <w:color w:val="auto"/>
        </w:rPr>
        <w:t>Deferred revenue recorded in current and non-current liabilities related to ETC as of September 30, 2022 was $30 million and $86 million, respectively. Deferred revenue recorded in current and non-current liabilities related to ETC as of September 30, 2021 was $29 million and $86 million,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44" w:lineRule="exact"/>
        <w:rPr>
          <w:sz w:val="20"/>
          <w:szCs w:val="20"/>
          <w:color w:val="auto"/>
        </w:rPr>
      </w:pPr>
    </w:p>
    <w:p>
      <w:pPr>
        <w:ind w:right="20" w:firstLine="494"/>
        <w:spacing w:after="0" w:line="292"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September 30, 2022,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71" w:lineRule="exact"/>
        <w:rPr>
          <w:sz w:val="20"/>
          <w:szCs w:val="20"/>
          <w:color w:val="auto"/>
        </w:rPr>
      </w:pPr>
    </w:p>
    <w:p>
      <w:pPr>
        <w:ind w:right="320" w:firstLine="494"/>
        <w:spacing w:after="0" w:line="307"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55" w:lineRule="exact"/>
        <w:rPr>
          <w:sz w:val="20"/>
          <w:szCs w:val="20"/>
          <w:color w:val="auto"/>
        </w:rPr>
      </w:pPr>
    </w:p>
    <w:p>
      <w:pPr>
        <w:ind w:right="20" w:firstLine="494"/>
        <w:spacing w:after="0" w:line="295"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September 30, 2022 and December 31, 2021 was 4.27% and 4.25%, respectively.</w:t>
      </w:r>
    </w:p>
    <w:p>
      <w:pPr>
        <w:spacing w:after="0" w:line="78" w:lineRule="exact"/>
        <w:rPr>
          <w:sz w:val="20"/>
          <w:szCs w:val="20"/>
          <w:color w:val="auto"/>
        </w:rPr>
      </w:pPr>
    </w:p>
    <w:p>
      <w:pPr>
        <w:ind w:right="380" w:firstLine="494"/>
        <w:spacing w:after="0" w:line="298" w:lineRule="auto"/>
        <w:rPr>
          <w:sz w:val="20"/>
          <w:szCs w:val="20"/>
          <w:color w:val="auto"/>
        </w:rPr>
      </w:pPr>
      <w:r>
        <w:rPr>
          <w:rFonts w:ascii="Arial" w:cs="Arial" w:eastAsia="Arial" w:hAnsi="Arial"/>
          <w:sz w:val="18"/>
          <w:szCs w:val="18"/>
          <w:color w:val="auto"/>
        </w:rPr>
        <w:t>As of September 30, 2022, the Company recorded current and non-current operating lease liabilities of $3 million and $12 million, respectively. As of December 31, 2021, the Company recorded current and non-current operating lease liabilities of $4 million and $13 million, respectively. The following table reconciles future undiscounted cash flows for operating leases as of September 30, 2022 to total operating lease liabilities: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jc w:val="right"/>
              <w:ind w:right="57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9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2022</w:t>
            </w:r>
          </w:p>
        </w:tc>
      </w:tr>
      <w:tr>
        <w:trPr>
          <w:trHeight w:val="209"/>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8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r>
      <w:tr>
        <w:trPr>
          <w:trHeight w:val="216"/>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16"/>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16"/>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16"/>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16"/>
        </w:trPr>
        <w:tc>
          <w:tcPr>
            <w:tcW w:w="9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w:t>
            </w:r>
          </w:p>
        </w:tc>
      </w:tr>
      <w:tr>
        <w:trPr>
          <w:trHeight w:val="209"/>
        </w:trPr>
        <w:tc>
          <w:tcPr>
            <w:tcW w:w="9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8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w:t>
            </w:r>
          </w:p>
        </w:tc>
      </w:tr>
      <w:tr>
        <w:trPr>
          <w:trHeight w:val="216"/>
        </w:trPr>
        <w:tc>
          <w:tcPr>
            <w:tcW w:w="906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49"/>
        </w:trPr>
        <w:tc>
          <w:tcPr>
            <w:tcW w:w="90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w:t>
            </w:r>
          </w:p>
        </w:tc>
      </w:tr>
    </w:tbl>
    <w:p>
      <w:pPr>
        <w:spacing w:after="0" w:line="237" w:lineRule="exact"/>
        <w:rPr>
          <w:sz w:val="20"/>
          <w:szCs w:val="20"/>
          <w:color w:val="auto"/>
        </w:rPr>
      </w:pPr>
    </w:p>
    <w:p>
      <w:pPr>
        <w:ind w:right="260" w:firstLine="494"/>
        <w:spacing w:after="0" w:line="333"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60" w:type="dxa"/>
            <w:vAlign w:val="bottom"/>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538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7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39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125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Land</w:t>
            </w:r>
          </w:p>
        </w:tc>
        <w:tc>
          <w:tcPr>
            <w:tcW w:w="3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39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color w:val="auto"/>
              </w:rPr>
              <w:t>Total ROU assets</w:t>
            </w:r>
          </w:p>
        </w:tc>
        <w:tc>
          <w:tcPr>
            <w:tcW w:w="5380" w:type="dxa"/>
            <w:vAlign w:val="bottom"/>
            <w:gridSpan w:val="2"/>
          </w:tcPr>
          <w:p>
            <w:pPr>
              <w:jc w:val="right"/>
              <w:ind w:right="1259"/>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16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20" w:type="dxa"/>
            <w:vAlign w:val="bottom"/>
            <w:vMerge w:val="restart"/>
          </w:tcPr>
          <w:p>
            <w:pPr>
              <w:jc w:val="right"/>
              <w:ind w:right="1596"/>
              <w:spacing w:after="0"/>
              <w:rPr>
                <w:sz w:val="20"/>
                <w:szCs w:val="20"/>
                <w:color w:val="auto"/>
              </w:rPr>
            </w:pPr>
            <w:r>
              <w:rPr>
                <w:rFonts w:ascii="Arial" w:cs="Arial" w:eastAsia="Arial" w:hAnsi="Arial"/>
                <w:sz w:val="18"/>
                <w:szCs w:val="18"/>
                <w:color w:val="auto"/>
              </w:rPr>
              <w:t>17</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4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4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-675640</wp:posOffset>
            </wp:positionV>
            <wp:extent cx="1028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ind w:right="740" w:firstLine="494"/>
        <w:spacing w:after="0" w:line="318" w:lineRule="auto"/>
        <w:rPr>
          <w:sz w:val="20"/>
          <w:szCs w:val="20"/>
          <w:color w:val="auto"/>
        </w:rPr>
      </w:pPr>
      <w:r>
        <w:rPr>
          <w:rFonts w:ascii="Arial" w:cs="Arial" w:eastAsia="Arial" w:hAnsi="Arial"/>
          <w:sz w:val="18"/>
          <w:szCs w:val="18"/>
          <w:color w:val="auto"/>
        </w:rPr>
        <w:t>The weighted average remaining lease term as of September 30, 2022 and September 30, 2021 was 6.7 years and 7.2 years, respectively.</w:t>
      </w:r>
    </w:p>
    <w:p>
      <w:pPr>
        <w:spacing w:after="0" w:line="45" w:lineRule="exact"/>
        <w:rPr>
          <w:sz w:val="20"/>
          <w:szCs w:val="20"/>
          <w:color w:val="auto"/>
        </w:rPr>
      </w:pPr>
    </w:p>
    <w:p>
      <w:pPr>
        <w:ind w:firstLine="494"/>
        <w:spacing w:after="0" w:line="304" w:lineRule="auto"/>
        <w:rPr>
          <w:sz w:val="20"/>
          <w:szCs w:val="20"/>
          <w:color w:val="auto"/>
        </w:rPr>
      </w:pPr>
      <w:r>
        <w:rPr>
          <w:rFonts w:ascii="Arial" w:cs="Arial" w:eastAsia="Arial" w:hAnsi="Arial"/>
          <w:sz w:val="18"/>
          <w:szCs w:val="18"/>
          <w:color w:val="auto"/>
        </w:rPr>
        <w:t>Operating lease expense was $1 million for each of the three months ended September 30, 2022 and 2021 and $4 million for each of the nine months ended September 30, 2022 and 2021, and was recorded within Selling, general and administrative expense and Engineering —research and development on the Company's Condensed Consolidated Statements of Comprehensive Income. There was no material short-term operating lease expense for any of the three or nine months ended September 30, 2022 or 2021.</w:t>
      </w:r>
    </w:p>
    <w:p>
      <w:pPr>
        <w:spacing w:after="0" w:line="57" w:lineRule="exact"/>
        <w:rPr>
          <w:sz w:val="20"/>
          <w:szCs w:val="20"/>
          <w:color w:val="auto"/>
        </w:rPr>
      </w:pPr>
    </w:p>
    <w:p>
      <w:pPr>
        <w:ind w:right="140" w:firstLine="494"/>
        <w:spacing w:after="0" w:line="307" w:lineRule="auto"/>
        <w:rPr>
          <w:sz w:val="20"/>
          <w:szCs w:val="20"/>
          <w:color w:val="auto"/>
        </w:rPr>
      </w:pPr>
      <w:r>
        <w:rPr>
          <w:rFonts w:ascii="Arial" w:cs="Arial" w:eastAsia="Arial" w:hAnsi="Arial"/>
          <w:sz w:val="18"/>
          <w:szCs w:val="18"/>
          <w:color w:val="auto"/>
        </w:rPr>
        <w:t>The calculation of the Company's ROU assets and lease liabilities did not include cash consideration as of either September 30, 2022 or December 31, 2021. During the nine months ended September 30, 2022 and 2021, the Company recorded $2 million and $1 million, respectively, of new ROU assets obtained in exchange for lease obligations.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60" w:type="dxa"/>
            <w:vAlign w:val="bottom"/>
          </w:tcPr>
          <w:p>
            <w:pPr>
              <w:spacing w:after="0"/>
              <w:rPr>
                <w:sz w:val="14"/>
                <w:szCs w:val="14"/>
                <w:color w:val="auto"/>
              </w:rPr>
            </w:pPr>
          </w:p>
        </w:tc>
        <w:tc>
          <w:tcPr>
            <w:tcW w:w="462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693"/>
              <w:spacing w:after="0"/>
              <w:rPr>
                <w:sz w:val="20"/>
                <w:szCs w:val="20"/>
                <w:color w:val="auto"/>
              </w:rPr>
            </w:pPr>
            <w:r>
              <w:rPr>
                <w:rFonts w:ascii="Arial" w:cs="Arial" w:eastAsia="Arial" w:hAnsi="Arial"/>
                <w:sz w:val="14"/>
                <w:szCs w:val="14"/>
                <w:b w:val="1"/>
                <w:bCs w:val="1"/>
                <w:color w:val="auto"/>
              </w:rPr>
              <w:t>2021</w:t>
            </w:r>
          </w:p>
        </w:tc>
      </w:tr>
      <w:tr>
        <w:trPr>
          <w:trHeight w:val="20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32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80</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Sales allowances</w:t>
            </w:r>
          </w:p>
        </w:tc>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39</w:t>
            </w: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3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Taxes payable</w:t>
            </w:r>
          </w:p>
        </w:tc>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Vendor buyback obligation</w:t>
            </w:r>
          </w:p>
        </w:tc>
        <w:tc>
          <w:tcPr>
            <w:tcW w:w="3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Common stock repurchase obligation</w:t>
            </w:r>
          </w:p>
        </w:tc>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OPEB liability</w:t>
            </w:r>
          </w:p>
        </w:tc>
        <w:tc>
          <w:tcPr>
            <w:tcW w:w="3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3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Other accruals</w:t>
            </w:r>
          </w:p>
        </w:tc>
        <w:tc>
          <w:tcPr>
            <w:tcW w:w="32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w:t>
            </w:r>
          </w:p>
        </w:tc>
      </w:tr>
      <w:tr>
        <w:trPr>
          <w:trHeight w:val="249"/>
        </w:trPr>
        <w:tc>
          <w:tcPr>
            <w:tcW w:w="4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189</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204</w:t>
            </w:r>
          </w:p>
        </w:tc>
      </w:tr>
      <w:tr>
        <w:trPr>
          <w:trHeight w:val="591"/>
        </w:trPr>
        <w:tc>
          <w:tcPr>
            <w:tcW w:w="4260" w:type="dxa"/>
            <w:vAlign w:val="bottom"/>
          </w:tcPr>
          <w:p>
            <w:pPr>
              <w:spacing w:after="0"/>
              <w:rPr>
                <w:sz w:val="24"/>
                <w:szCs w:val="24"/>
                <w:color w:val="auto"/>
              </w:rPr>
            </w:pPr>
          </w:p>
        </w:tc>
        <w:tc>
          <w:tcPr>
            <w:tcW w:w="3280" w:type="dxa"/>
            <w:vAlign w:val="bottom"/>
          </w:tcPr>
          <w:p>
            <w:pPr>
              <w:jc w:val="right"/>
              <w:ind w:right="1739"/>
              <w:spacing w:after="0"/>
              <w:rPr>
                <w:sz w:val="20"/>
                <w:szCs w:val="20"/>
                <w:color w:val="auto"/>
              </w:rPr>
            </w:pPr>
            <w:r>
              <w:rPr>
                <w:rFonts w:ascii="Arial" w:cs="Arial" w:eastAsia="Arial" w:hAnsi="Arial"/>
                <w:sz w:val="18"/>
                <w:szCs w:val="18"/>
                <w:color w:val="auto"/>
              </w:rPr>
              <w:t>18</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24"/>
        </w:trPr>
        <w:tc>
          <w:tcPr>
            <w:tcW w:w="42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-504825</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-487680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rPr>
              <w:t>Post-retirement Benefits</w:t>
            </w:r>
          </w:p>
        </w:tc>
      </w:tr>
      <w:tr>
        <w:trPr>
          <w:trHeight w:val="133"/>
        </w:trPr>
        <w:tc>
          <w:tcPr>
            <w:tcW w:w="5760" w:type="dxa"/>
            <w:vAlign w:val="bottom"/>
          </w:tcPr>
          <w:p>
            <w:pPr>
              <w:spacing w:after="0"/>
              <w:rPr>
                <w:sz w:val="11"/>
                <w:szCs w:val="11"/>
                <w:color w:val="auto"/>
              </w:rPr>
            </w:pPr>
          </w:p>
        </w:tc>
        <w:tc>
          <w:tcPr>
            <w:tcW w:w="2280" w:type="dxa"/>
            <w:vAlign w:val="bottom"/>
            <w:gridSpan w:val="4"/>
          </w:tcPr>
          <w:p>
            <w:pPr>
              <w:jc w:val="center"/>
              <w:ind w:left="221"/>
              <w:spacing w:after="0" w:line="133" w:lineRule="exact"/>
              <w:rPr>
                <w:sz w:val="20"/>
                <w:szCs w:val="20"/>
                <w:color w:val="auto"/>
              </w:rPr>
            </w:pPr>
            <w:r>
              <w:rPr>
                <w:rFonts w:ascii="Arial" w:cs="Arial" w:eastAsia="Arial" w:hAnsi="Arial"/>
                <w:sz w:val="14"/>
                <w:szCs w:val="14"/>
                <w:b w:val="1"/>
                <w:bCs w:val="1"/>
                <w:color w:val="auto"/>
              </w:rPr>
              <w:t>For the Three Months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273"/>
              <w:spacing w:after="0" w:line="133" w:lineRule="exact"/>
              <w:rPr>
                <w:sz w:val="20"/>
                <w:szCs w:val="20"/>
                <w:color w:val="auto"/>
              </w:rPr>
            </w:pPr>
            <w:r>
              <w:rPr>
                <w:rFonts w:ascii="Arial" w:cs="Arial" w:eastAsia="Arial" w:hAnsi="Arial"/>
                <w:sz w:val="14"/>
                <w:szCs w:val="14"/>
                <w:b w:val="1"/>
                <w:bCs w:val="1"/>
                <w:color w:val="auto"/>
              </w:rPr>
              <w:t>For the Three Months</w:t>
            </w:r>
          </w:p>
        </w:tc>
      </w:tr>
      <w:tr>
        <w:trPr>
          <w:trHeight w:val="175"/>
        </w:trPr>
        <w:tc>
          <w:tcPr>
            <w:tcW w:w="5760" w:type="dxa"/>
            <w:vAlign w:val="bottom"/>
          </w:tcPr>
          <w:p>
            <w:pPr>
              <w:spacing w:after="0"/>
              <w:rPr>
                <w:sz w:val="15"/>
                <w:szCs w:val="15"/>
                <w:color w:val="auto"/>
              </w:rPr>
            </w:pPr>
          </w:p>
        </w:tc>
        <w:tc>
          <w:tcPr>
            <w:tcW w:w="228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rPr>
              <w:t>Ended September 30,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rPr>
              <w:t>Ended September 30,</w:t>
            </w:r>
          </w:p>
        </w:tc>
      </w:tr>
      <w:tr>
        <w:trPr>
          <w:trHeight w:val="185"/>
        </w:trPr>
        <w:tc>
          <w:tcPr>
            <w:tcW w:w="5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58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80" w:type="dxa"/>
            <w:vAlign w:val="bottom"/>
            <w:tcBorders>
              <w:bottom w:val="single" w:sz="8" w:color="auto"/>
            </w:tcBorders>
            <w:shd w:val="clear" w:color="auto" w:fill="CFF0FC"/>
          </w:tcPr>
          <w:p>
            <w:pPr>
              <w:jc w:val="right"/>
              <w:ind w:right="58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358"/>
        </w:trPr>
        <w:tc>
          <w:tcPr>
            <w:tcW w:w="57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rPr>
              <w:t>Post-retirement Benefits</w:t>
            </w:r>
          </w:p>
        </w:tc>
      </w:tr>
      <w:tr>
        <w:trPr>
          <w:trHeight w:val="133"/>
        </w:trPr>
        <w:tc>
          <w:tcPr>
            <w:tcW w:w="5760" w:type="dxa"/>
            <w:vAlign w:val="bottom"/>
          </w:tcPr>
          <w:p>
            <w:pPr>
              <w:spacing w:after="0"/>
              <w:rPr>
                <w:sz w:val="11"/>
                <w:szCs w:val="11"/>
                <w:color w:val="auto"/>
              </w:rPr>
            </w:pPr>
          </w:p>
        </w:tc>
        <w:tc>
          <w:tcPr>
            <w:tcW w:w="2280" w:type="dxa"/>
            <w:vAlign w:val="bottom"/>
            <w:gridSpan w:val="4"/>
          </w:tcPr>
          <w:p>
            <w:pPr>
              <w:jc w:val="center"/>
              <w:ind w:left="221"/>
              <w:spacing w:after="0" w:line="133" w:lineRule="exact"/>
              <w:rPr>
                <w:sz w:val="20"/>
                <w:szCs w:val="20"/>
                <w:color w:val="auto"/>
              </w:rPr>
            </w:pPr>
            <w:r>
              <w:rPr>
                <w:rFonts w:ascii="Arial" w:cs="Arial" w:eastAsia="Arial" w:hAnsi="Arial"/>
                <w:sz w:val="14"/>
                <w:szCs w:val="14"/>
                <w:b w:val="1"/>
                <w:bCs w:val="1"/>
                <w:color w:val="auto"/>
              </w:rPr>
              <w:t>For the Nine Months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273"/>
              <w:spacing w:after="0" w:line="133" w:lineRule="exact"/>
              <w:rPr>
                <w:sz w:val="20"/>
                <w:szCs w:val="20"/>
                <w:color w:val="auto"/>
              </w:rPr>
            </w:pPr>
            <w:r>
              <w:rPr>
                <w:rFonts w:ascii="Arial" w:cs="Arial" w:eastAsia="Arial" w:hAnsi="Arial"/>
                <w:sz w:val="14"/>
                <w:szCs w:val="14"/>
                <w:b w:val="1"/>
                <w:bCs w:val="1"/>
                <w:color w:val="auto"/>
              </w:rPr>
              <w:t>For the Nine Months</w:t>
            </w:r>
          </w:p>
        </w:tc>
      </w:tr>
      <w:tr>
        <w:trPr>
          <w:trHeight w:val="175"/>
        </w:trPr>
        <w:tc>
          <w:tcPr>
            <w:tcW w:w="5760" w:type="dxa"/>
            <w:vAlign w:val="bottom"/>
          </w:tcPr>
          <w:p>
            <w:pPr>
              <w:spacing w:after="0"/>
              <w:rPr>
                <w:sz w:val="15"/>
                <w:szCs w:val="15"/>
                <w:color w:val="auto"/>
              </w:rPr>
            </w:pPr>
          </w:p>
        </w:tc>
        <w:tc>
          <w:tcPr>
            <w:tcW w:w="228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rPr>
              <w:t>Ended September 30,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rPr>
              <w:t>Ended September 30,</w:t>
            </w:r>
          </w:p>
        </w:tc>
      </w:tr>
      <w:tr>
        <w:trPr>
          <w:trHeight w:val="185"/>
        </w:trPr>
        <w:tc>
          <w:tcPr>
            <w:tcW w:w="5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58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80" w:type="dxa"/>
            <w:vAlign w:val="bottom"/>
            <w:tcBorders>
              <w:bottom w:val="single" w:sz="8" w:color="auto"/>
            </w:tcBorders>
            <w:shd w:val="clear" w:color="auto" w:fill="CFF0FC"/>
          </w:tcPr>
          <w:p>
            <w:pPr>
              <w:jc w:val="right"/>
              <w:ind w:right="58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-1591945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-1574800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-1591945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-1574800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-1591945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-1574800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31" w:lineRule="exact"/>
        <w:rPr>
          <w:sz w:val="20"/>
          <w:szCs w:val="20"/>
          <w:color w:val="auto"/>
        </w:rPr>
      </w:pPr>
    </w:p>
    <w:p>
      <w:pPr>
        <w:ind w:right="300" w:firstLine="494"/>
        <w:spacing w:after="0" w:line="318"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(expense) income, net in the Condensed Consolidated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30" w:lineRule="exact"/>
        <w:rPr>
          <w:sz w:val="20"/>
          <w:szCs w:val="20"/>
          <w:color w:val="auto"/>
        </w:rPr>
      </w:pPr>
    </w:p>
    <w:p>
      <w:pPr>
        <w:ind w:right="40" w:firstLine="494"/>
        <w:spacing w:after="0" w:line="294" w:lineRule="auto"/>
        <w:rPr>
          <w:sz w:val="20"/>
          <w:szCs w:val="20"/>
          <w:color w:val="auto"/>
        </w:rPr>
      </w:pPr>
      <w:r>
        <w:rPr>
          <w:rFonts w:ascii="Arial" w:cs="Arial" w:eastAsia="Arial" w:hAnsi="Arial"/>
          <w:sz w:val="18"/>
          <w:szCs w:val="18"/>
          <w:color w:val="auto"/>
        </w:rPr>
        <w:t>For the three and nine months ended September 30, 2022, the Company recorded total income tax expense of $20 million and $86 million, respectively. The effective tax rate for the three and nine months ended September 30, 2022 was 13% and 18%, respectively. For the three and nine months ended September 30, 2021, the Company recorded total income tax expense of $30 million and $94 million, respectively. The effective tax rate for the three and nine months ended September 30, 2021 was 24% and 22%, respectively. The change in the effective tax rate in 2022 was due to enacted state tax rate legislation that resulted in a deferred tax benefit.</w:t>
      </w:r>
    </w:p>
    <w:p>
      <w:pPr>
        <w:spacing w:after="0" w:line="81" w:lineRule="exact"/>
        <w:rPr>
          <w:sz w:val="20"/>
          <w:szCs w:val="20"/>
          <w:color w:val="auto"/>
        </w:rPr>
      </w:pPr>
    </w:p>
    <w:p>
      <w:pPr>
        <w:ind w:right="220" w:firstLine="494"/>
        <w:spacing w:after="0" w:line="294"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75" w:lineRule="exact"/>
        <w:rPr>
          <w:sz w:val="20"/>
          <w:szCs w:val="20"/>
          <w:color w:val="auto"/>
        </w:rPr>
      </w:pPr>
    </w:p>
    <w:p>
      <w:pPr>
        <w:ind w:right="20" w:firstLine="494"/>
        <w:spacing w:after="0" w:line="307"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55" w:lineRule="exact"/>
        <w:rPr>
          <w:sz w:val="20"/>
          <w:szCs w:val="20"/>
          <w:color w:val="auto"/>
        </w:rPr>
      </w:pPr>
    </w:p>
    <w:p>
      <w:pPr>
        <w:ind w:right="480" w:firstLine="494"/>
        <w:spacing w:after="0" w:line="307" w:lineRule="auto"/>
        <w:rPr>
          <w:sz w:val="20"/>
          <w:szCs w:val="20"/>
          <w:color w:val="auto"/>
        </w:rPr>
      </w:pPr>
      <w:r>
        <w:rPr>
          <w:rFonts w:ascii="Arial" w:cs="Arial" w:eastAsia="Arial" w:hAnsi="Arial"/>
          <w:sz w:val="18"/>
          <w:szCs w:val="18"/>
          <w:color w:val="auto"/>
        </w:rPr>
        <w:t>In accordance with the FASB’s authoritative guidance on accounting for income taxes, the Company has recorded a liability for unrecognized tax benefits related to a 2010 Research and Development Credit as of September 30, 2022 and December 31, 2021. The accounting guidance prescribes a recognition threshold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jc w:val="both"/>
        <w:ind w:right="380"/>
        <w:spacing w:after="0" w:line="299" w:lineRule="auto"/>
        <w:rPr>
          <w:sz w:val="20"/>
          <w:szCs w:val="20"/>
          <w:color w:val="auto"/>
        </w:rPr>
      </w:pPr>
      <w:r>
        <w:rPr>
          <w:rFonts w:ascii="Arial" w:cs="Arial" w:eastAsia="Arial" w:hAnsi="Arial"/>
          <w:sz w:val="18"/>
          <w:szCs w:val="18"/>
          <w:color w:val="auto"/>
        </w:rPr>
        <w:t>measurement attributes for the financial statement recognition and measurement of a tax position taken or expected to be taken in a tax return. The Company's returns will remain subject to examination by various taxing authorities for the duration of the applicable statute of limitations (generally three years from the later of the date of filing or the due date of the return).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center"/>
              <w:ind w:right="254"/>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235"/>
              <w:spacing w:after="0" w:line="157"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234"/>
              <w:spacing w:after="0" w:line="157"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254"/>
              <w:spacing w:after="0" w:line="157"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rate swaps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June 30, 2021</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AOCL as of September 30, 2021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AOCL as of June 30, 2022</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AOCL as of September 30, 2022</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(23 )</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center"/>
              <w:ind w:right="254"/>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35"/>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254"/>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rate swaps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AOCL as of September 30, 2021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AOCL as of December 31, 2021</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AOCL as of September 30, 2022</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(23 )</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5260" w:type="dxa"/>
            <w:vAlign w:val="bottom"/>
          </w:tcPr>
          <w:p>
            <w:pPr>
              <w:spacing w:after="0"/>
              <w:rPr>
                <w:sz w:val="24"/>
                <w:szCs w:val="24"/>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-3895090</wp:posOffset>
            </wp:positionV>
            <wp:extent cx="8572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-3895090</wp:posOffset>
            </wp:positionV>
            <wp:extent cx="7683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-3895090</wp:posOffset>
            </wp:positionV>
            <wp:extent cx="7683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-3030220</wp:posOffset>
            </wp:positionV>
            <wp:extent cx="857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-3030220</wp:posOffset>
            </wp:positionV>
            <wp:extent cx="7683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-3030220</wp:posOffset>
            </wp:positionV>
            <wp:extent cx="768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-1506220</wp:posOffset>
            </wp:positionV>
            <wp:extent cx="857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-1506220</wp:posOffset>
            </wp:positionV>
            <wp:extent cx="7683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-1506220</wp:posOffset>
            </wp:positionV>
            <wp:extent cx="7683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-641350</wp:posOffset>
            </wp:positionV>
            <wp:extent cx="8572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-641350</wp:posOffset>
            </wp:positionV>
            <wp:extent cx="7683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-641350</wp:posOffset>
            </wp:positionV>
            <wp:extent cx="7683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3900" w:type="dxa"/>
            <w:vAlign w:val="bottom"/>
            <w:tcBorders>
              <w:bottom w:val="single" w:sz="8" w:color="auto"/>
            </w:tcBorders>
            <w:gridSpan w:val="4"/>
          </w:tcPr>
          <w:p>
            <w:pPr>
              <w:jc w:val="right"/>
              <w:ind w:right="629"/>
              <w:spacing w:after="0"/>
              <w:rPr>
                <w:sz w:val="20"/>
                <w:szCs w:val="20"/>
                <w:color w:val="auto"/>
              </w:rPr>
            </w:pPr>
            <w:r>
              <w:rPr>
                <w:rFonts w:ascii="Arial" w:cs="Arial" w:eastAsia="Arial" w:hAnsi="Arial"/>
                <w:sz w:val="14"/>
                <w:szCs w:val="14"/>
                <w:b w:val="1"/>
                <w:bCs w:val="1"/>
                <w:color w:val="auto"/>
              </w:rPr>
              <w:t>Amounts reclassified from AOCL</w:t>
            </w:r>
          </w:p>
        </w:tc>
        <w:tc>
          <w:tcPr>
            <w:tcW w:w="400" w:type="dxa"/>
            <w:vAlign w:val="bottom"/>
            <w:tcBorders>
              <w:bottom w:val="single" w:sz="8" w:color="auto"/>
            </w:tcBorders>
          </w:tcPr>
          <w:p>
            <w:pPr>
              <w:spacing w:after="0"/>
              <w:rPr>
                <w:sz w:val="16"/>
                <w:szCs w:val="16"/>
                <w:color w:val="auto"/>
              </w:rPr>
            </w:pPr>
          </w:p>
        </w:tc>
        <w:tc>
          <w:tcPr>
            <w:tcW w:w="318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2"/>
                <w:szCs w:val="12"/>
                <w:color w:val="auto"/>
              </w:rPr>
            </w:pP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AOCL Components</w:t>
            </w:r>
          </w:p>
        </w:tc>
        <w:tc>
          <w:tcPr>
            <w:tcW w:w="16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18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Borders>
              <w:bottom w:val="single" w:sz="8" w:color="auto"/>
            </w:tcBorders>
          </w:tcPr>
          <w:p>
            <w:pPr>
              <w:spacing w:after="0"/>
              <w:rPr>
                <w:sz w:val="14"/>
                <w:szCs w:val="14"/>
                <w:color w:val="auto"/>
              </w:rPr>
            </w:pPr>
          </w:p>
        </w:tc>
        <w:tc>
          <w:tcPr>
            <w:tcW w:w="3180" w:type="dxa"/>
            <w:vAlign w:val="bottom"/>
          </w:tcPr>
          <w:p>
            <w:pPr>
              <w:jc w:val="center"/>
              <w:ind w:left="79"/>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09"/>
        </w:trPr>
        <w:tc>
          <w:tcPr>
            <w:tcW w:w="3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80" w:type="dxa"/>
            <w:vAlign w:val="bottom"/>
            <w:shd w:val="clear" w:color="auto" w:fill="CFF0FC"/>
          </w:tcPr>
          <w:p>
            <w:pPr>
              <w:jc w:val="right"/>
              <w:ind w:right="154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right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(1 )</w:t>
            </w:r>
          </w:p>
        </w:tc>
        <w:tc>
          <w:tcPr>
            <w:tcW w:w="160" w:type="dxa"/>
            <w:vAlign w:val="bottom"/>
            <w:tcBorders>
              <w:right w:val="single" w:sz="8" w:color="CFF0FC"/>
            </w:tcBorders>
            <w:shd w:val="clear" w:color="auto" w:fill="CFF0FC"/>
          </w:tcPr>
          <w:p>
            <w:pPr>
              <w:spacing w:after="0"/>
              <w:rPr>
                <w:sz w:val="18"/>
                <w:szCs w:val="18"/>
                <w:color w:val="auto"/>
              </w:rPr>
            </w:pPr>
          </w:p>
        </w:tc>
        <w:tc>
          <w:tcPr>
            <w:tcW w:w="1660" w:type="dxa"/>
            <w:vAlign w:val="bottom"/>
            <w:shd w:val="clear" w:color="auto" w:fill="CFF0FC"/>
          </w:tcPr>
          <w:p>
            <w:pPr>
              <w:jc w:val="right"/>
              <w:ind w:right="1529"/>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3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1680" w:type="dxa"/>
            <w:vAlign w:val="bottom"/>
          </w:tcPr>
          <w:p>
            <w:pPr>
              <w:spacing w:after="0"/>
              <w:rPr>
                <w:sz w:val="18"/>
                <w:szCs w:val="18"/>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18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16"/>
        </w:trPr>
        <w:tc>
          <w:tcPr>
            <w:tcW w:w="3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Recognized actuarial loss</w:t>
            </w:r>
          </w:p>
        </w:tc>
        <w:tc>
          <w:tcPr>
            <w:tcW w:w="168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(1 )</w:t>
            </w:r>
          </w:p>
        </w:tc>
        <w:tc>
          <w:tcPr>
            <w:tcW w:w="160" w:type="dxa"/>
            <w:vAlign w:val="bottom"/>
            <w:tcBorders>
              <w:right w:val="single" w:sz="8" w:color="CFF0FC"/>
            </w:tcBorders>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(1 )  Other (expense) income, net</w:t>
            </w:r>
          </w:p>
        </w:tc>
        <w:tc>
          <w:tcPr>
            <w:tcW w:w="0" w:type="dxa"/>
            <w:vAlign w:val="bottom"/>
          </w:tcPr>
          <w:p>
            <w:pPr>
              <w:spacing w:after="0"/>
              <w:rPr>
                <w:sz w:val="1"/>
                <w:szCs w:val="1"/>
                <w:color w:val="auto"/>
              </w:rPr>
            </w:pPr>
          </w:p>
        </w:tc>
      </w:tr>
      <w:tr>
        <w:trPr>
          <w:trHeight w:val="20"/>
        </w:trPr>
        <w:tc>
          <w:tcPr>
            <w:tcW w:w="3760" w:type="dxa"/>
            <w:vAlign w:val="bottom"/>
            <w:tcBorders>
              <w:right w:val="single" w:sz="8" w:color="auto"/>
            </w:tcBorders>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1680" w:type="dxa"/>
            <w:vAlign w:val="bottom"/>
          </w:tcPr>
          <w:p>
            <w:pPr>
              <w:jc w:val="right"/>
              <w:ind w:right="154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1660" w:type="dxa"/>
            <w:vAlign w:val="bottom"/>
          </w:tcPr>
          <w:p>
            <w:pPr>
              <w:jc w:val="right"/>
              <w:ind w:right="1529"/>
              <w:spacing w:after="0"/>
              <w:rPr>
                <w:sz w:val="20"/>
                <w:szCs w:val="20"/>
                <w:color w:val="auto"/>
              </w:rPr>
            </w:pPr>
            <w:r>
              <w:rPr>
                <w:rFonts w:ascii="Arial" w:cs="Arial" w:eastAsia="Arial" w:hAnsi="Arial"/>
                <w:sz w:val="10"/>
                <w:szCs w:val="10"/>
                <w:color w:val="auto"/>
                <w:w w:val="71"/>
              </w:rPr>
              <w:t>$</w:t>
            </w:r>
          </w:p>
        </w:tc>
        <w:tc>
          <w:tcPr>
            <w:tcW w:w="3580" w:type="dxa"/>
            <w:vAlign w:val="bottom"/>
            <w:gridSpan w:val="2"/>
          </w:tcPr>
          <w:p>
            <w:pPr>
              <w:jc w:val="right"/>
              <w:ind w:right="659"/>
              <w:spacing w:after="0"/>
              <w:rPr>
                <w:sz w:val="20"/>
                <w:szCs w:val="20"/>
                <w:color w:val="auto"/>
              </w:rPr>
            </w:pPr>
            <w:r>
              <w:rPr>
                <w:rFonts w:ascii="Arial" w:cs="Arial" w:eastAsia="Arial" w:hAnsi="Arial"/>
                <w:sz w:val="18"/>
                <w:szCs w:val="18"/>
                <w:color w:val="auto"/>
              </w:rPr>
              <w:t>(2 )  Income before income taxes</w:t>
            </w:r>
          </w:p>
        </w:tc>
        <w:tc>
          <w:tcPr>
            <w:tcW w:w="0" w:type="dxa"/>
            <w:vAlign w:val="bottom"/>
          </w:tcPr>
          <w:p>
            <w:pPr>
              <w:spacing w:after="0"/>
              <w:rPr>
                <w:sz w:val="1"/>
                <w:szCs w:val="1"/>
                <w:color w:val="auto"/>
              </w:rPr>
            </w:pPr>
          </w:p>
        </w:tc>
      </w:tr>
      <w:tr>
        <w:trPr>
          <w:trHeight w:val="216"/>
        </w:trPr>
        <w:tc>
          <w:tcPr>
            <w:tcW w:w="3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1680" w:type="dxa"/>
            <w:vAlign w:val="bottom"/>
            <w:shd w:val="clear" w:color="auto" w:fill="CFF0FC"/>
          </w:tcPr>
          <w:p>
            <w:pPr>
              <w:spacing w:after="0"/>
              <w:rPr>
                <w:sz w:val="18"/>
                <w:szCs w:val="18"/>
                <w:color w:val="auto"/>
              </w:rPr>
            </w:pPr>
          </w:p>
        </w:tc>
        <w:tc>
          <w:tcPr>
            <w:tcW w:w="56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09"/>
        </w:trPr>
        <w:tc>
          <w:tcPr>
            <w:tcW w:w="37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reclassifications, net of tax</w:t>
            </w:r>
          </w:p>
        </w:tc>
        <w:tc>
          <w:tcPr>
            <w:tcW w:w="1680" w:type="dxa"/>
            <w:vAlign w:val="bottom"/>
            <w:tcBorders>
              <w:top w:val="single" w:sz="8" w:color="auto"/>
              <w:bottom w:val="single" w:sz="8" w:color="auto"/>
            </w:tcBorders>
          </w:tcPr>
          <w:p>
            <w:pPr>
              <w:jc w:val="right"/>
              <w:ind w:right="154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CFF0FC"/>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52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3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760" w:type="dxa"/>
            <w:vAlign w:val="bottom"/>
          </w:tcPr>
          <w:p>
            <w:pPr>
              <w:spacing w:after="0"/>
              <w:rPr>
                <w:sz w:val="24"/>
                <w:szCs w:val="24"/>
                <w:color w:val="auto"/>
              </w:rPr>
            </w:pPr>
          </w:p>
        </w:tc>
        <w:tc>
          <w:tcPr>
            <w:tcW w:w="3900" w:type="dxa"/>
            <w:vAlign w:val="bottom"/>
            <w:tcBorders>
              <w:bottom w:val="single" w:sz="8" w:color="auto"/>
            </w:tcBorders>
            <w:gridSpan w:val="4"/>
          </w:tcPr>
          <w:p>
            <w:pPr>
              <w:jc w:val="right"/>
              <w:ind w:right="629"/>
              <w:spacing w:after="0"/>
              <w:rPr>
                <w:sz w:val="20"/>
                <w:szCs w:val="20"/>
                <w:color w:val="auto"/>
              </w:rPr>
            </w:pPr>
            <w:r>
              <w:rPr>
                <w:rFonts w:ascii="Arial" w:cs="Arial" w:eastAsia="Arial" w:hAnsi="Arial"/>
                <w:sz w:val="14"/>
                <w:szCs w:val="14"/>
                <w:b w:val="1"/>
                <w:bCs w:val="1"/>
                <w:color w:val="auto"/>
              </w:rPr>
              <w:t>Amounts reclassified from AOCL</w:t>
            </w:r>
          </w:p>
        </w:tc>
        <w:tc>
          <w:tcPr>
            <w:tcW w:w="400" w:type="dxa"/>
            <w:vAlign w:val="bottom"/>
            <w:tcBorders>
              <w:bottom w:val="single" w:sz="8" w:color="auto"/>
            </w:tcBorders>
          </w:tcPr>
          <w:p>
            <w:pPr>
              <w:spacing w:after="0"/>
              <w:rPr>
                <w:sz w:val="24"/>
                <w:szCs w:val="24"/>
                <w:color w:val="auto"/>
              </w:rPr>
            </w:pPr>
          </w:p>
        </w:tc>
        <w:tc>
          <w:tcPr>
            <w:tcW w:w="318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180" w:type="dxa"/>
            <w:vAlign w:val="bottom"/>
          </w:tcPr>
          <w:p>
            <w:pPr>
              <w:ind w:left="66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Borders>
              <w:bottom w:val="single" w:sz="8" w:color="auto"/>
            </w:tcBorders>
          </w:tcPr>
          <w:p>
            <w:pPr>
              <w:spacing w:after="0"/>
              <w:rPr>
                <w:sz w:val="16"/>
                <w:szCs w:val="16"/>
                <w:color w:val="auto"/>
              </w:rPr>
            </w:pPr>
          </w:p>
        </w:tc>
        <w:tc>
          <w:tcPr>
            <w:tcW w:w="3180" w:type="dxa"/>
            <w:vAlign w:val="bottom"/>
          </w:tcPr>
          <w:p>
            <w:pPr>
              <w:jc w:val="center"/>
              <w:ind w:left="39"/>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09"/>
        </w:trPr>
        <w:tc>
          <w:tcPr>
            <w:tcW w:w="3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80" w:type="dxa"/>
            <w:vAlign w:val="bottom"/>
            <w:shd w:val="clear" w:color="auto" w:fill="CFF0FC"/>
          </w:tcPr>
          <w:p>
            <w:pPr>
              <w:jc w:val="right"/>
              <w:ind w:right="150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tcBorders>
              <w:right w:val="single" w:sz="8" w:color="CFF0FC"/>
            </w:tcBorders>
            <w:shd w:val="clear" w:color="auto" w:fill="CFF0FC"/>
          </w:tcPr>
          <w:p>
            <w:pPr>
              <w:spacing w:after="0"/>
              <w:rPr>
                <w:sz w:val="18"/>
                <w:szCs w:val="18"/>
                <w:color w:val="auto"/>
              </w:rPr>
            </w:pPr>
          </w:p>
        </w:tc>
        <w:tc>
          <w:tcPr>
            <w:tcW w:w="1660" w:type="dxa"/>
            <w:vAlign w:val="bottom"/>
            <w:shd w:val="clear" w:color="auto" w:fill="CFF0FC"/>
          </w:tcPr>
          <w:p>
            <w:pPr>
              <w:jc w:val="right"/>
              <w:ind w:right="1469"/>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(11 )</w:t>
            </w:r>
          </w:p>
        </w:tc>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168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3180" w:type="dxa"/>
            <w:vAlign w:val="bottom"/>
          </w:tcPr>
          <w:p>
            <w:pPr>
              <w:ind w:left="14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16"/>
        </w:trPr>
        <w:tc>
          <w:tcPr>
            <w:tcW w:w="3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Recognized actuarial loss</w:t>
            </w:r>
          </w:p>
        </w:tc>
        <w:tc>
          <w:tcPr>
            <w:tcW w:w="168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tcBorders>
              <w:right w:val="single" w:sz="8" w:color="CFF0FC"/>
            </w:tcBorders>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(1 )  Other (expense) income, net</w:t>
            </w:r>
          </w:p>
        </w:tc>
        <w:tc>
          <w:tcPr>
            <w:tcW w:w="0" w:type="dxa"/>
            <w:vAlign w:val="bottom"/>
          </w:tcPr>
          <w:p>
            <w:pPr>
              <w:spacing w:after="0"/>
              <w:rPr>
                <w:sz w:val="1"/>
                <w:szCs w:val="1"/>
                <w:color w:val="auto"/>
              </w:rPr>
            </w:pPr>
          </w:p>
        </w:tc>
      </w:tr>
      <w:tr>
        <w:trPr>
          <w:trHeight w:val="20"/>
        </w:trPr>
        <w:tc>
          <w:tcPr>
            <w:tcW w:w="3760" w:type="dxa"/>
            <w:vAlign w:val="bottom"/>
            <w:tcBorders>
              <w:right w:val="single" w:sz="8" w:color="CFF0FC"/>
            </w:tcBorders>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1680" w:type="dxa"/>
            <w:vAlign w:val="bottom"/>
          </w:tcPr>
          <w:p>
            <w:pPr>
              <w:jc w:val="right"/>
              <w:ind w:right="150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60" w:type="dxa"/>
            <w:vAlign w:val="bottom"/>
          </w:tcPr>
          <w:p>
            <w:pPr>
              <w:jc w:val="right"/>
              <w:ind w:right="1469"/>
              <w:spacing w:after="0"/>
              <w:rPr>
                <w:sz w:val="20"/>
                <w:szCs w:val="20"/>
                <w:color w:val="auto"/>
              </w:rPr>
            </w:pPr>
            <w:r>
              <w:rPr>
                <w:rFonts w:ascii="Arial" w:cs="Arial" w:eastAsia="Arial" w:hAnsi="Arial"/>
                <w:sz w:val="18"/>
                <w:szCs w:val="18"/>
                <w:color w:val="auto"/>
                <w:w w:val="99"/>
              </w:rPr>
              <w:t>$</w:t>
            </w:r>
          </w:p>
        </w:tc>
        <w:tc>
          <w:tcPr>
            <w:tcW w:w="3580" w:type="dxa"/>
            <w:vAlign w:val="bottom"/>
            <w:gridSpan w:val="2"/>
          </w:tcPr>
          <w:p>
            <w:pPr>
              <w:jc w:val="right"/>
              <w:ind w:right="699"/>
              <w:spacing w:after="0"/>
              <w:rPr>
                <w:sz w:val="20"/>
                <w:szCs w:val="20"/>
                <w:color w:val="auto"/>
              </w:rPr>
            </w:pPr>
            <w:r>
              <w:rPr>
                <w:rFonts w:ascii="Arial" w:cs="Arial" w:eastAsia="Arial" w:hAnsi="Arial"/>
                <w:sz w:val="18"/>
                <w:szCs w:val="18"/>
                <w:color w:val="auto"/>
              </w:rPr>
              <w:t>(4 )  Income before income taxes</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1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31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680" w:type="dxa"/>
            <w:vAlign w:val="bottom"/>
          </w:tcPr>
          <w:p>
            <w:pPr>
              <w:jc w:val="right"/>
              <w:ind w:right="1509"/>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46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(3 )</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-1883410</wp:posOffset>
            </wp:positionV>
            <wp:extent cx="10287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-1883410</wp:posOffset>
            </wp:positionV>
            <wp:extent cx="10287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-1600835</wp:posOffset>
            </wp:positionV>
            <wp:extent cx="10287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-1600835</wp:posOffset>
            </wp:positionV>
            <wp:extent cx="10287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-453390</wp:posOffset>
            </wp:positionV>
            <wp:extent cx="10287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-453390</wp:posOffset>
            </wp:positionV>
            <wp:extent cx="10287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-170815</wp:posOffset>
            </wp:positionV>
            <wp:extent cx="10287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-170815</wp:posOffset>
            </wp:positionV>
            <wp:extent cx="10287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service cost and actuarial loss are included in the computation of the Company’s net periodic benefit cost (credit). See "Note 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for additional details.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5" w:lineRule="exact"/>
        <w:rPr>
          <w:sz w:val="20"/>
          <w:szCs w:val="20"/>
          <w:color w:val="auto"/>
        </w:rPr>
      </w:pPr>
    </w:p>
    <w:p>
      <w:pPr>
        <w:ind w:right="720" w:firstLine="494"/>
        <w:spacing w:after="0" w:line="299"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September 30, 2022, the Company had a liability recorded in the amount of $3 million.</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42" w:lineRule="exact"/>
        <w:rPr>
          <w:sz w:val="20"/>
          <w:szCs w:val="20"/>
          <w:color w:val="auto"/>
        </w:rPr>
      </w:pPr>
    </w:p>
    <w:p>
      <w:pPr>
        <w:ind w:right="220" w:firstLine="494"/>
        <w:spacing w:after="0" w:line="298"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44" w:lineRule="exact"/>
        <w:rPr>
          <w:sz w:val="20"/>
          <w:szCs w:val="20"/>
          <w:color w:val="auto"/>
        </w:rPr>
      </w:pPr>
    </w:p>
    <w:p>
      <w:pPr>
        <w:ind w:right="20" w:firstLine="494"/>
        <w:spacing w:after="0" w:line="310"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each of the three and nine months ended September 30, 2022, there were 2 million outstanding stock options excluded from the diluted EPS calculation because they were anti-dilutive. For each of the three and nine months ended September 30, 2021, there were 1 million outstanding stock options excluded from the diluted EPS calculation because they were anti-dilutive.</w:t>
      </w:r>
    </w:p>
    <w:p>
      <w:pPr>
        <w:spacing w:after="0" w:line="74" w:lineRule="exact"/>
        <w:rPr>
          <w:sz w:val="20"/>
          <w:szCs w:val="20"/>
          <w:color w:val="auto"/>
        </w:rPr>
      </w:pPr>
    </w:p>
    <w:p>
      <w:pPr>
        <w:ind w:right="180" w:firstLine="494"/>
        <w:spacing w:after="0" w:line="318"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139</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390</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324</w:t>
            </w: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Weighted average shares of common stock outstanding</w:t>
            </w:r>
          </w:p>
        </w:tc>
        <w:tc>
          <w:tcPr>
            <w:tcW w:w="740" w:type="dxa"/>
            <w:vAlign w:val="bottom"/>
          </w:tcPr>
          <w:p>
            <w:pPr>
              <w:spacing w:after="0"/>
              <w:rPr>
                <w:sz w:val="17"/>
                <w:szCs w:val="17"/>
                <w:color w:val="auto"/>
              </w:rPr>
            </w:pPr>
          </w:p>
        </w:tc>
        <w:tc>
          <w:tcPr>
            <w:tcW w:w="52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95</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109</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7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109</w:t>
            </w:r>
          </w:p>
        </w:tc>
      </w:tr>
      <w:tr>
        <w:trPr>
          <w:trHeight w:val="20"/>
        </w:trPr>
        <w:tc>
          <w:tcPr>
            <w:tcW w:w="5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Basic earnings per share attributable to common stockholders</w:t>
            </w:r>
          </w:p>
        </w:tc>
        <w:tc>
          <w:tcPr>
            <w:tcW w:w="740" w:type="dxa"/>
            <w:vAlign w:val="bottom"/>
            <w:tcBorders>
              <w:bottom w:val="single" w:sz="8" w:color="auto"/>
            </w:tcBorders>
            <w:shd w:val="clear" w:color="auto" w:fill="CFF0FC"/>
          </w:tcPr>
          <w:p>
            <w:pPr>
              <w:jc w:val="right"/>
              <w:ind w:right="537"/>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1.46</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0.89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4.02</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2.97</w:t>
            </w:r>
          </w:p>
        </w:tc>
      </w:tr>
      <w:tr>
        <w:trPr>
          <w:trHeight w:val="196"/>
        </w:trPr>
        <w:tc>
          <w:tcPr>
            <w:tcW w:w="5820" w:type="dxa"/>
            <w:vAlign w:val="bottom"/>
          </w:tcPr>
          <w:p>
            <w:pPr>
              <w:ind w:left="28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740" w:type="dxa"/>
            <w:vAlign w:val="bottom"/>
          </w:tcPr>
          <w:p>
            <w:pPr>
              <w:jc w:val="right"/>
              <w:ind w:right="537"/>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1.45</w:t>
            </w:r>
          </w:p>
        </w:tc>
        <w:tc>
          <w:tcPr>
            <w:tcW w:w="900" w:type="dxa"/>
            <w:vAlign w:val="bottom"/>
            <w:gridSpan w:val="2"/>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0.89</w:t>
            </w:r>
          </w:p>
        </w:tc>
        <w:tc>
          <w:tcPr>
            <w:tcW w:w="40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4.02</w:t>
            </w:r>
          </w:p>
        </w:tc>
        <w:tc>
          <w:tcPr>
            <w:tcW w:w="54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2.97</w:t>
            </w:r>
          </w:p>
        </w:tc>
      </w:tr>
      <w:tr>
        <w:trPr>
          <w:trHeight w:val="20"/>
        </w:trPr>
        <w:tc>
          <w:tcPr>
            <w:tcW w:w="5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-795655</wp:posOffset>
            </wp:positionV>
            <wp:extent cx="1840865"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40865" cy="16256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-495935</wp:posOffset>
            </wp:positionV>
            <wp:extent cx="939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-495935</wp:posOffset>
            </wp:positionV>
            <wp:extent cx="8572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-495935</wp:posOffset>
            </wp:positionV>
            <wp:extent cx="8572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-187960</wp:posOffset>
            </wp:positionV>
            <wp:extent cx="184086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40865" cy="1885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44" w:lineRule="exact"/>
        <w:rPr>
          <w:sz w:val="20"/>
          <w:szCs w:val="20"/>
          <w:color w:val="auto"/>
        </w:rPr>
      </w:pPr>
    </w:p>
    <w:p>
      <w:pPr>
        <w:jc w:val="both"/>
        <w:ind w:right="160" w:firstLine="494"/>
        <w:spacing w:after="0" w:line="307" w:lineRule="auto"/>
        <w:rPr>
          <w:sz w:val="20"/>
          <w:szCs w:val="20"/>
          <w:color w:val="auto"/>
        </w:rPr>
      </w:pPr>
      <w:r>
        <w:rPr>
          <w:rFonts w:ascii="Arial" w:cs="Arial" w:eastAsia="Arial" w:hAnsi="Arial"/>
          <w:sz w:val="18"/>
          <w:szCs w:val="18"/>
          <w:color w:val="auto"/>
        </w:rPr>
        <w:t>The Company's current stock repurchase program (the "Repurchase Program") was authorized by the Board of Directors in 2016. On February 24, 2022, the Board of Directors authorized the Company to repurchase an additional $1,000 million of its common stock, bringing the total amount authorized under the Repurchase Program to $4,000 million.</w:t>
      </w:r>
    </w:p>
    <w:p>
      <w:pPr>
        <w:spacing w:after="0" w:line="69" w:lineRule="exact"/>
        <w:rPr>
          <w:sz w:val="20"/>
          <w:szCs w:val="20"/>
          <w:color w:val="auto"/>
        </w:rPr>
      </w:pPr>
    </w:p>
    <w:p>
      <w:pPr>
        <w:ind w:right="100" w:firstLine="494"/>
        <w:spacing w:after="0" w:line="294" w:lineRule="auto"/>
        <w:rPr>
          <w:sz w:val="20"/>
          <w:szCs w:val="20"/>
          <w:color w:val="auto"/>
        </w:rPr>
      </w:pPr>
      <w:r>
        <w:rPr>
          <w:rFonts w:ascii="Arial" w:cs="Arial" w:eastAsia="Arial" w:hAnsi="Arial"/>
          <w:sz w:val="18"/>
          <w:szCs w:val="18"/>
          <w:color w:val="auto"/>
        </w:rPr>
        <w:t>During the three and nine months ended September 30, 2022, the Company repurchased $109 million and $224 million, respectively, of its common stock under the Repurchase Program, leaving $1,089 million of authorized repurchases remaining under the Repurchase Program as of September 30, 2022.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ACQUISITIONS</w:t>
      </w:r>
    </w:p>
    <w:p>
      <w:pPr>
        <w:spacing w:after="0" w:line="144" w:lineRule="exact"/>
        <w:rPr>
          <w:sz w:val="20"/>
          <w:szCs w:val="20"/>
          <w:color w:val="auto"/>
        </w:rPr>
      </w:pPr>
    </w:p>
    <w:p>
      <w:pPr>
        <w:ind w:right="80" w:firstLine="494"/>
        <w:spacing w:after="0" w:line="321" w:lineRule="auto"/>
        <w:rPr>
          <w:sz w:val="20"/>
          <w:szCs w:val="20"/>
          <w:color w:val="auto"/>
        </w:rPr>
      </w:pPr>
      <w:r>
        <w:rPr>
          <w:rFonts w:ascii="Arial" w:cs="Arial" w:eastAsia="Arial" w:hAnsi="Arial"/>
          <w:sz w:val="17"/>
          <w:szCs w:val="17"/>
          <w:color w:val="auto"/>
        </w:rPr>
        <w:t>On March 31, 2022, the Company acquired transmission portfolio assets of India-based AVTEC Ltd.'s off-highway business and AVTEC's Madras Export Procession Zone off-highway component machining business, for $23 million in cash. The Company accounted for this transaction under the acquisition method in accordance with authoritative guidance on business combinations. Control was obtained as of the purchase date through the purchase agreement. The acquired business was integrated into the Company's single operating segment.</w:t>
      </w:r>
    </w:p>
    <w:p>
      <w:pPr>
        <w:spacing w:after="0" w:line="60" w:lineRule="exact"/>
        <w:rPr>
          <w:sz w:val="20"/>
          <w:szCs w:val="20"/>
          <w:color w:val="auto"/>
        </w:rPr>
      </w:pPr>
    </w:p>
    <w:p>
      <w:pPr>
        <w:ind w:firstLine="494"/>
        <w:spacing w:after="0" w:line="298" w:lineRule="auto"/>
        <w:rPr>
          <w:sz w:val="20"/>
          <w:szCs w:val="20"/>
          <w:color w:val="auto"/>
        </w:rPr>
      </w:pPr>
      <w:r>
        <w:rPr>
          <w:rFonts w:ascii="Arial" w:cs="Arial" w:eastAsia="Arial" w:hAnsi="Arial"/>
          <w:sz w:val="18"/>
          <w:szCs w:val="18"/>
          <w:color w:val="auto"/>
        </w:rPr>
        <w:t>The purchase price allocation for this transaction resulted in the recognition of goodwill, intangible assets and property, plant and equipment of $13 million, $8 million and $2 million, respectively. The Company has completed its initial accounting for the fair value of the acquired assets and liabilities, and any adjustments identified in the measurement period, which will not exceed one year from the acquisition date, will be accounted for prospectively.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0"/>
          <w:szCs w:val="20"/>
          <w:color w:val="auto"/>
        </w:rPr>
      </w:pPr>
    </w:p>
    <w:p>
      <w:pPr>
        <w:ind w:firstLine="494"/>
        <w:spacing w:after="0" w:line="298"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78" w:lineRule="exact"/>
        <w:rPr>
          <w:sz w:val="20"/>
          <w:szCs w:val="20"/>
          <w:color w:val="auto"/>
        </w:rPr>
      </w:pPr>
    </w:p>
    <w:p>
      <w:pPr>
        <w:ind w:firstLine="494"/>
        <w:spacing w:after="0" w:line="292"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in our Quarterly Report on Form 10-Q for the quarter ended March 31, 2022 as filed with the Securities and Exchange Commission (“SEC”) on April 28, 2022, and in Part I, Item 1A "Risk Factors" in our Annual Report on Form 10-K for the year ended December 31, 2021 as filed with the SEC on February 17, 2022. Our actual results may differ materially from those contained in or implied by any forward-looking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160" w:firstLine="494"/>
        <w:spacing w:after="0" w:line="298"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78" w:lineRule="exact"/>
        <w:rPr>
          <w:sz w:val="20"/>
          <w:szCs w:val="20"/>
          <w:color w:val="auto"/>
        </w:rPr>
      </w:pPr>
    </w:p>
    <w:p>
      <w:pPr>
        <w:ind w:right="100" w:firstLine="499"/>
        <w:spacing w:after="0" w:line="299" w:lineRule="auto"/>
        <w:rPr>
          <w:sz w:val="20"/>
          <w:szCs w:val="20"/>
          <w:color w:val="auto"/>
        </w:rPr>
      </w:pPr>
      <w:r>
        <w:rPr>
          <w:rFonts w:ascii="Arial" w:cs="Arial" w:eastAsia="Arial" w:hAnsi="Arial"/>
          <w:sz w:val="18"/>
          <w:szCs w:val="18"/>
          <w:color w:val="auto"/>
        </w:rPr>
        <w:t>Although approximately 76% of revenues were generated in North America in 2021, we have a global presence by serving customers in Asia, Europe, South America and Africa. We serve customers through an independent network of approximately 1,400 independent distributor and dealer locations worldwide.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98"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Global markets continue to experience supply chain, labor, energy and raw material constraints as a result of global economic volatility, the war in Ukraine and the COVID-19 pandemic that impact our business performance. As a result, during the three and nine months ended September 30, 2022 we experienced raw material and component part price inflation, increased freight and logistics costs, increased labor costs, production constraints due to labor shortages and increased foreign exchange volatility. In addition, despite increased customer demand, our net sales for the three and nine months ended September 30, 2022 were negatively impacted as a result of our customers’ inability to secure components from the broader commercial vehicle supply base which resulted in reduced commercial vehicle build schedules. We expect that commercial vehicle build schedules will continue to be negatively impacted by the availability of components throughout the remainder of 2022.</w:t>
      </w:r>
    </w:p>
    <w:p>
      <w:pPr>
        <w:spacing w:after="0" w:line="122" w:lineRule="exact"/>
        <w:rPr>
          <w:sz w:val="20"/>
          <w:szCs w:val="20"/>
          <w:color w:val="auto"/>
        </w:rPr>
      </w:pPr>
    </w:p>
    <w:p>
      <w:pPr>
        <w:ind w:firstLine="494"/>
        <w:spacing w:after="0" w:line="298" w:lineRule="auto"/>
        <w:rPr>
          <w:sz w:val="20"/>
          <w:szCs w:val="20"/>
          <w:color w:val="auto"/>
        </w:rPr>
      </w:pPr>
      <w:r>
        <w:rPr>
          <w:rFonts w:ascii="Arial" w:cs="Arial" w:eastAsia="Arial" w:hAnsi="Arial"/>
          <w:sz w:val="18"/>
          <w:szCs w:val="18"/>
          <w:color w:val="auto"/>
        </w:rPr>
        <w:t>To limit the spread of variants and sub-variants of COVID-19, governments have taken, and may in the future take, various actions that have impacted, and may in the future impact, our employees, operations, customers and supply base, including the administration or mandate of vaccinations, travel bans and restrictions, quarantines, curfews, stay-at-home orders, social distancing guidelines and business shutdowns and closures.</w:t>
      </w:r>
    </w:p>
    <w:p>
      <w:pPr>
        <w:spacing w:after="0" w:line="132" w:lineRule="exact"/>
        <w:rPr>
          <w:sz w:val="20"/>
          <w:szCs w:val="20"/>
          <w:color w:val="auto"/>
        </w:rPr>
      </w:pPr>
    </w:p>
    <w:p>
      <w:pPr>
        <w:jc w:val="both"/>
        <w:ind w:right="80" w:firstLine="494"/>
        <w:spacing w:after="0" w:line="307"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In 2022, we expect higher net sales principally driven by higher customer demand in the Global On-Highway, Global Off-Highway and Service Parts, Support Equipment &amp; Other end markets, price increases on certain products and the continued execution of our growth initiatives.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Third Quarter Net Sales by End Market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 Market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Q3 2022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Q3 2021</w:t>
            </w:r>
          </w:p>
        </w:tc>
        <w:tc>
          <w:tcPr>
            <w:tcW w:w="120" w:type="dxa"/>
            <w:vAlign w:val="bottom"/>
          </w:tcPr>
          <w:p>
            <w:pPr>
              <w:spacing w:after="0"/>
              <w:rPr>
                <w:sz w:val="14"/>
                <w:szCs w:val="14"/>
                <w:color w:val="auto"/>
              </w:rPr>
            </w:pPr>
          </w:p>
        </w:tc>
        <w:tc>
          <w:tcPr>
            <w:tcW w:w="16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Variance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60" w:type="dxa"/>
            <w:vAlign w:val="bottom"/>
          </w:tcPr>
          <w:p>
            <w:pPr>
              <w:ind w:left="20"/>
              <w:spacing w:after="0" w:line="190" w:lineRule="exact"/>
              <w:rPr>
                <w:sz w:val="20"/>
                <w:szCs w:val="20"/>
                <w:color w:val="auto"/>
              </w:rPr>
            </w:pPr>
            <w:r>
              <w:rPr>
                <w:rFonts w:ascii="Arial" w:cs="Arial" w:eastAsia="Arial" w:hAnsi="Arial"/>
                <w:sz w:val="18"/>
                <w:szCs w:val="18"/>
                <w:color w:val="auto"/>
              </w:rPr>
              <w:t>North America On-Highway</w:t>
            </w:r>
          </w:p>
        </w:tc>
        <w:tc>
          <w:tcPr>
            <w:tcW w:w="980" w:type="dxa"/>
            <w:vAlign w:val="bottom"/>
          </w:tcPr>
          <w:p>
            <w:pPr>
              <w:jc w:val="right"/>
              <w:ind w:right="779"/>
              <w:spacing w:after="0" w:line="190" w:lineRule="exact"/>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50"/>
              <w:spacing w:after="0" w:line="190" w:lineRule="exact"/>
              <w:rPr>
                <w:sz w:val="20"/>
                <w:szCs w:val="20"/>
                <w:color w:val="auto"/>
              </w:rPr>
            </w:pPr>
            <w:r>
              <w:rPr>
                <w:rFonts w:ascii="Arial" w:cs="Arial" w:eastAsia="Arial" w:hAnsi="Arial"/>
                <w:sz w:val="18"/>
                <w:szCs w:val="18"/>
                <w:b w:val="1"/>
                <w:bCs w:val="1"/>
                <w:color w:val="auto"/>
                <w:w w:val="93"/>
              </w:rPr>
              <w:t>340</w:t>
            </w:r>
          </w:p>
        </w:tc>
        <w:tc>
          <w:tcPr>
            <w:tcW w:w="140" w:type="dxa"/>
            <w:vAlign w:val="bottom"/>
          </w:tcPr>
          <w:p>
            <w:pPr>
              <w:spacing w:after="0"/>
              <w:rPr>
                <w:sz w:val="16"/>
                <w:szCs w:val="16"/>
                <w:color w:val="auto"/>
              </w:rPr>
            </w:pPr>
          </w:p>
        </w:tc>
        <w:tc>
          <w:tcPr>
            <w:tcW w:w="200" w:type="dxa"/>
            <w:vAlign w:val="bottom"/>
          </w:tcPr>
          <w:p>
            <w:pPr>
              <w:jc w:val="right"/>
              <w:ind w:right="10"/>
              <w:spacing w:after="0" w:line="190"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line="190" w:lineRule="exact"/>
              <w:rPr>
                <w:sz w:val="20"/>
                <w:szCs w:val="20"/>
                <w:color w:val="auto"/>
              </w:rPr>
            </w:pPr>
            <w:r>
              <w:rPr>
                <w:rFonts w:ascii="Arial" w:cs="Arial" w:eastAsia="Arial" w:hAnsi="Arial"/>
                <w:sz w:val="18"/>
                <w:szCs w:val="18"/>
                <w:color w:val="auto"/>
              </w:rPr>
              <w:t>275</w:t>
            </w:r>
          </w:p>
        </w:tc>
        <w:tc>
          <w:tcPr>
            <w:tcW w:w="120" w:type="dxa"/>
            <w:vAlign w:val="bottom"/>
          </w:tcPr>
          <w:p>
            <w:pPr>
              <w:spacing w:after="0"/>
              <w:rPr>
                <w:sz w:val="16"/>
                <w:szCs w:val="16"/>
                <w:color w:val="auto"/>
              </w:rPr>
            </w:pPr>
          </w:p>
        </w:tc>
        <w:tc>
          <w:tcPr>
            <w:tcW w:w="174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98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Defense</w:t>
            </w:r>
          </w:p>
        </w:tc>
        <w:tc>
          <w:tcPr>
            <w:tcW w:w="98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98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118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98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157</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710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567</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0" w:lineRule="exact"/>
        <w:rPr>
          <w:sz w:val="20"/>
          <w:szCs w:val="20"/>
          <w:color w:val="auto"/>
        </w:rPr>
      </w:pPr>
    </w:p>
    <w:p>
      <w:pPr>
        <w:ind w:right="940" w:firstLine="494"/>
        <w:spacing w:after="0" w:line="318" w:lineRule="auto"/>
        <w:rPr>
          <w:sz w:val="20"/>
          <w:szCs w:val="20"/>
          <w:color w:val="auto"/>
        </w:rPr>
      </w:pPr>
      <w:r>
        <w:rPr>
          <w:rFonts w:ascii="Arial" w:cs="Arial" w:eastAsia="Arial" w:hAnsi="Arial"/>
          <w:sz w:val="18"/>
          <w:szCs w:val="18"/>
          <w:color w:val="auto"/>
        </w:rPr>
        <w:t>North America On-Highway end market net sales were up 24% for the third quarter 2022 compared to the third quarter 2021, principally driven by continued strength in customer demand for last mile delivery, regional haul and vocational trucks.</w:t>
      </w:r>
    </w:p>
    <w:p>
      <w:pPr>
        <w:spacing w:after="0" w:line="45" w:lineRule="exact"/>
        <w:rPr>
          <w:sz w:val="20"/>
          <w:szCs w:val="20"/>
          <w:color w:val="auto"/>
        </w:rPr>
      </w:pPr>
    </w:p>
    <w:p>
      <w:pPr>
        <w:jc w:val="both"/>
        <w:ind w:right="220" w:firstLine="494"/>
        <w:spacing w:after="0" w:line="367" w:lineRule="auto"/>
        <w:rPr>
          <w:sz w:val="20"/>
          <w:szCs w:val="20"/>
          <w:color w:val="auto"/>
        </w:rPr>
      </w:pPr>
      <w:r>
        <w:rPr>
          <w:rFonts w:ascii="Arial" w:cs="Arial" w:eastAsia="Arial" w:hAnsi="Arial"/>
          <w:sz w:val="17"/>
          <w:szCs w:val="17"/>
          <w:color w:val="auto"/>
        </w:rPr>
        <w:t>Global Off-Highway end market net sales were up $26 million for the third quarter 2022 compared to the third quarter 2021, principally driven by demand for hydraulic fracturing applications in the energy sector as well as higher demand in the mining and construction sectors.</w:t>
      </w:r>
    </w:p>
    <w:p>
      <w:pPr>
        <w:spacing w:after="0" w:line="9" w:lineRule="exact"/>
        <w:rPr>
          <w:sz w:val="20"/>
          <w:szCs w:val="20"/>
          <w:color w:val="auto"/>
        </w:rPr>
      </w:pPr>
    </w:p>
    <w:p>
      <w:pPr>
        <w:ind w:right="120" w:firstLine="494"/>
        <w:spacing w:after="0" w:line="333" w:lineRule="auto"/>
        <w:rPr>
          <w:sz w:val="20"/>
          <w:szCs w:val="20"/>
          <w:color w:val="auto"/>
        </w:rPr>
      </w:pPr>
      <w:r>
        <w:rPr>
          <w:rFonts w:ascii="Arial" w:cs="Arial" w:eastAsia="Arial" w:hAnsi="Arial"/>
          <w:sz w:val="18"/>
          <w:szCs w:val="18"/>
          <w:color w:val="auto"/>
        </w:rPr>
        <w:t>Defense end market net sales were down 10% for the third quarter 2022 compared to the third quarter 2021, principally driven by lower demand for Wheeled vehicle applications.</w:t>
      </w:r>
    </w:p>
    <w:p>
      <w:pPr>
        <w:spacing w:after="0" w:line="32" w:lineRule="exact"/>
        <w:rPr>
          <w:sz w:val="20"/>
          <w:szCs w:val="20"/>
          <w:color w:val="auto"/>
        </w:rPr>
      </w:pPr>
    </w:p>
    <w:p>
      <w:pPr>
        <w:ind w:right="260" w:firstLine="494"/>
        <w:spacing w:after="0" w:line="318" w:lineRule="auto"/>
        <w:rPr>
          <w:sz w:val="20"/>
          <w:szCs w:val="20"/>
          <w:color w:val="auto"/>
        </w:rPr>
      </w:pPr>
      <w:r>
        <w:rPr>
          <w:rFonts w:ascii="Arial" w:cs="Arial" w:eastAsia="Arial" w:hAnsi="Arial"/>
          <w:sz w:val="18"/>
          <w:szCs w:val="18"/>
          <w:color w:val="auto"/>
        </w:rPr>
        <w:t>Outside North America On-Highway end market net sales were up 27% for the third quarter 2022 compared to the third quarter 2021, principally driven by the continued execution of our growth initiatives in Europe, Asia and South America.</w:t>
      </w:r>
    </w:p>
    <w:p>
      <w:pPr>
        <w:spacing w:after="0" w:line="58" w:lineRule="exact"/>
        <w:rPr>
          <w:sz w:val="20"/>
          <w:szCs w:val="20"/>
          <w:color w:val="auto"/>
        </w:rPr>
      </w:pPr>
    </w:p>
    <w:p>
      <w:pPr>
        <w:jc w:val="both"/>
        <w:ind w:right="680" w:firstLine="494"/>
        <w:spacing w:after="0" w:line="318" w:lineRule="auto"/>
        <w:rPr>
          <w:sz w:val="20"/>
          <w:szCs w:val="20"/>
          <w:color w:val="auto"/>
        </w:rPr>
      </w:pPr>
      <w:r>
        <w:rPr>
          <w:rFonts w:ascii="Arial" w:cs="Arial" w:eastAsia="Arial" w:hAnsi="Arial"/>
          <w:sz w:val="18"/>
          <w:szCs w:val="18"/>
          <w:color w:val="auto"/>
        </w:rPr>
        <w:t>Service Parts, Support Equipment and Other end market net sales were up 25% for the third quarter 2022 compared to the third quarter 2021, principally driven by higher demand for global service parts and support equipment and aluminum die cast components.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42" w:lineRule="exact"/>
        <w:rPr>
          <w:sz w:val="20"/>
          <w:szCs w:val="20"/>
          <w:color w:val="auto"/>
        </w:rPr>
      </w:pPr>
    </w:p>
    <w:p>
      <w:pPr>
        <w:ind w:right="200" w:firstLine="494"/>
        <w:spacing w:after="0" w:line="315" w:lineRule="auto"/>
        <w:rPr>
          <w:sz w:val="20"/>
          <w:szCs w:val="20"/>
          <w:color w:val="auto"/>
        </w:rPr>
      </w:pPr>
      <w:r>
        <w:rPr>
          <w:rFonts w:ascii="Arial" w:cs="Arial" w:eastAsia="Arial" w:hAnsi="Arial"/>
          <w:sz w:val="17"/>
          <w:szCs w:val="17"/>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and other governments.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2" w:lineRule="exact"/>
        <w:rPr>
          <w:sz w:val="20"/>
          <w:szCs w:val="20"/>
          <w:color w:val="auto"/>
        </w:rPr>
      </w:pPr>
    </w:p>
    <w:p>
      <w:pPr>
        <w:ind w:right="260" w:firstLine="494"/>
        <w:spacing w:after="0" w:line="295" w:lineRule="auto"/>
        <w:rPr>
          <w:sz w:val="20"/>
          <w:szCs w:val="20"/>
          <w:color w:val="auto"/>
        </w:rPr>
      </w:pPr>
      <w:r>
        <w:rPr>
          <w:rFonts w:ascii="Arial" w:cs="Arial" w:eastAsia="Arial" w:hAnsi="Arial"/>
          <w:sz w:val="18"/>
          <w:szCs w:val="18"/>
          <w:color w:val="auto"/>
        </w:rPr>
        <w:t>Our primary components of cost of sales are purchased parts, overhead expense related to our manufacturing operations and direct labor associated with the manufacture and assembly of propulsion solutions and parts. For the nine months ended September 30, 2022, direct material costs were approximately 66%, overhead costs were approximately 27%, and direct labor costs were approximately 7% of total cost of sales. We are subject to changes in our cost of sales caused by movements in underlying commodity prices. We seek to hedge against this risk by using long-term agreements, as appropriate. See Part I, Item 3, “Quantitative and Qualitative Disclosures about Market Risk—Commodity Price Risk” included below.</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2" w:lineRule="exact"/>
        <w:rPr>
          <w:sz w:val="20"/>
          <w:szCs w:val="20"/>
          <w:color w:val="auto"/>
        </w:rPr>
      </w:pPr>
    </w:p>
    <w:p>
      <w:pPr>
        <w:ind w:right="440" w:firstLine="494"/>
        <w:spacing w:after="0" w:line="299"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42" w:lineRule="exact"/>
        <w:rPr>
          <w:sz w:val="20"/>
          <w:szCs w:val="20"/>
          <w:color w:val="auto"/>
        </w:rPr>
      </w:pPr>
    </w:p>
    <w:p>
      <w:pPr>
        <w:ind w:firstLine="494"/>
        <w:spacing w:after="0" w:line="318"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4"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6" w:lineRule="exact"/>
        <w:rPr>
          <w:sz w:val="20"/>
          <w:szCs w:val="20"/>
          <w:color w:val="auto"/>
        </w:rPr>
      </w:pPr>
    </w:p>
    <w:p>
      <w:pPr>
        <w:ind w:right="80" w:firstLine="494"/>
        <w:spacing w:after="0" w:line="289"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$627 million due March 2026 (“Term Loan”). Adjusted EBITDA as a percent of net sales is calculated as Adjusted EBITDA divided by net sales.</w:t>
      </w:r>
    </w:p>
    <w:p>
      <w:pPr>
        <w:spacing w:after="0" w:line="144" w:lineRule="exact"/>
        <w:rPr>
          <w:sz w:val="20"/>
          <w:szCs w:val="20"/>
          <w:color w:val="auto"/>
        </w:rPr>
      </w:pPr>
    </w:p>
    <w:p>
      <w:pPr>
        <w:ind w:right="160" w:firstLine="494"/>
        <w:spacing w:after="0" w:line="292"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85" w:lineRule="exact"/>
        <w:rPr>
          <w:sz w:val="20"/>
          <w:szCs w:val="20"/>
          <w:color w:val="auto"/>
        </w:rPr>
      </w:pPr>
    </w:p>
    <w:p>
      <w:pPr>
        <w:ind w:right="140" w:firstLine="494"/>
        <w:spacing w:after="0" w:line="279"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dollars in millions)</w:t>
            </w:r>
          </w:p>
        </w:tc>
        <w:tc>
          <w:tcPr>
            <w:tcW w:w="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139</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390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plus:</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88</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82</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on marketable securities (a)</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80"/>
              <w:spacing w:after="0"/>
              <w:rPr>
                <w:sz w:val="20"/>
                <w:szCs w:val="20"/>
                <w:color w:val="auto"/>
              </w:rPr>
            </w:pPr>
            <w:r>
              <w:rPr>
                <w:rFonts w:ascii="Arial" w:cs="Arial" w:eastAsia="Arial" w:hAnsi="Arial"/>
                <w:sz w:val="18"/>
                <w:szCs w:val="18"/>
                <w:color w:val="auto"/>
              </w:rPr>
              <w:t>Stock-based compensation expense (b)</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 gain (c)</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80"/>
              <w:spacing w:after="0"/>
              <w:rPr>
                <w:sz w:val="20"/>
                <w:szCs w:val="20"/>
                <w:color w:val="auto"/>
              </w:rPr>
            </w:pPr>
            <w:r>
              <w:rPr>
                <w:rFonts w:ascii="Arial" w:cs="Arial" w:eastAsia="Arial" w:hAnsi="Arial"/>
                <w:sz w:val="18"/>
                <w:szCs w:val="18"/>
                <w:color w:val="auto"/>
              </w:rPr>
              <w:t>Unrealized loss (gain) on foreign exchange (d)</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Acquisition-related earnouts (e)</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80"/>
              <w:spacing w:after="0"/>
              <w:rPr>
                <w:sz w:val="20"/>
                <w:szCs w:val="20"/>
                <w:color w:val="auto"/>
              </w:rPr>
            </w:pPr>
            <w:r>
              <w:rPr>
                <w:rFonts w:ascii="Arial" w:cs="Arial" w:eastAsia="Arial" w:hAnsi="Arial"/>
                <w:sz w:val="18"/>
                <w:szCs w:val="18"/>
                <w:color w:val="auto"/>
              </w:rPr>
              <w:t>UAW Local 933 retirement incentive (f)</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6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245</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514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Net sales (GAAP)</w:t>
            </w:r>
          </w:p>
        </w:tc>
        <w:tc>
          <w:tcPr>
            <w:tcW w:w="1420" w:type="dxa"/>
            <w:vAlign w:val="bottom"/>
            <w:gridSpan w:val="2"/>
          </w:tcPr>
          <w:p>
            <w:pPr>
              <w:jc w:val="right"/>
              <w:ind w:right="539"/>
              <w:spacing w:after="0" w:line="177"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1"/>
              <w:spacing w:after="0" w:line="177" w:lineRule="exact"/>
              <w:rPr>
                <w:sz w:val="20"/>
                <w:szCs w:val="20"/>
                <w:color w:val="auto"/>
              </w:rPr>
            </w:pPr>
            <w:r>
              <w:rPr>
                <w:rFonts w:ascii="Arial" w:cs="Arial" w:eastAsia="Arial" w:hAnsi="Arial"/>
                <w:sz w:val="18"/>
                <w:szCs w:val="18"/>
                <w:b w:val="1"/>
                <w:bCs w:val="1"/>
                <w:color w:val="auto"/>
              </w:rPr>
              <w:t>710</w:t>
            </w:r>
          </w:p>
        </w:tc>
        <w:tc>
          <w:tcPr>
            <w:tcW w:w="140" w:type="dxa"/>
            <w:vAlign w:val="bottom"/>
          </w:tcPr>
          <w:p>
            <w:pPr>
              <w:spacing w:after="0"/>
              <w:rPr>
                <w:sz w:val="15"/>
                <w:szCs w:val="15"/>
                <w:color w:val="auto"/>
              </w:rPr>
            </w:pPr>
          </w:p>
        </w:tc>
        <w:tc>
          <w:tcPr>
            <w:tcW w:w="760" w:type="dxa"/>
            <w:vAlign w:val="bottom"/>
          </w:tcPr>
          <w:p>
            <w:pPr>
              <w:jc w:val="right"/>
              <w:ind w:right="553"/>
              <w:spacing w:after="0" w:line="177"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line="177" w:lineRule="exact"/>
              <w:rPr>
                <w:sz w:val="20"/>
                <w:szCs w:val="20"/>
                <w:color w:val="auto"/>
              </w:rPr>
            </w:pPr>
            <w:r>
              <w:rPr>
                <w:rFonts w:ascii="Arial" w:cs="Arial" w:eastAsia="Arial" w:hAnsi="Arial"/>
                <w:sz w:val="18"/>
                <w:szCs w:val="18"/>
                <w:color w:val="auto"/>
              </w:rPr>
              <w:t>567</w:t>
            </w:r>
          </w:p>
        </w:tc>
        <w:tc>
          <w:tcPr>
            <w:tcW w:w="140" w:type="dxa"/>
            <w:vAlign w:val="bottom"/>
          </w:tcPr>
          <w:p>
            <w:pPr>
              <w:spacing w:after="0"/>
              <w:rPr>
                <w:sz w:val="15"/>
                <w:szCs w:val="15"/>
                <w:color w:val="auto"/>
              </w:rPr>
            </w:pPr>
          </w:p>
        </w:tc>
        <w:tc>
          <w:tcPr>
            <w:tcW w:w="26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line="177" w:lineRule="exact"/>
              <w:rPr>
                <w:sz w:val="20"/>
                <w:szCs w:val="20"/>
                <w:color w:val="auto"/>
              </w:rPr>
            </w:pPr>
            <w:r>
              <w:rPr>
                <w:rFonts w:ascii="Arial" w:cs="Arial" w:eastAsia="Arial" w:hAnsi="Arial"/>
                <w:sz w:val="18"/>
                <w:szCs w:val="18"/>
                <w:b w:val="1"/>
                <w:bCs w:val="1"/>
                <w:color w:val="auto"/>
              </w:rPr>
              <w:t>2,051</w:t>
            </w:r>
          </w:p>
        </w:tc>
        <w:tc>
          <w:tcPr>
            <w:tcW w:w="140" w:type="dxa"/>
            <w:vAlign w:val="bottom"/>
          </w:tcPr>
          <w:p>
            <w:pPr>
              <w:spacing w:after="0"/>
              <w:rPr>
                <w:sz w:val="15"/>
                <w:szCs w:val="15"/>
                <w:color w:val="auto"/>
              </w:rPr>
            </w:pPr>
          </w:p>
        </w:tc>
        <w:tc>
          <w:tcPr>
            <w:tcW w:w="400" w:type="dxa"/>
            <w:vAlign w:val="bottom"/>
          </w:tcPr>
          <w:p>
            <w:pPr>
              <w:jc w:val="right"/>
              <w:ind w:right="210"/>
              <w:spacing w:after="0" w:line="177"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line="177" w:lineRule="exact"/>
              <w:rPr>
                <w:sz w:val="20"/>
                <w:szCs w:val="20"/>
                <w:color w:val="auto"/>
              </w:rPr>
            </w:pPr>
            <w:r>
              <w:rPr>
                <w:rFonts w:ascii="Arial" w:cs="Arial" w:eastAsia="Arial" w:hAnsi="Arial"/>
                <w:sz w:val="18"/>
                <w:szCs w:val="18"/>
                <w:color w:val="auto"/>
              </w:rPr>
              <w:t>1,758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19.6 %</w:t>
            </w:r>
          </w:p>
        </w:tc>
        <w:tc>
          <w:tcPr>
            <w:tcW w:w="7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16.6 %</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19.0 %</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35"/>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34.5 %</w:t>
            </w:r>
          </w:p>
        </w:tc>
        <w:tc>
          <w:tcPr>
            <w:tcW w:w="7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33.3 %</w:t>
            </w:r>
          </w:p>
        </w:tc>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34.9 %</w:t>
            </w: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142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207</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433</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Additions of long-lived assets</w:t>
            </w:r>
          </w:p>
        </w:tc>
        <w:tc>
          <w:tcPr>
            <w:tcW w:w="6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(25 )</w:t>
            </w: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(75 )</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1420" w:type="dxa"/>
            <w:vAlign w:val="bottom"/>
            <w:gridSpan w:val="2"/>
          </w:tcPr>
          <w:p>
            <w:pPr>
              <w:jc w:val="right"/>
              <w:ind w:right="53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1"/>
              <w:spacing w:after="0"/>
              <w:rPr>
                <w:sz w:val="20"/>
                <w:szCs w:val="20"/>
                <w:color w:val="auto"/>
              </w:rPr>
            </w:pPr>
            <w:r>
              <w:rPr>
                <w:rFonts w:ascii="Arial" w:cs="Arial" w:eastAsia="Arial" w:hAnsi="Arial"/>
                <w:sz w:val="18"/>
                <w:szCs w:val="18"/>
                <w:b w:val="1"/>
                <w:bCs w:val="1"/>
                <w:color w:val="auto"/>
              </w:rPr>
              <w:t>182</w:t>
            </w:r>
          </w:p>
        </w:tc>
        <w:tc>
          <w:tcPr>
            <w:tcW w:w="140" w:type="dxa"/>
            <w:vAlign w:val="bottom"/>
          </w:tcPr>
          <w:p>
            <w:pPr>
              <w:spacing w:after="0"/>
              <w:rPr>
                <w:sz w:val="18"/>
                <w:szCs w:val="18"/>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358</w:t>
            </w: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27</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1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-1523365</wp:posOffset>
            </wp:positionV>
            <wp:extent cx="7132320" cy="2997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-675640</wp:posOffset>
            </wp:positionV>
            <wp:extent cx="939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-675640</wp:posOffset>
            </wp:positionV>
            <wp:extent cx="8572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-675640</wp:posOffset>
            </wp:positionV>
            <wp:extent cx="8572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3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ind w:left="640" w:right="520" w:hanging="377"/>
        <w:spacing w:after="0" w:line="28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related to an investment in the common stock of Jing-Jin Electric Technologies Co. Ltd ("JJE").</w:t>
      </w:r>
    </w:p>
    <w:p>
      <w:pPr>
        <w:ind w:left="640" w:right="200" w:hanging="377"/>
        <w:spacing w:after="0" w:line="28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research and development).</w:t>
      </w:r>
    </w:p>
    <w:p>
      <w:pPr>
        <w:ind w:left="640" w:right="240" w:hanging="377"/>
        <w:spacing w:after="0" w:line="28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gain (recorded in Other (expense) income, net) related to investments in co-development agreements to expand our position in propulsion solution technologies.</w:t>
      </w:r>
    </w:p>
    <w:p>
      <w:pPr>
        <w:ind w:left="640" w:right="120" w:hanging="377"/>
        <w:spacing w:after="0" w:line="28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on intercompany financing transactions related to investments in plant assets for our India facility.</w:t>
      </w:r>
    </w:p>
    <w:p>
      <w:pPr>
        <w:ind w:left="640" w:right="260" w:hanging="377"/>
        <w:spacing w:after="0" w:line="28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ind w:left="640" w:hanging="377"/>
        <w:spacing w:after="0" w:line="29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adjustments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September 30, 2022 and 2021</w:t>
      </w:r>
    </w:p>
    <w:p>
      <w:pPr>
        <w:spacing w:after="0" w:line="142" w:lineRule="exact"/>
        <w:rPr>
          <w:sz w:val="20"/>
          <w:szCs w:val="20"/>
          <w:color w:val="auto"/>
        </w:rPr>
      </w:pPr>
    </w:p>
    <w:p>
      <w:pPr>
        <w:ind w:right="60" w:firstLine="494"/>
        <w:spacing w:after="0" w:line="307"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2022 and 2021.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5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43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453"/>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8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of net sales</w:t>
            </w: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of net sales</w:t>
            </w:r>
          </w:p>
        </w:tc>
      </w:tr>
      <w:tr>
        <w:trPr>
          <w:trHeight w:val="190"/>
        </w:trPr>
        <w:tc>
          <w:tcPr>
            <w:tcW w:w="5820" w:type="dxa"/>
            <w:vAlign w:val="bottom"/>
          </w:tcPr>
          <w:p>
            <w:pPr>
              <w:ind w:left="20"/>
              <w:spacing w:after="0" w:line="190" w:lineRule="exact"/>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tcPr>
          <w:p>
            <w:pPr>
              <w:jc w:val="right"/>
              <w:ind w:right="50"/>
              <w:spacing w:after="0" w:line="190" w:lineRule="exact"/>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710</w:t>
            </w:r>
          </w:p>
        </w:tc>
        <w:tc>
          <w:tcPr>
            <w:tcW w:w="240" w:type="dxa"/>
            <w:vAlign w:val="bottom"/>
          </w:tcPr>
          <w:p>
            <w:pPr>
              <w:spacing w:after="0"/>
              <w:rPr>
                <w:sz w:val="16"/>
                <w:szCs w:val="16"/>
                <w:color w:val="auto"/>
              </w:rPr>
            </w:pPr>
          </w:p>
        </w:tc>
        <w:tc>
          <w:tcPr>
            <w:tcW w:w="11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567</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87"/>
              </w:rPr>
              <w:t>%</w:t>
            </w:r>
          </w:p>
        </w:tc>
      </w:tr>
      <w:tr>
        <w:trPr>
          <w:trHeight w:val="235"/>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328</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w:t>
            </w:r>
          </w:p>
        </w:tc>
        <w:tc>
          <w:tcPr>
            <w:tcW w:w="2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(29 )</w:t>
            </w:r>
          </w:p>
        </w:tc>
        <w:tc>
          <w:tcPr>
            <w:tcW w:w="1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(15 )</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w:t>
            </w:r>
          </w:p>
        </w:tc>
        <w:tc>
          <w:tcPr>
            <w:tcW w:w="24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(20 )</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(2 )</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2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-872490</wp:posOffset>
            </wp:positionV>
            <wp:extent cx="76835"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-872490</wp:posOffset>
            </wp:positionV>
            <wp:extent cx="6858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-872490</wp:posOffset>
            </wp:positionV>
            <wp:extent cx="6858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55" w:lineRule="exact"/>
        <w:rPr>
          <w:sz w:val="20"/>
          <w:szCs w:val="20"/>
          <w:color w:val="auto"/>
        </w:rPr>
      </w:pPr>
    </w:p>
    <w:p>
      <w:pPr>
        <w:ind w:right="100" w:firstLine="494"/>
        <w:spacing w:after="0" w:line="291" w:lineRule="auto"/>
        <w:rPr>
          <w:sz w:val="20"/>
          <w:szCs w:val="20"/>
          <w:color w:val="auto"/>
        </w:rPr>
      </w:pPr>
      <w:r>
        <w:rPr>
          <w:rFonts w:ascii="Arial" w:cs="Arial" w:eastAsia="Arial" w:hAnsi="Arial"/>
          <w:sz w:val="18"/>
          <w:szCs w:val="18"/>
          <w:color w:val="auto"/>
        </w:rPr>
        <w:t>Net sales for the quarter ended September 30, 2022 were $710 million compared to $567 million for the quarter ended September 30, 2021, an increase of 25%. The increase was principally driven by a $65 million, or 24%, increase in net sales in the North America On-Highway end market principally driven by continued strength in customer demand for last mile delivery, regional haul and vocational trucks, a $31 million, or 25%, increase in net sales in the Service Parts, Support Equipment and Other end market principally driven by higher demand for global service parts and support equipment and aluminum die cast components, a $26 million, or 76%, increase in net sales in the Global Off-Highway end market principally driven by demand for hydraulic fracturing applications in the energy sector as well as higher demand in the mining and construction sectors and a $25 million, or 27%, increase in net sales in the Outside North America On-Highway end market principally driven by the continued execution of our growth initiatives in Europe, Asia and South America, partially offset by a $4 million, or 10%, decrease in net sales in the Defense end market principally driven by lower demand for Wheeled vehicle applications.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55" w:lineRule="exact"/>
        <w:rPr>
          <w:sz w:val="20"/>
          <w:szCs w:val="20"/>
          <w:color w:val="auto"/>
        </w:rPr>
      </w:pPr>
    </w:p>
    <w:p>
      <w:pPr>
        <w:jc w:val="both"/>
        <w:ind w:right="260" w:firstLine="494"/>
        <w:spacing w:after="0" w:line="307" w:lineRule="auto"/>
        <w:rPr>
          <w:sz w:val="20"/>
          <w:szCs w:val="20"/>
          <w:color w:val="auto"/>
        </w:rPr>
      </w:pPr>
      <w:r>
        <w:rPr>
          <w:rFonts w:ascii="Arial" w:cs="Arial" w:eastAsia="Arial" w:hAnsi="Arial"/>
          <w:sz w:val="18"/>
          <w:szCs w:val="18"/>
          <w:color w:val="auto"/>
        </w:rPr>
        <w:t>Cost of sales for the quarter ended September 30, 2022 was $382 million compared to $306 million for the quarter ended September 30, 2021, an increase of 25%. The increase was principally driven by increased direct material and manufacturing expense commensurate with increased net sales and higher direct material costs.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42" w:lineRule="exact"/>
        <w:rPr>
          <w:sz w:val="20"/>
          <w:szCs w:val="20"/>
          <w:color w:val="auto"/>
        </w:rPr>
      </w:pPr>
    </w:p>
    <w:p>
      <w:pPr>
        <w:ind w:right="60" w:firstLine="494"/>
        <w:spacing w:after="0" w:line="295" w:lineRule="auto"/>
        <w:rPr>
          <w:sz w:val="20"/>
          <w:szCs w:val="20"/>
          <w:color w:val="auto"/>
        </w:rPr>
      </w:pPr>
      <w:r>
        <w:rPr>
          <w:rFonts w:ascii="Arial" w:cs="Arial" w:eastAsia="Arial" w:hAnsi="Arial"/>
          <w:sz w:val="18"/>
          <w:szCs w:val="18"/>
          <w:color w:val="auto"/>
        </w:rPr>
        <w:t>Gross profit for the quarter ended September 30, 2022 was $328 million compared to $261 million for the quarter ended September 30, 2021, an increase of 26%. The increase was principally driven by $71 million related to increased net sales and $29 million of price increases on certain products, partially offset by $20 million of higher direct material costs and $13 million of higher manufacturing expense commensurate with increased net sales. Gross profit as a percent of net sales for the three months ended September 30, 2022 increased 20 basis points compared to the same period in 2021 principally driven by price increases on certain products, partially offset by increased cost of goods sold.</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2" w:lineRule="exact"/>
        <w:rPr>
          <w:sz w:val="20"/>
          <w:szCs w:val="20"/>
          <w:color w:val="auto"/>
        </w:rPr>
      </w:pPr>
    </w:p>
    <w:p>
      <w:pPr>
        <w:ind w:right="160" w:firstLine="494"/>
        <w:spacing w:after="0" w:line="351" w:lineRule="auto"/>
        <w:rPr>
          <w:sz w:val="20"/>
          <w:szCs w:val="20"/>
          <w:color w:val="auto"/>
        </w:rPr>
      </w:pPr>
      <w:r>
        <w:rPr>
          <w:rFonts w:ascii="Arial" w:cs="Arial" w:eastAsia="Arial" w:hAnsi="Arial"/>
          <w:sz w:val="17"/>
          <w:szCs w:val="17"/>
          <w:color w:val="auto"/>
        </w:rPr>
        <w:t>Selling, general and administrative expenses for the quarter ended September 30, 2022 were $78 million compared to $73 million for the quarter ended September 30, 2021, an increase of 7%. The increase was principally driven by higher commercial activities spending.</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42" w:lineRule="exact"/>
        <w:rPr>
          <w:sz w:val="20"/>
          <w:szCs w:val="20"/>
          <w:color w:val="auto"/>
        </w:rPr>
      </w:pPr>
    </w:p>
    <w:p>
      <w:pPr>
        <w:ind w:right="480" w:firstLine="494"/>
        <w:spacing w:after="0" w:line="318" w:lineRule="auto"/>
        <w:rPr>
          <w:sz w:val="20"/>
          <w:szCs w:val="20"/>
          <w:color w:val="auto"/>
        </w:rPr>
      </w:pPr>
      <w:r>
        <w:rPr>
          <w:rFonts w:ascii="Arial" w:cs="Arial" w:eastAsia="Arial" w:hAnsi="Arial"/>
          <w:sz w:val="18"/>
          <w:szCs w:val="18"/>
          <w:color w:val="auto"/>
        </w:rPr>
        <w:t>Engineering expenses for the quarter ended September 30, 2022 were $47 million compared to $42 million for the quarter ended September 30, 2021, an increase of 12%. The increase was principally driven by increased product initiatives spending.</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8" w:lineRule="exact"/>
        <w:rPr>
          <w:sz w:val="20"/>
          <w:szCs w:val="20"/>
          <w:color w:val="auto"/>
        </w:rPr>
      </w:pPr>
    </w:p>
    <w:p>
      <w:pPr>
        <w:ind w:right="20" w:firstLine="494"/>
        <w:spacing w:after="0" w:line="307" w:lineRule="auto"/>
        <w:rPr>
          <w:sz w:val="20"/>
          <w:szCs w:val="20"/>
          <w:color w:val="auto"/>
        </w:rPr>
      </w:pPr>
      <w:r>
        <w:rPr>
          <w:rFonts w:ascii="Arial" w:cs="Arial" w:eastAsia="Arial" w:hAnsi="Arial"/>
          <w:sz w:val="18"/>
          <w:szCs w:val="18"/>
          <w:color w:val="auto"/>
        </w:rPr>
        <w:t>Interest expense, net for the quarter ended September 30, 2022 was $29 million compared to $28 million for the quarter ended September 30, 2021, an increase of 4%. The increase was principally driven by $4 million of higher interest expense on ATI's Term Loan due to higher variable interest rates, partially offset by $3 million of lower interest expense on interest rate hedges.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28" w:lineRule="exact"/>
        <w:rPr>
          <w:sz w:val="20"/>
          <w:szCs w:val="20"/>
          <w:color w:val="auto"/>
        </w:rPr>
      </w:pPr>
    </w:p>
    <w:p>
      <w:pPr>
        <w:ind w:right="20" w:firstLine="494"/>
        <w:spacing w:after="0" w:line="307" w:lineRule="auto"/>
        <w:rPr>
          <w:sz w:val="20"/>
          <w:szCs w:val="20"/>
          <w:color w:val="auto"/>
        </w:rPr>
      </w:pPr>
      <w:r>
        <w:rPr>
          <w:rFonts w:ascii="Arial" w:cs="Arial" w:eastAsia="Arial" w:hAnsi="Arial"/>
          <w:sz w:val="18"/>
          <w:szCs w:val="18"/>
          <w:color w:val="auto"/>
        </w:rPr>
        <w:t>Other (expense) income, net for the quarter ended September 30, 2022 was ($15) million compared to $6 million for the quarter ended September 30, 2021. The change was principally driven by a $9 million unrealized loss on marketable securities, $5 million of unfavorable foreign exchange and a $4 million gain related to technology-related investments in the third quarter of 2021 that did not reoccur in 2022.</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8" w:lineRule="exact"/>
        <w:rPr>
          <w:sz w:val="20"/>
          <w:szCs w:val="20"/>
          <w:color w:val="auto"/>
        </w:rPr>
      </w:pPr>
    </w:p>
    <w:p>
      <w:pPr>
        <w:ind w:firstLine="494"/>
        <w:spacing w:after="0" w:line="298" w:lineRule="auto"/>
        <w:rPr>
          <w:sz w:val="20"/>
          <w:szCs w:val="20"/>
          <w:color w:val="auto"/>
        </w:rPr>
      </w:pPr>
      <w:r>
        <w:rPr>
          <w:rFonts w:ascii="Arial" w:cs="Arial" w:eastAsia="Arial" w:hAnsi="Arial"/>
          <w:sz w:val="18"/>
          <w:szCs w:val="18"/>
          <w:color w:val="auto"/>
        </w:rPr>
        <w:t>Income tax expense for the three months ended September 30, 2022 was $20 million, resulting in an effective tax rate of 13%, compared to $30 million of income tax expense and an effective tax rate of 24% for the three months ended September 30, 2021. The decrease in income tax expense was principally driven by enacted state tax rate legislation resulting in a deferred tax benefit, partially offset by increased taxable income. The decrease in the effective tax rate was principally driven by enacted state tax rate legislation that resulted in a deferred tax benefit.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nine months ended September 30, 2022 and 2021</w:t>
      </w:r>
    </w:p>
    <w:p>
      <w:pPr>
        <w:spacing w:after="0" w:line="142" w:lineRule="exact"/>
        <w:rPr>
          <w:sz w:val="20"/>
          <w:szCs w:val="20"/>
          <w:color w:val="auto"/>
        </w:rPr>
      </w:pPr>
    </w:p>
    <w:p>
      <w:pPr>
        <w:ind w:right="60" w:firstLine="494"/>
        <w:spacing w:after="0" w:line="307"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2022 and 2021.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5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gridSpan w:val="2"/>
          </w:tcPr>
          <w:p>
            <w:pPr>
              <w:jc w:val="right"/>
              <w:ind w:right="535"/>
              <w:spacing w:after="0" w:line="13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gridSpan w:val="2"/>
          </w:tcPr>
          <w:p>
            <w:pPr>
              <w:jc w:val="right"/>
              <w:ind w:right="553"/>
              <w:spacing w:after="0" w:line="133"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of net sales</w:t>
            </w:r>
          </w:p>
        </w:tc>
        <w:tc>
          <w:tcPr>
            <w:tcW w:w="60" w:type="dxa"/>
            <w:vAlign w:val="bottom"/>
          </w:tcPr>
          <w:p>
            <w:pPr>
              <w:spacing w:after="0"/>
              <w:rPr>
                <w:sz w:val="16"/>
                <w:szCs w:val="16"/>
                <w:color w:val="auto"/>
              </w:rPr>
            </w:pPr>
          </w:p>
        </w:tc>
      </w:tr>
      <w:tr>
        <w:trPr>
          <w:trHeight w:val="190"/>
        </w:trPr>
        <w:tc>
          <w:tcPr>
            <w:tcW w:w="5820" w:type="dxa"/>
            <w:vAlign w:val="bottom"/>
          </w:tcPr>
          <w:p>
            <w:pPr>
              <w:ind w:left="20"/>
              <w:spacing w:after="0" w:line="190" w:lineRule="exact"/>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2"/>
              <w:spacing w:after="0" w:line="190" w:lineRule="exact"/>
              <w:rPr>
                <w:sz w:val="20"/>
                <w:szCs w:val="20"/>
                <w:color w:val="auto"/>
              </w:rPr>
            </w:pPr>
            <w:r>
              <w:rPr>
                <w:rFonts w:ascii="Arial" w:cs="Arial" w:eastAsia="Arial" w:hAnsi="Arial"/>
                <w:sz w:val="18"/>
                <w:szCs w:val="18"/>
                <w:b w:val="1"/>
                <w:bCs w:val="1"/>
                <w:color w:val="auto"/>
              </w:rPr>
              <w:t>2,051</w:t>
            </w:r>
          </w:p>
        </w:tc>
        <w:tc>
          <w:tcPr>
            <w:tcW w:w="120" w:type="dxa"/>
            <w:vAlign w:val="bottom"/>
          </w:tcPr>
          <w:p>
            <w:pPr>
              <w:spacing w:after="0"/>
              <w:rPr>
                <w:sz w:val="16"/>
                <w:szCs w:val="16"/>
                <w:color w:val="auto"/>
              </w:rPr>
            </w:pPr>
          </w:p>
        </w:tc>
        <w:tc>
          <w:tcPr>
            <w:tcW w:w="1680" w:type="dxa"/>
            <w:vAlign w:val="bottom"/>
            <w:gridSpan w:val="3"/>
          </w:tcPr>
          <w:p>
            <w:pPr>
              <w:jc w:val="right"/>
              <w:ind w:right="140"/>
              <w:spacing w:after="0" w:line="190" w:lineRule="exact"/>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960" w:type="dxa"/>
            <w:vAlign w:val="bottom"/>
          </w:tcPr>
          <w:p>
            <w:pPr>
              <w:jc w:val="right"/>
              <w:ind w:right="32"/>
              <w:spacing w:after="0" w:line="190" w:lineRule="exact"/>
              <w:rPr>
                <w:sz w:val="20"/>
                <w:szCs w:val="20"/>
                <w:color w:val="auto"/>
              </w:rPr>
            </w:pPr>
            <w:r>
              <w:rPr>
                <w:rFonts w:ascii="Arial" w:cs="Arial" w:eastAsia="Arial" w:hAnsi="Arial"/>
                <w:sz w:val="18"/>
                <w:szCs w:val="18"/>
                <w:color w:val="auto"/>
              </w:rPr>
              <w:t>1,758</w:t>
            </w:r>
          </w:p>
        </w:tc>
        <w:tc>
          <w:tcPr>
            <w:tcW w:w="100" w:type="dxa"/>
            <w:vAlign w:val="bottom"/>
          </w:tcPr>
          <w:p>
            <w:pPr>
              <w:spacing w:after="0"/>
              <w:rPr>
                <w:sz w:val="16"/>
                <w:szCs w:val="16"/>
                <w:color w:val="auto"/>
              </w:rPr>
            </w:pPr>
          </w:p>
        </w:tc>
        <w:tc>
          <w:tcPr>
            <w:tcW w:w="13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100 %</w:t>
            </w:r>
          </w:p>
        </w:tc>
      </w:tr>
      <w:tr>
        <w:trPr>
          <w:trHeight w:val="235"/>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1,092</w:t>
            </w:r>
          </w:p>
        </w:tc>
        <w:tc>
          <w:tcPr>
            <w:tcW w:w="140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918</w:t>
            </w:r>
          </w:p>
        </w:tc>
        <w:tc>
          <w:tcPr>
            <w:tcW w:w="1400" w:type="dxa"/>
            <w:vAlign w:val="bottom"/>
            <w:gridSpan w:val="2"/>
          </w:tcPr>
          <w:p>
            <w:pPr>
              <w:jc w:val="right"/>
              <w:ind w:right="33"/>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959</w:t>
            </w:r>
          </w:p>
        </w:tc>
        <w:tc>
          <w:tcPr>
            <w:tcW w:w="1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231</w:t>
            </w:r>
          </w:p>
        </w:tc>
        <w:tc>
          <w:tcPr>
            <w:tcW w:w="140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226</w:t>
            </w:r>
          </w:p>
        </w:tc>
        <w:tc>
          <w:tcPr>
            <w:tcW w:w="140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136</w:t>
            </w:r>
          </w:p>
        </w:tc>
        <w:tc>
          <w:tcPr>
            <w:tcW w:w="140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400" w:type="dxa"/>
            <w:vAlign w:val="bottom"/>
            <w:gridSpan w:val="2"/>
          </w:tcPr>
          <w:p>
            <w:pPr>
              <w:jc w:val="right"/>
              <w:ind w:right="33"/>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367</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592</w:t>
            </w:r>
          </w:p>
        </w:tc>
        <w:tc>
          <w:tcPr>
            <w:tcW w:w="140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400" w:type="dxa"/>
            <w:vAlign w:val="bottom"/>
            <w:gridSpan w:val="2"/>
          </w:tcPr>
          <w:p>
            <w:pPr>
              <w:jc w:val="right"/>
              <w:ind w:right="33"/>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(88 )</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(87 )</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(28 )</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33"/>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476</w:t>
            </w:r>
          </w:p>
        </w:tc>
        <w:tc>
          <w:tcPr>
            <w:tcW w:w="1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(86 )</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18"/>
                <w:szCs w:val="18"/>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19 % </w:t>
            </w: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-872490</wp:posOffset>
            </wp:positionV>
            <wp:extent cx="76835"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-872490</wp:posOffset>
            </wp:positionV>
            <wp:extent cx="85725"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-872490</wp:posOffset>
            </wp:positionV>
            <wp:extent cx="6858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42" w:lineRule="exact"/>
        <w:rPr>
          <w:sz w:val="20"/>
          <w:szCs w:val="20"/>
          <w:color w:val="auto"/>
        </w:rPr>
      </w:pPr>
    </w:p>
    <w:p>
      <w:pPr>
        <w:ind w:right="160" w:firstLine="494"/>
        <w:spacing w:after="0" w:line="293" w:lineRule="auto"/>
        <w:rPr>
          <w:sz w:val="20"/>
          <w:szCs w:val="20"/>
          <w:color w:val="auto"/>
        </w:rPr>
      </w:pPr>
      <w:r>
        <w:rPr>
          <w:rFonts w:ascii="Arial" w:cs="Arial" w:eastAsia="Arial" w:hAnsi="Arial"/>
          <w:sz w:val="18"/>
          <w:szCs w:val="18"/>
          <w:color w:val="auto"/>
        </w:rPr>
        <w:t>Net sales for the nine months ended September 30, 2022 were $2,051 million compared to $1,758 million for the nine months ended September 30, 2021, an increase of 17%. The increase was principally driven by a $130 million, or 15%, increase in net sales in the North America On-Highway end market principally driven by continued strength in customer demand for last mile delivery, regional haul and vocational trucks, an $81 million, or 103%, increase in net sales in the Global Off-Highway end market principally driven by demand for hydraulic fracturing applications in the energy sector as well as higher demand in the mining and construction sectors, a $58 million, or 15%, increase in net sales in the Service Parts, Support Equipment and Other end market principally driven by global service parts and support equipment and a $57 million, or 21%, increase in net sales in the Outside North America On-Highway end market principally driven by the continued execution of our growth initiatives in Europe, Asia and South America, partially offset by a $33 million, or 25%, decrease in net sales in the Defense end market principally driven by lower demand for Tracked and Wheeled vehicle applications.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2" w:lineRule="exact"/>
        <w:rPr>
          <w:sz w:val="20"/>
          <w:szCs w:val="20"/>
          <w:color w:val="auto"/>
        </w:rPr>
      </w:pPr>
    </w:p>
    <w:p>
      <w:pPr>
        <w:jc w:val="both"/>
        <w:ind w:right="60" w:firstLine="494"/>
        <w:spacing w:after="0" w:line="307" w:lineRule="auto"/>
        <w:rPr>
          <w:sz w:val="20"/>
          <w:szCs w:val="20"/>
          <w:color w:val="auto"/>
        </w:rPr>
      </w:pPr>
      <w:r>
        <w:rPr>
          <w:rFonts w:ascii="Arial" w:cs="Arial" w:eastAsia="Arial" w:hAnsi="Arial"/>
          <w:sz w:val="18"/>
          <w:szCs w:val="18"/>
          <w:color w:val="auto"/>
        </w:rPr>
        <w:t>Cost of sales for the nine months ended September 30, 2022 was $1,092 million compared to $918 million for the nine months ended September 30, 2021, an increase of 19%. The increase was principally driven by increased direct material and manufacturing expense commensurate with increased net sales and higher direct material costs.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42" w:lineRule="exact"/>
        <w:rPr>
          <w:sz w:val="20"/>
          <w:szCs w:val="20"/>
          <w:color w:val="auto"/>
        </w:rPr>
      </w:pPr>
    </w:p>
    <w:p>
      <w:pPr>
        <w:ind w:right="220" w:firstLine="494"/>
        <w:spacing w:after="0" w:line="295" w:lineRule="auto"/>
        <w:rPr>
          <w:sz w:val="20"/>
          <w:szCs w:val="20"/>
          <w:color w:val="auto"/>
        </w:rPr>
      </w:pPr>
      <w:r>
        <w:rPr>
          <w:rFonts w:ascii="Arial" w:cs="Arial" w:eastAsia="Arial" w:hAnsi="Arial"/>
          <w:sz w:val="18"/>
          <w:szCs w:val="18"/>
          <w:color w:val="auto"/>
        </w:rPr>
        <w:t>Gross profit for the nine months ended September 30, 2022 was $959 million compared to $840 million for the nine months ended September 30, 2021, an increase of 14%. The increase was principally driven by $139 million related to increased net sales and $82 million of price increases on certain products, partially offset by $77 million of higher direct material costs and $24 million of higher manufacturing expense commensurate with increased net sales. Gross profit as a percent of net sales for the nine months ended September 30, 2022 decreased 100 basis points compared to the same period in 2021 principally driven by increased cost of goods sold, partially offset by price increases on certain products.</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4"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2" w:lineRule="exact"/>
        <w:rPr>
          <w:sz w:val="20"/>
          <w:szCs w:val="20"/>
          <w:color w:val="auto"/>
        </w:rPr>
      </w:pPr>
    </w:p>
    <w:p>
      <w:pPr>
        <w:ind w:right="440" w:firstLine="494"/>
        <w:spacing w:after="0" w:line="307" w:lineRule="auto"/>
        <w:rPr>
          <w:sz w:val="20"/>
          <w:szCs w:val="20"/>
          <w:color w:val="auto"/>
        </w:rPr>
      </w:pPr>
      <w:r>
        <w:rPr>
          <w:rFonts w:ascii="Arial" w:cs="Arial" w:eastAsia="Arial" w:hAnsi="Arial"/>
          <w:sz w:val="18"/>
          <w:szCs w:val="18"/>
          <w:color w:val="auto"/>
        </w:rPr>
        <w:t>Selling, general and administrative expenses for the nine months ended September 30, 2022 was $231 million compared to $226 million for the nine months ended September 30, 2021, an increase of 2%. The increase was principally driven by higher commercial activities spending, partially offset by lower incentive compensation expense.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42" w:lineRule="exact"/>
        <w:rPr>
          <w:sz w:val="20"/>
          <w:szCs w:val="20"/>
          <w:color w:val="auto"/>
        </w:rPr>
      </w:pPr>
    </w:p>
    <w:p>
      <w:pPr>
        <w:ind w:firstLine="494"/>
        <w:spacing w:after="0" w:line="333" w:lineRule="auto"/>
        <w:rPr>
          <w:sz w:val="20"/>
          <w:szCs w:val="20"/>
          <w:color w:val="auto"/>
        </w:rPr>
      </w:pPr>
      <w:r>
        <w:rPr>
          <w:rFonts w:ascii="Arial" w:cs="Arial" w:eastAsia="Arial" w:hAnsi="Arial"/>
          <w:sz w:val="18"/>
          <w:szCs w:val="18"/>
          <w:color w:val="auto"/>
        </w:rPr>
        <w:t>Engineering expenses for the nine months ended September 30, 2022 were $136 million compared to $121 million for the nine months ended September 30, 2021, an increase of 12%. The increase was principally driven by increased product initiatives spending.</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ind w:right="280" w:firstLine="494"/>
        <w:spacing w:after="0" w:line="307" w:lineRule="auto"/>
        <w:rPr>
          <w:sz w:val="20"/>
          <w:szCs w:val="20"/>
          <w:color w:val="auto"/>
        </w:rPr>
      </w:pPr>
      <w:r>
        <w:rPr>
          <w:rFonts w:ascii="Arial" w:cs="Arial" w:eastAsia="Arial" w:hAnsi="Arial"/>
          <w:sz w:val="18"/>
          <w:szCs w:val="18"/>
          <w:color w:val="auto"/>
        </w:rPr>
        <w:t>Interest expense, net for the nine months ended September 30, 2022 was $88 million compared to $87 million for the nine months ended September 30, 2021, an increase of 1%. The increase was principally driven by $5 million of higher interest expense on ATI's Term Loan due to higher variable interest rates, partially offset by $4 million of lower interest expense on interest rate hedges.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42" w:lineRule="exact"/>
        <w:rPr>
          <w:sz w:val="20"/>
          <w:szCs w:val="20"/>
          <w:color w:val="auto"/>
        </w:rPr>
      </w:pPr>
    </w:p>
    <w:p>
      <w:pPr>
        <w:ind w:right="60" w:firstLine="494"/>
        <w:spacing w:after="0" w:line="298" w:lineRule="auto"/>
        <w:rPr>
          <w:sz w:val="20"/>
          <w:szCs w:val="20"/>
          <w:color w:val="auto"/>
        </w:rPr>
      </w:pPr>
      <w:r>
        <w:rPr>
          <w:rFonts w:ascii="Arial" w:cs="Arial" w:eastAsia="Arial" w:hAnsi="Arial"/>
          <w:sz w:val="18"/>
          <w:szCs w:val="18"/>
          <w:color w:val="auto"/>
        </w:rPr>
        <w:t>Other (expense) income, net for the nine months ended September 30, 2022 was ($28) million compared to $12 million for the nine months ended September 30, 2021. The change was principally driven by a $20 million unrealized loss on marketable securities, $10 million of unfavorable foreign exchange, $5 million of unfavorable change associated with assets held in a rabbi trust and $5 million of unfavorable foreign exchange on intercompany financing.</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2" w:lineRule="exact"/>
        <w:rPr>
          <w:sz w:val="20"/>
          <w:szCs w:val="20"/>
          <w:color w:val="auto"/>
        </w:rPr>
      </w:pPr>
    </w:p>
    <w:p>
      <w:pPr>
        <w:ind w:firstLine="494"/>
        <w:spacing w:after="0" w:line="298" w:lineRule="auto"/>
        <w:rPr>
          <w:sz w:val="20"/>
          <w:szCs w:val="20"/>
          <w:color w:val="auto"/>
        </w:rPr>
      </w:pPr>
      <w:r>
        <w:rPr>
          <w:rFonts w:ascii="Arial" w:cs="Arial" w:eastAsia="Arial" w:hAnsi="Arial"/>
          <w:sz w:val="18"/>
          <w:szCs w:val="18"/>
          <w:color w:val="auto"/>
        </w:rPr>
        <w:t>Income tax expense for the nine months ended September 30, 2022 was $86 million, resulting in an effective tax rate of 18%, compared to $94 million of income tax expense and an effective tax rate of 22% for the nine months ended September 30, 2021. The decrease in income tax expense and effective tax rate was principally driven by enacted state tax rate legislation that resulted in a deferred tax benefit, partially offset by increased taxable income. The decrease in the effective tax rate was principally driven by enacted state tax rate legislation that resulted in a deferred tax benefit.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2"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$180 million and $127 million as of September 30, 2022 and December 31, 2021, respectively. Of the available cash and cash equivalents, $110 million was deposited in operating accounts and $70 million was invested in U.S. government backed securities as of September 30, 2022, compared to December 31, 2021, when all of the $127 million was deposited in operating accounts.</w:t>
      </w:r>
    </w:p>
    <w:p>
      <w:pPr>
        <w:spacing w:after="0" w:line="68" w:lineRule="exact"/>
        <w:rPr>
          <w:sz w:val="20"/>
          <w:szCs w:val="20"/>
          <w:color w:val="auto"/>
        </w:rPr>
      </w:pPr>
    </w:p>
    <w:p>
      <w:pPr>
        <w:ind w:right="140" w:firstLine="494"/>
        <w:spacing w:after="0" w:line="298" w:lineRule="auto"/>
        <w:rPr>
          <w:sz w:val="20"/>
          <w:szCs w:val="20"/>
          <w:color w:val="auto"/>
        </w:rPr>
      </w:pPr>
      <w:r>
        <w:rPr>
          <w:rFonts w:ascii="Arial" w:cs="Arial" w:eastAsia="Arial" w:hAnsi="Arial"/>
          <w:sz w:val="18"/>
          <w:szCs w:val="18"/>
          <w:color w:val="auto"/>
        </w:rPr>
        <w:t>As of September 30, 2022, the total of cash held by foreign subsidiaries was $70 million, the majority of which was at our subsidiaries located in China, India, the Netherlands and Japan.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17" w:lineRule="exact"/>
        <w:rPr>
          <w:sz w:val="20"/>
          <w:szCs w:val="20"/>
          <w:color w:val="auto"/>
        </w:rPr>
      </w:pPr>
    </w:p>
    <w:p>
      <w:pPr>
        <w:ind w:right="20" w:firstLine="494"/>
        <w:spacing w:after="0" w:line="298"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17" w:lineRule="exact"/>
        <w:rPr>
          <w:sz w:val="20"/>
          <w:szCs w:val="20"/>
          <w:color w:val="auto"/>
        </w:rPr>
      </w:pPr>
    </w:p>
    <w:p>
      <w:pPr>
        <w:ind w:right="140" w:firstLine="494"/>
        <w:spacing w:after="0" w:line="291" w:lineRule="auto"/>
        <w:rPr>
          <w:sz w:val="20"/>
          <w:szCs w:val="20"/>
          <w:color w:val="auto"/>
        </w:rPr>
      </w:pPr>
      <w:r>
        <w:rPr>
          <w:rFonts w:ascii="Arial" w:cs="Arial" w:eastAsia="Arial" w:hAnsi="Arial"/>
          <w:sz w:val="18"/>
          <w:szCs w:val="18"/>
          <w:color w:val="auto"/>
        </w:rPr>
        <w:t>Our liquidity requirements are significant, primarily due to our debt service requirements. As of September 30, 2022, we had $627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ATI’s Senior Notes. Long-term debt service liquidity requirements also consist of the payment in full of any remaining principal balance of ATI’s Term Loan and the Senior Notes upon their respective maturity dates.</w:t>
      </w:r>
    </w:p>
    <w:p>
      <w:pPr>
        <w:spacing w:after="0" w:line="141" w:lineRule="exact"/>
        <w:rPr>
          <w:sz w:val="20"/>
          <w:szCs w:val="20"/>
          <w:color w:val="auto"/>
        </w:rPr>
      </w:pPr>
    </w:p>
    <w:p>
      <w:pPr>
        <w:ind w:firstLine="494"/>
        <w:spacing w:after="0" w:line="299" w:lineRule="auto"/>
        <w:rPr>
          <w:sz w:val="20"/>
          <w:szCs w:val="20"/>
          <w:color w:val="auto"/>
        </w:rPr>
      </w:pPr>
      <w:r>
        <w:rPr>
          <w:rFonts w:ascii="Arial" w:cs="Arial" w:eastAsia="Arial" w:hAnsi="Arial"/>
          <w:sz w:val="18"/>
          <w:szCs w:val="18"/>
          <w:color w:val="auto"/>
        </w:rPr>
        <w:t>We made $5 million of principal payments on the Term Loan during each of the nine months ended September 30, 2022 and 2021. Our ability to make payments on and refinance our indebtedness and to fund planned capital expenditures and growth initiatives will depend on our ability to generate cash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ind w:right="60" w:firstLine="494"/>
        <w:spacing w:after="0" w:line="289" w:lineRule="auto"/>
        <w:rPr>
          <w:sz w:val="20"/>
          <w:szCs w:val="20"/>
          <w:color w:val="auto"/>
        </w:rPr>
      </w:pPr>
      <w:r>
        <w:rPr>
          <w:rFonts w:ascii="Arial" w:cs="Arial" w:eastAsia="Arial" w:hAnsi="Arial"/>
          <w:sz w:val="18"/>
          <w:szCs w:val="18"/>
          <w:color w:val="auto"/>
        </w:rPr>
        <w:t>The Senior Secured Credit Facility provides for a $650 million Revolving Credit Facility, net of an allowance for up to $75 million in outstanding letter of credit commitments. Throughout the nine months ended September 30, 2022, the Company made periodic withdrawals and payments on the Revolving Credit Facility as part of the Company's cash management plans. The maximum amount outstanding at any time during the nine months ended September 30, 2022 was $75 million. As of September 30, 2022, we had $645 million available under the Revolving Credit Facility, net of $5 million in letters of credit. As of September 30, 2022,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September 30, 2022, our first lien net leverage ratio was 0.48x.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44" w:lineRule="exact"/>
        <w:rPr>
          <w:sz w:val="20"/>
          <w:szCs w:val="20"/>
          <w:color w:val="auto"/>
        </w:rPr>
      </w:pPr>
    </w:p>
    <w:p>
      <w:pPr>
        <w:ind w:right="60" w:firstLine="494"/>
        <w:spacing w:after="0" w:line="292"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2022, we are in compliance with all covenants under the Senior Secured Credit Facility and indentures governing the Senior Notes.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Investors Service, Inc. (“Moody’s”) and Fitch Ratings, Inc. (“Fitch”).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our credit ratings and outlook from both Moody's and Fitch are shown in the table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2022</w:t>
            </w:r>
          </w:p>
        </w:tc>
      </w:tr>
      <w:tr>
        <w:trPr>
          <w:trHeight w:val="169"/>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0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Ba1</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720" w:type="dxa"/>
            <w:vAlign w:val="bottom"/>
          </w:tcPr>
          <w:p>
            <w:pPr>
              <w:jc w:val="center"/>
              <w:ind w:left="693"/>
              <w:spacing w:after="0"/>
              <w:rPr>
                <w:sz w:val="20"/>
                <w:szCs w:val="20"/>
                <w:color w:val="auto"/>
              </w:rPr>
            </w:pPr>
            <w:r>
              <w:rPr>
                <w:rFonts w:ascii="Arial" w:cs="Arial" w:eastAsia="Arial" w:hAnsi="Arial"/>
                <w:sz w:val="18"/>
                <w:szCs w:val="18"/>
                <w:color w:val="auto"/>
                <w:w w:val="99"/>
              </w:rPr>
              <w:t>Baa2</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16"/>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720" w:type="dxa"/>
            <w:vAlign w:val="bottom"/>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BB</w:t>
            </w:r>
          </w:p>
        </w:tc>
      </w:tr>
    </w:tbl>
    <w:p>
      <w:pPr>
        <w:spacing w:after="0" w:line="156" w:lineRule="exact"/>
        <w:rPr>
          <w:sz w:val="20"/>
          <w:szCs w:val="20"/>
          <w:color w:val="auto"/>
        </w:rPr>
      </w:pPr>
    </w:p>
    <w:p>
      <w:pPr>
        <w:ind w:right="80" w:firstLine="494"/>
        <w:spacing w:after="0" w:line="291" w:lineRule="auto"/>
        <w:rPr>
          <w:sz w:val="20"/>
          <w:szCs w:val="20"/>
          <w:color w:val="auto"/>
        </w:rPr>
      </w:pPr>
      <w:r>
        <w:rPr>
          <w:rFonts w:ascii="Arial" w:cs="Arial" w:eastAsia="Arial" w:hAnsi="Arial"/>
          <w:sz w:val="18"/>
          <w:szCs w:val="18"/>
          <w:color w:val="auto"/>
        </w:rPr>
        <w:t xml:space="preserve">Our current stock repurchase program (the "Repurchase Program") was originally authorized by the Board of Directors in 2016. On February 24, 2022, the Board of Directors authorized us to repurchase an additional $1,000 million of our common stock, bringing the total amount authorized under the Repurchase Program to $4,000 million. During the nine months ended September 30, 2022, we repurchased approximately $224 million of our common stock under the Repurchase Program. </w:t>
      </w:r>
      <w:r>
        <w:rPr>
          <w:rFonts w:ascii="Arial" w:cs="Arial" w:eastAsia="Arial" w:hAnsi="Arial"/>
          <w:sz w:val="18"/>
          <w:szCs w:val="18"/>
          <w:color w:val="242424"/>
        </w:rPr>
        <w:t>As a result of timing between the repurchase transactions</w:t>
      </w:r>
      <w:r>
        <w:rPr>
          <w:rFonts w:ascii="Arial" w:cs="Arial" w:eastAsia="Arial" w:hAnsi="Arial"/>
          <w:sz w:val="18"/>
          <w:szCs w:val="18"/>
          <w:color w:val="auto"/>
        </w:rPr>
        <w:t xml:space="preserve"> </w:t>
      </w:r>
      <w:r>
        <w:rPr>
          <w:rFonts w:ascii="Arial" w:cs="Arial" w:eastAsia="Arial" w:hAnsi="Arial"/>
          <w:sz w:val="18"/>
          <w:szCs w:val="18"/>
          <w:color w:val="242424"/>
        </w:rPr>
        <w:t xml:space="preserve">and the settlement of the repurchases, $216 million of share repurchases were settled in cash during the nine months ended September 30, 2022, and the remaining $8 million of share repurchases were recorded to Other current liabilities in the Condensed Consolidated Balance Sheets as of September 30, 2022 and settled the following month. </w:t>
      </w:r>
      <w:r>
        <w:rPr>
          <w:rFonts w:ascii="Arial" w:cs="Arial" w:eastAsia="Arial" w:hAnsi="Arial"/>
          <w:sz w:val="18"/>
          <w:szCs w:val="18"/>
          <w:color w:val="000000"/>
        </w:rPr>
        <w:t>As of September 30, 2022, we had approximately $1,089 million available</w:t>
      </w:r>
      <w:r>
        <w:rPr>
          <w:rFonts w:ascii="Arial" w:cs="Arial" w:eastAsia="Arial" w:hAnsi="Arial"/>
          <w:sz w:val="18"/>
          <w:szCs w:val="18"/>
          <w:color w:val="242424"/>
        </w:rPr>
        <w:t xml:space="preserve"> </w:t>
      </w:r>
      <w:r>
        <w:rPr>
          <w:rFonts w:ascii="Arial" w:cs="Arial" w:eastAsia="Arial" w:hAnsi="Arial"/>
          <w:sz w:val="18"/>
          <w:szCs w:val="18"/>
          <w:color w:val="000000"/>
        </w:rPr>
        <w:t>under the Repurchase Program.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2022 and 2021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vMerge w:val="continue"/>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433</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980" w:type="dxa"/>
            <w:vAlign w:val="bottom"/>
          </w:tcPr>
          <w:p>
            <w:pPr>
              <w:jc w:val="right"/>
              <w:ind w:right="795"/>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(285 )</w:t>
            </w:r>
          </w:p>
        </w:tc>
        <w:tc>
          <w:tcPr>
            <w:tcW w:w="74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40" w:firstLine="494"/>
        <w:spacing w:after="0" w:line="294"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$180 million of cash and cash equivalents and $645 million available under the Revolving Credit Facility, net of $5 million of letters of credit, as of September 30, 2022. At this time, we believe cash provided by operating activities, cash and cash equivalents and borrowing capacity under the Senior Secured Credit Facility will be sufficient to meet our known and anticipated cash requirements for the next twelve months and thereafter.</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42" w:lineRule="exact"/>
        <w:rPr>
          <w:sz w:val="20"/>
          <w:szCs w:val="20"/>
          <w:color w:val="auto"/>
        </w:rPr>
      </w:pPr>
    </w:p>
    <w:p>
      <w:pPr>
        <w:ind w:right="20" w:firstLine="494"/>
        <w:spacing w:after="0" w:line="332" w:lineRule="auto"/>
        <w:rPr>
          <w:sz w:val="20"/>
          <w:szCs w:val="20"/>
          <w:color w:val="auto"/>
        </w:rPr>
      </w:pPr>
      <w:r>
        <w:rPr>
          <w:rFonts w:ascii="Arial" w:cs="Arial" w:eastAsia="Arial" w:hAnsi="Arial"/>
          <w:sz w:val="17"/>
          <w:szCs w:val="17"/>
          <w:color w:val="auto"/>
        </w:rPr>
        <w:t>Operating activities for the nine months ended September 30, 2022 generated $433 million of cash compared to $467 million for the nine months ended September 30, 2021. The decrease was principally driven by higher cash incentive compensation payments, higher cash income taxes, higher operating working capital funding requirements and higher cash interest payments, partially offset by higher gross profit.</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55" w:lineRule="exact"/>
        <w:rPr>
          <w:sz w:val="20"/>
          <w:szCs w:val="20"/>
          <w:color w:val="auto"/>
        </w:rPr>
      </w:pPr>
    </w:p>
    <w:p>
      <w:pPr>
        <w:ind w:right="40" w:firstLine="499"/>
        <w:spacing w:after="0" w:line="307" w:lineRule="auto"/>
        <w:rPr>
          <w:sz w:val="20"/>
          <w:szCs w:val="20"/>
          <w:color w:val="auto"/>
        </w:rPr>
      </w:pPr>
      <w:r>
        <w:rPr>
          <w:rFonts w:ascii="Arial" w:cs="Arial" w:eastAsia="Arial" w:hAnsi="Arial"/>
          <w:sz w:val="18"/>
          <w:szCs w:val="18"/>
          <w:color w:val="auto"/>
        </w:rPr>
        <w:t>Investing activities for the nine months ended September 30, 2022 used $93 million of cash compared to $119 million for the nine months ended September 30, 2021. The decrease was principally driven by a $37 million decrease in capital expenditures and an $11 million loan to JJE in 2021 that did not recur in 2022, partially offset by $23 million in cash paid for business acquisitions during 2022.</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42" w:lineRule="exact"/>
        <w:rPr>
          <w:sz w:val="20"/>
          <w:szCs w:val="20"/>
          <w:color w:val="auto"/>
        </w:rPr>
      </w:pPr>
    </w:p>
    <w:p>
      <w:pPr>
        <w:ind w:right="320" w:firstLine="494"/>
        <w:spacing w:after="0" w:line="307" w:lineRule="auto"/>
        <w:rPr>
          <w:sz w:val="20"/>
          <w:szCs w:val="20"/>
          <w:color w:val="auto"/>
        </w:rPr>
      </w:pPr>
      <w:r>
        <w:rPr>
          <w:rFonts w:ascii="Arial" w:cs="Arial" w:eastAsia="Arial" w:hAnsi="Arial"/>
          <w:sz w:val="18"/>
          <w:szCs w:val="18"/>
          <w:color w:val="auto"/>
        </w:rPr>
        <w:t>Financing activities for the nine months ended September 30, 2022 used $285 million of cash compared to $396 million for the nine months ended September 30, 2021. The decrease was principally driven by $110 million of decreased stock repurchases under the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20" w:firstLine="494"/>
        <w:spacing w:after="0" w:line="298"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w:t>
      </w:r>
    </w:p>
    <w:p>
      <w:pPr>
        <w:spacing w:after="0" w:line="36" w:lineRule="exact"/>
        <w:rPr>
          <w:sz w:val="20"/>
          <w:szCs w:val="20"/>
          <w:color w:val="auto"/>
        </w:rPr>
      </w:pPr>
    </w:p>
    <w:p>
      <w:pPr>
        <w:spacing w:after="0" w:line="315" w:lineRule="auto"/>
        <w:rPr>
          <w:sz w:val="20"/>
          <w:szCs w:val="20"/>
          <w:color w:val="auto"/>
        </w:rPr>
      </w:pPr>
      <w:r>
        <w:rPr>
          <w:rFonts w:ascii="Arial" w:cs="Arial" w:eastAsia="Arial" w:hAnsi="Arial"/>
          <w:sz w:val="17"/>
          <w:szCs w:val="17"/>
          <w:color w:val="auto"/>
        </w:rPr>
        <w:t>Discussion and Analysis of Financial Condition and Results of Operations” in our Annual Report on Form 10-K for the year ended December 31, 2021 as filed with the U.S SEC on February 17, 2022.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nine months ended September 30,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4" w:lineRule="exact"/>
        <w:rPr>
          <w:sz w:val="20"/>
          <w:szCs w:val="20"/>
          <w:color w:val="auto"/>
        </w:rPr>
      </w:pPr>
    </w:p>
    <w:p>
      <w:pPr>
        <w:ind w:firstLine="494"/>
        <w:spacing w:after="0" w:line="289"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increases in cost, disruption of supply or shortage of labor, freight, raw materials, energy or components used to manufacture or transport our products or those of our customers or suppliers, including as a result of the war in Ukraine and the COVID-19 pandemic; global economic volatility;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general economic and industry conditions, including the risk of recession;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labor strikes, work stoppages or similar labor disputes, which could significantly disrupt our operations or those of our principal customers or suppliers; and risks related to our indebtedness.</w:t>
      </w:r>
    </w:p>
    <w:p>
      <w:pPr>
        <w:spacing w:after="0" w:line="73" w:lineRule="exact"/>
        <w:rPr>
          <w:sz w:val="20"/>
          <w:szCs w:val="20"/>
          <w:color w:val="auto"/>
        </w:rPr>
      </w:pPr>
    </w:p>
    <w:p>
      <w:pPr>
        <w:ind w:right="40" w:firstLine="494"/>
        <w:spacing w:after="0" w:line="295"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2021 as filed with the SEC on February 17, 2022 and Part II, Item 1A of our Quarterly Report on Form 10-Q for the quarter ended March 31, 2022 as filed with the SEC on April 28, 2022.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right="420" w:firstLine="499"/>
        <w:spacing w:after="0" w:line="318"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2" w:lineRule="exact"/>
        <w:rPr>
          <w:sz w:val="20"/>
          <w:szCs w:val="20"/>
          <w:color w:val="auto"/>
        </w:rPr>
      </w:pPr>
    </w:p>
    <w:p>
      <w:pPr>
        <w:ind w:right="180" w:firstLine="499"/>
        <w:spacing w:after="0" w:line="295"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$1,272 million, including $645 million under our Revolving Credit Facility, net of $5 million of letters of credit. As of September 30, 2022, we held interest rate swap contracts that effectively hedge $500 million of the variable rate debt associated with the Term Loan through September 2025. A one-eighth percent increase or decrease in assumed interest rates for the Senior Secured Credit Facility, if fully drawn as of September 30, 2022, would have an impact of approximately $1 million on interest expense per year. As of September 30, 2022, we had no outstanding borrowings against the Revolving Credit Facility.</w:t>
      </w:r>
    </w:p>
    <w:p>
      <w:pPr>
        <w:spacing w:after="0" w:line="78" w:lineRule="exact"/>
        <w:rPr>
          <w:sz w:val="20"/>
          <w:szCs w:val="20"/>
          <w:color w:val="auto"/>
        </w:rPr>
      </w:pPr>
    </w:p>
    <w:p>
      <w:pPr>
        <w:ind w:right="140" w:firstLine="499"/>
        <w:spacing w:after="0" w:line="298" w:lineRule="auto"/>
        <w:rPr>
          <w:sz w:val="20"/>
          <w:szCs w:val="20"/>
          <w:color w:val="auto"/>
        </w:rPr>
      </w:pPr>
      <w:r>
        <w:rPr>
          <w:rFonts w:ascii="Arial" w:cs="Arial" w:eastAsia="Arial" w:hAnsi="Arial"/>
          <w:sz w:val="18"/>
          <w:szCs w:val="18"/>
          <w:color w:val="auto"/>
        </w:rPr>
        <w:t>From time to time, we enter into interest rate swap agreements to hedge the risk associated with our variable interest rate debt. As of September 30, 2022, we held interest rate swaps effective from (i) September 2019 to September 2022 with notional values totaling $250 million and a weighted average London Interbank Offered Rate (“LIBOR”) fixed rate of 3.01% and (ii) September 2022 to September 2025 with notional values totaling $250 million and a weighted average LIBOR fixed rate of 2.82%.</w:t>
      </w:r>
    </w:p>
    <w:p>
      <w:pPr>
        <w:spacing w:after="0" w:line="64" w:lineRule="exact"/>
        <w:rPr>
          <w:sz w:val="20"/>
          <w:szCs w:val="20"/>
          <w:color w:val="auto"/>
        </w:rPr>
      </w:pPr>
    </w:p>
    <w:p>
      <w:pPr>
        <w:ind w:right="20" w:firstLine="499"/>
        <w:spacing w:after="0" w:line="307" w:lineRule="auto"/>
        <w:rPr>
          <w:sz w:val="20"/>
          <w:szCs w:val="20"/>
          <w:color w:val="auto"/>
        </w:rPr>
      </w:pPr>
      <w:r>
        <w:rPr>
          <w:rFonts w:ascii="Arial" w:cs="Arial" w:eastAsia="Arial" w:hAnsi="Arial"/>
          <w:sz w:val="18"/>
          <w:szCs w:val="18"/>
          <w:color w:val="auto"/>
        </w:rPr>
        <w:t>The United Kingdom's Financial Conduct Authority has announced the intent to phase out LIBOR by June 2023. We plan to elect an alternative reference rate acceptable under reference rate reform guidance and do not expect the phase out to materially impact our financial statements, liquidity or access to capital markets.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55" w:lineRule="exact"/>
        <w:rPr>
          <w:sz w:val="20"/>
          <w:szCs w:val="20"/>
          <w:color w:val="auto"/>
        </w:rPr>
      </w:pPr>
    </w:p>
    <w:p>
      <w:pPr>
        <w:ind w:right="160" w:firstLine="499"/>
        <w:spacing w:after="0" w:line="298"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64" w:lineRule="exact"/>
        <w:rPr>
          <w:sz w:val="20"/>
          <w:szCs w:val="20"/>
          <w:color w:val="auto"/>
        </w:rPr>
      </w:pPr>
    </w:p>
    <w:p>
      <w:pPr>
        <w:jc w:val="both"/>
        <w:ind w:firstLine="499"/>
        <w:spacing w:after="0" w:line="307"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$4 million per year. We believe our other direct exposure to foreign currencies is immaterial.</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42" w:lineRule="exact"/>
        <w:rPr>
          <w:sz w:val="20"/>
          <w:szCs w:val="20"/>
          <w:color w:val="auto"/>
        </w:rPr>
      </w:pPr>
    </w:p>
    <w:p>
      <w:pPr>
        <w:ind w:firstLine="499"/>
        <w:spacing w:after="0" w:line="29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September 30, 2022, approximately 66%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85" w:lineRule="exact"/>
        <w:rPr>
          <w:sz w:val="20"/>
          <w:szCs w:val="20"/>
          <w:color w:val="auto"/>
        </w:rPr>
      </w:pPr>
    </w:p>
    <w:p>
      <w:pPr>
        <w:ind w:right="260" w:firstLine="499"/>
        <w:spacing w:after="0" w:line="318"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$9 million and $12 million per year, respectively.</w:t>
      </w:r>
    </w:p>
    <w:p>
      <w:pPr>
        <w:spacing w:after="0" w:line="58" w:lineRule="exact"/>
        <w:rPr>
          <w:sz w:val="20"/>
          <w:szCs w:val="20"/>
          <w:color w:val="auto"/>
        </w:rPr>
      </w:pPr>
    </w:p>
    <w:p>
      <w:pPr>
        <w:ind w:right="80" w:firstLine="499"/>
        <w:spacing w:after="0" w:line="318"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4" w:lineRule="exact"/>
        <w:rPr>
          <w:sz w:val="20"/>
          <w:szCs w:val="20"/>
          <w:color w:val="auto"/>
        </w:rPr>
      </w:pPr>
    </w:p>
    <w:p>
      <w:pPr>
        <w:ind w:right="100" w:firstLine="499"/>
        <w:spacing w:after="0" w:line="29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66" w:lineRule="exact"/>
        <w:rPr>
          <w:sz w:val="20"/>
          <w:szCs w:val="20"/>
          <w:color w:val="auto"/>
        </w:rPr>
      </w:pPr>
    </w:p>
    <w:p>
      <w:pPr>
        <w:ind w:firstLine="499"/>
        <w:spacing w:after="0" w:line="295"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ind w:firstLine="499"/>
        <w:spacing w:after="0" w:line="30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4" w:lineRule="exact"/>
        <w:rPr>
          <w:sz w:val="20"/>
          <w:szCs w:val="20"/>
          <w:color w:val="auto"/>
        </w:rPr>
      </w:pPr>
    </w:p>
    <w:p>
      <w:pPr>
        <w:ind w:right="120" w:firstLine="499"/>
        <w:spacing w:after="0" w:line="321"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jc w:val="both"/>
        <w:ind w:firstLine="499"/>
        <w:spacing w:after="0" w:line="30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2021 as filed with the SEC on February 17, 2022, and as updated in Part II, Item 1A of our Quarterly Report on Form 10-Q for the quarter ended March 31, 2022 as filed with the SEC on April 28, 2022.</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ind w:right="500" w:firstLine="499"/>
        <w:spacing w:after="0" w:line="318"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in the three months ended September 30, 2022:</w:t>
      </w:r>
    </w:p>
    <w:p>
      <w:pPr>
        <w:spacing w:after="0" w:line="18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Total Number</w:t>
      </w:r>
    </w:p>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of Shares</w:t>
      </w:r>
    </w:p>
    <w:tbl>
      <w:tblPr>
        <w:tblLayout w:type="fixed"/>
        <w:tblInd w:w="0" w:type="dxa"/>
        <w:tblCellMar>
          <w:top w:w="0" w:type="dxa"/>
          <w:left w:w="0" w:type="dxa"/>
          <w:bottom w:w="0" w:type="dxa"/>
          <w:right w:w="0" w:type="dxa"/>
        </w:tblCellMar>
      </w:tblPr>
      <w:tr>
        <w:trPr>
          <w:trHeight w:val="135"/>
        </w:trPr>
        <w:tc>
          <w:tcPr>
            <w:tcW w:w="5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58"/>
        </w:trPr>
        <w:tc>
          <w:tcPr>
            <w:tcW w:w="5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44"/>
              <w:spacing w:after="0" w:line="157" w:lineRule="exact"/>
              <w:rPr>
                <w:sz w:val="20"/>
                <w:szCs w:val="20"/>
                <w:color w:val="auto"/>
              </w:rPr>
            </w:pPr>
            <w:r>
              <w:rPr>
                <w:rFonts w:ascii="Arial" w:cs="Arial" w:eastAsia="Arial" w:hAnsi="Arial"/>
                <w:sz w:val="14"/>
                <w:szCs w:val="14"/>
                <w:b w:val="1"/>
                <w:bCs w:val="1"/>
                <w:color w:val="auto"/>
              </w:rPr>
              <w:t>as Part of</w:t>
            </w:r>
          </w:p>
        </w:tc>
        <w:tc>
          <w:tcPr>
            <w:tcW w:w="260" w:type="dxa"/>
            <w:vAlign w:val="bottom"/>
          </w:tcPr>
          <w:p>
            <w:pPr>
              <w:spacing w:after="0"/>
              <w:rPr>
                <w:sz w:val="13"/>
                <w:szCs w:val="13"/>
                <w:color w:val="auto"/>
              </w:rPr>
            </w:pPr>
          </w:p>
        </w:tc>
        <w:tc>
          <w:tcPr>
            <w:tcW w:w="148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rPr>
              <w:t>Approximate</w:t>
            </w:r>
          </w:p>
        </w:tc>
      </w:tr>
      <w:tr>
        <w:trPr>
          <w:trHeight w:val="148"/>
        </w:trPr>
        <w:tc>
          <w:tcPr>
            <w:tcW w:w="5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rPr>
              <w:t>Publicly</w:t>
            </w:r>
          </w:p>
        </w:tc>
        <w:tc>
          <w:tcPr>
            <w:tcW w:w="260" w:type="dxa"/>
            <w:vAlign w:val="bottom"/>
          </w:tcPr>
          <w:p>
            <w:pPr>
              <w:spacing w:after="0"/>
              <w:rPr>
                <w:sz w:val="12"/>
                <w:szCs w:val="12"/>
                <w:color w:val="auto"/>
              </w:rPr>
            </w:pPr>
          </w:p>
        </w:tc>
        <w:tc>
          <w:tcPr>
            <w:tcW w:w="14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Dollar Value of</w:t>
            </w:r>
          </w:p>
        </w:tc>
      </w:tr>
      <w:tr>
        <w:trPr>
          <w:trHeight w:val="162"/>
        </w:trPr>
        <w:tc>
          <w:tcPr>
            <w:tcW w:w="5600" w:type="dxa"/>
            <w:vAlign w:val="bottom"/>
          </w:tcPr>
          <w:p>
            <w:pPr>
              <w:spacing w:after="0"/>
              <w:rPr>
                <w:sz w:val="14"/>
                <w:szCs w:val="14"/>
                <w:color w:val="auto"/>
              </w:rPr>
            </w:pP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180" w:type="dxa"/>
            <w:vAlign w:val="bottom"/>
          </w:tcPr>
          <w:p>
            <w:pPr>
              <w:jc w:val="center"/>
              <w:ind w:right="44"/>
              <w:spacing w:after="0"/>
              <w:rPr>
                <w:sz w:val="20"/>
                <w:szCs w:val="20"/>
                <w:color w:val="auto"/>
              </w:rPr>
            </w:pPr>
            <w:r>
              <w:rPr>
                <w:rFonts w:ascii="Arial" w:cs="Arial" w:eastAsia="Arial" w:hAnsi="Arial"/>
                <w:sz w:val="14"/>
                <w:szCs w:val="14"/>
                <w:b w:val="1"/>
                <w:bCs w:val="1"/>
                <w:color w:val="auto"/>
              </w:rPr>
              <w:t>Announced</w:t>
            </w:r>
          </w:p>
        </w:tc>
        <w:tc>
          <w:tcPr>
            <w:tcW w:w="260" w:type="dxa"/>
            <w:vAlign w:val="bottom"/>
          </w:tcPr>
          <w:p>
            <w:pPr>
              <w:spacing w:after="0"/>
              <w:rPr>
                <w:sz w:val="14"/>
                <w:szCs w:val="14"/>
                <w:color w:val="auto"/>
              </w:rPr>
            </w:pPr>
          </w:p>
        </w:tc>
        <w:tc>
          <w:tcPr>
            <w:tcW w:w="1480" w:type="dxa"/>
            <w:vAlign w:val="bottom"/>
          </w:tcPr>
          <w:p>
            <w:pPr>
              <w:jc w:val="center"/>
              <w:ind w:right="181"/>
              <w:spacing w:after="0"/>
              <w:rPr>
                <w:sz w:val="20"/>
                <w:szCs w:val="20"/>
                <w:color w:val="auto"/>
              </w:rPr>
            </w:pPr>
            <w:r>
              <w:rPr>
                <w:rFonts w:ascii="Arial" w:cs="Arial" w:eastAsia="Arial" w:hAnsi="Arial"/>
                <w:sz w:val="14"/>
                <w:szCs w:val="14"/>
                <w:b w:val="1"/>
                <w:bCs w:val="1"/>
                <w:color w:val="auto"/>
              </w:rPr>
              <w:t>Shares that May</w:t>
            </w:r>
          </w:p>
        </w:tc>
      </w:tr>
      <w:tr>
        <w:trPr>
          <w:trHeight w:val="148"/>
        </w:trPr>
        <w:tc>
          <w:tcPr>
            <w:tcW w:w="5600" w:type="dxa"/>
            <w:vAlign w:val="bottom"/>
          </w:tcPr>
          <w:p>
            <w:pPr>
              <w:spacing w:after="0"/>
              <w:rPr>
                <w:sz w:val="12"/>
                <w:szCs w:val="12"/>
                <w:color w:val="auto"/>
              </w:rPr>
            </w:pPr>
          </w:p>
        </w:tc>
        <w:tc>
          <w:tcPr>
            <w:tcW w:w="12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Price Paid</w:t>
            </w:r>
          </w:p>
        </w:tc>
        <w:tc>
          <w:tcPr>
            <w:tcW w:w="120" w:type="dxa"/>
            <w:vAlign w:val="bottom"/>
          </w:tcPr>
          <w:p>
            <w:pPr>
              <w:spacing w:after="0"/>
              <w:rPr>
                <w:sz w:val="12"/>
                <w:szCs w:val="12"/>
                <w:color w:val="auto"/>
              </w:rPr>
            </w:pPr>
          </w:p>
        </w:tc>
        <w:tc>
          <w:tcPr>
            <w:tcW w:w="11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rPr>
              <w:t>Plans or</w:t>
            </w:r>
          </w:p>
        </w:tc>
        <w:tc>
          <w:tcPr>
            <w:tcW w:w="260" w:type="dxa"/>
            <w:vAlign w:val="bottom"/>
          </w:tcPr>
          <w:p>
            <w:pPr>
              <w:spacing w:after="0"/>
              <w:rPr>
                <w:sz w:val="12"/>
                <w:szCs w:val="12"/>
                <w:color w:val="auto"/>
              </w:rPr>
            </w:pPr>
          </w:p>
        </w:tc>
        <w:tc>
          <w:tcPr>
            <w:tcW w:w="14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Yet Be Purchased</w:t>
            </w:r>
          </w:p>
        </w:tc>
      </w:tr>
      <w:tr>
        <w:trPr>
          <w:trHeight w:val="175"/>
        </w:trPr>
        <w:tc>
          <w:tcPr>
            <w:tcW w:w="5600" w:type="dxa"/>
            <w:vAlign w:val="bottom"/>
          </w:tcPr>
          <w:p>
            <w:pPr>
              <w:spacing w:after="0"/>
              <w:rPr>
                <w:sz w:val="15"/>
                <w:szCs w:val="15"/>
                <w:color w:val="auto"/>
              </w:rPr>
            </w:pPr>
          </w:p>
        </w:tc>
        <w:tc>
          <w:tcPr>
            <w:tcW w:w="12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5"/>
                <w:szCs w:val="15"/>
                <w:color w:val="auto"/>
              </w:rPr>
            </w:pPr>
          </w:p>
        </w:tc>
        <w:tc>
          <w:tcPr>
            <w:tcW w:w="1480" w:type="dxa"/>
            <w:vAlign w:val="bottom"/>
          </w:tcPr>
          <w:p>
            <w:pPr>
              <w:jc w:val="center"/>
              <w:ind w:right="161"/>
              <w:spacing w:after="0"/>
              <w:rPr>
                <w:sz w:val="20"/>
                <w:szCs w:val="20"/>
                <w:color w:val="auto"/>
              </w:rPr>
            </w:pPr>
            <w:r>
              <w:rPr>
                <w:rFonts w:ascii="Arial" w:cs="Arial" w:eastAsia="Arial" w:hAnsi="Arial"/>
                <w:sz w:val="14"/>
                <w:szCs w:val="14"/>
                <w:b w:val="1"/>
                <w:bCs w:val="1"/>
                <w:color w:val="auto"/>
              </w:rPr>
              <w:t>Under Plans(1)</w:t>
            </w:r>
          </w:p>
        </w:tc>
      </w:tr>
      <w:tr>
        <w:trPr>
          <w:trHeight w:val="20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 July 31, 2022</w:t>
            </w:r>
          </w:p>
        </w:tc>
        <w:tc>
          <w:tcPr>
            <w:tcW w:w="12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1,198,544,111</w:t>
            </w: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August 1 – August 31, 2022</w:t>
            </w:r>
          </w:p>
        </w:tc>
        <w:tc>
          <w:tcPr>
            <w:tcW w:w="1220" w:type="dxa"/>
            <w:vAlign w:val="bottom"/>
          </w:tcPr>
          <w:p>
            <w:pPr>
              <w:jc w:val="right"/>
              <w:ind w:right="58"/>
              <w:spacing w:after="0"/>
              <w:rPr>
                <w:sz w:val="20"/>
                <w:szCs w:val="20"/>
                <w:color w:val="auto"/>
              </w:rPr>
            </w:pPr>
            <w:r>
              <w:rPr>
                <w:rFonts w:ascii="Arial" w:cs="Arial" w:eastAsia="Arial" w:hAnsi="Arial"/>
                <w:sz w:val="18"/>
                <w:szCs w:val="18"/>
                <w:color w:val="auto"/>
              </w:rPr>
              <w:t>906,687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38.02</w:t>
            </w:r>
          </w:p>
        </w:tc>
        <w:tc>
          <w:tcPr>
            <w:tcW w:w="1300" w:type="dxa"/>
            <w:vAlign w:val="bottom"/>
            <w:gridSpan w:val="2"/>
          </w:tcPr>
          <w:p>
            <w:pPr>
              <w:jc w:val="right"/>
              <w:ind w:right="44"/>
              <w:spacing w:after="0"/>
              <w:rPr>
                <w:sz w:val="20"/>
                <w:szCs w:val="20"/>
                <w:color w:val="auto"/>
              </w:rPr>
            </w:pPr>
            <w:r>
              <w:rPr>
                <w:rFonts w:ascii="Arial" w:cs="Arial" w:eastAsia="Arial" w:hAnsi="Arial"/>
                <w:sz w:val="18"/>
                <w:szCs w:val="18"/>
                <w:color w:val="auto"/>
              </w:rPr>
              <w:t>906,687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
              <w:spacing w:after="0"/>
              <w:rPr>
                <w:sz w:val="20"/>
                <w:szCs w:val="20"/>
                <w:color w:val="auto"/>
              </w:rPr>
            </w:pPr>
            <w:r>
              <w:rPr>
                <w:rFonts w:ascii="Arial" w:cs="Arial" w:eastAsia="Arial" w:hAnsi="Arial"/>
                <w:sz w:val="18"/>
                <w:szCs w:val="18"/>
                <w:color w:val="auto"/>
              </w:rPr>
              <w:t>1,164,069,389</w:t>
            </w:r>
          </w:p>
        </w:tc>
      </w:tr>
      <w:tr>
        <w:trPr>
          <w:trHeight w:val="21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 September 30, 2022</w:t>
            </w:r>
          </w:p>
        </w:tc>
        <w:tc>
          <w:tcPr>
            <w:tcW w:w="12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2,131,074</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35.11</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2,131,074</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1,089,252,620</w:t>
            </w:r>
          </w:p>
        </w:tc>
      </w:tr>
      <w:tr>
        <w:trPr>
          <w:trHeight w:val="209"/>
        </w:trPr>
        <w:tc>
          <w:tcPr>
            <w:tcW w:w="5600" w:type="dxa"/>
            <w:vAlign w:val="bottom"/>
          </w:tcPr>
          <w:p>
            <w:pPr>
              <w:jc w:val="right"/>
              <w:ind w:right="5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8"/>
              <w:spacing w:after="0"/>
              <w:rPr>
                <w:sz w:val="20"/>
                <w:szCs w:val="20"/>
                <w:color w:val="auto"/>
              </w:rPr>
            </w:pPr>
            <w:r>
              <w:rPr>
                <w:rFonts w:ascii="Arial" w:cs="Arial" w:eastAsia="Arial" w:hAnsi="Arial"/>
                <w:sz w:val="18"/>
                <w:szCs w:val="18"/>
                <w:color w:val="auto"/>
              </w:rPr>
              <w:t>3,037,761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35.98</w:t>
            </w:r>
          </w:p>
        </w:tc>
        <w:tc>
          <w:tcPr>
            <w:tcW w:w="1300" w:type="dxa"/>
            <w:vAlign w:val="bottom"/>
            <w:gridSpan w:val="2"/>
          </w:tcPr>
          <w:p>
            <w:pPr>
              <w:jc w:val="right"/>
              <w:ind w:right="44"/>
              <w:spacing w:after="0"/>
              <w:rPr>
                <w:sz w:val="20"/>
                <w:szCs w:val="20"/>
                <w:color w:val="auto"/>
              </w:rPr>
            </w:pPr>
            <w:r>
              <w:rPr>
                <w:rFonts w:ascii="Arial" w:cs="Arial" w:eastAsia="Arial" w:hAnsi="Arial"/>
                <w:sz w:val="18"/>
                <w:szCs w:val="18"/>
                <w:color w:val="auto"/>
              </w:rPr>
              <w:t>3,037,761</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-170815</wp:posOffset>
            </wp:positionV>
            <wp:extent cx="8572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-170815</wp:posOffset>
            </wp:positionV>
            <wp:extent cx="7683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231" w:lineRule="exact"/>
        <w:rPr>
          <w:sz w:val="20"/>
          <w:szCs w:val="20"/>
          <w:color w:val="auto"/>
        </w:rPr>
      </w:pPr>
    </w:p>
    <w:p>
      <w:pPr>
        <w:ind w:left="640" w:right="260" w:hanging="372"/>
        <w:spacing w:after="0" w:line="29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Item 6.</w:t>
            </w:r>
          </w:p>
        </w:tc>
        <w:tc>
          <w:tcPr>
            <w:tcW w:w="858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Exhibits</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20" w:type="dxa"/>
            <w:vAlign w:val="bottom"/>
            <w:gridSpan w:val="2"/>
            <w:vMerge w:val="restart"/>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3"/>
              </w:rPr>
              <w:t>Number</w:t>
            </w:r>
          </w:p>
        </w:tc>
        <w:tc>
          <w:tcPr>
            <w:tcW w:w="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33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rPr>
            </w:pPr>
            <w:hyperlink r:id="rId250">
              <w:r>
                <w:rPr>
                  <w:rFonts w:ascii="Arial" w:cs="Arial" w:eastAsia="Arial" w:hAnsi="Arial"/>
                  <w:sz w:val="18"/>
                  <w:szCs w:val="18"/>
                  <w:color w:val="0000FF"/>
                </w:rPr>
                <w:t>Executive Change in Control and Severance Plan (incorporated by reference to Exhibit 10.1 to the Registrant's Current</w:t>
              </w:r>
            </w:hyperlink>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58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r:id="rId250">
              <w:r>
                <w:rPr>
                  <w:rFonts w:ascii="Arial" w:cs="Arial" w:eastAsia="Arial" w:hAnsi="Arial"/>
                  <w:sz w:val="18"/>
                  <w:szCs w:val="18"/>
                  <w:color w:val="0000FF"/>
                </w:rPr>
                <w:t>Report on For 8-K filed July 19, 2022)</w:t>
              </w:r>
            </w:hyperlink>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6"/>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as adopted pursuant to Section</w:t>
            </w:r>
          </w:p>
        </w:tc>
        <w:tc>
          <w:tcPr>
            <w:tcW w:w="1220" w:type="dxa"/>
            <w:vAlign w:val="bottom"/>
            <w:gridSpan w:val="5"/>
          </w:tcPr>
          <w:p>
            <w:pPr>
              <w:ind w:left="8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5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2"/>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w:t>
            </w:r>
          </w:p>
        </w:tc>
        <w:tc>
          <w:tcPr>
            <w:tcW w:w="1220" w:type="dxa"/>
            <w:vAlign w:val="bottom"/>
            <w:gridSpan w:val="5"/>
          </w:tcPr>
          <w:p>
            <w:pPr>
              <w:ind w:left="2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5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2"/>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5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20" w:right="220" w:hanging="1358"/>
        <w:spacing w:after="0" w:line="230"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2022,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114" w:lineRule="exact"/>
        <w:rPr>
          <w:sz w:val="20"/>
          <w:szCs w:val="20"/>
          <w:color w:val="auto"/>
        </w:rPr>
      </w:pPr>
    </w:p>
    <w:p>
      <w:pPr>
        <w:ind w:left="1420" w:right="360" w:hanging="1358"/>
        <w:spacing w:after="0" w:line="255"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September 30, 2022, formatted in Inline XBRL and contained in 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right="420" w:firstLine="499"/>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1"/>
                <w:szCs w:val="21"/>
                <w:color w:val="auto"/>
              </w:rPr>
            </w:pPr>
          </w:p>
        </w:tc>
      </w:tr>
      <w:tr>
        <w:trPr>
          <w:trHeight w:val="473"/>
        </w:trPr>
        <w:tc>
          <w:tcPr>
            <w:tcW w:w="2240" w:type="dxa"/>
            <w:vAlign w:val="bottom"/>
          </w:tcPr>
          <w:p>
            <w:pPr>
              <w:ind w:left="20"/>
              <w:spacing w:after="0"/>
              <w:rPr>
                <w:sz w:val="20"/>
                <w:szCs w:val="20"/>
                <w:color w:val="auto"/>
              </w:rPr>
            </w:pPr>
            <w:r>
              <w:rPr>
                <w:rFonts w:ascii="Arial" w:cs="Arial" w:eastAsia="Arial" w:hAnsi="Arial"/>
                <w:sz w:val="18"/>
                <w:szCs w:val="18"/>
                <w:color w:val="auto"/>
              </w:rPr>
              <w:t>Date: October 27, 2022</w:t>
            </w:r>
          </w:p>
        </w:tc>
        <w:tc>
          <w:tcPr>
            <w:tcW w:w="820" w:type="dxa"/>
            <w:vAlign w:val="bottom"/>
          </w:tcPr>
          <w:p>
            <w:pPr>
              <w:ind w:left="36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r>
      <w:tr>
        <w:trPr>
          <w:trHeight w:val="429"/>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74"/>
        </w:trPr>
        <w:tc>
          <w:tcPr>
            <w:tcW w:w="2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Chairman, President and Chief Executive Officer</w:t>
            </w:r>
          </w:p>
        </w:tc>
        <w:tc>
          <w:tcPr>
            <w:tcW w:w="2020" w:type="dxa"/>
            <w:vAlign w:val="bottom"/>
          </w:tcPr>
          <w:p>
            <w:pPr>
              <w:spacing w:after="0"/>
              <w:rPr>
                <w:sz w:val="23"/>
                <w:szCs w:val="23"/>
                <w:color w:val="auto"/>
              </w:rPr>
            </w:pPr>
          </w:p>
        </w:tc>
      </w:tr>
      <w:tr>
        <w:trPr>
          <w:trHeight w:val="239"/>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670"/>
        </w:trPr>
        <w:tc>
          <w:tcPr>
            <w:tcW w:w="2240" w:type="dxa"/>
            <w:vAlign w:val="bottom"/>
          </w:tcPr>
          <w:p>
            <w:pPr>
              <w:ind w:left="20"/>
              <w:spacing w:after="0"/>
              <w:rPr>
                <w:sz w:val="20"/>
                <w:szCs w:val="20"/>
                <w:color w:val="auto"/>
              </w:rPr>
            </w:pPr>
            <w:r>
              <w:rPr>
                <w:rFonts w:ascii="Arial" w:cs="Arial" w:eastAsia="Arial" w:hAnsi="Arial"/>
                <w:sz w:val="18"/>
                <w:szCs w:val="18"/>
                <w:color w:val="auto"/>
              </w:rPr>
              <w:t>Date: October 27, 2022</w:t>
            </w:r>
          </w:p>
        </w:tc>
        <w:tc>
          <w:tcPr>
            <w:tcW w:w="820" w:type="dxa"/>
            <w:vAlign w:val="bottom"/>
          </w:tcPr>
          <w:p>
            <w:pPr>
              <w:ind w:left="36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r>
      <w:tr>
        <w:trPr>
          <w:trHeight w:val="429"/>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20"/>
        </w:trPr>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w w:val="99"/>
              </w:rPr>
              <w:t>Senior Vice President, Chief Financial Officer and Treasurer</w:t>
            </w:r>
          </w:p>
        </w:tc>
        <w:tc>
          <w:tcPr>
            <w:tcW w:w="2020" w:type="dxa"/>
            <w:vAlign w:val="bottom"/>
          </w:tcPr>
          <w:p>
            <w:pPr>
              <w:spacing w:after="0"/>
              <w:rPr>
                <w:sz w:val="19"/>
                <w:szCs w:val="19"/>
                <w:color w:val="auto"/>
              </w:rPr>
            </w:pPr>
          </w:p>
        </w:tc>
      </w:tr>
      <w:tr>
        <w:trPr>
          <w:trHeight w:val="239"/>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 Accounting Officer)</w:t>
            </w:r>
          </w:p>
        </w:tc>
        <w:tc>
          <w:tcPr>
            <w:tcW w:w="2020" w:type="dxa"/>
            <w:vAlign w:val="bottom"/>
          </w:tcPr>
          <w:p>
            <w:pPr>
              <w:spacing w:after="0"/>
              <w:rPr>
                <w:sz w:val="20"/>
                <w:szCs w:val="20"/>
                <w:color w:val="auto"/>
              </w:rPr>
            </w:pPr>
          </w:p>
        </w:tc>
      </w:tr>
      <w:tr>
        <w:trPr>
          <w:trHeight w:val="876"/>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44</w:t>
            </w:r>
          </w:p>
        </w:tc>
        <w:tc>
          <w:tcPr>
            <w:tcW w:w="2020" w:type="dxa"/>
            <w:vAlign w:val="bottom"/>
          </w:tcPr>
          <w:p>
            <w:pPr>
              <w:spacing w:after="0"/>
              <w:rPr>
                <w:sz w:val="24"/>
                <w:szCs w:val="24"/>
                <w:color w:val="auto"/>
              </w:rPr>
            </w:pPr>
          </w:p>
        </w:tc>
      </w:tr>
      <w:tr>
        <w:trPr>
          <w:trHeight w:val="124"/>
        </w:trPr>
        <w:tc>
          <w:tcPr>
            <w:tcW w:w="2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w:t>
      </w:r>
    </w:p>
    <w:p>
      <w:pPr>
        <w:spacing w:after="0" w:line="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198"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11"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ind w:left="1500" w:right="160" w:hanging="743"/>
        <w:spacing w:after="0" w:line="258"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500" w:right="260" w:hanging="743"/>
        <w:spacing w:after="0" w:line="250"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right="20" w:hanging="743"/>
        <w:spacing w:after="0" w:line="295" w:lineRule="auto"/>
        <w:tabs>
          <w:tab w:leader="none" w:pos="15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500" w:right="60" w:hanging="743"/>
        <w:spacing w:after="0" w:line="250"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2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27,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06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2"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Chairman, 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3" w:lineRule="exact"/>
        <w:rPr>
          <w:sz w:val="20"/>
          <w:szCs w:val="20"/>
          <w:color w:val="auto"/>
        </w:rPr>
      </w:pPr>
    </w:p>
    <w:p>
      <w:pPr>
        <w:jc w:val="center"/>
        <w:ind w:right="40"/>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11"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97" w:lineRule="exact"/>
        <w:rPr>
          <w:rFonts w:ascii="Times New Roman" w:cs="Times New Roman" w:eastAsia="Times New Roman" w:hAnsi="Times New Roman"/>
          <w:sz w:val="18"/>
          <w:szCs w:val="18"/>
          <w:color w:val="auto"/>
        </w:rPr>
      </w:pPr>
    </w:p>
    <w:p>
      <w:pPr>
        <w:jc w:val="both"/>
        <w:ind w:left="760" w:right="20" w:hanging="752"/>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60" w:right="20" w:hanging="752"/>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ind w:left="1500" w:right="160" w:hanging="743"/>
        <w:spacing w:after="0" w:line="250"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60" w:hanging="743"/>
        <w:spacing w:after="0" w:line="250"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right="20" w:hanging="743"/>
        <w:spacing w:after="0" w:line="295" w:lineRule="auto"/>
        <w:tabs>
          <w:tab w:leader="none" w:pos="15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500" w:right="60" w:hanging="743"/>
        <w:spacing w:after="0" w:line="258"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27,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7132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71322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22"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9"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September 30, 2022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76"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27, 2022</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19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27, 2022</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19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Frederick Bohley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50" Type="http://schemas.openxmlformats.org/officeDocument/2006/relationships/hyperlink" Target="https://www.sec.gov/Archives/edgar/data/1411207/000119312522196981/d3850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2022-10-27T07:34:11Z</dcterms:created>
  <dcterms:modified xsi:type="dcterms:W3CDTF">2022-10-27T07:34:11Z</dcterms:modified>
</cp:coreProperties>
</file>