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130175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148590</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144145</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ALLISON TRANSMISSION HOLDINGS,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135890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sectPr>
      </w:pPr>
    </w:p>
    <w:p>
      <w:pPr>
        <w:spacing w:after="0" w:line="35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001-35456</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26-0414014</w:t>
      </w:r>
    </w:p>
    <w:p>
      <w:pPr>
        <w:spacing w:after="0" w:line="14" w:lineRule="exact"/>
        <w:rPr>
          <w:sz w:val="24"/>
          <w:szCs w:val="24"/>
          <w:color w:val="auto"/>
        </w:rPr>
      </w:pPr>
    </w:p>
    <w:p>
      <w:pPr>
        <w:sectPr>
          <w:pgSz w:w="11900" w:h="16838" w:orient="portrait"/>
          <w:cols w:equalWidth="0" w:num="3">
            <w:col w:w="3560" w:space="720"/>
            <w:col w:w="2140" w:space="720"/>
            <w:col w:w="1879"/>
          </w:cols>
          <w:pgMar w:left="1440" w:top="381" w:right="1440"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10" w:lineRule="exact"/>
        <w:rPr>
          <w:sz w:val="24"/>
          <w:szCs w:val="24"/>
          <w:color w:val="auto"/>
        </w:rPr>
      </w:pPr>
    </w:p>
    <w:p>
      <w:pPr>
        <w:sectPr>
          <w:pgSz w:w="11900" w:h="16838" w:orient="portrait"/>
          <w:cols w:equalWidth="0" w:num="3">
            <w:col w:w="3540" w:space="720"/>
            <w:col w:w="2060" w:space="720"/>
            <w:col w:w="1979"/>
          </w:cols>
          <w:pgMar w:left="1440" w:top="381" w:right="1440"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b w:val="1"/>
          <w:bCs w:val="1"/>
          <w:color w:val="auto"/>
        </w:rPr>
        <w:t>One Allison Way, Indianapolis, Indiana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46222</w:t>
      </w:r>
    </w:p>
    <w:p>
      <w:pPr>
        <w:spacing w:after="0" w:line="27" w:lineRule="exact"/>
        <w:rPr>
          <w:sz w:val="24"/>
          <w:szCs w:val="24"/>
          <w:color w:val="auto"/>
        </w:rPr>
      </w:pPr>
    </w:p>
    <w:p>
      <w:pPr>
        <w:sectPr>
          <w:pgSz w:w="11900" w:h="16838" w:orient="portrait"/>
          <w:cols w:equalWidth="0" w:num="2">
            <w:col w:w="5860" w:space="720"/>
            <w:col w:w="2439"/>
          </w:cols>
          <w:pgMar w:left="1440" w:top="381" w:right="1440"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84" w:lineRule="exact"/>
        <w:rPr>
          <w:sz w:val="24"/>
          <w:szCs w:val="24"/>
          <w:color w:val="auto"/>
        </w:rPr>
      </w:pPr>
    </w:p>
    <w:p>
      <w:pPr>
        <w:sectPr>
          <w:pgSz w:w="11900" w:h="16838" w:orient="portrait"/>
          <w:cols w:equalWidth="0" w:num="2">
            <w:col w:w="5780" w:space="720"/>
            <w:col w:w="2519"/>
          </w:cols>
          <w:pgMar w:left="1440" w:top="381"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(317) 242-5000</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128270</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96"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 below):</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120" w:right="2159" w:hanging="6"/>
        <w:spacing w:after="0" w:line="429" w:lineRule="auto"/>
        <w:tabs>
          <w:tab w:leader="none" w:pos="46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20" w:type="dxa"/>
        <w:tblCellMar>
          <w:top w:w="0" w:type="dxa"/>
          <w:left w:w="0" w:type="dxa"/>
          <w:bottom w:w="0" w:type="dxa"/>
          <w:right w:w="0" w:type="dxa"/>
        </w:tblCellMar>
      </w:tblPr>
      <w:tr>
        <w:trPr>
          <w:trHeight w:val="119"/>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77"/>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0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ALSN</w:t>
            </w:r>
          </w:p>
        </w:tc>
        <w:tc>
          <w:tcPr>
            <w:tcW w:w="8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left="120" w:right="33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8" w:lineRule="exact"/>
        <w:rPr>
          <w:sz w:val="24"/>
          <w:szCs w:val="24"/>
          <w:color w:val="auto"/>
        </w:rPr>
      </w:pPr>
    </w:p>
    <w:p>
      <w:pPr>
        <w:ind w:left="7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61"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67945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102235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type w:val="continuous"/>
        </w:sectPr>
      </w:pPr>
    </w:p>
    <w:bookmarkStart w:id="1" w:name="page2"/>
    <w:bookmarkEnd w:id="1"/>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99" w:lineRule="exact"/>
        <w:rPr>
          <w:sz w:val="20"/>
          <w:szCs w:val="20"/>
          <w:color w:val="auto"/>
        </w:rPr>
      </w:pPr>
    </w:p>
    <w:p>
      <w:pPr>
        <w:ind w:left="120" w:right="259" w:firstLine="351"/>
        <w:spacing w:after="0" w:line="268" w:lineRule="auto"/>
        <w:rPr>
          <w:sz w:val="20"/>
          <w:szCs w:val="20"/>
          <w:color w:val="auto"/>
        </w:rPr>
      </w:pPr>
      <w:r>
        <w:rPr>
          <w:rFonts w:ascii="Times New Roman" w:cs="Times New Roman" w:eastAsia="Times New Roman" w:hAnsi="Times New Roman"/>
          <w:sz w:val="14"/>
          <w:szCs w:val="14"/>
          <w:color w:val="auto"/>
        </w:rPr>
        <w:t>On November 2, 2026, Allison Transmission Holdings, Inc. (“Allison”) published an earnings release reporting its financial results for the three months ended September 30, 2026. A copy of the earnings release is attached as Exhibit 99.1 hereto. Following the publication of the earnings release, Allison will host an earnings call on November 2, 2026 at 5:00 p.m. ET on which its financial results for the three months ended September 30, 2026 will be discussed. The investor presentation materials that will be used for the call are attached as Exhibit 99.2 hereto.</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On November 2, 2026, Allison posted the materials attached as Exhibits 99.1 and 99.2 on its website (</w:t>
      </w:r>
      <w:r>
        <w:rPr>
          <w:rFonts w:ascii="Times New Roman" w:cs="Times New Roman" w:eastAsia="Times New Roman" w:hAnsi="Times New Roman"/>
          <w:sz w:val="14"/>
          <w:szCs w:val="14"/>
          <w:u w:val="single" w:color="auto"/>
          <w:color w:val="auto"/>
        </w:rPr>
        <w:t>www.allisontransmission.com</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20" w:right="179" w:firstLine="351"/>
        <w:spacing w:after="0" w:line="275" w:lineRule="auto"/>
        <w:rPr>
          <w:sz w:val="20"/>
          <w:szCs w:val="20"/>
          <w:color w:val="auto"/>
        </w:rPr>
      </w:pPr>
      <w:r>
        <w:rPr>
          <w:rFonts w:ascii="Times New Roman" w:cs="Times New Roman" w:eastAsia="Times New Roman" w:hAnsi="Times New Roman"/>
          <w:sz w:val="14"/>
          <w:szCs w:val="14"/>
          <w:color w:val="auto"/>
        </w:rPr>
        <w:t>As discussed on page 2 of Exhibit 99.2, the investor presentation contains forward-looking statements within the meaning of the federal securities laws. These statements are present expectations and are subject to the limitations listed therein and in Allison’s other Securities and Exchange Commission filings, including that actual events or results may differ materially from those in the forward-looking statements.</w:t>
      </w:r>
    </w:p>
    <w:p>
      <w:pPr>
        <w:spacing w:after="0" w:line="135" w:lineRule="exact"/>
        <w:rPr>
          <w:sz w:val="20"/>
          <w:szCs w:val="20"/>
          <w:color w:val="auto"/>
        </w:rPr>
      </w:pPr>
    </w:p>
    <w:p>
      <w:pPr>
        <w:ind w:left="120" w:right="279" w:firstLine="351"/>
        <w:spacing w:after="0" w:line="275" w:lineRule="auto"/>
        <w:rPr>
          <w:sz w:val="20"/>
          <w:szCs w:val="20"/>
          <w:color w:val="auto"/>
        </w:rPr>
      </w:pPr>
      <w:r>
        <w:rPr>
          <w:rFonts w:ascii="Times New Roman" w:cs="Times New Roman" w:eastAsia="Times New Roman" w:hAnsi="Times New Roman"/>
          <w:sz w:val="14"/>
          <w:szCs w:val="14"/>
          <w:color w:val="auto"/>
        </w:rPr>
        <w:t>The foregoing information (including the exhibits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252" w:lineRule="exact"/>
        <w:rPr>
          <w:sz w:val="20"/>
          <w:szCs w:val="20"/>
          <w:color w:val="auto"/>
        </w:rPr>
      </w:pPr>
    </w:p>
    <w:p>
      <w:pPr>
        <w:ind w:left="12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08" w:lineRule="exact"/>
        <w:rPr>
          <w:sz w:val="20"/>
          <w:szCs w:val="20"/>
          <w:color w:val="auto"/>
        </w:rPr>
      </w:pPr>
    </w:p>
    <w:p>
      <w:pPr>
        <w:ind w:left="460" w:hanging="346"/>
        <w:spacing w:after="0"/>
        <w:tabs>
          <w:tab w:leader="none" w:pos="46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Exhibits: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38"/>
        </w:trPr>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Number</w:t>
            </w:r>
          </w:p>
        </w:tc>
        <w:tc>
          <w:tcPr>
            <w:tcW w:w="4640" w:type="dxa"/>
            <w:vAlign w:val="bottom"/>
            <w:gridSpan w:val="4"/>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0"/>
        </w:trPr>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420" w:type="dxa"/>
            <w:vAlign w:val="bottom"/>
          </w:tcPr>
          <w:p>
            <w:pPr>
              <w:spacing w:after="0"/>
              <w:rPr>
                <w:sz w:val="17"/>
                <w:szCs w:val="17"/>
                <w:color w:val="auto"/>
              </w:rPr>
            </w:pPr>
          </w:p>
        </w:tc>
        <w:tc>
          <w:tcPr>
            <w:tcW w:w="24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Earnings release dated November 2, 2026.</w:t>
            </w:r>
          </w:p>
        </w:tc>
        <w:tc>
          <w:tcPr>
            <w:tcW w:w="2200" w:type="dxa"/>
            <w:vAlign w:val="bottom"/>
            <w:gridSpan w:val="2"/>
          </w:tcPr>
          <w:p>
            <w:pPr>
              <w:spacing w:after="0"/>
              <w:rPr>
                <w:sz w:val="17"/>
                <w:szCs w:val="17"/>
                <w:color w:val="auto"/>
              </w:rPr>
            </w:pPr>
          </w:p>
        </w:tc>
      </w:t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420" w:type="dxa"/>
            <w:vAlign w:val="bottom"/>
          </w:tcPr>
          <w:p>
            <w:pPr>
              <w:spacing w:after="0"/>
              <w:rPr>
                <w:sz w:val="20"/>
                <w:szCs w:val="20"/>
                <w:color w:val="auto"/>
              </w:rPr>
            </w:pPr>
          </w:p>
        </w:tc>
        <w:tc>
          <w:tcPr>
            <w:tcW w:w="3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Investor presentation materials dated November 2, 2026.</w:t>
            </w:r>
          </w:p>
        </w:tc>
        <w:tc>
          <w:tcPr>
            <w:tcW w:w="1380" w:type="dxa"/>
            <w:vAlign w:val="bottom"/>
          </w:tcPr>
          <w:p>
            <w:pPr>
              <w:spacing w:after="0"/>
              <w:rPr>
                <w:sz w:val="20"/>
                <w:szCs w:val="20"/>
                <w:color w:val="auto"/>
              </w:rPr>
            </w:pPr>
          </w:p>
        </w:tc>
      </w:tr>
      <w:tr>
        <w:trPr>
          <w:trHeight w:val="269"/>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420" w:type="dxa"/>
            <w:vAlign w:val="bottom"/>
          </w:tcPr>
          <w:p>
            <w:pPr>
              <w:spacing w:after="0"/>
              <w:rPr>
                <w:sz w:val="23"/>
                <w:szCs w:val="23"/>
                <w:color w:val="auto"/>
              </w:rPr>
            </w:pPr>
          </w:p>
        </w:tc>
        <w:tc>
          <w:tcPr>
            <w:tcW w:w="4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ectPr>
          <w:pgSz w:w="11900" w:h="16838" w:orient="portrait"/>
          <w:cols w:equalWidth="0" w:num="1">
            <w:col w:w="9019"/>
          </w:cols>
          <w:pgMar w:left="1440" w:top="26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4"/>
                <w:szCs w:val="14"/>
                <w:b w:val="1"/>
                <w:bCs w:val="1"/>
                <w:color w:val="auto"/>
              </w:rPr>
              <w:t>Allison Transmission Holdings, Inc.</w:t>
            </w:r>
          </w:p>
        </w:tc>
      </w:tr>
      <w:tr>
        <w:trPr>
          <w:trHeight w:val="345"/>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Date: November 2, 2026</w:t>
            </w:r>
          </w:p>
        </w:tc>
        <w:tc>
          <w:tcPr>
            <w:tcW w:w="202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Eric C. Scroggins</w:t>
            </w:r>
          </w:p>
        </w:tc>
      </w:tr>
      <w:tr>
        <w:trPr>
          <w:trHeight w:val="159"/>
        </w:trPr>
        <w:tc>
          <w:tcPr>
            <w:tcW w:w="2900" w:type="dxa"/>
            <w:vAlign w:val="bottom"/>
          </w:tcPr>
          <w:p>
            <w:pPr>
              <w:spacing w:after="0"/>
              <w:rPr>
                <w:sz w:val="13"/>
                <w:szCs w:val="13"/>
                <w:color w:val="auto"/>
              </w:rPr>
            </w:pPr>
          </w:p>
        </w:tc>
        <w:tc>
          <w:tcPr>
            <w:tcW w:w="2020" w:type="dxa"/>
            <w:vAlign w:val="bottom"/>
          </w:tcPr>
          <w:p>
            <w:pPr>
              <w:ind w:left="1500"/>
              <w:spacing w:after="0" w:line="159" w:lineRule="exact"/>
              <w:rPr>
                <w:sz w:val="20"/>
                <w:szCs w:val="20"/>
                <w:color w:val="auto"/>
              </w:rPr>
            </w:pPr>
            <w:r>
              <w:rPr>
                <w:rFonts w:ascii="Times New Roman" w:cs="Times New Roman" w:eastAsia="Times New Roman" w:hAnsi="Times New Roman"/>
                <w:sz w:val="14"/>
                <w:szCs w:val="14"/>
                <w:color w:val="auto"/>
              </w:rPr>
              <w:t>Name:</w:t>
            </w:r>
          </w:p>
        </w:tc>
        <w:tc>
          <w:tcPr>
            <w:tcW w:w="38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Eric C. Scroggins</w:t>
            </w:r>
          </w:p>
        </w:tc>
      </w:tr>
      <w:tr>
        <w:trPr>
          <w:trHeight w:val="186"/>
        </w:trPr>
        <w:tc>
          <w:tcPr>
            <w:tcW w:w="2900" w:type="dxa"/>
            <w:vAlign w:val="bottom"/>
          </w:tcPr>
          <w:p>
            <w:pPr>
              <w:spacing w:after="0"/>
              <w:rPr>
                <w:sz w:val="16"/>
                <w:szCs w:val="16"/>
                <w:color w:val="auto"/>
              </w:rPr>
            </w:pPr>
          </w:p>
        </w:tc>
        <w:tc>
          <w:tcPr>
            <w:tcW w:w="2020" w:type="dxa"/>
            <w:vAlign w:val="bottom"/>
          </w:tcPr>
          <w:p>
            <w:pPr>
              <w:ind w:left="1500"/>
              <w:spacing w:after="0"/>
              <w:rPr>
                <w:sz w:val="20"/>
                <w:szCs w:val="20"/>
                <w:color w:val="auto"/>
              </w:rPr>
            </w:pPr>
            <w:r>
              <w:rPr>
                <w:rFonts w:ascii="Times New Roman" w:cs="Times New Roman" w:eastAsia="Times New Roman" w:hAnsi="Times New Roman"/>
                <w:sz w:val="14"/>
                <w:szCs w:val="14"/>
                <w:color w:val="auto"/>
              </w:rPr>
              <w:t>Title:</w:t>
            </w: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Chief Legal Officer and Assistant Secretary</w:t>
            </w:r>
          </w:p>
        </w:tc>
      </w:tr>
    </w:tbl>
    <w:p>
      <w:pPr>
        <w:sectPr>
          <w:pgSz w:w="11900" w:h="16838" w:orient="portrait"/>
          <w:cols w:equalWidth="0" w:num="1">
            <w:col w:w="9019"/>
          </w:cols>
          <w:pgMar w:left="1440" w:top="263" w:right="1440" w:bottom="1440" w:gutter="0" w:footer="0" w:header="0"/>
        </w:sectPr>
      </w:pPr>
    </w:p>
    <w:bookmarkStart w:id="3" w:name="page4"/>
    <w:bookmarkEnd w:id="3"/>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140970</wp:posOffset>
            </wp:positionV>
            <wp:extent cx="1311910" cy="389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11910" cy="389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140970</wp:posOffset>
            </wp:positionV>
            <wp:extent cx="1510030" cy="314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003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Allison Announces Third Quarter 2026 Results</w:t>
      </w:r>
    </w:p>
    <w:p>
      <w:pPr>
        <w:spacing w:after="0" w:line="205" w:lineRule="exact"/>
        <w:rPr>
          <w:sz w:val="20"/>
          <w:szCs w:val="20"/>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Raising revenue, earnings and cash flow guidance for the second consecutive quarter</w:t>
      </w:r>
    </w:p>
    <w:p>
      <w:pPr>
        <w:spacing w:after="0" w:line="107" w:lineRule="exact"/>
        <w:rPr>
          <w:rFonts w:ascii="Times New Roman" w:cs="Times New Roman" w:eastAsia="Times New Roman" w:hAnsi="Times New Roman"/>
          <w:sz w:val="14"/>
          <w:szCs w:val="14"/>
          <w:color w:val="auto"/>
        </w:rPr>
      </w:pPr>
    </w:p>
    <w:p>
      <w:pPr>
        <w:ind w:left="460" w:right="719" w:hanging="260"/>
        <w:spacing w:after="0" w:line="296"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Net Sales of $1,534 million, up 121% year over year, including the addition of the Allison Off-Highway business unit acquired on January 1, 2026</w:t>
      </w:r>
    </w:p>
    <w:p>
      <w:pPr>
        <w:spacing w:after="0" w:line="44"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Record quarterly net sales of $881 million for the Allison Transmission business unit, up 27% year over year</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Net Income of $191 million, 12.5% of Net Sales</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Diluted EPS of $2.30, Adjusted Diluted EPS of $2.90, up 59% year over year</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Adjusted EBITDA of $400 million, up 56% year over year, 26.1% of Net Sales</w:t>
      </w:r>
    </w:p>
    <w:p>
      <w:pPr>
        <w:spacing w:after="0" w:line="183" w:lineRule="exact"/>
        <w:rPr>
          <w:sz w:val="20"/>
          <w:szCs w:val="20"/>
          <w:color w:val="auto"/>
        </w:rPr>
      </w:pPr>
    </w:p>
    <w:p>
      <w:pPr>
        <w:ind w:left="120" w:right="199"/>
        <w:spacing w:after="0" w:line="296" w:lineRule="auto"/>
        <w:rPr>
          <w:sz w:val="20"/>
          <w:szCs w:val="20"/>
          <w:color w:val="auto"/>
        </w:rPr>
      </w:pPr>
      <w:r>
        <w:rPr>
          <w:rFonts w:ascii="Times New Roman" w:cs="Times New Roman" w:eastAsia="Times New Roman" w:hAnsi="Times New Roman"/>
          <w:sz w:val="14"/>
          <w:szCs w:val="14"/>
          <w:b w:val="1"/>
          <w:bCs w:val="1"/>
          <w:color w:val="auto"/>
        </w:rPr>
        <w:t>INDIANAPOLIS, November 2, 2026 – Allison Transmission Holdings Inc. (NYSE: ALSN)</w:t>
      </w:r>
      <w:r>
        <w:rPr>
          <w:rFonts w:ascii="Times New Roman" w:cs="Times New Roman" w:eastAsia="Times New Roman" w:hAnsi="Times New Roman"/>
          <w:sz w:val="14"/>
          <w:szCs w:val="14"/>
          <w:color w:val="auto"/>
        </w:rPr>
        <w:t>, today reported third quarter net sales of $1,534 million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an adjusted EBITDA margin of 26.1 percent and net cash provided by operating activities of $343 million and raised full year 2026 guidance.</w:t>
      </w:r>
    </w:p>
    <w:p>
      <w:pPr>
        <w:spacing w:after="0" w:line="121" w:lineRule="exact"/>
        <w:rPr>
          <w:sz w:val="20"/>
          <w:szCs w:val="20"/>
          <w:color w:val="auto"/>
        </w:rPr>
      </w:pPr>
    </w:p>
    <w:p>
      <w:pPr>
        <w:ind w:left="120" w:right="159"/>
        <w:spacing w:after="0" w:line="261" w:lineRule="auto"/>
        <w:rPr>
          <w:sz w:val="20"/>
          <w:szCs w:val="20"/>
          <w:color w:val="auto"/>
        </w:rPr>
      </w:pPr>
      <w:r>
        <w:rPr>
          <w:rFonts w:ascii="Times New Roman" w:cs="Times New Roman" w:eastAsia="Times New Roman" w:hAnsi="Times New Roman"/>
          <w:sz w:val="14"/>
          <w:szCs w:val="14"/>
          <w:color w:val="auto"/>
        </w:rPr>
        <w:t>David S. Graziosi, Chair, President and Chief Executive Officer of Allison commented, “Allison’s third quarter results reflect continued strength across the majority of our end markets, supported by disciplined execution that maximized the benefits of higher volumes. Within the Allison Transmission business unit, demand accelerated for medium-duty and Class 8 vocational trucks, driving record quarterly revenue of $462 million in the North America On-Highway end market. Within the Allison Off-Highway business unit, momentum in the Mining end market remained robust, while the Construction &amp; Material Handling end market delivered year over year growth across all regions, exceeding our expectations entering 2026. As anticipated, third quarter performance reflects customary seasonality for the business unit, including the impact of European holidays, and represents the softest quarter of the year. Conversely, demand within the Industrial and Agriculture end markets remained subdued, as ongoing geopolitical developments continue to temper customer purchasing activity.”</w:t>
      </w:r>
    </w:p>
    <w:p>
      <w:pPr>
        <w:spacing w:after="0" w:line="149" w:lineRule="exact"/>
        <w:rPr>
          <w:sz w:val="20"/>
          <w:szCs w:val="20"/>
          <w:color w:val="auto"/>
        </w:rPr>
      </w:pPr>
    </w:p>
    <w:p>
      <w:pPr>
        <w:ind w:left="120" w:right="219"/>
        <w:spacing w:after="0" w:line="266" w:lineRule="auto"/>
        <w:rPr>
          <w:sz w:val="20"/>
          <w:szCs w:val="20"/>
          <w:color w:val="auto"/>
        </w:rPr>
      </w:pPr>
      <w:r>
        <w:rPr>
          <w:rFonts w:ascii="Times New Roman" w:cs="Times New Roman" w:eastAsia="Times New Roman" w:hAnsi="Times New Roman"/>
          <w:sz w:val="14"/>
          <w:szCs w:val="14"/>
          <w:color w:val="auto"/>
        </w:rPr>
        <w:t>Graziosi continued, “Favorable end markets demand conditions and operational execution drove strong cash generation in the third quarter, resulting in adjusted free cash flow of $278 million, up 51 percent year over year. Year to date, this cash generation has supported the repayment of over</w:t>
      </w:r>
    </w:p>
    <w:p>
      <w:pPr>
        <w:spacing w:after="0" w:line="1" w:lineRule="exact"/>
        <w:rPr>
          <w:sz w:val="20"/>
          <w:szCs w:val="20"/>
          <w:color w:val="auto"/>
        </w:rPr>
      </w:pPr>
    </w:p>
    <w:p>
      <w:pPr>
        <w:ind w:left="120" w:right="259"/>
        <w:spacing w:after="0" w:line="264" w:lineRule="auto"/>
        <w:rPr>
          <w:sz w:val="20"/>
          <w:szCs w:val="20"/>
          <w:color w:val="auto"/>
        </w:rPr>
      </w:pPr>
      <w:r>
        <w:rPr>
          <w:rFonts w:ascii="Times New Roman" w:cs="Times New Roman" w:eastAsia="Times New Roman" w:hAnsi="Times New Roman"/>
          <w:sz w:val="14"/>
          <w:szCs w:val="14"/>
          <w:color w:val="auto"/>
        </w:rPr>
        <w:t>$400 million of debt, advancing the Company toward our leverage target. In addition to debt reduction, Allison remains committed to returning capital to shareholders through our quarterly dividend and share repurchase program. During the third quarter, Allison paid $23 million for its quarterly dividend and repurchased $57 million of common stock.”</w:t>
      </w:r>
    </w:p>
    <w:p>
      <w:pPr>
        <w:spacing w:after="0" w:line="144" w:lineRule="exact"/>
        <w:rPr>
          <w:sz w:val="20"/>
          <w:szCs w:val="20"/>
          <w:color w:val="auto"/>
        </w:rPr>
      </w:pPr>
    </w:p>
    <w:p>
      <w:pPr>
        <w:jc w:val="both"/>
        <w:ind w:left="120" w:right="379"/>
        <w:spacing w:after="0" w:line="275" w:lineRule="auto"/>
        <w:rPr>
          <w:sz w:val="20"/>
          <w:szCs w:val="20"/>
          <w:color w:val="auto"/>
        </w:rPr>
      </w:pPr>
      <w:r>
        <w:rPr>
          <w:rFonts w:ascii="Times New Roman" w:cs="Times New Roman" w:eastAsia="Times New Roman" w:hAnsi="Times New Roman"/>
          <w:sz w:val="14"/>
          <w:szCs w:val="14"/>
          <w:color w:val="auto"/>
        </w:rPr>
        <w:t>Third quarter results include segment reporting for Allison Transmission, the Company’s legacy business, excluding certain costs now accounted for within the Allison Central Group, and Allison Off-Highway, the business acquired from Dana Incorporated on January 1, 2026. The Allison Central Group is a centralized cost center which includes certain functional costs that support the Company’s global operations.</w:t>
      </w: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Allison Consolidated Third Quarter Financial Results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sales for the quarter were $1,534 million, including the addition of $653 million in net sales for the Allison Off-Highway business unit.</w:t>
      </w:r>
    </w:p>
    <w:p>
      <w:pPr>
        <w:spacing w:after="0" w:line="183" w:lineRule="exact"/>
        <w:rPr>
          <w:sz w:val="20"/>
          <w:szCs w:val="20"/>
          <w:color w:val="auto"/>
        </w:rPr>
      </w:pPr>
    </w:p>
    <w:p>
      <w:pPr>
        <w:jc w:val="both"/>
        <w:ind w:left="120" w:right="239"/>
        <w:spacing w:after="0" w:line="275" w:lineRule="auto"/>
        <w:rPr>
          <w:sz w:val="20"/>
          <w:szCs w:val="20"/>
          <w:color w:val="auto"/>
        </w:rPr>
      </w:pPr>
      <w:r>
        <w:rPr>
          <w:rFonts w:ascii="Times New Roman" w:cs="Times New Roman" w:eastAsia="Times New Roman" w:hAnsi="Times New Roman"/>
          <w:sz w:val="14"/>
          <w:szCs w:val="14"/>
          <w:color w:val="auto"/>
        </w:rPr>
        <w:t>Gross profit for the quarter was $505 million, an increase of $175 million from $330 million for the same period in 2025. The increase was principally driven by the addition of the Allison Off-Highway business unit and a $77 million increase in the Allison Transmission business unit. Gross margin for the quarter was 33 percent.</w:t>
      </w:r>
    </w:p>
    <w:p>
      <w:pPr>
        <w:spacing w:after="0" w:line="135" w:lineRule="exact"/>
        <w:rPr>
          <w:sz w:val="20"/>
          <w:szCs w:val="20"/>
          <w:color w:val="auto"/>
        </w:rPr>
      </w:pPr>
    </w:p>
    <w:p>
      <w:pPr>
        <w:jc w:val="both"/>
        <w:ind w:left="120" w:right="179"/>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for the quarter were $142 million, an increase of $59 million from $83 million for the same period in 2025. The increase was principally driven by the addition of the Allison Off-Highway business unit. Selling general and administrative expenses for the third quarter include $4 million of one-time acquisition-related expenses.</w:t>
      </w:r>
    </w:p>
    <w:p>
      <w:pPr>
        <w:sectPr>
          <w:pgSz w:w="11900" w:h="16838" w:orient="portrait"/>
          <w:cols w:equalWidth="0" w:num="1">
            <w:col w:w="9019"/>
          </w:cols>
          <w:pgMar w:left="1440" w:top="123" w:right="1440" w:bottom="1440" w:gutter="0" w:footer="0" w:header="0"/>
        </w:sectPr>
      </w:pPr>
    </w:p>
    <w:bookmarkStart w:id="4" w:name="page5"/>
    <w:bookmarkEnd w:id="4"/>
    <w:p>
      <w:pPr>
        <w:ind w:left="120" w:right="25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Engineering – research and development expenses for the quarter were $59 million, an increase of $16 million from $43 million for the same period in 2025. The increase was principally driven by the addition of the Allison Off-Highway business unit.</w:t>
      </w:r>
    </w:p>
    <w:p>
      <w:pPr>
        <w:spacing w:after="0" w:line="123" w:lineRule="exact"/>
        <w:rPr>
          <w:sz w:val="20"/>
          <w:szCs w:val="20"/>
          <w:color w:val="auto"/>
        </w:rPr>
      </w:pPr>
    </w:p>
    <w:p>
      <w:pPr>
        <w:ind w:left="120" w:right="199"/>
        <w:spacing w:after="0" w:line="268" w:lineRule="auto"/>
        <w:rPr>
          <w:sz w:val="20"/>
          <w:szCs w:val="20"/>
          <w:color w:val="auto"/>
        </w:rPr>
      </w:pPr>
      <w:r>
        <w:rPr>
          <w:rFonts w:ascii="Times New Roman" w:cs="Times New Roman" w:eastAsia="Times New Roman" w:hAnsi="Times New Roman"/>
          <w:sz w:val="14"/>
          <w:szCs w:val="14"/>
          <w:color w:val="auto"/>
        </w:rPr>
        <w:t>Net income for the quarter was $191 million, an increase of $54 million from $137 million for the same period in 2025. The increase was principally driven by increased gross profit from the addition of the Allison Off-Highway business unit, higher gross profit in the Allison Transmission business unit and lower acquisition-related expenses. The year over year increase in net income was partially offset by higher interest expense, net, a $17 million charge attributable to optimization activities within the Allison Off-Highway business unit and higher income tax expense.</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Diluted EPS for the third quarter was $2.30, a year over year increase of 41 percent.</w:t>
      </w:r>
    </w:p>
    <w:p>
      <w:pPr>
        <w:spacing w:after="0" w:line="183" w:lineRule="exact"/>
        <w:rPr>
          <w:sz w:val="20"/>
          <w:szCs w:val="20"/>
          <w:color w:val="auto"/>
        </w:rPr>
      </w:pPr>
    </w:p>
    <w:p>
      <w:pPr>
        <w:jc w:val="both"/>
        <w:ind w:left="120" w:right="299"/>
        <w:spacing w:after="0" w:line="275" w:lineRule="auto"/>
        <w:rPr>
          <w:sz w:val="20"/>
          <w:szCs w:val="20"/>
          <w:color w:val="auto"/>
        </w:rPr>
      </w:pPr>
      <w:r>
        <w:rPr>
          <w:rFonts w:ascii="Times New Roman" w:cs="Times New Roman" w:eastAsia="Times New Roman" w:hAnsi="Times New Roman"/>
          <w:sz w:val="14"/>
          <w:szCs w:val="14"/>
          <w:color w:val="auto"/>
        </w:rPr>
        <w:t>Excluding the effect of certain non-cash, non-recurring, infrequent or unusual items, including the costs associated with the acquisition of the Allison Off-Highway business unit, adjusted net income, a non-GAAP financial measure, was $241 million for the third quarter and adjusted diluted EPS was $2.90, a year over year increase of 59 percent.</w:t>
      </w:r>
    </w:p>
    <w:p>
      <w:pPr>
        <w:spacing w:after="0" w:line="135" w:lineRule="exact"/>
        <w:rPr>
          <w:sz w:val="20"/>
          <w:szCs w:val="20"/>
          <w:color w:val="auto"/>
        </w:rPr>
      </w:pPr>
    </w:p>
    <w:p>
      <w:pPr>
        <w:ind w:left="120" w:right="259"/>
        <w:spacing w:after="0" w:line="293" w:lineRule="auto"/>
        <w:rPr>
          <w:sz w:val="20"/>
          <w:szCs w:val="20"/>
          <w:color w:val="auto"/>
        </w:rPr>
      </w:pPr>
      <w:r>
        <w:rPr>
          <w:rFonts w:ascii="Times New Roman" w:cs="Times New Roman" w:eastAsia="Times New Roman" w:hAnsi="Times New Roman"/>
          <w:sz w:val="14"/>
          <w:szCs w:val="14"/>
          <w:color w:val="auto"/>
        </w:rPr>
        <w:t>Adjusted EBITDA, a non-GAAP financial measure, was $400 million for the third quarter, an increase of $144 million from $256 million for the same period in 2025. Adjusted EBITDA margin for the quarter was 26.1 percent.</w:t>
      </w:r>
    </w:p>
    <w:p>
      <w:pPr>
        <w:spacing w:after="0" w:line="123" w:lineRule="exact"/>
        <w:rPr>
          <w:sz w:val="20"/>
          <w:szCs w:val="20"/>
          <w:color w:val="auto"/>
        </w:rPr>
      </w:pPr>
    </w:p>
    <w:p>
      <w:pPr>
        <w:ind w:left="120" w:right="139"/>
        <w:spacing w:after="0" w:line="293" w:lineRule="auto"/>
        <w:rPr>
          <w:sz w:val="20"/>
          <w:szCs w:val="20"/>
          <w:color w:val="auto"/>
        </w:rPr>
      </w:pPr>
      <w:r>
        <w:rPr>
          <w:rFonts w:ascii="Times New Roman" w:cs="Times New Roman" w:eastAsia="Times New Roman" w:hAnsi="Times New Roman"/>
          <w:sz w:val="14"/>
          <w:szCs w:val="14"/>
          <w:color w:val="auto"/>
        </w:rPr>
        <w:t>Net cash provided by operating activities for the quarter was $343 million, a year over year increase of 50 percent. Adjusted free cash flow, a non-GAAP financial measure, for the quarter was $278 million, a year over year increase of 51 percent.</w:t>
      </w:r>
    </w:p>
    <w:p>
      <w:pPr>
        <w:spacing w:after="0" w:line="123" w:lineRule="exact"/>
        <w:rPr>
          <w:sz w:val="20"/>
          <w:szCs w:val="20"/>
          <w:color w:val="auto"/>
        </w:rPr>
      </w:pPr>
    </w:p>
    <w:p>
      <w:pPr>
        <w:ind w:left="120" w:right="619"/>
        <w:spacing w:after="0" w:line="293" w:lineRule="auto"/>
        <w:rPr>
          <w:sz w:val="20"/>
          <w:szCs w:val="20"/>
          <w:color w:val="auto"/>
        </w:rPr>
      </w:pPr>
      <w:r>
        <w:rPr>
          <w:rFonts w:ascii="Times New Roman" w:cs="Times New Roman" w:eastAsia="Times New Roman" w:hAnsi="Times New Roman"/>
          <w:sz w:val="14"/>
          <w:szCs w:val="14"/>
          <w:color w:val="auto"/>
        </w:rPr>
        <w:t>Allison ended the third quarter with nearly $500 million of cash and cash equivalents and $996 million of available borrowing capacity under its revolving credit facility. Allison ended the third quarter with total debt of $4,012 million and net debt of $3,515 million.</w:t>
      </w:r>
    </w:p>
    <w:p>
      <w:pPr>
        <w:spacing w:after="0" w:line="123" w:lineRule="exact"/>
        <w:rPr>
          <w:sz w:val="20"/>
          <w:szCs w:val="20"/>
          <w:color w:val="auto"/>
        </w:rPr>
      </w:pPr>
    </w:p>
    <w:p>
      <w:pPr>
        <w:jc w:val="both"/>
        <w:ind w:left="120" w:right="259"/>
        <w:spacing w:after="0" w:line="293" w:lineRule="auto"/>
        <w:rPr>
          <w:sz w:val="20"/>
          <w:szCs w:val="20"/>
          <w:color w:val="auto"/>
        </w:rPr>
      </w:pPr>
      <w:r>
        <w:rPr>
          <w:rFonts w:ascii="Times New Roman" w:cs="Times New Roman" w:eastAsia="Times New Roman" w:hAnsi="Times New Roman"/>
          <w:sz w:val="14"/>
          <w:szCs w:val="14"/>
          <w:color w:val="auto"/>
        </w:rPr>
        <w:t>During the third quarter, Allison paid a quarterly dividend of $0.29 per share and repurchased $57 million of its common stock, with $1,068 million of authorization remaining under its stock repurchase program.</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Allison Transmission Third Quarter Financial Highlights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sales for the quarter increased 27 percent from the same period in 2025, leading to record quarterly net sales of $881 million.</w:t>
      </w:r>
    </w:p>
    <w:p>
      <w:pPr>
        <w:spacing w:after="0" w:line="183" w:lineRule="exact"/>
        <w:rPr>
          <w:sz w:val="20"/>
          <w:szCs w:val="20"/>
          <w:color w:val="auto"/>
        </w:rPr>
      </w:pPr>
    </w:p>
    <w:p>
      <w:pPr>
        <w:jc w:val="both"/>
        <w:ind w:left="120" w:right="279"/>
        <w:spacing w:after="0" w:line="275" w:lineRule="auto"/>
        <w:rPr>
          <w:sz w:val="20"/>
          <w:szCs w:val="20"/>
          <w:color w:val="auto"/>
        </w:rPr>
      </w:pPr>
      <w:r>
        <w:rPr>
          <w:rFonts w:ascii="Times New Roman" w:cs="Times New Roman" w:eastAsia="Times New Roman" w:hAnsi="Times New Roman"/>
          <w:sz w:val="14"/>
          <w:szCs w:val="14"/>
          <w:color w:val="auto"/>
        </w:rPr>
        <w:t>Gross profit for the quarter was $407 million, an increase of $77 million from $330 million for the same period in 2025. The increase was principally driven by higher volumes for medium-duty and Class 8 vocational trucks and price increases on certain products, partially offset by unfavorable direct material costs and higher manufacturing expense. Gross margin for the third quarter was 46 percent.</w:t>
      </w:r>
    </w:p>
    <w:p>
      <w:pPr>
        <w:spacing w:after="0" w:line="135" w:lineRule="exact"/>
        <w:rPr>
          <w:sz w:val="20"/>
          <w:szCs w:val="20"/>
          <w:color w:val="auto"/>
        </w:rPr>
      </w:pPr>
    </w:p>
    <w:p>
      <w:pPr>
        <w:ind w:left="120" w:right="239"/>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for the quarter were $62 million, an increase of $7 million from $55 million for the same period in 2025 when adjusting for allocations of certain selling, general and administrative expenses to the Allison Central Group. The increase was principally driven by higher incentive compensation expense.</w:t>
      </w:r>
    </w:p>
    <w:p>
      <w:pPr>
        <w:spacing w:after="0" w:line="135" w:lineRule="exact"/>
        <w:rPr>
          <w:sz w:val="20"/>
          <w:szCs w:val="20"/>
          <w:color w:val="auto"/>
        </w:rPr>
      </w:pPr>
    </w:p>
    <w:p>
      <w:pPr>
        <w:ind w:left="120" w:right="339"/>
        <w:spacing w:after="0" w:line="293" w:lineRule="auto"/>
        <w:rPr>
          <w:sz w:val="20"/>
          <w:szCs w:val="20"/>
          <w:color w:val="auto"/>
        </w:rPr>
      </w:pPr>
      <w:r>
        <w:rPr>
          <w:rFonts w:ascii="Times New Roman" w:cs="Times New Roman" w:eastAsia="Times New Roman" w:hAnsi="Times New Roman"/>
          <w:sz w:val="14"/>
          <w:szCs w:val="14"/>
          <w:color w:val="auto"/>
        </w:rPr>
        <w:t>Engineering – research and development expenses for the quarter were $45 million, an increase of $2 million from $43 million for the same period in 2025. The increase was principally driven by higher incentive compensation expense, partially offset by reduced product initiatives spending.</w:t>
      </w:r>
    </w:p>
    <w:p>
      <w:pPr>
        <w:spacing w:after="0" w:line="123" w:lineRule="exact"/>
        <w:rPr>
          <w:sz w:val="20"/>
          <w:szCs w:val="20"/>
          <w:color w:val="auto"/>
        </w:rPr>
      </w:pPr>
    </w:p>
    <w:p>
      <w:pPr>
        <w:ind w:left="120" w:right="419"/>
        <w:spacing w:after="0" w:line="293" w:lineRule="auto"/>
        <w:rPr>
          <w:sz w:val="20"/>
          <w:szCs w:val="20"/>
          <w:color w:val="auto"/>
        </w:rPr>
      </w:pPr>
      <w:r>
        <w:rPr>
          <w:rFonts w:ascii="Times New Roman" w:cs="Times New Roman" w:eastAsia="Times New Roman" w:hAnsi="Times New Roman"/>
          <w:sz w:val="14"/>
          <w:szCs w:val="14"/>
          <w:color w:val="auto"/>
        </w:rPr>
        <w:t>Segment operating profit was $300 million, or 34 percent of net sales, for the third quarter. Adjusted EBITDA, a non-GAAP financial measure, was $333 million for the third quarter. Adjusted EBITDA margin for the quarter was 38 percent.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Allison Off-Highway Third Quarter Financial Highlights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Net sales for the quarter were $653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Gross profit for the quarter was $98 million, representing 15 percent of net sales.</w:t>
      </w:r>
    </w:p>
    <w:p>
      <w:pPr>
        <w:sectPr>
          <w:pgSz w:w="11900" w:h="16838" w:orient="portrait"/>
          <w:cols w:equalWidth="0" w:num="1">
            <w:col w:w="9019"/>
          </w:cols>
          <w:pgMar w:left="1440" w:top="243" w:right="1440" w:bottom="1440" w:gutter="0" w:footer="0" w:header="0"/>
        </w:sectPr>
      </w:pPr>
    </w:p>
    <w:bookmarkStart w:id="5" w:name="page6"/>
    <w:bookmarkEnd w:id="5"/>
    <w:p>
      <w:pPr>
        <w:ind w:left="120" w:right="339"/>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Selling, general and administrative expenses for the quarter were $52 million. Engineering – research and development expenses for the quarter were $14 million.</w:t>
      </w:r>
    </w:p>
    <w:p>
      <w:pPr>
        <w:spacing w:after="0" w:line="123" w:lineRule="exact"/>
        <w:rPr>
          <w:sz w:val="20"/>
          <w:szCs w:val="20"/>
          <w:color w:val="auto"/>
        </w:rPr>
      </w:pPr>
    </w:p>
    <w:p>
      <w:pPr>
        <w:ind w:left="120" w:right="559"/>
        <w:spacing w:after="0" w:line="293" w:lineRule="auto"/>
        <w:rPr>
          <w:sz w:val="20"/>
          <w:szCs w:val="20"/>
          <w:color w:val="auto"/>
        </w:rPr>
      </w:pPr>
      <w:r>
        <w:rPr>
          <w:rFonts w:ascii="Times New Roman" w:cs="Times New Roman" w:eastAsia="Times New Roman" w:hAnsi="Times New Roman"/>
          <w:sz w:val="14"/>
          <w:szCs w:val="14"/>
          <w:color w:val="auto"/>
        </w:rPr>
        <w:t>Segment operating profit was $32 million, or 5 percent of net sales, for the third quarter. Adjusted EBITDA, a non-GAAP financial measure, was $83 million for the third quarter. Adjusted EBITDA margin for the quarter was 13 percent.</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Full Year 2026 Guidance Update</w:t>
      </w:r>
    </w:p>
    <w:p>
      <w:pPr>
        <w:spacing w:after="0" w:line="99" w:lineRule="exact"/>
        <w:rPr>
          <w:sz w:val="20"/>
          <w:szCs w:val="20"/>
          <w:color w:val="auto"/>
        </w:rPr>
      </w:pPr>
    </w:p>
    <w:p>
      <w:pPr>
        <w:ind w:left="120" w:right="519"/>
        <w:spacing w:after="0" w:line="293" w:lineRule="auto"/>
        <w:rPr>
          <w:sz w:val="20"/>
          <w:szCs w:val="20"/>
          <w:color w:val="auto"/>
        </w:rPr>
      </w:pPr>
      <w:r>
        <w:rPr>
          <w:rFonts w:ascii="Times New Roman" w:cs="Times New Roman" w:eastAsia="Times New Roman" w:hAnsi="Times New Roman"/>
          <w:sz w:val="14"/>
          <w:szCs w:val="14"/>
          <w:color w:val="auto"/>
        </w:rPr>
        <w:t>Given our third quarter results and improved conditions across the majority of our key end markets, we are increasing our full year 2026 guidance provided to the market on August 3, 2026. Allison expects:</w:t>
      </w:r>
    </w:p>
    <w:p>
      <w:pPr>
        <w:spacing w:after="0" w:line="48" w:lineRule="exact"/>
        <w:rPr>
          <w:sz w:val="20"/>
          <w:szCs w:val="20"/>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sales in the range of $5,975 to $6,075 million</w:t>
      </w:r>
    </w:p>
    <w:p>
      <w:pPr>
        <w:spacing w:after="0" w:line="107" w:lineRule="exact"/>
        <w:rPr>
          <w:rFonts w:ascii="Times New Roman" w:cs="Times New Roman" w:eastAsia="Times New Roman" w:hAnsi="Times New Roman"/>
          <w:sz w:val="14"/>
          <w:szCs w:val="14"/>
          <w:color w:val="auto"/>
        </w:rPr>
      </w:pPr>
    </w:p>
    <w:p>
      <w:pPr>
        <w:ind w:left="880" w:right="259" w:hanging="335"/>
        <w:spacing w:after="0" w:line="266"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in the range of $645 to $685 million, subject to the completion of purchase price accounting associated with the acquisition of the Allison Off-Highway business unit</w:t>
      </w:r>
    </w:p>
    <w:p>
      <w:pPr>
        <w:spacing w:after="0" w:line="1" w:lineRule="exact"/>
        <w:rPr>
          <w:rFonts w:ascii="Times New Roman" w:cs="Times New Roman" w:eastAsia="Times New Roman" w:hAnsi="Times New Roman"/>
          <w:sz w:val="14"/>
          <w:szCs w:val="14"/>
          <w:color w:val="auto"/>
        </w:rPr>
      </w:pPr>
    </w:p>
    <w:p>
      <w:pPr>
        <w:ind w:left="1780" w:right="219" w:hanging="439"/>
        <w:spacing w:after="0" w:line="260" w:lineRule="auto"/>
        <w:tabs>
          <w:tab w:leader="none" w:pos="178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guidance includes approximately $125 million of one-time, pre-tax expenses associated with the separation, integration and restructuring of the Allison Off-Highway business unit. This includes restructuring charges related to manufacturing footprint optimization in our European operations and approximately $65 million of expenses related to the stepped-up basis in inventory. Including one-time costs, the Allison Off-Highway acquisition is expected to be accretive to net income and diluted EPS in 2026</w:t>
      </w:r>
    </w:p>
    <w:p>
      <w:pPr>
        <w:spacing w:after="0" w:line="71"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in the range of $1,530 to $1,580 million</w:t>
      </w:r>
    </w:p>
    <w:p>
      <w:pPr>
        <w:spacing w:after="0" w:line="108" w:lineRule="exact"/>
        <w:rPr>
          <w:rFonts w:ascii="Times New Roman" w:cs="Times New Roman" w:eastAsia="Times New Roman" w:hAnsi="Times New Roman"/>
          <w:sz w:val="14"/>
          <w:szCs w:val="14"/>
          <w:color w:val="auto"/>
        </w:rPr>
      </w:pPr>
    </w:p>
    <w:p>
      <w:pPr>
        <w:ind w:left="880" w:right="35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cash provided by operating activities in the range of $1,110 to $1,140 million, including approximately $60 million of one-time cash outlays associated with the acquisition of the Allison Off-Highway business unit</w:t>
      </w:r>
    </w:p>
    <w:p>
      <w:pPr>
        <w:spacing w:after="0" w:line="48" w:lineRule="exact"/>
        <w:rPr>
          <w:rFonts w:ascii="Times New Roman" w:cs="Times New Roman" w:eastAsia="Times New Roman" w:hAnsi="Times New Roman"/>
          <w:sz w:val="14"/>
          <w:szCs w:val="14"/>
          <w:color w:val="auto"/>
        </w:rPr>
      </w:pPr>
    </w:p>
    <w:p>
      <w:pPr>
        <w:ind w:left="880" w:right="199" w:hanging="335"/>
        <w:spacing w:after="0" w:line="293" w:lineRule="auto"/>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capital expenditures in the range of $240 to $260 million, including one-time separation and integration capital expenditures of approximately $20 million</w:t>
      </w:r>
    </w:p>
    <w:p>
      <w:pPr>
        <w:spacing w:after="0" w:line="48" w:lineRule="exact"/>
        <w:rPr>
          <w:rFonts w:ascii="Times New Roman" w:cs="Times New Roman" w:eastAsia="Times New Roman" w:hAnsi="Times New Roman"/>
          <w:sz w:val="14"/>
          <w:szCs w:val="14"/>
          <w:color w:val="auto"/>
        </w:rPr>
      </w:pPr>
    </w:p>
    <w:p>
      <w:pPr>
        <w:ind w:left="880" w:hanging="335"/>
        <w:spacing w:after="0"/>
        <w:tabs>
          <w:tab w:leader="none" w:pos="8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free cash flow in the range of $850 to $900 million</w:t>
      </w:r>
    </w:p>
    <w:p>
      <w:pPr>
        <w:sectPr>
          <w:pgSz w:w="11900" w:h="16838" w:orient="portrait"/>
          <w:cols w:equalWidth="0" w:num="1">
            <w:col w:w="9019"/>
          </w:cols>
          <w:pgMar w:left="1440" w:top="243" w:right="1440" w:bottom="1440" w:gutter="0" w:footer="0" w:header="0"/>
        </w:sectPr>
      </w:pPr>
    </w:p>
    <w:bookmarkStart w:id="6" w:name="page7"/>
    <w:bookmarkEnd w:id="6"/>
    <w:p>
      <w:pPr>
        <w:ind w:left="1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33020"/>
                    </a:xfrm>
                    <a:prstGeom prst="rect">
                      <a:avLst/>
                    </a:prstGeom>
                    <a:noFill/>
                  </pic:spPr>
                </pic:pic>
              </a:graphicData>
            </a:graphic>
          </wp:anchor>
        </w:drawing>
        <w:t>Conference Call and Webcast</w:t>
      </w:r>
    </w:p>
    <w:p>
      <w:pPr>
        <w:spacing w:after="0" w:line="99" w:lineRule="exact"/>
        <w:rPr>
          <w:sz w:val="20"/>
          <w:szCs w:val="20"/>
          <w:color w:val="auto"/>
        </w:rPr>
      </w:pPr>
    </w:p>
    <w:p>
      <w:pPr>
        <w:ind w:left="120" w:right="239"/>
        <w:spacing w:after="0" w:line="275" w:lineRule="auto"/>
        <w:rPr>
          <w:sz w:val="20"/>
          <w:szCs w:val="20"/>
          <w:color w:val="auto"/>
        </w:rPr>
      </w:pPr>
      <w:r>
        <w:rPr>
          <w:rFonts w:ascii="Times New Roman" w:cs="Times New Roman" w:eastAsia="Times New Roman" w:hAnsi="Times New Roman"/>
          <w:sz w:val="14"/>
          <w:szCs w:val="14"/>
          <w:color w:val="auto"/>
        </w:rPr>
        <w:t>The Company will host a conference call at 5:00 p.m. EST on Monday, November 2, 2026 to discuss its third quarter 2026 results. The dial-in phone number for the conference call is +1-877-425-9470 and the international dial-in number is +1-201-389-0878. A live webcast of the conference call will also be available online at https://ir.allisontransmission.com.</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For those unable to participate in the conference call, a replay will be available from 9:00 p.m. EST on November 2 until 11:59 p.m. EST on November</w:t>
      </w:r>
    </w:p>
    <w:p>
      <w:pPr>
        <w:spacing w:after="0" w:line="25" w:lineRule="exact"/>
        <w:rPr>
          <w:sz w:val="20"/>
          <w:szCs w:val="20"/>
          <w:color w:val="auto"/>
        </w:rPr>
      </w:pPr>
    </w:p>
    <w:p>
      <w:pPr>
        <w:ind w:left="120" w:right="579" w:hanging="6"/>
        <w:spacing w:after="0" w:line="273" w:lineRule="auto"/>
        <w:tabs>
          <w:tab w:leader="none" w:pos="33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replay dial-in phone number is +1-844-512-2921 and the international replay dial-in number is +1-412-317-6671. The replay passcode is 13763316.</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About Allison</w:t>
      </w:r>
    </w:p>
    <w:p>
      <w:pPr>
        <w:spacing w:after="0" w:line="99" w:lineRule="exact"/>
        <w:rPr>
          <w:sz w:val="20"/>
          <w:szCs w:val="20"/>
          <w:color w:val="auto"/>
        </w:rPr>
      </w:pPr>
    </w:p>
    <w:p>
      <w:pPr>
        <w:ind w:left="120" w:right="219"/>
        <w:spacing w:after="0" w:line="265" w:lineRule="auto"/>
        <w:rPr>
          <w:sz w:val="20"/>
          <w:szCs w:val="20"/>
          <w:color w:val="auto"/>
        </w:rPr>
      </w:pPr>
      <w:r>
        <w:rPr>
          <w:rFonts w:ascii="Times New Roman" w:cs="Times New Roman" w:eastAsia="Times New Roman" w:hAnsi="Times New Roman"/>
          <w:sz w:val="14"/>
          <w:szCs w:val="14"/>
          <w:color w:val="auto"/>
        </w:rPr>
        <w:t>Allison (NYSE: ALSN) is a global leader in high-performance mobility and work solutions built for the needs of the modern industrial world. Allison operates through two business units: Allison Transmission and Allison Off-Highway Drive &amp; Motion Systems. Headquartered in Indianapolis, Indiana, USA, the Company manufactures solutions which offer industry-leading value propositions across vital sectors such as infrastructure, mining, energy, agriculture, construction, transportation and national security. For over 110 years, Allison has been recognized as a reliable partner of choice, keeping essential industries moving anytime, in over 150 countries around the world. For more information, visit https://allisontransmission.com.</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9" w:lineRule="exact"/>
        <w:rPr>
          <w:sz w:val="20"/>
          <w:szCs w:val="20"/>
          <w:color w:val="auto"/>
        </w:rPr>
      </w:pPr>
    </w:p>
    <w:p>
      <w:pPr>
        <w:ind w:left="120" w:right="119"/>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the significant costs we are expected to incur in connection with the integration of the Off-Highway Drive &amp; Motion Systems business of Dana Incorporated (now referred to as the “Allison Off-Highway Business”); our ability to successfully integrate the Allison Off-Highway Business and its operations in the expected time frame; our ability to realize all of the anticipated benefits from the integration of the Allison Off-Highway Business and its operations and to effectively manage our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customers;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Use of Non-GAAP Financial Measures</w:t>
      </w:r>
    </w:p>
    <w:p>
      <w:pPr>
        <w:spacing w:after="0" w:line="99" w:lineRule="exact"/>
        <w:rPr>
          <w:sz w:val="20"/>
          <w:szCs w:val="20"/>
          <w:color w:val="auto"/>
        </w:rPr>
      </w:pPr>
    </w:p>
    <w:p>
      <w:pPr>
        <w:ind w:left="120" w:right="159"/>
        <w:spacing w:after="0" w:line="265" w:lineRule="auto"/>
        <w:rPr>
          <w:sz w:val="20"/>
          <w:szCs w:val="20"/>
          <w:color w:val="auto"/>
        </w:rPr>
      </w:pPr>
      <w:r>
        <w:rPr>
          <w:rFonts w:ascii="Times New Roman" w:cs="Times New Roman" w:eastAsia="Times New Roman" w:hAnsi="Times New Roman"/>
          <w:sz w:val="14"/>
          <w:szCs w:val="14"/>
          <w:color w:val="auto"/>
        </w:rPr>
        <w:t>This press release contains information about Allison’s financial results and forward-looking estimates of financial results that are not presented in accordance with accounting principles generally accepted in the United States (“GAAP”). Such non-GAAP financial measures are reconciled to their most directly comparable GAAP financial measures at the end of this press release. Non-GAAP financial measures should not be considered in isolation or as a substitute for our reported results prepared in accordance with GAAP and, as calculated, may not be comparable to other similarly titled measures of other companies.</w:t>
      </w:r>
    </w:p>
    <w:p>
      <w:pPr>
        <w:sectPr>
          <w:pgSz w:w="11900" w:h="16838" w:orient="portrait"/>
          <w:cols w:equalWidth="0" w:num="1">
            <w:col w:w="9019"/>
          </w:cols>
          <w:pgMar w:left="1440" w:top="241" w:right="1440" w:bottom="1440" w:gutter="0" w:footer="0" w:header="0"/>
        </w:sectPr>
      </w:pPr>
    </w:p>
    <w:bookmarkStart w:id="7" w:name="page8"/>
    <w:bookmarkEnd w:id="7"/>
    <w:p>
      <w:pPr>
        <w:ind w:left="120" w:right="11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33020"/>
                    </a:xfrm>
                    <a:prstGeom prst="rect">
                      <a:avLst/>
                    </a:prstGeom>
                    <a:noFill/>
                  </pic:spPr>
                </pic:pic>
              </a:graphicData>
            </a:graphic>
          </wp:anchor>
        </w:drawing>
        <w:t>We use adjusted earnings before interest, taxes, depreciation, and amortization (“EBITDA”) and adjusted EBITDA as a percent of net sales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Adjusted EBITDA margin is also used in the calculation of management’s incentive compensation program. The most directly comparable GAAP measure to adjusted EBITDA and adjusted EBITDA margin is net income or segment operating profit (loss) in the case of our segments and net income as a percent of net sales (“net income margin”) or segment operating profit (loss) as a percent of net sales in the case of our segments,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governing Allison Transmission, Inc.’s term loans and revolving credit facility. Adjusted EBITDA margin is calculated as adjusted EBITDA divided by net sales.</w:t>
      </w:r>
    </w:p>
    <w:p>
      <w:pPr>
        <w:spacing w:after="0" w:line="318" w:lineRule="exact"/>
        <w:rPr>
          <w:sz w:val="20"/>
          <w:szCs w:val="20"/>
          <w:color w:val="auto"/>
        </w:rPr>
      </w:pPr>
    </w:p>
    <w:p>
      <w:pPr>
        <w:ind w:left="120" w:right="199"/>
        <w:spacing w:after="0" w:line="260" w:lineRule="auto"/>
        <w:rPr>
          <w:sz w:val="20"/>
          <w:szCs w:val="20"/>
          <w:color w:val="auto"/>
        </w:rPr>
      </w:pPr>
      <w:r>
        <w:rPr>
          <w:rFonts w:ascii="Times New Roman" w:cs="Times New Roman" w:eastAsia="Times New Roman" w:hAnsi="Times New Roman"/>
          <w:sz w:val="14"/>
          <w:szCs w:val="14"/>
          <w:color w:val="auto"/>
        </w:rPr>
        <w:t>In addition, we believe adjusted net income, adjusted basic earnings per share attributable to common stockholders (“adjusted basic EPS”) and adjusted diluted earnings per share attributable to common stockholders (“adjusted diluted EPS”) provide management, investors and creditors with useful measures of our core business performance and trends and increase the period-to-period comparability of our results of operations. The most directly comparable GAAP measure to adjusted net income, adjusted basic EPS and adjusted diluted EPS is net income, basic earnings per share attributable to common stockholders (“basic EPS”) and diluted earnings per share attributable to common stockholders (“diluted EPS”), respectively. Adjusted net income is calculated as net income excluding the effect of certain non-cash, non-recurring, infrequent or unusual items such as: amortization related to acquired intangible assets, depreciation of the stepped-up basis in property, plant and equipment related to acquired assets, stepped-up basis in acquired inventory, stock-based compensation expense, acquisition-related expenses, impairment charges, other one-off adjustments and the tax effect of the adjustments. Adjusted basic EPS is calculated by dividing adjusted net income by the weighted average shares of common stock outstanding and adjusted diluted EPS is calculated by dividing adjusted net income by the diluted weighted average shares of common stock outstanding.</w:t>
      </w:r>
    </w:p>
    <w:p>
      <w:pPr>
        <w:spacing w:after="0" w:line="150" w:lineRule="exact"/>
        <w:rPr>
          <w:sz w:val="20"/>
          <w:szCs w:val="20"/>
          <w:color w:val="auto"/>
        </w:rPr>
      </w:pPr>
    </w:p>
    <w:p>
      <w:pPr>
        <w:ind w:left="120" w:right="159"/>
        <w:spacing w:after="0" w:line="264" w:lineRule="auto"/>
        <w:rPr>
          <w:sz w:val="20"/>
          <w:szCs w:val="20"/>
          <w:color w:val="auto"/>
        </w:rPr>
      </w:pPr>
      <w:r>
        <w:rPr>
          <w:rFonts w:ascii="Times New Roman" w:cs="Times New Roman" w:eastAsia="Times New Roman" w:hAnsi="Times New Roman"/>
          <w:sz w:val="14"/>
          <w:szCs w:val="14"/>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cash used for additions of long-lived assets.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Attachments</w:t>
      </w:r>
    </w:p>
    <w:p>
      <w:pPr>
        <w:spacing w:after="0" w:line="110" w:lineRule="exact"/>
        <w:rPr>
          <w:sz w:val="20"/>
          <w:szCs w:val="20"/>
          <w:color w:val="auto"/>
        </w:rPr>
      </w:pPr>
    </w:p>
    <w:p>
      <w:pPr>
        <w:ind w:left="460" w:hanging="26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Condensed Consolidated Statements of Operations</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Condensed Consolidated Balance Sheets</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Condensed Consolidated Statements of Cash Flows</w:t>
      </w:r>
    </w:p>
    <w:p>
      <w:pPr>
        <w:spacing w:after="0" w:line="108"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Reconciliations of GAAP to Non-GAAP Financial Measures</w:t>
      </w:r>
    </w:p>
    <w:p>
      <w:pPr>
        <w:spacing w:after="0" w:line="107" w:lineRule="exact"/>
        <w:rPr>
          <w:rFonts w:ascii="Times New Roman" w:cs="Times New Roman" w:eastAsia="Times New Roman" w:hAnsi="Times New Roman"/>
          <w:sz w:val="14"/>
          <w:szCs w:val="14"/>
          <w:color w:val="auto"/>
        </w:rPr>
      </w:pPr>
    </w:p>
    <w:p>
      <w:pPr>
        <w:ind w:left="460" w:hanging="260"/>
        <w:spacing w:after="0"/>
        <w:tabs>
          <w:tab w:leader="none" w:pos="4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GAAP to Non-GAAP Financial Measures for Full Year Guidance</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Jackie Bolles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Executive Director, Treasury and Investor Relations</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jacalyn.bolles@allisontransmission.com</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(317) 242-7073</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Media Relations</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media@allisontransmission.com</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(317) 694-2065</w:t>
      </w:r>
    </w:p>
    <w:p>
      <w:pPr>
        <w:sectPr>
          <w:pgSz w:w="11900" w:h="16838" w:orient="portrait"/>
          <w:cols w:equalWidth="0" w:num="1">
            <w:col w:w="9019"/>
          </w:cols>
          <w:pgMar w:left="1440" w:top="243"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 dollars in millions, except per share data)</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3860" w:type="dxa"/>
            <w:vAlign w:val="bottom"/>
          </w:tcPr>
          <w:p>
            <w:pPr>
              <w:spacing w:after="0"/>
              <w:rPr>
                <w:sz w:val="11"/>
                <w:szCs w:val="11"/>
                <w:color w:val="auto"/>
              </w:rPr>
            </w:pPr>
          </w:p>
        </w:tc>
        <w:tc>
          <w:tcPr>
            <w:tcW w:w="1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Allison Transmission</w:t>
            </w:r>
          </w:p>
        </w:tc>
        <w:tc>
          <w:tcPr>
            <w:tcW w:w="100" w:type="dxa"/>
            <w:vAlign w:val="bottom"/>
          </w:tcPr>
          <w:p>
            <w:pPr>
              <w:spacing w:after="0"/>
              <w:rPr>
                <w:sz w:val="11"/>
                <w:szCs w:val="11"/>
                <w:color w:val="auto"/>
              </w:rPr>
            </w:pP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color w:val="auto"/>
              </w:rPr>
              <w:t>Allison Off-Highway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tcPr>
          <w:p>
            <w:pPr>
              <w:jc w:val="center"/>
              <w:ind w:right="128"/>
              <w:spacing w:after="0"/>
              <w:rPr>
                <w:sz w:val="20"/>
                <w:szCs w:val="20"/>
                <w:color w:val="auto"/>
              </w:rPr>
            </w:pPr>
            <w:r>
              <w:rPr>
                <w:rFonts w:ascii="Times New Roman" w:cs="Times New Roman" w:eastAsia="Times New Roman" w:hAnsi="Times New Roman"/>
                <w:sz w:val="11"/>
                <w:szCs w:val="11"/>
                <w:color w:val="auto"/>
              </w:rPr>
              <w:t>Central Group</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rPr>
              <w:t>Consolidated</w:t>
            </w: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11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left="155"/>
              <w:spacing w:after="0"/>
              <w:rPr>
                <w:sz w:val="20"/>
                <w:szCs w:val="20"/>
                <w:color w:val="auto"/>
              </w:rPr>
            </w:pPr>
            <w:r>
              <w:rPr>
                <w:rFonts w:ascii="Times New Roman" w:cs="Times New Roman" w:eastAsia="Times New Roman" w:hAnsi="Times New Roman"/>
                <w:sz w:val="11"/>
                <w:szCs w:val="11"/>
                <w:color w:val="auto"/>
              </w:rPr>
              <w:t>Function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860" w:type="dxa"/>
            <w:vAlign w:val="bottom"/>
          </w:tcPr>
          <w:p>
            <w:pPr>
              <w:spacing w:after="0"/>
              <w:rPr>
                <w:sz w:val="7"/>
                <w:szCs w:val="7"/>
                <w:color w:val="auto"/>
              </w:rPr>
            </w:pPr>
          </w:p>
        </w:tc>
        <w:tc>
          <w:tcPr>
            <w:tcW w:w="1060" w:type="dxa"/>
            <w:vAlign w:val="bottom"/>
            <w:tcBorders>
              <w:top w:val="single" w:sz="8" w:color="auto"/>
            </w:tcBorders>
            <w:gridSpan w:val="5"/>
          </w:tcPr>
          <w:p>
            <w:pPr>
              <w:jc w:val="cente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Borders>
              <w:top w:val="single" w:sz="8" w:color="auto"/>
            </w:tcBorders>
            <w:gridSpan w:val="5"/>
          </w:tcPr>
          <w:p>
            <w:pPr>
              <w:jc w:val="cente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80" w:type="dxa"/>
            <w:vAlign w:val="bottom"/>
          </w:tcPr>
          <w:p>
            <w:pPr>
              <w:spacing w:after="0"/>
              <w:rPr>
                <w:sz w:val="7"/>
                <w:szCs w:val="7"/>
                <w:color w:val="auto"/>
              </w:rPr>
            </w:pPr>
          </w:p>
        </w:tc>
        <w:tc>
          <w:tcPr>
            <w:tcW w:w="1040" w:type="dxa"/>
            <w:vAlign w:val="bottom"/>
            <w:tcBorders>
              <w:top w:val="single" w:sz="8" w:color="auto"/>
            </w:tcBorders>
            <w:gridSpan w:val="5"/>
          </w:tcPr>
          <w:p>
            <w:pPr>
              <w:jc w:val="cente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Borders>
              <w:top w:val="single" w:sz="8" w:color="auto"/>
            </w:tcBorders>
            <w:gridSpan w:val="5"/>
          </w:tcPr>
          <w:p>
            <w:pPr>
              <w:jc w:val="cente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jc w:val="center"/>
              <w:ind w:right="18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4"/>
          </w:tcPr>
          <w:p>
            <w:pPr>
              <w:jc w:val="center"/>
              <w:ind w:right="1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center"/>
              <w:ind w:right="128"/>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5"/>
          </w:tcPr>
          <w:p>
            <w:pPr>
              <w:jc w:val="center"/>
              <w:ind w:right="16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36"/>
        </w:trPr>
        <w:tc>
          <w:tcPr>
            <w:tcW w:w="38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color w:val="auto"/>
              </w:rPr>
              <w:t>2026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color w:val="auto"/>
              </w:rPr>
              <w:t>2026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99"/>
              </w:rPr>
              <w:t>2025</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2025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w w:val="99"/>
              </w:rPr>
              <w:t>2026</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w w:val="99"/>
              </w:rPr>
              <w:t>2025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1,534</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555</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5"/>
              </w:rPr>
              <w:t>1,029</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407</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330</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Engineering - research and development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earnings per share attributable to common stockholders</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Diluted earnings per share attributable to common stockholders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5"/>
            <w:vMerge w:val="restart"/>
          </w:tcPr>
          <w:p>
            <w:pPr>
              <w:jc w:val="center"/>
              <w:ind w:right="128"/>
              <w:spacing w:after="0"/>
              <w:rPr>
                <w:sz w:val="20"/>
                <w:szCs w:val="20"/>
                <w:color w:val="auto"/>
              </w:rPr>
            </w:pPr>
            <w:r>
              <w:rPr>
                <w:rFonts w:ascii="Times New Roman" w:cs="Times New Roman" w:eastAsia="Times New Roman" w:hAnsi="Times New Roman"/>
                <w:sz w:val="11"/>
                <w:szCs w:val="11"/>
                <w:color w:val="auto"/>
              </w:rPr>
              <w:t>Central Group</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60" w:type="dxa"/>
            <w:vAlign w:val="bottom"/>
          </w:tcPr>
          <w:p>
            <w:pPr>
              <w:spacing w:after="0"/>
              <w:rPr>
                <w:sz w:val="22"/>
                <w:szCs w:val="22"/>
                <w:color w:val="auto"/>
              </w:rPr>
            </w:pPr>
          </w:p>
        </w:tc>
        <w:tc>
          <w:tcPr>
            <w:tcW w:w="116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1"/>
                <w:szCs w:val="11"/>
                <w:color w:val="auto"/>
              </w:rPr>
              <w:t>Allison Transmission</w:t>
            </w:r>
          </w:p>
        </w:tc>
        <w:tc>
          <w:tcPr>
            <w:tcW w:w="100" w:type="dxa"/>
            <w:vAlign w:val="bottom"/>
          </w:tcPr>
          <w:p>
            <w:pPr>
              <w:spacing w:after="0"/>
              <w:rPr>
                <w:sz w:val="22"/>
                <w:szCs w:val="22"/>
                <w:color w:val="auto"/>
              </w:rPr>
            </w:pPr>
          </w:p>
        </w:tc>
        <w:tc>
          <w:tcPr>
            <w:tcW w:w="10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1"/>
                <w:szCs w:val="11"/>
                <w:color w:val="auto"/>
              </w:rPr>
              <w:t>Allison Off-Highway</w:t>
            </w: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5"/>
            <w:vMerge w:val="continue"/>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rPr>
              <w:t>Consolidated</w:t>
            </w:r>
          </w:p>
        </w:tc>
        <w:tc>
          <w:tcPr>
            <w:tcW w:w="0" w:type="dxa"/>
            <w:vAlign w:val="bottom"/>
          </w:tcPr>
          <w:p>
            <w:pPr>
              <w:spacing w:after="0"/>
              <w:rPr>
                <w:sz w:val="1"/>
                <w:szCs w:val="1"/>
                <w:color w:val="auto"/>
              </w:rPr>
            </w:pPr>
          </w:p>
        </w:tc>
      </w:tr>
      <w:tr>
        <w:trPr>
          <w:trHeight w:val="136"/>
        </w:trPr>
        <w:tc>
          <w:tcPr>
            <w:tcW w:w="3860" w:type="dxa"/>
            <w:vAlign w:val="bottom"/>
          </w:tcPr>
          <w:p>
            <w:pPr>
              <w:spacing w:after="0"/>
              <w:rPr>
                <w:sz w:val="11"/>
                <w:szCs w:val="11"/>
                <w:color w:val="auto"/>
              </w:rPr>
            </w:pPr>
          </w:p>
        </w:tc>
        <w:tc>
          <w:tcPr>
            <w:tcW w:w="11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left="155"/>
              <w:spacing w:after="0"/>
              <w:rPr>
                <w:sz w:val="20"/>
                <w:szCs w:val="20"/>
                <w:color w:val="auto"/>
              </w:rPr>
            </w:pPr>
            <w:r>
              <w:rPr>
                <w:rFonts w:ascii="Times New Roman" w:cs="Times New Roman" w:eastAsia="Times New Roman" w:hAnsi="Times New Roman"/>
                <w:sz w:val="11"/>
                <w:szCs w:val="11"/>
                <w:color w:val="auto"/>
              </w:rPr>
              <w:t>Function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8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4"/>
          </w:tcPr>
          <w:p>
            <w:pPr>
              <w:jc w:val="center"/>
              <w:ind w:right="10"/>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4"/>
          </w:tcPr>
          <w:p>
            <w:pPr>
              <w:jc w:val="center"/>
              <w:ind w:right="30"/>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4"/>
          </w:tcPr>
          <w:p>
            <w:pPr>
              <w:jc w:val="center"/>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4"/>
          </w:tcPr>
          <w:p>
            <w:pPr>
              <w:jc w:val="center"/>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5"/>
          </w:tcPr>
          <w:p>
            <w:pPr>
              <w:jc w:val="center"/>
              <w:ind w:right="18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4"/>
          </w:tcPr>
          <w:p>
            <w:pPr>
              <w:jc w:val="center"/>
              <w:ind w:right="1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5"/>
          </w:tcPr>
          <w:p>
            <w:pPr>
              <w:jc w:val="center"/>
              <w:ind w:right="128"/>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5"/>
          </w:tcPr>
          <w:p>
            <w:pPr>
              <w:jc w:val="center"/>
              <w:ind w:right="16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36"/>
        </w:trPr>
        <w:tc>
          <w:tcPr>
            <w:tcW w:w="38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color w:val="auto"/>
              </w:rPr>
              <w:t>2026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color w:val="auto"/>
              </w:rPr>
              <w:t>2026</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99"/>
              </w:rPr>
              <w:t>2025</w:t>
            </w:r>
          </w:p>
        </w:tc>
        <w:tc>
          <w:tcPr>
            <w:tcW w:w="1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2025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color w:val="auto"/>
                <w:w w:val="99"/>
              </w:rPr>
              <w:t>2026</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w w:val="99"/>
              </w:rPr>
              <w:t>2025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sales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$ 2,474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$ 2,032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5"/>
              </w:rPr>
              <w:t>— </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4,506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2,273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1,314</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5"/>
              </w:rPr>
              <w:t>3,080</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5"/>
              </w:rPr>
              <w:t>1,162</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5"/>
              </w:rPr>
              <w:t>1,426</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5"/>
              </w:rPr>
              <w:t>1,111</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202</w:t>
            </w:r>
          </w:p>
        </w:tc>
        <w:tc>
          <w:tcPr>
            <w:tcW w:w="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Engineering - research and development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74"/>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jc w:val="right"/>
              <w:ind w:right="15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Interest expense,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line="155"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598</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72"/>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2"/>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earnings per share attributable to common stockholders</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5.83</w:t>
            </w:r>
          </w:p>
        </w:tc>
        <w:tc>
          <w:tcPr>
            <w:tcW w:w="24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Diluted earnings per share attributable to common stockholders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43"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30,</w:t>
            </w:r>
          </w:p>
        </w:tc>
        <w:tc>
          <w:tcPr>
            <w:tcW w:w="42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r>
      <w:tr>
        <w:trPr>
          <w:trHeight w:val="136"/>
        </w:trPr>
        <w:tc>
          <w:tcPr>
            <w:tcW w:w="69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color w:val="auto"/>
              </w:rPr>
              <w:t>2026</w:t>
            </w:r>
          </w:p>
        </w:tc>
        <w:tc>
          <w:tcPr>
            <w:tcW w:w="2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color w:val="auto"/>
              </w:rPr>
              <w:t>2025</w:t>
            </w:r>
          </w:p>
        </w:tc>
        <w:tc>
          <w:tcPr>
            <w:tcW w:w="40" w:type="dxa"/>
            <w:vAlign w:val="bottom"/>
            <w:tcBorders>
              <w:bottom w:val="single" w:sz="8" w:color="CCEEFF"/>
            </w:tcBorders>
          </w:tcPr>
          <w:p>
            <w:pPr>
              <w:spacing w:after="0"/>
              <w:rPr>
                <w:sz w:val="11"/>
                <w:szCs w:val="11"/>
                <w:color w:val="auto"/>
              </w:rPr>
            </w:pPr>
          </w:p>
        </w:tc>
      </w:tr>
      <w:tr>
        <w:trPr>
          <w:trHeight w:val="152"/>
        </w:trPr>
        <w:tc>
          <w:tcPr>
            <w:tcW w:w="698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4"/>
                <w:szCs w:val="14"/>
                <w:color w:val="auto"/>
              </w:rPr>
              <w:t>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497</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1,495</w:t>
            </w:r>
          </w:p>
        </w:tc>
      </w:tr>
      <w:tr>
        <w:trPr>
          <w:trHeight w:val="172"/>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333</w:t>
            </w:r>
          </w:p>
        </w:tc>
      </w:tr>
      <w:tr>
        <w:trPr>
          <w:trHeight w:val="172"/>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857</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316</w:t>
            </w:r>
          </w:p>
        </w:tc>
      </w:tr>
      <w:tr>
        <w:trPr>
          <w:trHeight w:val="174"/>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40" w:type="dxa"/>
            <w:vAlign w:val="bottom"/>
          </w:tcPr>
          <w:p>
            <w:pPr>
              <w:spacing w:after="0"/>
              <w:rPr>
                <w:sz w:val="15"/>
                <w:szCs w:val="15"/>
                <w:color w:val="auto"/>
              </w:rPr>
            </w:pP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2,494</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2,233</w:t>
            </w: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1,653</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862</w:t>
            </w: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1,582</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794</w:t>
            </w: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2,828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2,075</w:t>
            </w: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232</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118</w:t>
            </w:r>
          </w:p>
        </w:tc>
      </w:tr>
      <w:tr>
        <w:trPr>
          <w:trHeight w:val="174"/>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40" w:type="dxa"/>
            <w:vAlign w:val="bottom"/>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5"/>
        </w:trPr>
        <w:tc>
          <w:tcPr>
            <w:tcW w:w="69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803</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190</w:t>
            </w:r>
          </w:p>
        </w:tc>
      </w:tr>
      <w:tr>
        <w:trPr>
          <w:trHeight w:val="172"/>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Product warranty liability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6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454</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197</w:t>
            </w:r>
          </w:p>
        </w:tc>
      </w:tr>
      <w:tr>
        <w:trPr>
          <w:trHeight w:val="174"/>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40" w:type="dxa"/>
            <w:vAlign w:val="bottom"/>
          </w:tcPr>
          <w:p>
            <w:pPr>
              <w:spacing w:after="0"/>
              <w:rPr>
                <w:sz w:val="15"/>
                <w:szCs w:val="15"/>
                <w:color w:val="auto"/>
              </w:rPr>
            </w:pP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warranty liability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105</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103</w:t>
            </w: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3,992</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2,885</w:t>
            </w:r>
          </w:p>
        </w:tc>
      </w:tr>
      <w:tr>
        <w:trPr>
          <w:trHeight w:val="172"/>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557</w:t>
            </w: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306</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160</w:t>
            </w:r>
          </w:p>
        </w:tc>
      </w:tr>
      <w:tr>
        <w:trPr>
          <w:trHeight w:val="174"/>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4,215</w:t>
            </w:r>
          </w:p>
        </w:tc>
        <w:tc>
          <w:tcPr>
            <w:tcW w:w="40" w:type="dxa"/>
            <w:vAlign w:val="bottom"/>
          </w:tcPr>
          <w:p>
            <w:pPr>
              <w:spacing w:after="0"/>
              <w:rPr>
                <w:sz w:val="15"/>
                <w:szCs w:val="15"/>
                <w:color w:val="auto"/>
              </w:rPr>
            </w:pPr>
          </w:p>
        </w:tc>
      </w:tr>
      <w:tr>
        <w:trPr>
          <w:trHeight w:val="172"/>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2,080</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1,867</w:t>
            </w:r>
          </w:p>
        </w:tc>
      </w:tr>
      <w:tr>
        <w:trPr>
          <w:trHeight w:val="174"/>
        </w:trPr>
        <w:tc>
          <w:tcPr>
            <w:tcW w:w="698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&amp; STOCKHOLDERS’ EQUITY</w:t>
            </w:r>
          </w:p>
        </w:tc>
        <w:tc>
          <w:tcPr>
            <w:tcW w:w="20" w:type="dxa"/>
            <w:vAlign w:val="bottom"/>
            <w:tcBorders>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8,789</w:t>
            </w:r>
          </w:p>
        </w:tc>
        <w:tc>
          <w:tcPr>
            <w:tcW w:w="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6,082</w:t>
            </w:r>
          </w:p>
        </w:tc>
        <w:tc>
          <w:tcPr>
            <w:tcW w:w="40" w:type="dxa"/>
            <w:vAlign w:val="bottom"/>
          </w:tcPr>
          <w:p>
            <w:pPr>
              <w:spacing w:after="0"/>
              <w:rPr>
                <w:sz w:val="15"/>
                <w:szCs w:val="15"/>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9019"/>
          </w:cols>
          <w:pgMar w:left="1440" w:top="243"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74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Three months ended September 30,</w:t>
            </w:r>
          </w:p>
        </w:tc>
        <w:tc>
          <w:tcPr>
            <w:tcW w:w="60" w:type="dxa"/>
            <w:vAlign w:val="bottom"/>
          </w:tcPr>
          <w:p>
            <w:pPr>
              <w:spacing w:after="0"/>
              <w:rPr>
                <w:sz w:val="11"/>
                <w:szCs w:val="11"/>
                <w:color w:val="auto"/>
              </w:rPr>
            </w:pPr>
          </w:p>
        </w:tc>
        <w:tc>
          <w:tcPr>
            <w:tcW w:w="1700" w:type="dxa"/>
            <w:vAlign w:val="bottom"/>
            <w:gridSpan w:val="7"/>
          </w:tcPr>
          <w:p>
            <w:pPr>
              <w:ind w:left="20"/>
              <w:spacing w:after="0"/>
              <w:rPr>
                <w:sz w:val="20"/>
                <w:szCs w:val="20"/>
                <w:color w:val="auto"/>
              </w:rPr>
            </w:pPr>
            <w:r>
              <w:rPr>
                <w:rFonts w:ascii="Times New Roman" w:cs="Times New Roman" w:eastAsia="Times New Roman" w:hAnsi="Times New Roman"/>
                <w:sz w:val="11"/>
                <w:szCs w:val="11"/>
                <w:color w:val="auto"/>
              </w:rPr>
              <w:t>Nine months ended September 30,</w:t>
            </w:r>
          </w:p>
        </w:tc>
        <w:tc>
          <w:tcPr>
            <w:tcW w:w="0" w:type="dxa"/>
            <w:vAlign w:val="bottom"/>
          </w:tcPr>
          <w:p>
            <w:pPr>
              <w:spacing w:after="0"/>
              <w:rPr>
                <w:sz w:val="1"/>
                <w:szCs w:val="1"/>
                <w:color w:val="auto"/>
              </w:rPr>
            </w:pPr>
          </w:p>
        </w:tc>
      </w:tr>
      <w:tr>
        <w:trPr>
          <w:trHeight w:val="136"/>
        </w:trPr>
        <w:tc>
          <w:tcPr>
            <w:tcW w:w="52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w w:val="85"/>
              </w:rPr>
              <w:t>593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for investing activities (a) (b)</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for) provided by financing activities</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778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781</w:t>
            </w:r>
          </w:p>
        </w:tc>
        <w:tc>
          <w:tcPr>
            <w:tcW w:w="0" w:type="dxa"/>
            <w:vAlign w:val="bottom"/>
          </w:tcPr>
          <w:p>
            <w:pPr>
              <w:spacing w:after="0"/>
              <w:rPr>
                <w:sz w:val="1"/>
                <w:szCs w:val="1"/>
                <w:color w:val="auto"/>
              </w:rPr>
            </w:pPr>
          </w:p>
        </w:tc>
      </w:tr>
      <w:tr>
        <w:trPr>
          <w:trHeight w:val="22"/>
        </w:trPr>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902</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Supplemental disclosures: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72"/>
        </w:trPr>
        <w:tc>
          <w:tcPr>
            <w:tcW w:w="52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taxes paid</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received from interest rate swaps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(a) Business acquisition, net of cash acquired</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 Additions of long-lived assets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3"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Reconciliation of GAAP to Non-GAAP Financial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gridSpan w:val="5"/>
          </w:tcPr>
          <w:p>
            <w:pPr>
              <w:jc w:val="right"/>
              <w:ind w:right="260"/>
              <w:spacing w:after="0"/>
              <w:rPr>
                <w:sz w:val="20"/>
                <w:szCs w:val="20"/>
                <w:color w:val="auto"/>
              </w:rPr>
            </w:pPr>
            <w:r>
              <w:rPr>
                <w:rFonts w:ascii="Times New Roman" w:cs="Times New Roman" w:eastAsia="Times New Roman" w:hAnsi="Times New Roman"/>
                <w:sz w:val="11"/>
                <w:szCs w:val="11"/>
                <w:color w:val="auto"/>
              </w:rPr>
              <w:t>Three months ended</w:t>
            </w:r>
          </w:p>
        </w:tc>
        <w:tc>
          <w:tcPr>
            <w:tcW w:w="80" w:type="dxa"/>
            <w:vAlign w:val="bottom"/>
          </w:tcPr>
          <w:p>
            <w:pPr>
              <w:spacing w:after="0"/>
              <w:rPr>
                <w:sz w:val="11"/>
                <w:szCs w:val="11"/>
                <w:color w:val="auto"/>
              </w:rPr>
            </w:pPr>
          </w:p>
        </w:tc>
        <w:tc>
          <w:tcPr>
            <w:tcW w:w="1140" w:type="dxa"/>
            <w:vAlign w:val="bottom"/>
            <w:gridSpan w:val="5"/>
          </w:tcPr>
          <w:p>
            <w:pPr>
              <w:jc w:val="right"/>
              <w:ind w:right="240"/>
              <w:spacing w:after="0"/>
              <w:rPr>
                <w:sz w:val="20"/>
                <w:szCs w:val="20"/>
                <w:color w:val="auto"/>
              </w:rPr>
            </w:pPr>
            <w:r>
              <w:rPr>
                <w:rFonts w:ascii="Times New Roman" w:cs="Times New Roman" w:eastAsia="Times New Roman" w:hAnsi="Times New Roman"/>
                <w:sz w:val="11"/>
                <w:szCs w:val="11"/>
                <w:color w:val="auto"/>
              </w:rPr>
              <w:t>Nine months ended</w:t>
            </w:r>
          </w:p>
        </w:tc>
      </w:tr>
      <w:tr>
        <w:trPr>
          <w:trHeight w:val="118"/>
        </w:trPr>
        <w:tc>
          <w:tcPr>
            <w:tcW w:w="5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4"/>
          </w:tcPr>
          <w:p>
            <w:pPr>
              <w:jc w:val="right"/>
              <w:ind w:right="40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80" w:type="dxa"/>
            <w:vAlign w:val="bottom"/>
          </w:tcPr>
          <w:p>
            <w:pPr>
              <w:spacing w:after="0"/>
              <w:rPr>
                <w:sz w:val="10"/>
                <w:szCs w:val="10"/>
                <w:color w:val="auto"/>
              </w:rPr>
            </w:pPr>
          </w:p>
        </w:tc>
        <w:tc>
          <w:tcPr>
            <w:tcW w:w="1140" w:type="dxa"/>
            <w:vAlign w:val="bottom"/>
            <w:gridSpan w:val="5"/>
          </w:tcPr>
          <w:p>
            <w:pPr>
              <w:jc w:val="right"/>
              <w:ind w:right="360"/>
              <w:spacing w:after="0" w:line="119" w:lineRule="exact"/>
              <w:rPr>
                <w:sz w:val="20"/>
                <w:szCs w:val="20"/>
                <w:color w:val="auto"/>
              </w:rPr>
            </w:pPr>
            <w:r>
              <w:rPr>
                <w:rFonts w:ascii="Times New Roman" w:cs="Times New Roman" w:eastAsia="Times New Roman" w:hAnsi="Times New Roman"/>
                <w:sz w:val="11"/>
                <w:szCs w:val="11"/>
                <w:color w:val="auto"/>
              </w:rPr>
              <w:t>September 30,</w:t>
            </w:r>
          </w:p>
        </w:tc>
      </w:tr>
      <w:tr>
        <w:trPr>
          <w:trHeight w:val="136"/>
        </w:trPr>
        <w:tc>
          <w:tcPr>
            <w:tcW w:w="540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99"/>
              </w:rPr>
              <w:t>2026</w:t>
            </w:r>
          </w:p>
        </w:tc>
        <w:tc>
          <w:tcPr>
            <w:tcW w:w="24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2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1"/>
                <w:szCs w:val="11"/>
                <w:color w:val="auto"/>
                <w:w w:val="99"/>
              </w:rPr>
              <w:t>2026</w:t>
            </w:r>
          </w:p>
        </w:tc>
        <w:tc>
          <w:tcPr>
            <w:tcW w:w="2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color w:val="auto"/>
                <w:w w:val="99"/>
              </w:rPr>
              <w:t>2025</w:t>
            </w:r>
          </w:p>
        </w:tc>
        <w:tc>
          <w:tcPr>
            <w:tcW w:w="160" w:type="dxa"/>
            <w:vAlign w:val="bottom"/>
            <w:tcBorders>
              <w:bottom w:val="single" w:sz="8" w:color="CCEEFF"/>
            </w:tcBorders>
          </w:tcPr>
          <w:p>
            <w:pPr>
              <w:spacing w:after="0"/>
              <w:rPr>
                <w:sz w:val="11"/>
                <w:szCs w:val="11"/>
                <w:color w:val="auto"/>
              </w:rPr>
            </w:pPr>
          </w:p>
        </w:tc>
      </w:tr>
      <w:tr>
        <w:trPr>
          <w:trHeight w:val="163"/>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(GAAP)</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$ 137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60" w:type="dxa"/>
            <w:vAlign w:val="bottom"/>
            <w:shd w:val="clear" w:color="auto" w:fill="CCEEFF"/>
          </w:tcPr>
          <w:p>
            <w:pPr>
              <w:spacing w:after="0"/>
              <w:rPr>
                <w:sz w:val="14"/>
                <w:szCs w:val="14"/>
                <w:color w:val="auto"/>
              </w:rPr>
            </w:pPr>
          </w:p>
        </w:tc>
      </w:t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51</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shd w:val="clear" w:color="auto" w:fill="CCEEFF"/>
          </w:tcPr>
          <w:p>
            <w:pPr>
              <w:spacing w:after="0"/>
              <w:rPr>
                <w:sz w:val="14"/>
                <w:szCs w:val="14"/>
                <w:color w:val="auto"/>
              </w:rPr>
            </w:pP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46</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tcPr>
          <w:p>
            <w:pPr>
              <w:spacing w:after="0"/>
              <w:rPr>
                <w:sz w:val="14"/>
                <w:szCs w:val="14"/>
                <w:color w:val="auto"/>
              </w:rPr>
            </w:pP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133</w:t>
            </w: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expense</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Recognition of the stepped-up basis in inventory (a)</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of the stepped up basis in property, plant and equipment (b)</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Acquisition-related expenses (c)</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4"/>
                <w:szCs w:val="14"/>
                <w:color w:val="auto"/>
              </w:rPr>
            </w:pP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(d)</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4"/>
                <w:szCs w:val="14"/>
                <w:color w:val="auto"/>
              </w:rPr>
            </w:pP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charges (e)</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Unrealized loss (gain) on marketable securities (f)</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on foreign exchange (g)</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associated with impairment of long-lived assets (h)</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5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r>
      <w:tr>
        <w:trPr>
          <w:trHeight w:val="174"/>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9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$ 256</w:t>
            </w:r>
          </w:p>
        </w:tc>
        <w:tc>
          <w:tcPr>
            <w:tcW w:w="2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1,166</w:t>
            </w:r>
          </w:p>
        </w:tc>
        <w:tc>
          <w:tcPr>
            <w:tcW w:w="2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60" w:type="dxa"/>
            <w:vAlign w:val="bottom"/>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5"/>
        </w:trPr>
        <w:tc>
          <w:tcPr>
            <w:tcW w:w="54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sales (GAAP)</w:t>
            </w:r>
          </w:p>
        </w:tc>
        <w:tc>
          <w:tcPr>
            <w:tcW w:w="102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w w:val="95"/>
              </w:rPr>
              <w:t>1,534</w:t>
            </w:r>
          </w:p>
        </w:tc>
        <w:tc>
          <w:tcPr>
            <w:tcW w:w="58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$ 693</w:t>
            </w:r>
          </w:p>
        </w:tc>
        <w:tc>
          <w:tcPr>
            <w:tcW w:w="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w w:val="95"/>
              </w:rPr>
              <w:t>4,506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2,273</w:t>
            </w:r>
          </w:p>
        </w:tc>
        <w:tc>
          <w:tcPr>
            <w:tcW w:w="160" w:type="dxa"/>
            <w:vAlign w:val="bottom"/>
            <w:shd w:val="clear" w:color="auto" w:fill="CCEEFF"/>
          </w:tcPr>
          <w:p>
            <w:pPr>
              <w:spacing w:after="0"/>
              <w:rPr>
                <w:sz w:val="13"/>
                <w:szCs w:val="13"/>
                <w:color w:val="auto"/>
              </w:rPr>
            </w:pPr>
          </w:p>
        </w:tc>
      </w:t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 a percent of Net sales (GAAP)</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12.5%</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w:t>
            </w:r>
          </w:p>
        </w:tc>
        <w:tc>
          <w:tcPr>
            <w:tcW w:w="6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23.1%</w:t>
            </w:r>
          </w:p>
        </w:tc>
      </w:tr>
      <w:tr>
        <w:trPr>
          <w:trHeight w:val="17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as a percent of Net sales (Non-GAAP)</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26.1%</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38.1%</w:t>
            </w:r>
          </w:p>
        </w:tc>
      </w:tr>
      <w:tr>
        <w:trPr>
          <w:trHeight w:val="172"/>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operating activities (GAAP)</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343</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$ 228</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811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593</w:t>
            </w:r>
          </w:p>
        </w:tc>
      </w:tr>
      <w:tr>
        <w:trPr>
          <w:trHeight w:val="17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Deductions to reconcile to Adjusted free cash flow:</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72"/>
        </w:trPr>
        <w:tc>
          <w:tcPr>
            <w:tcW w:w="54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of long-lived assets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(101)</w:t>
            </w:r>
          </w:p>
        </w:tc>
      </w:tr>
      <w:tr>
        <w:trPr>
          <w:trHeight w:val="22"/>
        </w:trPr>
        <w:tc>
          <w:tcPr>
            <w:tcW w:w="5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72"/>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free cash flow (Non-GAAP)</w:t>
            </w: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278</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$ 184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662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492</w:t>
            </w:r>
          </w:p>
        </w:tc>
      </w:tr>
      <w:tr>
        <w:trPr>
          <w:trHeight w:val="20"/>
        </w:trPr>
        <w:tc>
          <w:tcPr>
            <w:tcW w:w="5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right="299" w:hanging="346"/>
        <w:spacing w:after="0" w:line="266"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the stepped-up basis in inventory related to our acquisition of the Dana Off-Highway business (the “Acquisition”) (recorded in Cost of sales).</w:t>
      </w:r>
    </w:p>
    <w:p>
      <w:pPr>
        <w:spacing w:after="0" w:line="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of the stepped-up basis in property, plant and equipment related to the Acquisition (recorded in Cost of sales).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(recorded in Selling, general and administrative), primarily consulting and legal fees, related to the Acquisition.</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(recorded in Selling, general and administrative).</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restructuring charges (recorded in Other (expense) income, net) related to Allison Off-Highway footprint optimization activities.</w:t>
      </w:r>
    </w:p>
    <w:p>
      <w:pPr>
        <w:spacing w:after="0" w:line="11" w:lineRule="exact"/>
        <w:rPr>
          <w:rFonts w:ascii="Times New Roman" w:cs="Times New Roman" w:eastAsia="Times New Roman" w:hAnsi="Times New Roman"/>
          <w:sz w:val="14"/>
          <w:szCs w:val="14"/>
          <w:color w:val="auto"/>
        </w:rPr>
      </w:pPr>
    </w:p>
    <w:p>
      <w:pPr>
        <w:ind w:left="460" w:right="279" w:hanging="346"/>
        <w:spacing w:after="0" w:line="256" w:lineRule="auto"/>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unrealized losses (gains) (recorded in Other (expense) income, net) related to an investment in the common stock of Jing-Jin Electric Technologies Co. Ltd.</w:t>
      </w: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losses (recorded in Other (expense) income, net) on intercompany financing transactions.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charge associated with the impairment of long-lived assets related to the production of certain electrified products.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adjustments as defined by the Second Amended and Restated Credit Agreement dated as of March 29, 2019 as amended.</w:t>
      </w:r>
    </w:p>
    <w:p>
      <w:pPr>
        <w:sectPr>
          <w:pgSz w:w="11900" w:h="16838" w:orient="portrait"/>
          <w:cols w:equalWidth="0" w:num="1">
            <w:col w:w="9019"/>
          </w:cols>
          <w:pgMar w:left="1440" w:top="243"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Reconciliation of GAAP to Non-GAAP Financial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36"/>
        </w:trPr>
        <w:tc>
          <w:tcPr>
            <w:tcW w:w="3980" w:type="dxa"/>
            <w:vAlign w:val="bottom"/>
          </w:tcPr>
          <w:p>
            <w:pPr>
              <w:spacing w:after="0"/>
              <w:rPr>
                <w:sz w:val="11"/>
                <w:szCs w:val="1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Allison Transmission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Allison Off-Highway</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color w:val="auto"/>
              </w:rPr>
              <w:t>Central Group Function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1"/>
                <w:szCs w:val="11"/>
                <w:color w:val="auto"/>
              </w:rPr>
              <w:t>Consolidated</w:t>
            </w:r>
          </w:p>
        </w:tc>
      </w:tr>
      <w:tr>
        <w:trPr>
          <w:trHeight w:val="92"/>
        </w:trPr>
        <w:tc>
          <w:tcPr>
            <w:tcW w:w="3980" w:type="dxa"/>
            <w:vAlign w:val="bottom"/>
          </w:tcPr>
          <w:p>
            <w:pPr>
              <w:spacing w:after="0"/>
              <w:rPr>
                <w:sz w:val="7"/>
                <w:szCs w:val="7"/>
                <w:color w:val="auto"/>
              </w:rPr>
            </w:pPr>
          </w:p>
        </w:tc>
        <w:tc>
          <w:tcPr>
            <w:tcW w:w="980" w:type="dxa"/>
            <w:vAlign w:val="bottom"/>
            <w:tcBorders>
              <w:top w:val="single" w:sz="8" w:color="auto"/>
            </w:tcBorders>
            <w:gridSpan w:val="2"/>
          </w:tcPr>
          <w:p>
            <w:pPr>
              <w:jc w:val="cente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240" w:type="dxa"/>
            <w:vAlign w:val="bottom"/>
          </w:tcPr>
          <w:p>
            <w:pPr>
              <w:spacing w:after="0"/>
              <w:rPr>
                <w:sz w:val="7"/>
                <w:szCs w:val="7"/>
                <w:color w:val="auto"/>
              </w:rPr>
            </w:pPr>
          </w:p>
        </w:tc>
        <w:tc>
          <w:tcPr>
            <w:tcW w:w="980" w:type="dxa"/>
            <w:vAlign w:val="bottom"/>
            <w:tcBorders>
              <w:top w:val="single" w:sz="8" w:color="auto"/>
            </w:tcBorders>
            <w:gridSpan w:val="2"/>
          </w:tcPr>
          <w:p>
            <w:pPr>
              <w:ind w:left="20"/>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22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ind w:right="12"/>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Borders>
              <w:top w:val="single" w:sz="8" w:color="auto"/>
            </w:tcBorders>
            <w:gridSpan w:val="4"/>
          </w:tcPr>
          <w:p>
            <w:pPr>
              <w:spacing w:after="0" w:line="92" w:lineRule="exact"/>
              <w:rPr>
                <w:sz w:val="20"/>
                <w:szCs w:val="20"/>
                <w:color w:val="auto"/>
              </w:rPr>
            </w:pPr>
            <w:r>
              <w:rPr>
                <w:rFonts w:ascii="Times New Roman" w:cs="Times New Roman" w:eastAsia="Times New Roman" w:hAnsi="Times New Roman"/>
                <w:sz w:val="10"/>
                <w:szCs w:val="10"/>
                <w:color w:val="auto"/>
              </w:rPr>
              <w:t>Three months ended</w:t>
            </w:r>
          </w:p>
        </w:tc>
        <w:tc>
          <w:tcPr>
            <w:tcW w:w="160" w:type="dxa"/>
            <w:vAlign w:val="bottom"/>
          </w:tcPr>
          <w:p>
            <w:pPr>
              <w:spacing w:after="0"/>
              <w:rPr>
                <w:sz w:val="7"/>
                <w:szCs w:val="7"/>
                <w:color w:val="auto"/>
              </w:rPr>
            </w:pPr>
          </w:p>
        </w:tc>
      </w:tr>
      <w:tr>
        <w:trPr>
          <w:trHeight w:val="118"/>
        </w:trPr>
        <w:tc>
          <w:tcPr>
            <w:tcW w:w="3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36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00" w:type="dxa"/>
            <w:vAlign w:val="bottom"/>
          </w:tcPr>
          <w:p>
            <w:pPr>
              <w:spacing w:after="0"/>
              <w:rPr>
                <w:sz w:val="10"/>
                <w:szCs w:val="10"/>
                <w:color w:val="auto"/>
              </w:rPr>
            </w:pPr>
          </w:p>
        </w:tc>
        <w:tc>
          <w:tcPr>
            <w:tcW w:w="1100" w:type="dxa"/>
            <w:vAlign w:val="bottom"/>
            <w:gridSpan w:val="2"/>
          </w:tcPr>
          <w:p>
            <w:pPr>
              <w:jc w:val="right"/>
              <w:ind w:right="38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4"/>
          </w:tcPr>
          <w:p>
            <w:pPr>
              <w:jc w:val="right"/>
              <w:ind w:right="320"/>
              <w:spacing w:after="0" w:line="119" w:lineRule="exact"/>
              <w:rPr>
                <w:sz w:val="20"/>
                <w:szCs w:val="20"/>
                <w:color w:val="auto"/>
              </w:rPr>
            </w:pPr>
            <w:r>
              <w:rPr>
                <w:rFonts w:ascii="Times New Roman" w:cs="Times New Roman" w:eastAsia="Times New Roman" w:hAnsi="Times New Roman"/>
                <w:sz w:val="11"/>
                <w:szCs w:val="11"/>
                <w:color w:val="auto"/>
              </w:rPr>
              <w:t>September 30,</w:t>
            </w:r>
          </w:p>
        </w:tc>
      </w:tr>
      <w:tr>
        <w:trPr>
          <w:trHeight w:val="136"/>
        </w:trPr>
        <w:tc>
          <w:tcPr>
            <w:tcW w:w="39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color w:val="auto"/>
              </w:rPr>
              <w:t>2026</w:t>
            </w:r>
          </w:p>
        </w:tc>
        <w:tc>
          <w:tcPr>
            <w:tcW w:w="2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1"/>
                <w:szCs w:val="11"/>
                <w:color w:val="auto"/>
              </w:rPr>
              <w:t>2026</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color w:val="auto"/>
                <w:w w:val="99"/>
              </w:rPr>
              <w:t>2026</w:t>
            </w:r>
          </w:p>
        </w:tc>
        <w:tc>
          <w:tcPr>
            <w:tcW w:w="2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160" w:type="dxa"/>
            <w:vAlign w:val="bottom"/>
            <w:tcBorders>
              <w:bottom w:val="single" w:sz="8" w:color="CCEEFF"/>
            </w:tcBorders>
          </w:tcPr>
          <w:p>
            <w:pPr>
              <w:spacing w:after="0"/>
              <w:rPr>
                <w:sz w:val="11"/>
                <w:szCs w:val="11"/>
                <w:color w:val="auto"/>
              </w:rPr>
            </w:pPr>
          </w:p>
        </w:tc>
      </w:tr>
      <w:tr>
        <w:trPr>
          <w:trHeight w:val="16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Profit/(Loss) (GAAP)</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$ 204</w:t>
            </w:r>
          </w:p>
        </w:tc>
        <w:tc>
          <w:tcPr>
            <w:tcW w:w="160" w:type="dxa"/>
            <w:vAlign w:val="bottom"/>
            <w:shd w:val="clear" w:color="auto" w:fill="CCEEFF"/>
          </w:tcPr>
          <w:p>
            <w:pPr>
              <w:spacing w:after="0"/>
              <w:rPr>
                <w:sz w:val="14"/>
                <w:szCs w:val="14"/>
                <w:color w:val="auto"/>
              </w:rPr>
            </w:pP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2"/>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4"/>
                <w:szCs w:val="14"/>
                <w:color w:val="auto"/>
              </w:rPr>
            </w:pPr>
          </w:p>
        </w:tc>
      </w:tr>
      <w:tr>
        <w:trPr>
          <w:trHeight w:val="172"/>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expense</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w:t>
            </w:r>
          </w:p>
        </w:tc>
      </w:tr>
      <w:tr>
        <w:trPr>
          <w:trHeight w:val="157"/>
        </w:trPr>
        <w:tc>
          <w:tcPr>
            <w:tcW w:w="3980" w:type="dxa"/>
            <w:vAlign w:val="bottom"/>
            <w:shd w:val="clear" w:color="auto" w:fill="CCEEFF"/>
          </w:tcPr>
          <w:p>
            <w:pPr>
              <w:ind w:left="280"/>
              <w:spacing w:after="0" w:line="157" w:lineRule="exact"/>
              <w:rPr>
                <w:sz w:val="20"/>
                <w:szCs w:val="20"/>
                <w:color w:val="auto"/>
              </w:rPr>
            </w:pPr>
            <w:r>
              <w:rPr>
                <w:rFonts w:ascii="Times New Roman" w:cs="Times New Roman" w:eastAsia="Times New Roman" w:hAnsi="Times New Roman"/>
                <w:sz w:val="14"/>
                <w:szCs w:val="14"/>
                <w:color w:val="auto"/>
              </w:rPr>
              <w:t>Depreciation of the stepped up basis in property, plant and</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87"/>
        </w:trPr>
        <w:tc>
          <w:tcPr>
            <w:tcW w:w="3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equipment (a)</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(b)</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Acquisition-related expenses (c)</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shd w:val="clear" w:color="auto" w:fill="CCEEFF"/>
          </w:tcPr>
          <w:p>
            <w:pPr>
              <w:spacing w:after="0"/>
              <w:rPr>
                <w:sz w:val="14"/>
                <w:szCs w:val="14"/>
                <w:color w:val="auto"/>
              </w:rPr>
            </w:pPr>
          </w:p>
        </w:tc>
      </w:tr>
      <w:tr>
        <w:trPr>
          <w:trHeight w:val="172"/>
        </w:trPr>
        <w:tc>
          <w:tcPr>
            <w:tcW w:w="3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the stepped-up basis in inventory (d)</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2"/>
        </w:trPr>
        <w:tc>
          <w:tcPr>
            <w:tcW w:w="3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(e)</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r>
      <w:tr>
        <w:trPr>
          <w:trHeight w:val="174"/>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2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$ 256</w:t>
            </w:r>
          </w:p>
        </w:tc>
        <w:tc>
          <w:tcPr>
            <w:tcW w:w="160" w:type="dxa"/>
            <w:vAlign w:val="bottom"/>
          </w:tcPr>
          <w:p>
            <w:pPr>
              <w:spacing w:after="0"/>
              <w:rPr>
                <w:sz w:val="15"/>
                <w:szCs w:val="15"/>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5"/>
        </w:trPr>
        <w:tc>
          <w:tcPr>
            <w:tcW w:w="39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sales (GAAP)</w:t>
            </w:r>
          </w:p>
        </w:tc>
        <w:tc>
          <w:tcPr>
            <w:tcW w:w="1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881</w:t>
            </w:r>
          </w:p>
        </w:tc>
        <w:tc>
          <w:tcPr>
            <w:tcW w:w="10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1,534</w:t>
            </w:r>
          </w:p>
        </w:tc>
        <w:tc>
          <w:tcPr>
            <w:tcW w:w="500" w:type="dxa"/>
            <w:vAlign w:val="bottom"/>
            <w:gridSpan w:val="2"/>
            <w:shd w:val="clear" w:color="auto" w:fill="CCEEFF"/>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$ 693</w:t>
            </w:r>
          </w:p>
        </w:tc>
      </w:tr>
      <w:tr>
        <w:trPr>
          <w:trHeight w:val="17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Segment Operating Profit/(Loss) as a percent of Net sales (GAAP)</w:t>
            </w: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29.4%</w:t>
            </w:r>
          </w:p>
        </w:tc>
      </w:tr>
      <w:tr>
        <w:trPr>
          <w:trHeight w:val="17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as a percent of Net sales (Non-GAAP)</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26.1%</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36.9%</w:t>
            </w:r>
          </w:p>
        </w:tc>
      </w:tr>
    </w:tbl>
    <w:p>
      <w:pPr>
        <w:spacing w:after="0" w:line="179" w:lineRule="exact"/>
        <w:rPr>
          <w:sz w:val="20"/>
          <w:szCs w:val="20"/>
          <w:color w:val="auto"/>
        </w:rPr>
      </w:pPr>
    </w:p>
    <w:p>
      <w:pPr>
        <w:ind w:left="460" w:hanging="346"/>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of the stepped-up basis in property, plant and equipment related to the Acquisition (recorded in Cost of sales).</w:t>
      </w:r>
    </w:p>
    <w:p>
      <w:pPr>
        <w:spacing w:after="0" w:line="24"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(recorded in Selling, general and administrative).</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(recorded in Selling, general and administrative), primarily consulting and legal fees, related to the Acquisition.</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the stepped-up basis in inventory related to the Acquisition (recorded in Cost of sales).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gains and losses (recorded in Other (expense) income, net) to reconcile to Adjusted EBITDA.</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36"/>
        </w:trPr>
        <w:tc>
          <w:tcPr>
            <w:tcW w:w="39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Allison Transmission</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Allison Off-Highway</w:t>
            </w:r>
          </w:p>
        </w:tc>
        <w:tc>
          <w:tcPr>
            <w:tcW w:w="6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Central Group Function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color w:val="auto"/>
              </w:rPr>
              <w:t>Consolidated</w:t>
            </w:r>
          </w:p>
        </w:tc>
        <w:tc>
          <w:tcPr>
            <w:tcW w:w="0" w:type="dxa"/>
            <w:vAlign w:val="bottom"/>
          </w:tcPr>
          <w:p>
            <w:pPr>
              <w:spacing w:after="0"/>
              <w:rPr>
                <w:sz w:val="1"/>
                <w:szCs w:val="1"/>
                <w:color w:val="auto"/>
              </w:rPr>
            </w:pPr>
          </w:p>
        </w:tc>
      </w:tr>
      <w:tr>
        <w:trPr>
          <w:trHeight w:val="92"/>
        </w:trPr>
        <w:tc>
          <w:tcPr>
            <w:tcW w:w="3920" w:type="dxa"/>
            <w:vAlign w:val="bottom"/>
          </w:tcPr>
          <w:p>
            <w:pPr>
              <w:spacing w:after="0"/>
              <w:rPr>
                <w:sz w:val="7"/>
                <w:szCs w:val="7"/>
                <w:color w:val="auto"/>
              </w:rPr>
            </w:pPr>
          </w:p>
        </w:tc>
        <w:tc>
          <w:tcPr>
            <w:tcW w:w="980" w:type="dxa"/>
            <w:vAlign w:val="bottom"/>
            <w:tcBorders>
              <w:top w:val="single" w:sz="8" w:color="auto"/>
            </w:tcBorders>
            <w:gridSpan w:val="2"/>
          </w:tcPr>
          <w:p>
            <w:pPr>
              <w:jc w:val="center"/>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220" w:type="dxa"/>
            <w:vAlign w:val="bottom"/>
          </w:tcPr>
          <w:p>
            <w:pPr>
              <w:spacing w:after="0"/>
              <w:rPr>
                <w:sz w:val="7"/>
                <w:szCs w:val="7"/>
                <w:color w:val="auto"/>
              </w:rPr>
            </w:pPr>
          </w:p>
        </w:tc>
        <w:tc>
          <w:tcPr>
            <w:tcW w:w="1000" w:type="dxa"/>
            <w:vAlign w:val="bottom"/>
            <w:tcBorders>
              <w:top w:val="single" w:sz="8" w:color="auto"/>
            </w:tcBorders>
            <w:gridSpan w:val="2"/>
          </w:tcPr>
          <w:p>
            <w:pPr>
              <w:jc w:val="center"/>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jc w:val="center"/>
              <w:ind w:right="11"/>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Borders>
              <w:top w:val="single" w:sz="8" w:color="auto"/>
            </w:tcBorders>
            <w:gridSpan w:val="5"/>
          </w:tcPr>
          <w:p>
            <w:pPr>
              <w:jc w:val="center"/>
              <w:spacing w:after="0" w:line="92" w:lineRule="exact"/>
              <w:rPr>
                <w:sz w:val="20"/>
                <w:szCs w:val="20"/>
                <w:color w:val="auto"/>
              </w:rPr>
            </w:pPr>
            <w:r>
              <w:rPr>
                <w:rFonts w:ascii="Times New Roman" w:cs="Times New Roman" w:eastAsia="Times New Roman" w:hAnsi="Times New Roman"/>
                <w:sz w:val="10"/>
                <w:szCs w:val="10"/>
                <w:color w:val="auto"/>
              </w:rPr>
              <w:t>Nine months ended</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3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4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120" w:type="dxa"/>
            <w:vAlign w:val="bottom"/>
          </w:tcPr>
          <w:p>
            <w:pPr>
              <w:spacing w:after="0"/>
              <w:rPr>
                <w:sz w:val="10"/>
                <w:szCs w:val="10"/>
                <w:color w:val="auto"/>
              </w:rPr>
            </w:pPr>
          </w:p>
        </w:tc>
        <w:tc>
          <w:tcPr>
            <w:tcW w:w="1040" w:type="dxa"/>
            <w:vAlign w:val="bottom"/>
            <w:gridSpan w:val="2"/>
          </w:tcPr>
          <w:p>
            <w:pPr>
              <w:jc w:val="center"/>
              <w:ind w:right="26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jc w:val="center"/>
              <w:ind w:right="22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36"/>
        </w:trPr>
        <w:tc>
          <w:tcPr>
            <w:tcW w:w="39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color w:val="auto"/>
                <w:w w:val="99"/>
              </w:rPr>
              <w:t>2026</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1"/>
                <w:szCs w:val="11"/>
                <w:color w:val="auto"/>
              </w:rPr>
              <w:t>2026</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color w:val="auto"/>
                <w:w w:val="99"/>
              </w:rPr>
              <w:t>2026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color w:val="auto"/>
                <w:w w:val="99"/>
              </w:rPr>
              <w:t>2026</w:t>
            </w:r>
          </w:p>
        </w:tc>
        <w:tc>
          <w:tcPr>
            <w:tcW w:w="2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1"/>
                <w:szCs w:val="11"/>
                <w:color w:val="auto"/>
                <w:w w:val="99"/>
              </w:rPr>
              <w:t>2025</w:t>
            </w:r>
          </w:p>
        </w:tc>
        <w:tc>
          <w:tcPr>
            <w:tcW w:w="1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Profit/(Loss) (GAAP)</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136</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expense</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Recognition of the stepped-up basis in inventory (a)</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7"/>
        </w:trPr>
        <w:tc>
          <w:tcPr>
            <w:tcW w:w="3920" w:type="dxa"/>
            <w:vAlign w:val="bottom"/>
          </w:tcPr>
          <w:p>
            <w:pPr>
              <w:ind w:left="280"/>
              <w:spacing w:after="0" w:line="157" w:lineRule="exact"/>
              <w:rPr>
                <w:sz w:val="20"/>
                <w:szCs w:val="20"/>
                <w:color w:val="auto"/>
              </w:rPr>
            </w:pPr>
            <w:r>
              <w:rPr>
                <w:rFonts w:ascii="Times New Roman" w:cs="Times New Roman" w:eastAsia="Times New Roman" w:hAnsi="Times New Roman"/>
                <w:sz w:val="14"/>
                <w:szCs w:val="14"/>
                <w:color w:val="auto"/>
              </w:rPr>
              <w:t>Depreciation of the stepped up basis in property, plant and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equipment (b)</w:t>
            </w: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3"/>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Acquisition-related expenses (c)</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(d)</w:t>
            </w: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associated with the impairment of long-lived assets (e)</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39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(f)</w:t>
            </w:r>
          </w:p>
        </w:tc>
        <w:tc>
          <w:tcPr>
            <w:tcW w:w="1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5"/>
              </w:rPr>
              <w:t>1,166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sales (GAAP)</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920" w:type="dxa"/>
            <w:vAlign w:val="bottom"/>
            <w:vMerge w:val="continue"/>
          </w:tcPr>
          <w:p>
            <w:pPr>
              <w:spacing w:after="0"/>
              <w:rPr>
                <w:sz w:val="13"/>
                <w:szCs w:val="13"/>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2,474</w:t>
            </w:r>
          </w:p>
        </w:tc>
        <w:tc>
          <w:tcPr>
            <w:tcW w:w="2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2,032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5"/>
              </w:rPr>
              <w:t>4,506</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2,273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Segment Operating Profit/(Loss) as a percent of Net sales (GAAP)</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33.7%</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6"/>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 as a percent of Net sales (Non-GAAP)</w:t>
            </w:r>
          </w:p>
        </w:tc>
        <w:tc>
          <w:tcPr>
            <w:tcW w:w="12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25.9%</w:t>
            </w:r>
          </w:p>
        </w:tc>
        <w:tc>
          <w:tcPr>
            <w:tcW w:w="6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the stepped-up basis in inventory related to the Acquisition (recorded in Cost of sales).</w:t>
      </w:r>
    </w:p>
    <w:p>
      <w:pPr>
        <w:spacing w:after="0" w:line="24"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of the stepped-up basis in property, plant and equipment related to the Acquisition (recorded in Cost of sales).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(recorded in Selling, general and administrative), primarily consulting and legal fees, related to the Acquisition.</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(recorded in Selling, general and administrative).</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charge associated with the impairment of long-lived assets related to the production of certain electrified products.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gains and losses (recorded in Other (expense) income, net) to reconcile to Adjusted EBITDA.</w:t>
      </w:r>
    </w:p>
    <w:p>
      <w:pPr>
        <w:sectPr>
          <w:pgSz w:w="11900" w:h="16838" w:orient="portrait"/>
          <w:cols w:equalWidth="0" w:num="1">
            <w:col w:w="9019"/>
          </w:cols>
          <w:pgMar w:left="1440" w:top="243"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Reconciliation of GAAP to Non-GAAP Financial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5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gridSpan w:val="7"/>
          </w:tcPr>
          <w:p>
            <w:pPr>
              <w:jc w:val="right"/>
              <w:ind w:right="120"/>
              <w:spacing w:after="0"/>
              <w:rPr>
                <w:sz w:val="20"/>
                <w:szCs w:val="20"/>
                <w:color w:val="auto"/>
              </w:rPr>
            </w:pPr>
            <w:r>
              <w:rPr>
                <w:rFonts w:ascii="Times New Roman" w:cs="Times New Roman" w:eastAsia="Times New Roman" w:hAnsi="Times New Roman"/>
                <w:sz w:val="11"/>
                <w:szCs w:val="11"/>
                <w:color w:val="auto"/>
              </w:rPr>
              <w:t>Three months ended</w:t>
            </w:r>
          </w:p>
        </w:tc>
        <w:tc>
          <w:tcPr>
            <w:tcW w:w="80" w:type="dxa"/>
            <w:vAlign w:val="bottom"/>
          </w:tcPr>
          <w:p>
            <w:pPr>
              <w:spacing w:after="0"/>
              <w:rPr>
                <w:sz w:val="11"/>
                <w:szCs w:val="11"/>
                <w:color w:val="auto"/>
              </w:rPr>
            </w:pPr>
          </w:p>
        </w:tc>
        <w:tc>
          <w:tcPr>
            <w:tcW w:w="1020" w:type="dxa"/>
            <w:vAlign w:val="bottom"/>
            <w:gridSpan w:val="7"/>
          </w:tcPr>
          <w:p>
            <w:pPr>
              <w:jc w:val="right"/>
              <w:ind w:right="120"/>
              <w:spacing w:after="0"/>
              <w:rPr>
                <w:sz w:val="20"/>
                <w:szCs w:val="20"/>
                <w:color w:val="auto"/>
              </w:rPr>
            </w:pPr>
            <w:r>
              <w:rPr>
                <w:rFonts w:ascii="Times New Roman" w:cs="Times New Roman" w:eastAsia="Times New Roman" w:hAnsi="Times New Roman"/>
                <w:sz w:val="11"/>
                <w:szCs w:val="11"/>
                <w:color w:val="auto"/>
              </w:rPr>
              <w:t>Nine months ended</w:t>
            </w:r>
          </w:p>
        </w:tc>
        <w:tc>
          <w:tcPr>
            <w:tcW w:w="0" w:type="dxa"/>
            <w:vAlign w:val="bottom"/>
          </w:tcPr>
          <w:p>
            <w:pPr>
              <w:spacing w:after="0"/>
              <w:rPr>
                <w:sz w:val="1"/>
                <w:szCs w:val="1"/>
                <w:color w:val="auto"/>
              </w:rPr>
            </w:pPr>
          </w:p>
        </w:tc>
      </w:tr>
      <w:tr>
        <w:trPr>
          <w:trHeight w:val="118"/>
        </w:trPr>
        <w:tc>
          <w:tcPr>
            <w:tcW w:w="5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6"/>
          </w:tcPr>
          <w:p>
            <w:pPr>
              <w:jc w:val="right"/>
              <w:ind w:right="26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6"/>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September 30,</w:t>
            </w:r>
          </w:p>
        </w:tc>
        <w:tc>
          <w:tcPr>
            <w:tcW w:w="0" w:type="dxa"/>
            <w:vAlign w:val="bottom"/>
          </w:tcPr>
          <w:p>
            <w:pPr>
              <w:spacing w:after="0"/>
              <w:rPr>
                <w:sz w:val="1"/>
                <w:szCs w:val="1"/>
                <w:color w:val="auto"/>
              </w:rPr>
            </w:pPr>
          </w:p>
        </w:tc>
      </w:tr>
      <w:tr>
        <w:trPr>
          <w:trHeight w:val="136"/>
        </w:trPr>
        <w:tc>
          <w:tcPr>
            <w:tcW w:w="5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90"/>
              </w:rPr>
              <w:t>2026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w w:val="90"/>
              </w:rPr>
              <w:t>2025</w:t>
            </w:r>
          </w:p>
        </w:tc>
        <w:tc>
          <w:tcPr>
            <w:tcW w:w="100" w:type="dxa"/>
            <w:vAlign w:val="bottom"/>
          </w:tcPr>
          <w:p>
            <w:pPr>
              <w:spacing w:after="0"/>
              <w:rPr>
                <w:sz w:val="11"/>
                <w:szCs w:val="11"/>
                <w:color w:val="auto"/>
              </w:rPr>
            </w:pPr>
          </w:p>
        </w:tc>
        <w:tc>
          <w:tcPr>
            <w:tcW w:w="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2026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(GAAP)</w:t>
            </w:r>
          </w:p>
        </w:tc>
        <w:tc>
          <w:tcPr>
            <w:tcW w:w="10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524</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expense</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2"/>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Recognition of the stepped-up basis in inventory (a)</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of the stepped up basis in property, plant and equipment (b)</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Acquisition-related expenses (c)</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(d)</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Restructuring charges (e)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5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associated with impairment of long-lived assets (f)</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2"/>
        </w:trPr>
        <w:tc>
          <w:tcPr>
            <w:tcW w:w="55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tax effect on adjustments (g)</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income (Non-GAAP)</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EPS (GAAP)</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89"/>
              </w:rPr>
              <w:t>6.24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Diluted EPS (GAAP)</w:t>
            </w: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1.63</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5.76</w:t>
            </w:r>
          </w:p>
        </w:tc>
        <w:tc>
          <w:tcPr>
            <w:tcW w:w="1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basic EPS (Non-GAAP) (h)</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color w:val="auto"/>
                <w:w w:val="89"/>
              </w:rPr>
              <w:t>6.82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Adjusted diluted EPS (Non-GAAP) (h)</w:t>
            </w:r>
          </w:p>
        </w:tc>
        <w:tc>
          <w:tcPr>
            <w:tcW w:w="11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2.90</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6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8.17</w:t>
            </w:r>
          </w:p>
        </w:tc>
        <w:tc>
          <w:tcPr>
            <w:tcW w:w="1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the stepped-up basis in inventory related to the Acquisition (recorded in Cost of sales).</w:t>
      </w:r>
    </w:p>
    <w:p>
      <w:pPr>
        <w:spacing w:after="0" w:line="24"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depreciation of the stepped-up basis in property, plant and equipment related to the Acquisition (recorded in Cost of sales).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(recorded in Selling, general and administrative), primarily consulting and legal fees, related to the Acquisition</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(recorded in Selling, general and administrative).</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restructuring charges (recorded in Other (expense) income, net) related to Allison Off-Highway footprint optimization activities.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charge associated with the impairment of long-lived assets related to the production of certain electrified products.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income tax effect on the adjustments calculated by applying our effective tax rate.</w:t>
      </w:r>
    </w:p>
    <w:p>
      <w:pPr>
        <w:spacing w:after="0" w:line="11" w:lineRule="exact"/>
        <w:rPr>
          <w:rFonts w:ascii="Times New Roman" w:cs="Times New Roman" w:eastAsia="Times New Roman" w:hAnsi="Times New Roman"/>
          <w:sz w:val="14"/>
          <w:szCs w:val="14"/>
          <w:color w:val="auto"/>
        </w:rPr>
      </w:pPr>
    </w:p>
    <w:p>
      <w:pPr>
        <w:ind w:left="460" w:right="159" w:hanging="346"/>
        <w:spacing w:after="0" w:line="262" w:lineRule="auto"/>
        <w:tabs>
          <w:tab w:leader="none" w:pos="4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basic EPS and Adjusted diluted EPS are Non-GAAP financial measures and are defined as Adjusted net income divided by the weighted average common shares outstanding and diluted weighted average shares outstanding, respectively, for the period. The weighted-average common shares outstanding and diluted weighted-average common shares outstanding are the same as those used in calculating the comparable GAAP measures.</w:t>
      </w:r>
    </w:p>
    <w:p>
      <w:pPr>
        <w:sectPr>
          <w:pgSz w:w="11900" w:h="16838" w:orient="portrait"/>
          <w:cols w:equalWidth="0" w:num="1">
            <w:col w:w="9019"/>
          </w:cols>
          <w:pgMar w:left="1440" w:top="243"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Allison Transmission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Reconciliation of GAAP to Non-GAAP Financial Measures for Full Year Guidance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 dollars in millions)</w:t>
      </w:r>
    </w:p>
    <w:p>
      <w:pPr>
        <w:spacing w:after="0" w:line="189"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1"/>
          <w:szCs w:val="11"/>
          <w:color w:val="auto"/>
        </w:rPr>
        <w:t>Guidance</w:t>
      </w:r>
    </w:p>
    <w:p>
      <w:pPr>
        <w:spacing w:after="0" w:line="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1"/>
          <w:szCs w:val="11"/>
          <w:color w:val="auto"/>
        </w:rPr>
        <w:t>Year Ending December 31, 2026</w:t>
      </w:r>
    </w:p>
    <w:tbl>
      <w:tblPr>
        <w:tblLayout w:type="fixed"/>
        <w:tblInd w:w="120" w:type="dxa"/>
        <w:tblCellMar>
          <w:top w:w="0" w:type="dxa"/>
          <w:left w:w="0" w:type="dxa"/>
          <w:bottom w:w="0" w:type="dxa"/>
          <w:right w:w="0" w:type="dxa"/>
        </w:tblCellMar>
      </w:tblPr>
      <w:tr>
        <w:trPr>
          <w:trHeight w:val="109"/>
        </w:trPr>
        <w:tc>
          <w:tcPr>
            <w:tcW w:w="51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2"/>
          </w:tcPr>
          <w:p>
            <w:pPr>
              <w:jc w:val="right"/>
              <w:ind w:right="380"/>
              <w:spacing w:after="0" w:line="110" w:lineRule="exact"/>
              <w:rPr>
                <w:sz w:val="20"/>
                <w:szCs w:val="20"/>
                <w:color w:val="auto"/>
              </w:rPr>
            </w:pPr>
            <w:r>
              <w:rPr>
                <w:rFonts w:ascii="Times New Roman" w:cs="Times New Roman" w:eastAsia="Times New Roman" w:hAnsi="Times New Roman"/>
                <w:sz w:val="11"/>
                <w:szCs w:val="11"/>
                <w:color w:val="auto"/>
              </w:rPr>
              <w:t>Low</w:t>
            </w: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jc w:val="right"/>
              <w:ind w:right="149"/>
              <w:spacing w:after="0" w:line="110" w:lineRule="exact"/>
              <w:rPr>
                <w:sz w:val="20"/>
                <w:szCs w:val="20"/>
                <w:color w:val="auto"/>
              </w:rPr>
            </w:pPr>
            <w:r>
              <w:rPr>
                <w:rFonts w:ascii="Times New Roman" w:cs="Times New Roman" w:eastAsia="Times New Roman" w:hAnsi="Times New Roman"/>
                <w:sz w:val="11"/>
                <w:szCs w:val="11"/>
                <w:color w:val="auto"/>
              </w:rPr>
              <w:t>High</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(GAAP)</w:t>
            </w:r>
          </w:p>
        </w:tc>
        <w:tc>
          <w:tcPr>
            <w:tcW w:w="19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plus: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 expense</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of property, plant and equipment (a)</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expense, net</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225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Recognition of the stepped-up basis in inventory (b)</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Acquisition-related expenses (c)</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 (d)</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Restructuring &amp; one-time expenses (e)</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loss on marketable securities (f)</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(g)</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EBITDA (Non-GAAP)</w:t>
            </w:r>
          </w:p>
        </w:tc>
        <w:tc>
          <w:tcPr>
            <w:tcW w:w="20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1,580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cash provided by Operating activities (GAAP)</w:t>
            </w: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180" w:type="dxa"/>
            <w:vAlign w:val="bottom"/>
            <w:vMerge w:val="continue"/>
          </w:tcPr>
          <w:p>
            <w:pPr>
              <w:spacing w:after="0"/>
              <w:rPr>
                <w:sz w:val="13"/>
                <w:szCs w:val="13"/>
                <w:color w:val="auto"/>
              </w:rPr>
            </w:pPr>
          </w:p>
        </w:tc>
        <w:tc>
          <w:tcPr>
            <w:tcW w:w="1900" w:type="dxa"/>
            <w:vAlign w:val="bottom"/>
          </w:tcPr>
          <w:p>
            <w:pPr>
              <w:spacing w:after="0"/>
              <w:rPr>
                <w:sz w:val="13"/>
                <w:szCs w:val="13"/>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1,110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Deductions to reconcile to Adjusted free cash flow:</w:t>
            </w:r>
          </w:p>
        </w:tc>
        <w:tc>
          <w:tcPr>
            <w:tcW w:w="1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Additions of long-lived assets (h)</w:t>
            </w:r>
          </w:p>
        </w:tc>
        <w:tc>
          <w:tcPr>
            <w:tcW w:w="204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(240)</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free cash flow (Non-GAAP)</w:t>
            </w:r>
          </w:p>
        </w:tc>
        <w:tc>
          <w:tcPr>
            <w:tcW w:w="20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depreciation of the stepped-up basis in property, plant and equipment related to the Acquisition (recorded in Cost of sales).</w:t>
      </w:r>
    </w:p>
    <w:p>
      <w:pPr>
        <w:spacing w:after="0" w:line="24"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recognition of the stepped-up basis in inventory related to the Acquisition (recorded in Cost of sales).</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expenses (recorded in Selling, general and administrative), primarily consulting and legal fees, related to the Acquisition.</w:t>
      </w:r>
    </w:p>
    <w:p>
      <w:pPr>
        <w:spacing w:after="0" w:line="11" w:lineRule="exact"/>
        <w:rPr>
          <w:rFonts w:ascii="Times New Roman" w:cs="Times New Roman" w:eastAsia="Times New Roman" w:hAnsi="Times New Roman"/>
          <w:sz w:val="14"/>
          <w:szCs w:val="14"/>
          <w:color w:val="auto"/>
        </w:rPr>
      </w:pPr>
    </w:p>
    <w:p>
      <w:pPr>
        <w:ind w:left="460" w:right="359" w:hanging="346"/>
        <w:spacing w:after="0" w:line="256" w:lineRule="auto"/>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stock-based compensation expense (recorded in Cost of sales, Selling, general and administrative, and Engineering — research and development).</w:t>
      </w: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one-time restructuring costs and minority interest.</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gains (recorded in Other (expense) income, net) related to an investment in common stock of Jing-Jin Electric Technologies Co. Ltd.</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other adjustments as defined by the Second Amended and Restated Credit Agreement dated as of March 29, 2019 as amended.</w:t>
      </w:r>
    </w:p>
    <w:p>
      <w:pPr>
        <w:spacing w:after="0" w:line="11" w:lineRule="exact"/>
        <w:rPr>
          <w:rFonts w:ascii="Times New Roman" w:cs="Times New Roman" w:eastAsia="Times New Roman" w:hAnsi="Times New Roman"/>
          <w:sz w:val="14"/>
          <w:szCs w:val="14"/>
          <w:color w:val="auto"/>
        </w:rPr>
      </w:pPr>
    </w:p>
    <w:p>
      <w:pPr>
        <w:ind w:left="460" w:hanging="346"/>
        <w:spacing w:after="0"/>
        <w:tabs>
          <w:tab w:leader="none" w:pos="4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one-time Acquisition-related investments.</w:t>
      </w:r>
    </w:p>
    <w:p>
      <w:pPr>
        <w:sectPr>
          <w:pgSz w:w="11900" w:h="16838" w:orient="portrait"/>
          <w:cols w:equalWidth="0" w:num="1">
            <w:col w:w="9019"/>
          </w:cols>
          <w:pgMar w:left="1440" w:top="243" w:right="1440" w:bottom="1440" w:gutter="0" w:footer="0" w:header="0"/>
        </w:sectPr>
      </w:pPr>
    </w:p>
    <w:bookmarkStart w:id="15" w:name="page16"/>
    <w:bookmarkEnd w:id="15"/>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decimal"/>
      <w:start w:val="16"/>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2026-11-02T15:20:41Z</dcterms:created>
  <dcterms:modified xsi:type="dcterms:W3CDTF">2026-11-02T15:20:41Z</dcterms:modified>
</cp:coreProperties>
</file>