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7" w:lineRule="exact"/>
        <w:rPr>
          <w:sz w:val="24"/>
          <w:szCs w:val="24"/>
          <w:color w:val="auto"/>
        </w:rPr>
      </w:pPr>
    </w:p>
    <w:p>
      <w:pPr>
        <w:ind w:left="580" w:right="120" w:hanging="559"/>
        <w:spacing w:after="0" w:line="26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2024</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3" w:lineRule="exact"/>
        <w:rPr>
          <w:sz w:val="24"/>
          <w:szCs w:val="24"/>
          <w:color w:val="auto"/>
        </w:rPr>
      </w:pPr>
    </w:p>
    <w:p>
      <w:pPr>
        <w:ind w:left="580" w:right="140" w:hanging="559"/>
        <w:spacing w:after="0" w:line="26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001-35456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2693670</wp:posOffset>
            </wp:positionH>
            <wp:positionV relativeFrom="paragraph">
              <wp:posOffset>41275</wp:posOffset>
            </wp:positionV>
            <wp:extent cx="1729740" cy="522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2974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520" w:type="dxa"/>
            <w:vAlign w:val="bottom"/>
          </w:tcPr>
          <w:p>
            <w:pPr>
              <w:jc w:val="center"/>
              <w:ind w:left="1040"/>
              <w:spacing w:after="0"/>
              <w:rPr>
                <w:sz w:val="20"/>
                <w:szCs w:val="20"/>
                <w:color w:val="auto"/>
              </w:rPr>
            </w:pPr>
            <w:r>
              <w:rPr>
                <w:rFonts w:ascii="Arial" w:cs="Arial" w:eastAsia="Arial" w:hAnsi="Arial"/>
                <w:sz w:val="18"/>
                <w:szCs w:val="18"/>
                <w:b w:val="1"/>
                <w:bCs w:val="1"/>
                <w:color w:val="auto"/>
              </w:rPr>
              <w:t>Delaware</w:t>
            </w: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jc w:val="right"/>
              <w:ind w:right="2242"/>
              <w:spacing w:after="0"/>
              <w:rPr>
                <w:sz w:val="20"/>
                <w:szCs w:val="20"/>
                <w:color w:val="auto"/>
              </w:rPr>
            </w:pPr>
            <w:r>
              <w:rPr>
                <w:rFonts w:ascii="Arial" w:cs="Arial" w:eastAsia="Arial" w:hAnsi="Arial"/>
                <w:sz w:val="18"/>
                <w:szCs w:val="18"/>
                <w:b w:val="1"/>
                <w:bCs w:val="1"/>
                <w:color w:val="auto"/>
              </w:rPr>
              <w:t>26-0414014</w:t>
            </w:r>
          </w:p>
        </w:tc>
      </w:tr>
      <w:tr>
        <w:trPr>
          <w:trHeight w:val="248"/>
        </w:trPr>
        <w:tc>
          <w:tcPr>
            <w:tcW w:w="4520" w:type="dxa"/>
            <w:vAlign w:val="bottom"/>
          </w:tcPr>
          <w:p>
            <w:pPr>
              <w:jc w:val="center"/>
              <w:ind w:left="1040"/>
              <w:spacing w:after="0"/>
              <w:rPr>
                <w:sz w:val="20"/>
                <w:szCs w:val="20"/>
                <w:color w:val="auto"/>
              </w:rPr>
            </w:pPr>
            <w:r>
              <w:rPr>
                <w:rFonts w:ascii="Arial" w:cs="Arial" w:eastAsia="Arial" w:hAnsi="Arial"/>
                <w:sz w:val="14"/>
                <w:szCs w:val="14"/>
                <w:color w:val="auto"/>
              </w:rPr>
              <w:t>(State or other jurisdiction of incorporation or</w:t>
            </w: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jc w:val="center"/>
              <w:ind w:right="1742"/>
              <w:spacing w:after="0"/>
              <w:rPr>
                <w:sz w:val="20"/>
                <w:szCs w:val="20"/>
                <w:color w:val="auto"/>
              </w:rPr>
            </w:pPr>
            <w:r>
              <w:rPr>
                <w:rFonts w:ascii="Arial" w:cs="Arial" w:eastAsia="Arial" w:hAnsi="Arial"/>
                <w:sz w:val="14"/>
                <w:szCs w:val="14"/>
                <w:color w:val="auto"/>
              </w:rPr>
              <w:t>(I.R.S. Employer</w:t>
            </w:r>
          </w:p>
        </w:tc>
      </w:tr>
      <w:tr>
        <w:trPr>
          <w:trHeight w:val="204"/>
        </w:trPr>
        <w:tc>
          <w:tcPr>
            <w:tcW w:w="4520" w:type="dxa"/>
            <w:vAlign w:val="bottom"/>
          </w:tcPr>
          <w:p>
            <w:pPr>
              <w:jc w:val="center"/>
              <w:ind w:left="1040"/>
              <w:spacing w:after="0"/>
              <w:rPr>
                <w:sz w:val="20"/>
                <w:szCs w:val="20"/>
                <w:color w:val="auto"/>
              </w:rPr>
            </w:pPr>
            <w:r>
              <w:rPr>
                <w:rFonts w:ascii="Arial" w:cs="Arial" w:eastAsia="Arial" w:hAnsi="Arial"/>
                <w:sz w:val="14"/>
                <w:szCs w:val="14"/>
                <w:color w:val="auto"/>
              </w:rPr>
              <w:t>organization)</w:t>
            </w: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0" w:type="dxa"/>
            <w:vAlign w:val="bottom"/>
          </w:tcPr>
          <w:p>
            <w:pPr>
              <w:jc w:val="center"/>
              <w:ind w:right="1722"/>
              <w:spacing w:after="0"/>
              <w:rPr>
                <w:sz w:val="20"/>
                <w:szCs w:val="20"/>
                <w:color w:val="auto"/>
              </w:rPr>
            </w:pPr>
            <w:r>
              <w:rPr>
                <w:rFonts w:ascii="Arial" w:cs="Arial" w:eastAsia="Arial" w:hAnsi="Arial"/>
                <w:sz w:val="14"/>
                <w:szCs w:val="14"/>
                <w:color w:val="auto"/>
              </w:rPr>
              <w:t>Identification Number)</w:t>
            </w:r>
          </w:p>
        </w:tc>
      </w:tr>
      <w:tr>
        <w:trPr>
          <w:trHeight w:val="398"/>
        </w:trPr>
        <w:tc>
          <w:tcPr>
            <w:tcW w:w="4520" w:type="dxa"/>
            <w:vAlign w:val="bottom"/>
          </w:tcPr>
          <w:p>
            <w:pPr>
              <w:jc w:val="center"/>
              <w:ind w:left="1040"/>
              <w:spacing w:after="0"/>
              <w:rPr>
                <w:sz w:val="20"/>
                <w:szCs w:val="20"/>
                <w:color w:val="auto"/>
              </w:rPr>
            </w:pPr>
            <w:r>
              <w:rPr>
                <w:rFonts w:ascii="Arial" w:cs="Arial" w:eastAsia="Arial" w:hAnsi="Arial"/>
                <w:sz w:val="18"/>
                <w:szCs w:val="18"/>
                <w:b w:val="1"/>
                <w:bCs w:val="1"/>
                <w:color w:val="auto"/>
                <w:w w:val="98"/>
              </w:rPr>
              <w:t>One Allison Way</w:t>
            </w: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4520" w:type="dxa"/>
            <w:vAlign w:val="bottom"/>
          </w:tcPr>
          <w:p>
            <w:pPr>
              <w:jc w:val="center"/>
              <w:ind w:left="1000"/>
              <w:spacing w:after="0"/>
              <w:rPr>
                <w:sz w:val="20"/>
                <w:szCs w:val="20"/>
                <w:color w:val="auto"/>
              </w:rPr>
            </w:pPr>
            <w:r>
              <w:rPr>
                <w:rFonts w:ascii="Arial" w:cs="Arial" w:eastAsia="Arial" w:hAnsi="Arial"/>
                <w:sz w:val="18"/>
                <w:szCs w:val="18"/>
                <w:b w:val="1"/>
                <w:bCs w:val="1"/>
                <w:color w:val="auto"/>
                <w:w w:val="99"/>
              </w:rPr>
              <w:t>Indianapolis, IN</w:t>
            </w: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tcPr>
          <w:p>
            <w:pPr>
              <w:jc w:val="right"/>
              <w:ind w:right="2482"/>
              <w:spacing w:after="0"/>
              <w:rPr>
                <w:sz w:val="20"/>
                <w:szCs w:val="20"/>
                <w:color w:val="auto"/>
              </w:rPr>
            </w:pPr>
            <w:r>
              <w:rPr>
                <w:rFonts w:ascii="Arial" w:cs="Arial" w:eastAsia="Arial" w:hAnsi="Arial"/>
                <w:sz w:val="18"/>
                <w:szCs w:val="18"/>
                <w:b w:val="1"/>
                <w:bCs w:val="1"/>
                <w:color w:val="auto"/>
              </w:rPr>
              <w:t>46222</w:t>
            </w:r>
          </w:p>
        </w:tc>
      </w:tr>
      <w:tr>
        <w:trPr>
          <w:trHeight w:val="250"/>
        </w:trPr>
        <w:tc>
          <w:tcPr>
            <w:tcW w:w="4520" w:type="dxa"/>
            <w:vAlign w:val="bottom"/>
          </w:tcPr>
          <w:p>
            <w:pPr>
              <w:jc w:val="center"/>
              <w:ind w:left="1040"/>
              <w:spacing w:after="0"/>
              <w:rPr>
                <w:sz w:val="20"/>
                <w:szCs w:val="20"/>
                <w:color w:val="auto"/>
              </w:rPr>
            </w:pPr>
            <w:r>
              <w:rPr>
                <w:rFonts w:ascii="Arial" w:cs="Arial" w:eastAsia="Arial" w:hAnsi="Arial"/>
                <w:sz w:val="14"/>
                <w:szCs w:val="14"/>
                <w:color w:val="auto"/>
              </w:rPr>
              <w:t>(Address of principal executive offices)</w:t>
            </w: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jc w:val="center"/>
              <w:ind w:right="1722"/>
              <w:spacing w:after="0"/>
              <w:rPr>
                <w:sz w:val="20"/>
                <w:szCs w:val="20"/>
                <w:color w:val="auto"/>
              </w:rPr>
            </w:pPr>
            <w:r>
              <w:rPr>
                <w:rFonts w:ascii="Arial" w:cs="Arial" w:eastAsia="Arial" w:hAnsi="Arial"/>
                <w:sz w:val="14"/>
                <w:szCs w:val="14"/>
                <w:color w:val="auto"/>
              </w:rPr>
              <w:t>(Zip Code)</w:t>
            </w:r>
          </w:p>
        </w:tc>
      </w:tr>
      <w:tr>
        <w:trPr>
          <w:trHeight w:val="317"/>
        </w:trPr>
        <w:tc>
          <w:tcPr>
            <w:tcW w:w="4520" w:type="dxa"/>
            <w:vAlign w:val="bottom"/>
          </w:tcPr>
          <w:p>
            <w:pPr>
              <w:spacing w:after="0"/>
              <w:rPr>
                <w:sz w:val="24"/>
                <w:szCs w:val="24"/>
                <w:color w:val="auto"/>
              </w:rPr>
            </w:pPr>
          </w:p>
        </w:tc>
        <w:tc>
          <w:tcPr>
            <w:tcW w:w="2480" w:type="dxa"/>
            <w:vAlign w:val="bottom"/>
            <w:gridSpan w:val="2"/>
          </w:tcPr>
          <w:p>
            <w:pPr>
              <w:jc w:val="center"/>
              <w:ind w:right="204"/>
              <w:spacing w:after="0"/>
              <w:rPr>
                <w:sz w:val="20"/>
                <w:szCs w:val="20"/>
                <w:color w:val="auto"/>
              </w:rPr>
            </w:pPr>
            <w:r>
              <w:rPr>
                <w:rFonts w:ascii="Arial" w:cs="Arial" w:eastAsia="Arial" w:hAnsi="Arial"/>
                <w:sz w:val="18"/>
                <w:szCs w:val="18"/>
                <w:b w:val="1"/>
                <w:bCs w:val="1"/>
                <w:color w:val="auto"/>
              </w:rPr>
              <w:t>(317) 242-5000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96"/>
        </w:trPr>
        <w:tc>
          <w:tcPr>
            <w:tcW w:w="7440" w:type="dxa"/>
            <w:vAlign w:val="bottom"/>
            <w:gridSpan w:val="5"/>
          </w:tcPr>
          <w:p>
            <w:pPr>
              <w:jc w:val="center"/>
              <w:ind w:left="3720"/>
              <w:spacing w:after="0"/>
              <w:rPr>
                <w:sz w:val="20"/>
                <w:szCs w:val="20"/>
                <w:color w:val="auto"/>
              </w:rPr>
            </w:pPr>
            <w:r>
              <w:rPr>
                <w:rFonts w:ascii="Arial" w:cs="Arial" w:eastAsia="Arial" w:hAnsi="Arial"/>
                <w:sz w:val="14"/>
                <w:szCs w:val="14"/>
                <w:color w:val="auto"/>
              </w:rPr>
              <w:t>(Registrant’s telephone number, including area code)</w:t>
            </w:r>
          </w:p>
        </w:tc>
        <w:tc>
          <w:tcPr>
            <w:tcW w:w="3800" w:type="dxa"/>
            <w:vAlign w:val="bottom"/>
          </w:tcPr>
          <w:p>
            <w:pPr>
              <w:spacing w:after="0"/>
              <w:rPr>
                <w:sz w:val="17"/>
                <w:szCs w:val="17"/>
                <w:color w:val="auto"/>
              </w:rPr>
            </w:pPr>
          </w:p>
        </w:tc>
      </w:tr>
      <w:tr>
        <w:trPr>
          <w:trHeight w:val="285"/>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195"/>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120" w:type="dxa"/>
            <w:vAlign w:val="bottom"/>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tcPr>
          <w:p>
            <w:pPr>
              <w:jc w:val="center"/>
              <w:ind w:right="242"/>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25"/>
        </w:trPr>
        <w:tc>
          <w:tcPr>
            <w:tcW w:w="4520" w:type="dxa"/>
            <w:vAlign w:val="bottom"/>
          </w:tcPr>
          <w:p>
            <w:pPr>
              <w:jc w:val="center"/>
              <w:spacing w:after="0"/>
              <w:rPr>
                <w:sz w:val="20"/>
                <w:szCs w:val="20"/>
                <w:color w:val="auto"/>
              </w:rPr>
            </w:pPr>
            <w:r>
              <w:rPr>
                <w:rFonts w:ascii="Arial" w:cs="Arial" w:eastAsia="Arial" w:hAnsi="Arial"/>
                <w:sz w:val="15"/>
                <w:szCs w:val="15"/>
                <w:b w:val="1"/>
                <w:bCs w:val="1"/>
                <w:color w:val="auto"/>
              </w:rPr>
              <w:t>Common Stock, $0.01 par value</w:t>
            </w:r>
          </w:p>
        </w:tc>
        <w:tc>
          <w:tcPr>
            <w:tcW w:w="120" w:type="dxa"/>
            <w:vAlign w:val="bottom"/>
          </w:tcPr>
          <w:p>
            <w:pPr>
              <w:spacing w:after="0"/>
              <w:rPr>
                <w:sz w:val="19"/>
                <w:szCs w:val="19"/>
                <w:color w:val="auto"/>
              </w:rPr>
            </w:pPr>
          </w:p>
        </w:tc>
        <w:tc>
          <w:tcPr>
            <w:tcW w:w="2800" w:type="dxa"/>
            <w:vAlign w:val="bottom"/>
            <w:gridSpan w:val="3"/>
          </w:tcPr>
          <w:p>
            <w:pPr>
              <w:jc w:val="center"/>
              <w:ind w:right="440"/>
              <w:spacing w:after="0"/>
              <w:rPr>
                <w:sz w:val="20"/>
                <w:szCs w:val="20"/>
                <w:color w:val="auto"/>
              </w:rPr>
            </w:pPr>
            <w:r>
              <w:rPr>
                <w:rFonts w:ascii="Arial" w:cs="Arial" w:eastAsia="Arial" w:hAnsi="Arial"/>
                <w:sz w:val="15"/>
                <w:szCs w:val="15"/>
                <w:b w:val="1"/>
                <w:bCs w:val="1"/>
                <w:color w:val="auto"/>
                <w:w w:val="97"/>
              </w:rPr>
              <w:t>ALSN</w:t>
            </w:r>
          </w:p>
        </w:tc>
        <w:tc>
          <w:tcPr>
            <w:tcW w:w="3800" w:type="dxa"/>
            <w:vAlign w:val="bottom"/>
          </w:tcPr>
          <w:p>
            <w:pPr>
              <w:jc w:val="center"/>
              <w:ind w:right="242"/>
              <w:spacing w:after="0"/>
              <w:rPr>
                <w:sz w:val="20"/>
                <w:szCs w:val="20"/>
                <w:color w:val="auto"/>
              </w:rPr>
            </w:pPr>
            <w:r>
              <w:rPr>
                <w:rFonts w:ascii="Arial" w:cs="Arial" w:eastAsia="Arial" w:hAnsi="Arial"/>
                <w:sz w:val="15"/>
                <w:szCs w:val="15"/>
                <w:b w:val="1"/>
                <w:bCs w:val="1"/>
                <w:color w:val="auto"/>
              </w:rPr>
              <w:t>New York Stock Exchange</w:t>
            </w:r>
          </w:p>
        </w:tc>
      </w:tr>
    </w:tbl>
    <w:p>
      <w:pPr>
        <w:spacing w:after="0" w:line="100" w:lineRule="exact"/>
        <w:rPr>
          <w:sz w:val="24"/>
          <w:szCs w:val="24"/>
          <w:color w:val="auto"/>
        </w:rPr>
      </w:pPr>
    </w:p>
    <w:p>
      <w:pPr>
        <w:ind w:right="6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80"/>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60"/>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52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16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4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p>
    <w:p>
      <w:pPr>
        <w:ind w:right="22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760"/>
        <w:spacing w:after="0" w:line="25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12, 2024, there were 87,137,881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0" w:type="dxa"/>
            <w:vAlign w:val="bottom"/>
            <w:gridSpan w:val="9"/>
          </w:tcPr>
          <w:p>
            <w:pPr>
              <w:jc w:val="center"/>
              <w:ind w:right="3340"/>
              <w:spacing w:after="0"/>
              <w:rPr>
                <w:sz w:val="20"/>
                <w:szCs w:val="20"/>
                <w:color w:val="auto"/>
              </w:rPr>
            </w:pPr>
            <w:r>
              <w:rPr>
                <w:rFonts w:ascii="Arial" w:cs="Arial" w:eastAsia="Arial" w:hAnsi="Arial"/>
                <w:sz w:val="18"/>
                <w:szCs w:val="18"/>
                <w:b w:val="1"/>
                <w:bCs w:val="1"/>
                <w:color w:val="auto"/>
                <w:w w:val="99"/>
              </w:rPr>
              <w:t>TABLE OF CONTENTS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960" w:type="dxa"/>
            <w:vAlign w:val="bottom"/>
            <w:tcBorders>
              <w:bottom w:val="single" w:sz="8" w:color="0000FF"/>
            </w:tcBorders>
            <w:gridSpan w:val="8"/>
          </w:tcPr>
          <w:p>
            <w:pPr>
              <w:jc w:val="center"/>
              <w:spacing w:after="0" w:line="182" w:lineRule="exact"/>
              <w:rPr>
                <w:sz w:val="20"/>
                <w:szCs w:val="20"/>
                <w:color w:val="auto"/>
              </w:rPr>
            </w:pPr>
            <w:r>
              <w:rPr>
                <w:rFonts w:ascii="Arial" w:cs="Arial" w:eastAsia="Arial" w:hAnsi="Arial"/>
                <w:sz w:val="18"/>
                <w:szCs w:val="18"/>
                <w:b w:val="1"/>
                <w:bCs w:val="1"/>
                <w:color w:val="0000FF"/>
                <w:w w:val="99"/>
              </w:rPr>
              <w:t>PART I. FINANCIAL INFORMATION</w:t>
            </w:r>
          </w:p>
        </w:tc>
        <w:tc>
          <w:tcPr>
            <w:tcW w:w="322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380" w:type="dxa"/>
            <w:vAlign w:val="bottom"/>
            <w:gridSpan w:val="2"/>
          </w:tcPr>
          <w:p>
            <w:pPr>
              <w:spacing w:after="0"/>
              <w:rPr>
                <w:sz w:val="24"/>
                <w:szCs w:val="24"/>
                <w:color w:val="auto"/>
              </w:rPr>
            </w:pPr>
          </w:p>
        </w:tc>
        <w:tc>
          <w:tcPr>
            <w:tcW w:w="1680" w:type="dxa"/>
            <w:vAlign w:val="bottom"/>
            <w:gridSpan w:val="6"/>
          </w:tcPr>
          <w:p>
            <w:pPr>
              <w:spacing w:after="0"/>
              <w:rPr>
                <w:sz w:val="20"/>
                <w:szCs w:val="20"/>
                <w:color w:val="auto"/>
              </w:rPr>
            </w:pPr>
            <w:r>
              <w:rPr>
                <w:rFonts w:ascii="Arial" w:cs="Arial" w:eastAsia="Arial" w:hAnsi="Arial"/>
                <w:sz w:val="18"/>
                <w:szCs w:val="18"/>
                <w:color w:val="0000FF"/>
                <w:w w:val="98"/>
              </w:rPr>
              <w:t>Financial Statements</w:t>
            </w:r>
          </w:p>
        </w:tc>
        <w:tc>
          <w:tcPr>
            <w:tcW w:w="7660" w:type="dxa"/>
            <w:vAlign w:val="bottom"/>
            <w:gridSpan w:val="12"/>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gridSpan w:val="9"/>
          </w:tcPr>
          <w:p>
            <w:pPr>
              <w:spacing w:after="0"/>
              <w:rPr>
                <w:sz w:val="20"/>
                <w:szCs w:val="20"/>
                <w:color w:val="auto"/>
              </w:rPr>
            </w:pPr>
            <w:r>
              <w:rPr>
                <w:rFonts w:ascii="Arial" w:cs="Arial" w:eastAsia="Arial" w:hAnsi="Arial"/>
                <w:sz w:val="18"/>
                <w:szCs w:val="18"/>
                <w:color w:val="0000FF"/>
                <w:w w:val="99"/>
              </w:rPr>
              <w:t>Condensed Consolidated Balance Sheets</w:t>
            </w:r>
          </w:p>
        </w:tc>
        <w:tc>
          <w:tcPr>
            <w:tcW w:w="600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20" w:type="dxa"/>
            <w:vAlign w:val="bottom"/>
            <w:gridSpan w:val="14"/>
          </w:tcPr>
          <w:p>
            <w:pPr>
              <w:spacing w:after="0"/>
              <w:rPr>
                <w:sz w:val="20"/>
                <w:szCs w:val="20"/>
                <w:color w:val="auto"/>
              </w:rPr>
            </w:pPr>
            <w:r>
              <w:rPr>
                <w:rFonts w:ascii="Arial" w:cs="Arial" w:eastAsia="Arial" w:hAnsi="Arial"/>
                <w:sz w:val="18"/>
                <w:szCs w:val="18"/>
                <w:color w:val="0000FF"/>
                <w:w w:val="99"/>
              </w:rPr>
              <w:t>Condensed Consolidated Statements of Comprehensive Income</w:t>
            </w:r>
          </w:p>
        </w:tc>
        <w:tc>
          <w:tcPr>
            <w:tcW w:w="422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80" w:type="dxa"/>
            <w:vAlign w:val="bottom"/>
            <w:gridSpan w:val="10"/>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940" w:type="dxa"/>
            <w:vAlign w:val="bottom"/>
            <w:gridSpan w:val="4"/>
          </w:tcPr>
          <w:p>
            <w:pPr>
              <w:spacing w:after="0"/>
              <w:rPr>
                <w:sz w:val="24"/>
                <w:szCs w:val="24"/>
                <w:color w:val="auto"/>
              </w:rPr>
            </w:pPr>
          </w:p>
        </w:tc>
        <w:tc>
          <w:tcPr>
            <w:tcW w:w="422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13"/>
          </w:tcPr>
          <w:p>
            <w:pPr>
              <w:spacing w:after="0"/>
              <w:rPr>
                <w:sz w:val="20"/>
                <w:szCs w:val="20"/>
                <w:color w:val="auto"/>
              </w:rPr>
            </w:pPr>
            <w:r>
              <w:rPr>
                <w:rFonts w:ascii="Arial" w:cs="Arial" w:eastAsia="Arial" w:hAnsi="Arial"/>
                <w:sz w:val="18"/>
                <w:szCs w:val="18"/>
                <w:color w:val="0000FF"/>
                <w:w w:val="98"/>
              </w:rPr>
              <w:t>Condensed Consolidated Statements of Stockholders’ Equity</w:t>
            </w:r>
          </w:p>
        </w:tc>
        <w:tc>
          <w:tcPr>
            <w:tcW w:w="450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360" w:type="dxa"/>
            <w:vAlign w:val="bottom"/>
            <w:gridSpan w:val="2"/>
          </w:tcPr>
          <w:p>
            <w:pPr>
              <w:spacing w:after="0"/>
              <w:rPr>
                <w:sz w:val="24"/>
                <w:szCs w:val="24"/>
                <w:color w:val="auto"/>
              </w:rPr>
            </w:pPr>
          </w:p>
        </w:tc>
        <w:tc>
          <w:tcPr>
            <w:tcW w:w="450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380" w:type="dxa"/>
            <w:vAlign w:val="bottom"/>
            <w:gridSpan w:val="2"/>
          </w:tcPr>
          <w:p>
            <w:pPr>
              <w:spacing w:after="0"/>
              <w:rPr>
                <w:sz w:val="24"/>
                <w:szCs w:val="24"/>
                <w:color w:val="auto"/>
              </w:rPr>
            </w:pPr>
          </w:p>
        </w:tc>
        <w:tc>
          <w:tcPr>
            <w:tcW w:w="934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24</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3.</w:t>
            </w:r>
          </w:p>
        </w:tc>
        <w:tc>
          <w:tcPr>
            <w:tcW w:w="380" w:type="dxa"/>
            <w:vAlign w:val="bottom"/>
            <w:gridSpan w:val="2"/>
          </w:tcPr>
          <w:p>
            <w:pPr>
              <w:spacing w:after="0"/>
              <w:rPr>
                <w:sz w:val="24"/>
                <w:szCs w:val="24"/>
                <w:color w:val="auto"/>
              </w:rPr>
            </w:pPr>
          </w:p>
        </w:tc>
        <w:tc>
          <w:tcPr>
            <w:tcW w:w="4700" w:type="dxa"/>
            <w:vAlign w:val="bottom"/>
            <w:gridSpan w:val="12"/>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5"/>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4"/>
              </w:rPr>
              <w:t>Item 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8"/>
              </w:rPr>
              <w:t>Controls and Procedures</w:t>
            </w:r>
          </w:p>
        </w:tc>
        <w:tc>
          <w:tcPr>
            <w:tcW w:w="1360" w:type="dxa"/>
            <w:vAlign w:val="bottom"/>
            <w:gridSpan w:val="2"/>
          </w:tcPr>
          <w:p>
            <w:pPr>
              <w:spacing w:after="0"/>
              <w:rPr>
                <w:sz w:val="24"/>
                <w:szCs w:val="24"/>
                <w:color w:val="auto"/>
              </w:rPr>
            </w:pPr>
          </w:p>
        </w:tc>
        <w:tc>
          <w:tcPr>
            <w:tcW w:w="13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3360" w:type="dxa"/>
            <w:vAlign w:val="bottom"/>
            <w:gridSpan w:val="3"/>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gridSpan w:val="6"/>
            <w:vMerge w:val="restart"/>
          </w:tcPr>
          <w:p>
            <w:pPr>
              <w:jc w:val="center"/>
              <w:spacing w:after="0"/>
              <w:rPr>
                <w:sz w:val="20"/>
                <w:szCs w:val="20"/>
                <w:color w:val="auto"/>
              </w:rPr>
            </w:pPr>
            <w:r>
              <w:rPr>
                <w:rFonts w:ascii="Arial" w:cs="Arial" w:eastAsia="Arial" w:hAnsi="Arial"/>
                <w:sz w:val="18"/>
                <w:szCs w:val="18"/>
                <w:b w:val="1"/>
                <w:bCs w:val="1"/>
                <w:color w:val="0000FF"/>
                <w:w w:val="98"/>
              </w:rPr>
              <w:t>PART II. OTHER INFORMATION</w:t>
            </w:r>
          </w:p>
        </w:tc>
        <w:tc>
          <w:tcPr>
            <w:tcW w:w="3360" w:type="dxa"/>
            <w:vAlign w:val="bottom"/>
            <w:gridSpan w:val="3"/>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Borders>
              <w:bottom w:val="single" w:sz="8" w:color="0000FF"/>
            </w:tcBorders>
            <w:gridSpan w:val="6"/>
            <w:vMerge w:val="continue"/>
          </w:tcPr>
          <w:p>
            <w:pPr>
              <w:spacing w:after="0"/>
              <w:rPr>
                <w:sz w:val="24"/>
                <w:szCs w:val="24"/>
                <w:color w:val="auto"/>
              </w:rPr>
            </w:pPr>
          </w:p>
        </w:tc>
        <w:tc>
          <w:tcPr>
            <w:tcW w:w="336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380" w:type="dxa"/>
            <w:vAlign w:val="bottom"/>
            <w:gridSpan w:val="2"/>
          </w:tcPr>
          <w:p>
            <w:pPr>
              <w:spacing w:after="0"/>
              <w:rPr>
                <w:sz w:val="24"/>
                <w:szCs w:val="24"/>
                <w:color w:val="auto"/>
              </w:rPr>
            </w:pPr>
          </w:p>
        </w:tc>
        <w:tc>
          <w:tcPr>
            <w:tcW w:w="934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39</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2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0000FF"/>
                <w:w w:val="97"/>
              </w:rPr>
              <w:t>Risk Factors</w:t>
            </w:r>
          </w:p>
        </w:tc>
        <w:tc>
          <w:tcPr>
            <w:tcW w:w="8340" w:type="dxa"/>
            <w:vAlign w:val="bottom"/>
            <w:gridSpan w:val="15"/>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39</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13"/>
          </w:tcPr>
          <w:p>
            <w:pPr>
              <w:spacing w:after="0"/>
              <w:rPr>
                <w:sz w:val="20"/>
                <w:szCs w:val="20"/>
                <w:color w:val="auto"/>
              </w:rPr>
            </w:pPr>
            <w:r>
              <w:rPr>
                <w:rFonts w:ascii="Arial" w:cs="Arial" w:eastAsia="Arial" w:hAnsi="Arial"/>
                <w:sz w:val="18"/>
                <w:szCs w:val="18"/>
                <w:color w:val="0000FF"/>
                <w:w w:val="98"/>
              </w:rPr>
              <w:t>Unregistered Sales of Equity Securities and Use of Proceeds</w:t>
            </w:r>
          </w:p>
        </w:tc>
        <w:tc>
          <w:tcPr>
            <w:tcW w:w="4500" w:type="dxa"/>
            <w:vAlign w:val="bottom"/>
            <w:gridSpan w:val="5"/>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39</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440" w:type="dxa"/>
            <w:vAlign w:val="bottom"/>
            <w:gridSpan w:val="9"/>
            <w:shd w:val="clear" w:color="auto" w:fill="0000FF"/>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5.</w:t>
            </w:r>
          </w:p>
        </w:tc>
        <w:tc>
          <w:tcPr>
            <w:tcW w:w="380" w:type="dxa"/>
            <w:vAlign w:val="bottom"/>
            <w:gridSpan w:val="2"/>
          </w:tcPr>
          <w:p>
            <w:pPr>
              <w:spacing w:after="0"/>
              <w:rPr>
                <w:sz w:val="24"/>
                <w:szCs w:val="24"/>
                <w:color w:val="auto"/>
              </w:rPr>
            </w:pPr>
          </w:p>
        </w:tc>
        <w:tc>
          <w:tcPr>
            <w:tcW w:w="1400" w:type="dxa"/>
            <w:vAlign w:val="bottom"/>
            <w:gridSpan w:val="4"/>
          </w:tcPr>
          <w:p>
            <w:pPr>
              <w:spacing w:after="0"/>
              <w:rPr>
                <w:sz w:val="20"/>
                <w:szCs w:val="20"/>
                <w:color w:val="auto"/>
              </w:rPr>
            </w:pPr>
            <w:r>
              <w:rPr>
                <w:rFonts w:ascii="Arial" w:cs="Arial" w:eastAsia="Arial" w:hAnsi="Arial"/>
                <w:sz w:val="18"/>
                <w:szCs w:val="18"/>
                <w:color w:val="0000FF"/>
                <w:w w:val="98"/>
              </w:rPr>
              <w:t>Other Information</w:t>
            </w:r>
          </w:p>
        </w:tc>
        <w:tc>
          <w:tcPr>
            <w:tcW w:w="3440" w:type="dxa"/>
            <w:vAlign w:val="bottom"/>
            <w:gridSpan w:val="9"/>
          </w:tcPr>
          <w:p>
            <w:pPr>
              <w:spacing w:after="0"/>
              <w:rPr>
                <w:sz w:val="24"/>
                <w:szCs w:val="24"/>
                <w:color w:val="auto"/>
              </w:rPr>
            </w:pPr>
          </w:p>
        </w:tc>
        <w:tc>
          <w:tcPr>
            <w:tcW w:w="4500" w:type="dxa"/>
            <w:vAlign w:val="bottom"/>
            <w:gridSpan w:val="5"/>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40</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940" w:type="dxa"/>
            <w:vAlign w:val="bottom"/>
            <w:gridSpan w:val="14"/>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6.</w:t>
            </w:r>
          </w:p>
        </w:tc>
        <w:tc>
          <w:tcPr>
            <w:tcW w:w="380" w:type="dxa"/>
            <w:vAlign w:val="bottom"/>
            <w:gridSpan w:val="2"/>
          </w:tcPr>
          <w:p>
            <w:pPr>
              <w:spacing w:after="0"/>
              <w:rPr>
                <w:sz w:val="24"/>
                <w:szCs w:val="24"/>
                <w:color w:val="auto"/>
              </w:rPr>
            </w:pPr>
          </w:p>
        </w:tc>
        <w:tc>
          <w:tcPr>
            <w:tcW w:w="1400" w:type="dxa"/>
            <w:vAlign w:val="bottom"/>
            <w:gridSpan w:val="4"/>
          </w:tcPr>
          <w:p>
            <w:pPr>
              <w:spacing w:after="0"/>
              <w:rPr>
                <w:sz w:val="20"/>
                <w:szCs w:val="20"/>
                <w:color w:val="auto"/>
              </w:rPr>
            </w:pPr>
            <w:r>
              <w:rPr>
                <w:rFonts w:ascii="Arial" w:cs="Arial" w:eastAsia="Arial" w:hAnsi="Arial"/>
                <w:sz w:val="18"/>
                <w:szCs w:val="18"/>
                <w:color w:val="0000FF"/>
              </w:rPr>
              <w:t>Exhibits</w:t>
            </w:r>
          </w:p>
        </w:tc>
        <w:tc>
          <w:tcPr>
            <w:tcW w:w="7940" w:type="dxa"/>
            <w:vAlign w:val="bottom"/>
            <w:gridSpan w:val="14"/>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41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60" w:type="dxa"/>
            <w:vAlign w:val="bottom"/>
            <w:gridSpan w:val="16"/>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0000FF"/>
                <w:w w:val="97"/>
              </w:rPr>
              <w:t>Signatures</w:t>
            </w:r>
          </w:p>
        </w:tc>
        <w:tc>
          <w:tcPr>
            <w:tcW w:w="8460" w:type="dxa"/>
            <w:vAlign w:val="bottom"/>
            <w:gridSpan w:val="16"/>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42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dollars in millions,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3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60" w:type="dxa"/>
            <w:vAlign w:val="bottom"/>
          </w:tcPr>
          <w:p>
            <w:pPr>
              <w:spacing w:after="0"/>
              <w:rPr>
                <w:sz w:val="16"/>
                <w:szCs w:val="16"/>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2023</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CFF0FC"/>
          </w:tcPr>
          <w:p>
            <w:pPr>
              <w:jc w:val="right"/>
              <w:ind w:right="916"/>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648</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555</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Accounts receivable – net of allowance for doubtful accounts of $2 and $4, respectively</w:t>
            </w:r>
          </w:p>
        </w:tc>
        <w:tc>
          <w:tcPr>
            <w:tcW w:w="112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383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356</w:t>
            </w: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w:t>
            </w: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303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276</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89</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1,423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1,250</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12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760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774</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826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833</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12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2,075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2,076</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81</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w:t>
            </w: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CFF0FC"/>
          </w:tcPr>
          <w:p>
            <w:pPr>
              <w:jc w:val="right"/>
              <w:ind w:right="916"/>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5,176</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5,025</w:t>
            </w:r>
          </w:p>
        </w:tc>
      </w:tr>
      <w:tr>
        <w:trPr>
          <w:trHeight w:val="210"/>
        </w:trPr>
        <w:tc>
          <w:tcPr>
            <w:tcW w:w="76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120" w:type="dxa"/>
            <w:vAlign w:val="bottom"/>
          </w:tcPr>
          <w:p>
            <w:pPr>
              <w:jc w:val="right"/>
              <w:ind w:right="91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249</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210</w:t>
            </w: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Product warranty liability</w:t>
            </w: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112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w:t>
            </w: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41</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181</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212</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511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501</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Product warranty liability</w:t>
            </w:r>
          </w:p>
        </w:tc>
        <w:tc>
          <w:tcPr>
            <w:tcW w:w="112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27</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92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89</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12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2,397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2,497</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510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519</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155</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159</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3,692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3,792</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Commitments and contingencies (see Note P)</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197"/>
        </w:trPr>
        <w:tc>
          <w:tcPr>
            <w:tcW w:w="7660" w:type="dxa"/>
            <w:vAlign w:val="bottom"/>
          </w:tcPr>
          <w:p>
            <w:pPr>
              <w:ind w:left="280"/>
              <w:spacing w:after="0" w:line="197" w:lineRule="exact"/>
              <w:rPr>
                <w:sz w:val="20"/>
                <w:szCs w:val="20"/>
                <w:color w:val="auto"/>
              </w:rPr>
            </w:pPr>
            <w:r>
              <w:rPr>
                <w:rFonts w:ascii="Arial" w:cs="Arial" w:eastAsia="Arial" w:hAnsi="Arial"/>
                <w:sz w:val="18"/>
                <w:szCs w:val="18"/>
                <w:color w:val="auto"/>
              </w:rPr>
              <w:t>Common stock, $0.01 par value, 1,880,000,000 shares authorized, 87,193,692 shares</w:t>
            </w: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5"/>
        </w:trPr>
        <w:tc>
          <w:tcPr>
            <w:tcW w:w="7660" w:type="dxa"/>
            <w:vAlign w:val="bottom"/>
          </w:tcPr>
          <w:p>
            <w:pPr>
              <w:ind w:left="280"/>
              <w:spacing w:after="0"/>
              <w:rPr>
                <w:sz w:val="20"/>
                <w:szCs w:val="20"/>
                <w:color w:val="auto"/>
              </w:rPr>
            </w:pPr>
            <w:r>
              <w:rPr>
                <w:rFonts w:ascii="Arial" w:cs="Arial" w:eastAsia="Arial" w:hAnsi="Arial"/>
                <w:sz w:val="18"/>
                <w:szCs w:val="18"/>
                <w:color w:val="auto"/>
              </w:rPr>
              <w:t>issued and outstanding and 87,648,046 shares issued and outstanding, respectively</w:t>
            </w:r>
          </w:p>
        </w:tc>
        <w:tc>
          <w:tcPr>
            <w:tcW w:w="11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197"/>
        </w:trPr>
        <w:tc>
          <w:tcPr>
            <w:tcW w:w="76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Non-voting common stock, $0.01 par value, 20,000,000 shares authorized, none issued</w:t>
            </w:r>
          </w:p>
        </w:tc>
        <w:tc>
          <w:tcPr>
            <w:tcW w:w="1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35"/>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and outstanding</w:t>
            </w:r>
          </w:p>
        </w:tc>
        <w:tc>
          <w:tcPr>
            <w:tcW w:w="112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197"/>
        </w:trPr>
        <w:tc>
          <w:tcPr>
            <w:tcW w:w="7660" w:type="dxa"/>
            <w:vAlign w:val="bottom"/>
          </w:tcPr>
          <w:p>
            <w:pPr>
              <w:ind w:left="280"/>
              <w:spacing w:after="0" w:line="197" w:lineRule="exact"/>
              <w:rPr>
                <w:sz w:val="20"/>
                <w:szCs w:val="20"/>
                <w:color w:val="auto"/>
              </w:rPr>
            </w:pPr>
            <w:r>
              <w:rPr>
                <w:rFonts w:ascii="Arial" w:cs="Arial" w:eastAsia="Arial" w:hAnsi="Arial"/>
                <w:sz w:val="18"/>
                <w:szCs w:val="18"/>
                <w:color w:val="auto"/>
              </w:rPr>
              <w:t>Preferred stock, $0.01 par value, 100,000,000 shares authorized, none issued and</w:t>
            </w: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5"/>
        </w:trPr>
        <w:tc>
          <w:tcPr>
            <w:tcW w:w="7660" w:type="dxa"/>
            <w:vAlign w:val="bottom"/>
          </w:tcPr>
          <w:p>
            <w:pPr>
              <w:ind w:left="280"/>
              <w:spacing w:after="0"/>
              <w:rPr>
                <w:sz w:val="20"/>
                <w:szCs w:val="20"/>
                <w:color w:val="auto"/>
              </w:rPr>
            </w:pPr>
            <w:r>
              <w:rPr>
                <w:rFonts w:ascii="Arial" w:cs="Arial" w:eastAsia="Arial" w:hAnsi="Arial"/>
                <w:sz w:val="18"/>
                <w:szCs w:val="18"/>
                <w:color w:val="auto"/>
              </w:rPr>
              <w:t>outstanding</w:t>
            </w:r>
          </w:p>
        </w:tc>
        <w:tc>
          <w:tcPr>
            <w:tcW w:w="11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Paid in capital</w:t>
            </w: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1,919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1,891</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(399 )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(628 )</w:t>
            </w:r>
          </w:p>
        </w:tc>
      </w:tr>
      <w:tr>
        <w:trPr>
          <w:trHeight w:val="229"/>
        </w:trPr>
        <w:tc>
          <w:tcPr>
            <w:tcW w:w="7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1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(37 )</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(31 )</w:t>
            </w: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1,484</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1,233</w:t>
            </w:r>
          </w:p>
        </w:tc>
      </w:tr>
      <w:tr>
        <w:trPr>
          <w:trHeight w:val="26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&amp; STOCKHOLDERS’ EQUITY</w:t>
            </w:r>
          </w:p>
        </w:tc>
        <w:tc>
          <w:tcPr>
            <w:tcW w:w="112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5,176</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-3963670</wp:posOffset>
            </wp:positionV>
            <wp:extent cx="102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-3946525</wp:posOffset>
            </wp:positionV>
            <wp:extent cx="102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-333375</wp:posOffset>
            </wp:positionV>
            <wp:extent cx="102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102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240"/>
          </w:cols>
          <w:pgMar w:left="320" w:top="768"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271"/>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8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760" w:type="dxa"/>
            <w:vAlign w:val="bottom"/>
            <w:shd w:val="clear" w:color="auto" w:fill="CFF0FC"/>
          </w:tcPr>
          <w:p>
            <w:pPr>
              <w:jc w:val="right"/>
              <w:ind w:right="555"/>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816</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783</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1,605</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1,524</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422</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845</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782</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394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760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742</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82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168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179</w:t>
            </w:r>
          </w:p>
        </w:tc>
      </w:tr>
      <w:tr>
        <w:trPr>
          <w:trHeight w:val="22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Engineering — research and development</w:t>
            </w:r>
          </w:p>
        </w:tc>
        <w:tc>
          <w:tcPr>
            <w:tcW w:w="7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49</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95</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91</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76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263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497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472</w:t>
            </w: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(28 )</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234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438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428</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(83 )</w:t>
            </w: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760" w:type="dxa"/>
            <w:vAlign w:val="bottom"/>
            <w:tcBorders>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187</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175</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356</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345</w:t>
            </w:r>
          </w:p>
        </w:tc>
      </w:tr>
      <w:tr>
        <w:trPr>
          <w:trHeight w:val="21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760" w:type="dxa"/>
            <w:vAlign w:val="bottom"/>
          </w:tcPr>
          <w:p>
            <w:pPr>
              <w:jc w:val="right"/>
              <w:ind w:right="55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2.15</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1.94</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4.05</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3.79</w:t>
            </w:r>
          </w:p>
        </w:tc>
      </w:tr>
      <w:tr>
        <w:trPr>
          <w:trHeight w:val="20"/>
        </w:trPr>
        <w:tc>
          <w:tcPr>
            <w:tcW w:w="5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760" w:type="dxa"/>
            <w:vAlign w:val="bottom"/>
            <w:tcBorders>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2.13</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1.92</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4.05</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3.75</w:t>
            </w:r>
          </w:p>
        </w:tc>
      </w:tr>
      <w:tr>
        <w:trPr>
          <w:trHeight w:val="21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net of tax</w:t>
            </w:r>
          </w:p>
        </w:tc>
        <w:tc>
          <w:tcPr>
            <w:tcW w:w="760" w:type="dxa"/>
            <w:vAlign w:val="bottom"/>
          </w:tcPr>
          <w:p>
            <w:pPr>
              <w:jc w:val="right"/>
              <w:ind w:right="55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187</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350</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342</w:t>
            </w:r>
          </w:p>
        </w:tc>
      </w:tr>
      <w:tr>
        <w:trPr>
          <w:trHeight w:val="20"/>
        </w:trPr>
        <w:tc>
          <w:tcPr>
            <w:tcW w:w="5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-1437640</wp:posOffset>
            </wp:positionV>
            <wp:extent cx="93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-1437640</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-1437640</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-538480</wp:posOffset>
            </wp:positionV>
            <wp:extent cx="93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-521970</wp:posOffset>
            </wp:positionV>
            <wp:extent cx="939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-538480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-521970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-538480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-521970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-196215</wp:posOffset>
            </wp:positionV>
            <wp:extent cx="93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-179070</wp:posOffset>
            </wp:positionV>
            <wp:extent cx="93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-196215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-179070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-196215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-179070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r>
      <w:tr>
        <w:trPr>
          <w:trHeight w:val="209"/>
        </w:trPr>
        <w:tc>
          <w:tcPr>
            <w:tcW w:w="774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4"/>
                <w:szCs w:val="14"/>
                <w:b w:val="1"/>
                <w:bCs w:val="1"/>
                <w:color w:val="auto"/>
              </w:rPr>
              <w:t>2024</w:t>
            </w:r>
          </w:p>
        </w:tc>
        <w:tc>
          <w:tcPr>
            <w:tcW w:w="6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8"/>
                <w:szCs w:val="18"/>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356</w:t>
            </w:r>
          </w:p>
        </w:tc>
        <w:tc>
          <w:tcPr>
            <w:tcW w:w="12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345</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54</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53</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14</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Unrealized loss (gain) on marketable securities</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income taxes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(9 )</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settlement loss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Technology-related investments loss (gain)</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(32 )</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(30 )</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24</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Other assets and liabilities</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(58 )</w:t>
            </w:r>
          </w:p>
        </w:tc>
        <w:tc>
          <w:tcPr>
            <w:tcW w:w="1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r>
      <w:tr>
        <w:trPr>
          <w:trHeight w:val="223"/>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344</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334</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Additions of long-lived assets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(32 )</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Investment in equity method investee</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sale of assets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Proceeds from technology-related investments</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r>
      <w:tr>
        <w:trPr>
          <w:trHeight w:val="223"/>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used for investing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(32 )</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Payments on long-term debt</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(102 )</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(83 )</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 payments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(44 )</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Taxes paid related to net share settlement of equity awards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(9 )</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Debt financing fees</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(4 )</w:t>
            </w:r>
          </w:p>
        </w:tc>
        <w:tc>
          <w:tcPr>
            <w:tcW w:w="1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used for financing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(218 )</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increase in cash and cash equivalents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93</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555</w:t>
            </w:r>
          </w:p>
        </w:tc>
        <w:tc>
          <w:tcPr>
            <w:tcW w:w="1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w:t>
            </w:r>
          </w:p>
        </w:tc>
      </w:tr>
      <w:tr>
        <w:trPr>
          <w:trHeight w:val="26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shd w:val="clear" w:color="auto" w:fill="CFF0FC"/>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648</w:t>
            </w:r>
          </w:p>
        </w:tc>
        <w:tc>
          <w:tcPr>
            <w:tcW w:w="1240" w:type="dxa"/>
            <w:vAlign w:val="bottom"/>
            <w:gridSpan w:val="2"/>
            <w:shd w:val="clear" w:color="auto" w:fill="CFF0FC"/>
          </w:tcPr>
          <w:p>
            <w:pPr>
              <w:jc w:val="right"/>
              <w:ind w:right="9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351</w:t>
            </w:r>
          </w:p>
        </w:tc>
      </w:tr>
      <w:tr>
        <w:trPr>
          <w:trHeight w:val="210"/>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29"/>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Income taxes paid</w:t>
            </w:r>
          </w:p>
        </w:tc>
        <w:tc>
          <w:tcPr>
            <w:tcW w:w="1060" w:type="dxa"/>
            <w:vAlign w:val="bottom"/>
            <w:shd w:val="clear" w:color="auto" w:fill="CFF0FC"/>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(99 )</w:t>
            </w:r>
          </w:p>
        </w:tc>
        <w:tc>
          <w:tcPr>
            <w:tcW w:w="1240" w:type="dxa"/>
            <w:vAlign w:val="bottom"/>
            <w:gridSpan w:val="2"/>
            <w:shd w:val="clear" w:color="auto" w:fill="CFF0FC"/>
          </w:tcPr>
          <w:p>
            <w:pPr>
              <w:jc w:val="right"/>
              <w:ind w:right="9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(121 )</w:t>
            </w:r>
          </w:p>
        </w:tc>
      </w:tr>
      <w:tr>
        <w:trPr>
          <w:trHeight w:val="229"/>
        </w:trPr>
        <w:tc>
          <w:tcPr>
            <w:tcW w:w="7740" w:type="dxa"/>
            <w:vAlign w:val="bottom"/>
          </w:tcPr>
          <w:p>
            <w:pPr>
              <w:ind w:left="520"/>
              <w:spacing w:after="0"/>
              <w:rPr>
                <w:sz w:val="20"/>
                <w:szCs w:val="20"/>
                <w:color w:val="auto"/>
              </w:rPr>
            </w:pPr>
            <w:r>
              <w:rPr>
                <w:rFonts w:ascii="Arial" w:cs="Arial" w:eastAsia="Arial" w:hAnsi="Arial"/>
                <w:sz w:val="18"/>
                <w:szCs w:val="18"/>
                <w:color w:val="auto"/>
              </w:rPr>
              <w:t>Interest paid</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(62 )</w:t>
            </w:r>
          </w:p>
        </w:tc>
        <w:tc>
          <w:tcPr>
            <w:tcW w:w="12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29"/>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Interest received from interest rate swaps</w:t>
            </w:r>
          </w:p>
        </w:tc>
        <w:tc>
          <w:tcPr>
            <w:tcW w:w="1060" w:type="dxa"/>
            <w:vAlign w:val="bottom"/>
            <w:shd w:val="clear" w:color="auto" w:fill="CFF0FC"/>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w:t>
            </w:r>
          </w:p>
        </w:tc>
        <w:tc>
          <w:tcPr>
            <w:tcW w:w="1240" w:type="dxa"/>
            <w:vAlign w:val="bottom"/>
            <w:gridSpan w:val="2"/>
            <w:shd w:val="clear" w:color="auto" w:fill="CFF0FC"/>
          </w:tcPr>
          <w:p>
            <w:pPr>
              <w:jc w:val="right"/>
              <w:ind w:right="9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Non-cash investing activities: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Capital expenditures in liabilities</w:t>
            </w:r>
          </w:p>
        </w:tc>
        <w:tc>
          <w:tcPr>
            <w:tcW w:w="1060" w:type="dxa"/>
            <w:vAlign w:val="bottom"/>
            <w:shd w:val="clear" w:color="auto" w:fill="CFF0FC"/>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20</w:t>
            </w:r>
          </w:p>
        </w:tc>
        <w:tc>
          <w:tcPr>
            <w:tcW w:w="1240" w:type="dxa"/>
            <w:vAlign w:val="bottom"/>
            <w:gridSpan w:val="2"/>
            <w:shd w:val="clear" w:color="auto" w:fill="CFF0FC"/>
          </w:tcPr>
          <w:p>
            <w:pPr>
              <w:jc w:val="right"/>
              <w:ind w:right="9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-898525</wp:posOffset>
            </wp:positionV>
            <wp:extent cx="1111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-881380</wp:posOffset>
            </wp:positionV>
            <wp:extent cx="1111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left="51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60"/>
        </w:trPr>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2"/>
              <w:spacing w:after="0" w:line="159" w:lineRule="exact"/>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212"/>
              <w:spacing w:after="0"/>
              <w:rPr>
                <w:sz w:val="20"/>
                <w:szCs w:val="20"/>
                <w:color w:val="auto"/>
              </w:rPr>
            </w:pPr>
            <w:r>
              <w:rPr>
                <w:rFonts w:ascii="Arial" w:cs="Arial" w:eastAsia="Arial" w:hAnsi="Arial"/>
                <w:sz w:val="14"/>
                <w:szCs w:val="14"/>
                <w:b w:val="1"/>
                <w:bCs w:val="1"/>
                <w:color w:val="auto"/>
              </w:rPr>
              <w:t>d Other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rPr>
              <w:t>Comprehen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Non-voting</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w:t>
            </w:r>
          </w:p>
        </w:tc>
        <w:tc>
          <w:tcPr>
            <w:tcW w:w="140" w:type="dxa"/>
            <w:vAlign w:val="bottom"/>
          </w:tcPr>
          <w:p>
            <w:pPr>
              <w:spacing w:after="0"/>
              <w:rPr>
                <w:sz w:val="14"/>
                <w:szCs w:val="14"/>
                <w:color w:val="auto"/>
              </w:rPr>
            </w:pPr>
          </w:p>
        </w:tc>
        <w:tc>
          <w:tcPr>
            <w:tcW w:w="100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rPr>
              <w:t>sive (Loss)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00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Paid-in</w:t>
            </w:r>
          </w:p>
        </w:tc>
        <w:tc>
          <w:tcPr>
            <w:tcW w:w="94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auto"/>
              </w:rPr>
              <w:t>d (Deficit)</w:t>
            </w:r>
          </w:p>
        </w:tc>
        <w:tc>
          <w:tcPr>
            <w:tcW w:w="140" w:type="dxa"/>
            <w:vAlign w:val="bottom"/>
          </w:tcPr>
          <w:p>
            <w:pPr>
              <w:spacing w:after="0"/>
              <w:rPr>
                <w:sz w:val="14"/>
                <w:szCs w:val="14"/>
                <w:color w:val="auto"/>
              </w:rPr>
            </w:pPr>
          </w:p>
        </w:tc>
        <w:tc>
          <w:tcPr>
            <w:tcW w:w="100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rPr>
              <w:t>Income, net</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Stockholde</w:t>
            </w:r>
          </w:p>
        </w:tc>
      </w:tr>
      <w:tr>
        <w:trPr>
          <w:trHeight w:val="185"/>
        </w:trPr>
        <w:tc>
          <w:tcPr>
            <w:tcW w:w="3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of tax</w:t>
            </w:r>
          </w:p>
        </w:tc>
        <w:tc>
          <w:tcPr>
            <w:tcW w:w="12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rs' Equity</w:t>
            </w:r>
          </w:p>
        </w:tc>
      </w:tr>
      <w:tr>
        <w:trPr>
          <w:trHeight w:val="223"/>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March 31, 2023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1,857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w:t>
            </w: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988</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and OPEB liability adjustment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3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175</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175</w:t>
            </w:r>
          </w:p>
        </w:tc>
      </w:tr>
      <w:tr>
        <w:trPr>
          <w:trHeight w:val="223"/>
        </w:trPr>
        <w:tc>
          <w:tcPr>
            <w:tcW w:w="360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(788 )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(25 )</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1,056</w:t>
            </w: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March 31, 2024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(37 )</w:t>
            </w: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1,342</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and OPEB liability adjustment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(2 )</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(31 )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(31 )</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187</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187</w:t>
            </w:r>
          </w:p>
        </w:tc>
      </w:tr>
      <w:tr>
        <w:trPr>
          <w:trHeight w:val="263"/>
        </w:trPr>
        <w:tc>
          <w:tcPr>
            <w:tcW w:w="3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 2024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1,919</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(399 )</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(37 )</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1,484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-1523365</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-1523365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-1523365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-1523365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-1523365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-1523365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-24765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-7620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-24765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-7620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-24765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-24765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-7620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60"/>
        </w:trPr>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2"/>
              <w:spacing w:after="0" w:line="159" w:lineRule="exact"/>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192"/>
              <w:spacing w:after="0"/>
              <w:rPr>
                <w:sz w:val="20"/>
                <w:szCs w:val="20"/>
                <w:color w:val="auto"/>
              </w:rPr>
            </w:pPr>
            <w:r>
              <w:rPr>
                <w:rFonts w:ascii="Arial" w:cs="Arial" w:eastAsia="Arial" w:hAnsi="Arial"/>
                <w:sz w:val="14"/>
                <w:szCs w:val="14"/>
                <w:b w:val="1"/>
                <w:bCs w:val="1"/>
                <w:color w:val="auto"/>
              </w:rPr>
              <w:t>d Other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Non-voting</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4"/>
                <w:szCs w:val="14"/>
                <w:color w:val="auto"/>
              </w:rPr>
            </w:pPr>
          </w:p>
        </w:tc>
        <w:tc>
          <w:tcPr>
            <w:tcW w:w="102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rPr>
              <w:t>ive (Loss)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00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Paid-in</w:t>
            </w:r>
          </w:p>
        </w:tc>
        <w:tc>
          <w:tcPr>
            <w:tcW w:w="96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auto"/>
              </w:rPr>
              <w:t>d (Deficit)</w:t>
            </w: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 net</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Stockholde</w:t>
            </w:r>
          </w:p>
        </w:tc>
      </w:tr>
      <w:tr>
        <w:trPr>
          <w:trHeight w:val="185"/>
        </w:trPr>
        <w:tc>
          <w:tcPr>
            <w:tcW w:w="3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of tax</w:t>
            </w:r>
          </w:p>
        </w:tc>
        <w:tc>
          <w:tcPr>
            <w:tcW w:w="12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rs' Equity</w:t>
            </w:r>
          </w:p>
        </w:tc>
      </w:tr>
      <w:tr>
        <w:trPr>
          <w:trHeight w:val="223"/>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(953 )</w:t>
            </w:r>
          </w:p>
        </w:tc>
        <w:tc>
          <w:tcPr>
            <w:tcW w:w="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874</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and OPEB liability adjustment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(137 )</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345</w:t>
            </w:r>
          </w:p>
        </w:tc>
      </w:tr>
      <w:tr>
        <w:trPr>
          <w:trHeight w:val="263"/>
        </w:trPr>
        <w:tc>
          <w:tcPr>
            <w:tcW w:w="3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 2023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1,868</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(788 )</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1,056</w:t>
            </w:r>
          </w:p>
        </w:tc>
      </w:tr>
      <w:tr>
        <w:trPr>
          <w:trHeight w:val="210"/>
        </w:trPr>
        <w:tc>
          <w:tcPr>
            <w:tcW w:w="3600" w:type="dxa"/>
            <w:vAlign w:val="bottom"/>
          </w:tcPr>
          <w:p>
            <w:pPr>
              <w:ind w:left="20"/>
              <w:spacing w:after="0"/>
              <w:rPr>
                <w:sz w:val="20"/>
                <w:szCs w:val="20"/>
                <w:color w:val="auto"/>
              </w:rPr>
            </w:pPr>
            <w:r>
              <w:rPr>
                <w:rFonts w:ascii="Arial" w:cs="Arial" w:eastAsia="Arial" w:hAnsi="Arial"/>
                <w:sz w:val="18"/>
                <w:szCs w:val="18"/>
                <w:color w:val="auto"/>
              </w:rPr>
              <w:t>Balance at December 31, 2023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(628 )</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(31 )</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1,233</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14</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Pension and OPEB liability adjustment</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ind w:left="500"/>
              <w:spacing w:after="0"/>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ind w:left="500"/>
              <w:spacing w:after="0"/>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(83 )</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ind w:left="500"/>
              <w:spacing w:after="0"/>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(44 )</w:t>
            </w:r>
          </w:p>
        </w:tc>
      </w:tr>
      <w:tr>
        <w:trPr>
          <w:trHeight w:val="229"/>
        </w:trPr>
        <w:tc>
          <w:tcPr>
            <w:tcW w:w="3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w w:val="88"/>
              </w:rPr>
              <w:t>—</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356</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356</w:t>
            </w:r>
          </w:p>
        </w:tc>
      </w:tr>
      <w:tr>
        <w:trPr>
          <w:trHeight w:val="223"/>
        </w:trPr>
        <w:tc>
          <w:tcPr>
            <w:tcW w:w="3600" w:type="dxa"/>
            <w:vAlign w:val="bottom"/>
          </w:tcPr>
          <w:p>
            <w:pPr>
              <w:ind w:left="20"/>
              <w:spacing w:after="0"/>
              <w:rPr>
                <w:sz w:val="20"/>
                <w:szCs w:val="20"/>
                <w:color w:val="auto"/>
              </w:rPr>
            </w:pPr>
            <w:r>
              <w:rPr>
                <w:rFonts w:ascii="Arial" w:cs="Arial" w:eastAsia="Arial" w:hAnsi="Arial"/>
                <w:sz w:val="18"/>
                <w:szCs w:val="18"/>
                <w:color w:val="auto"/>
              </w:rPr>
              <w:t>Balance at June 30, 2024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1</w:t>
            </w:r>
          </w:p>
        </w:tc>
        <w:tc>
          <w:tcPr>
            <w:tcW w:w="32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ind w:left="500"/>
              <w:spacing w:after="0"/>
              <w:rPr>
                <w:sz w:val="20"/>
                <w:szCs w:val="20"/>
                <w:color w:val="auto"/>
              </w:rPr>
            </w:pPr>
            <w:r>
              <w:rPr>
                <w:rFonts w:ascii="Arial" w:cs="Arial" w:eastAsia="Arial" w:hAnsi="Arial"/>
                <w:sz w:val="18"/>
                <w:szCs w:val="18"/>
                <w:b w:val="1"/>
                <w:bCs w:val="1"/>
                <w:color w:val="auto"/>
                <w:w w:val="88"/>
              </w:rPr>
              <w:t>—</w:t>
            </w: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1,919</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(399 )</w:t>
            </w:r>
          </w:p>
        </w:tc>
        <w:tc>
          <w:tcPr>
            <w:tcW w:w="26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(37 )</w:t>
            </w:r>
          </w:p>
        </w:tc>
        <w:tc>
          <w:tcPr>
            <w:tcW w:w="38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1,484</w:t>
            </w: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-1369060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-1351915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-1369060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-1351915</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-1369060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-1351915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-1369060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-1351915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-1369060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-1351915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-1369060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-1351915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-179070</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-179070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-179070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-179070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-179070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-179070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101" w:lineRule="exact"/>
        <w:rPr>
          <w:sz w:val="20"/>
          <w:szCs w:val="20"/>
          <w:color w:val="auto"/>
        </w:rPr>
      </w:pPr>
    </w:p>
    <w:p>
      <w:pPr>
        <w:ind w:right="20" w:firstLine="499"/>
        <w:spacing w:after="0" w:line="246" w:lineRule="auto"/>
        <w:rPr>
          <w:sz w:val="20"/>
          <w:szCs w:val="20"/>
          <w:color w:val="auto"/>
        </w:rPr>
      </w:pPr>
      <w:r>
        <w:rPr>
          <w:rFonts w:ascii="Arial" w:cs="Arial" w:eastAsia="Arial" w:hAnsi="Arial"/>
          <w:sz w:val="18"/>
          <w:szCs w:val="18"/>
          <w:color w:val="auto"/>
        </w:rPr>
        <w:t>Allison Transmission Holdings, Inc. and its subsidiaries (“Allison” or the “Company”)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68" w:lineRule="exact"/>
        <w:rPr>
          <w:sz w:val="20"/>
          <w:szCs w:val="20"/>
          <w:color w:val="auto"/>
        </w:rPr>
      </w:pPr>
    </w:p>
    <w:p>
      <w:pPr>
        <w:ind w:right="360" w:firstLine="499"/>
        <w:spacing w:after="0" w:line="252" w:lineRule="auto"/>
        <w:rPr>
          <w:sz w:val="20"/>
          <w:szCs w:val="20"/>
          <w:color w:val="auto"/>
        </w:rPr>
      </w:pPr>
      <w:r>
        <w:rPr>
          <w:rFonts w:ascii="Arial" w:cs="Arial" w:eastAsia="Arial" w:hAnsi="Arial"/>
          <w:sz w:val="18"/>
          <w:szCs w:val="18"/>
          <w:color w:val="auto"/>
        </w:rPr>
        <w:t>The Company has a global presence by serving customers in North America, Asia, Europe, South America, and Africa, with approximately 75% of its revenues being generated in North America in 2023. The Company serves customers through an independent network of approximately 1,600 independent distributor and dealer locations worldwide.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01" w:lineRule="exact"/>
        <w:rPr>
          <w:sz w:val="20"/>
          <w:szCs w:val="20"/>
          <w:color w:val="auto"/>
        </w:rPr>
      </w:pPr>
    </w:p>
    <w:p>
      <w:pPr>
        <w:ind w:firstLine="499"/>
        <w:spacing w:after="0" w:line="241"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74" w:lineRule="exact"/>
        <w:rPr>
          <w:sz w:val="20"/>
          <w:szCs w:val="20"/>
          <w:color w:val="auto"/>
        </w:rPr>
      </w:pPr>
    </w:p>
    <w:p>
      <w:pPr>
        <w:ind w:firstLine="499"/>
        <w:spacing w:after="0" w:line="243" w:lineRule="auto"/>
        <w:rPr>
          <w:sz w:val="20"/>
          <w:szCs w:val="20"/>
          <w:color w:val="auto"/>
        </w:rPr>
      </w:pPr>
      <w:r>
        <w:rPr>
          <w:rFonts w:ascii="Arial" w:cs="Arial" w:eastAsia="Arial" w:hAnsi="Arial"/>
          <w:sz w:val="18"/>
          <w:szCs w:val="18"/>
          <w:color w:val="auto"/>
        </w:rPr>
        <w:t>These condensed consolidated financial statements present the financial position, results of comprehensive income, cash flows and statements of stockholders’ equity of the Company. The condensed consolidated financial statements should be read in conjunction with the audited consolidated financial statements included in our Annual Report on Form 10-K for the year ended December 31, 2023 as filed with the Securities and Exchange Commission on February 14, 2024. The interim period financial results for the three- and six-month periods presented are not necessarily indicative of results to be expected for any other interim period or for the entire year.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8"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1"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incentives, government price adjustments, fair market values and future cash flows associated with goodwill, indefinite-lived intangibles, definite-lived intangibles, long-lived asset impairment tests, useful lives for depreciation and amortization, warranty liabilities, core deposit liabilities, determination of discount rate and other assumptions for pension and other post-retirement benefit ("OPEB") expense,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Actual results could differ materially from these estimates and from the assumptions used in the preparation of the Company's financial statements. Changes in estimates are recorded in results of operations in the period that the events or circumstances giving rise to such changes occur.</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1" w:lineRule="exact"/>
        <w:rPr>
          <w:sz w:val="20"/>
          <w:szCs w:val="20"/>
          <w:color w:val="auto"/>
        </w:rPr>
      </w:pPr>
    </w:p>
    <w:p>
      <w:pPr>
        <w:ind w:right="140" w:firstLine="494"/>
        <w:spacing w:after="0" w:line="241" w:lineRule="auto"/>
        <w:rPr>
          <w:sz w:val="20"/>
          <w:szCs w:val="20"/>
          <w:color w:val="auto"/>
        </w:rPr>
      </w:pPr>
      <w:r>
        <w:rPr>
          <w:rFonts w:ascii="Arial" w:cs="Arial" w:eastAsia="Arial" w:hAnsi="Arial"/>
          <w:sz w:val="18"/>
          <w:szCs w:val="18"/>
          <w:color w:val="auto"/>
        </w:rPr>
        <w:t>In November 2023, the Financial Accounting Standards Board ("FASB") issued authoritative accounting guidance expanding public entities’ reportable segment disclosures, primarily through enhanced disclosures about significant segment expenses that are regularly reviewed by the Chief Operating Decision Maker and included within each reported measure of segment profit or loss. The guidance will become effective for the Company starting with its fiscal year ending December 31, 2024 and the subsequent interim periods. The guidance will be applied retrospectively, and the Company does not plan to early adopt. Management is currently evaluating the impact of this guidance on the Company's consolidated financial statements.</w:t>
      </w:r>
    </w:p>
    <w:p>
      <w:pPr>
        <w:spacing w:after="0" w:line="74"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In December 2023, the FASB issued authoritative accounting guidance to improve income tax disclosures by requiring disaggregated information about a reporting entity's effective tax rate reconciliation and information on income taxes paid. The guidance will become effective for the Company beginning with its fiscal year ending December 31, 2025. The guidance will be applied prospectively with the option to apply it retrospectively. Management is currently evaluating the impact of this guidance on the Company's consolidated financial statements.</w:t>
      </w:r>
    </w:p>
    <w:p>
      <w:pPr>
        <w:spacing w:after="0" w:line="71"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All other recently issued accounting pronouncements were assessed as either not applicable to the Company or were not expected to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REVENUE</w:t>
      </w:r>
    </w:p>
    <w:p>
      <w:pPr>
        <w:spacing w:after="0" w:line="103" w:lineRule="exact"/>
        <w:rPr>
          <w:sz w:val="20"/>
          <w:szCs w:val="20"/>
          <w:color w:val="auto"/>
        </w:rPr>
      </w:pPr>
    </w:p>
    <w:p>
      <w:pPr>
        <w:ind w:right="40" w:firstLine="494"/>
        <w:spacing w:after="0" w:line="241"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74" w:lineRule="exact"/>
        <w:rPr>
          <w:sz w:val="20"/>
          <w:szCs w:val="20"/>
          <w:color w:val="auto"/>
        </w:rPr>
      </w:pPr>
    </w:p>
    <w:p>
      <w:pPr>
        <w:ind w:right="200" w:firstLine="494"/>
        <w:spacing w:after="0" w:line="252"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63" w:lineRule="exact"/>
        <w:rPr>
          <w:sz w:val="20"/>
          <w:szCs w:val="20"/>
          <w:color w:val="auto"/>
        </w:rPr>
      </w:pPr>
    </w:p>
    <w:p>
      <w:pPr>
        <w:ind w:right="360" w:firstLine="494"/>
        <w:spacing w:after="0" w:line="243" w:lineRule="auto"/>
        <w:rPr>
          <w:sz w:val="20"/>
          <w:szCs w:val="20"/>
          <w:color w:val="auto"/>
        </w:rPr>
      </w:pPr>
      <w:r>
        <w:rPr>
          <w:rFonts w:ascii="Arial" w:cs="Arial" w:eastAsia="Arial" w:hAnsi="Arial"/>
          <w:sz w:val="18"/>
          <w:szCs w:val="18"/>
          <w:color w:val="auto"/>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The Company estimates the impact of all other incentives based on the related sales and market conditions in the end market vocation. The Company recorded no material adjustments based on variable consideration during either of the three or six months ended June 30, 2024 or 2023.</w:t>
      </w:r>
    </w:p>
    <w:p>
      <w:pPr>
        <w:spacing w:after="0" w:line="71" w:lineRule="exact"/>
        <w:rPr>
          <w:sz w:val="20"/>
          <w:szCs w:val="20"/>
          <w:color w:val="auto"/>
        </w:rPr>
      </w:pPr>
    </w:p>
    <w:p>
      <w:pPr>
        <w:ind w:right="60" w:firstLine="494"/>
        <w:spacing w:after="0" w:line="243"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June 30, 2024 and December 31, 2023. See "Note J. Deferred Revenue” for more information, including the amount of revenue earned during each of the three and six months ended June 30, 2024 and 2023 that had been previously deferred. The Company had no material contract assets as of either June 30, 2024 or December 31, 2023.</w:t>
      </w:r>
    </w:p>
    <w:p>
      <w:pPr>
        <w:spacing w:after="0" w:line="71" w:lineRule="exact"/>
        <w:rPr>
          <w:sz w:val="20"/>
          <w:szCs w:val="20"/>
          <w:color w:val="auto"/>
        </w:rPr>
      </w:pPr>
    </w:p>
    <w:p>
      <w:pPr>
        <w:jc w:val="both"/>
        <w:ind w:right="100" w:firstLine="494"/>
        <w:spacing w:after="0" w:line="252" w:lineRule="auto"/>
        <w:rPr>
          <w:sz w:val="20"/>
          <w:szCs w:val="20"/>
          <w:color w:val="auto"/>
        </w:rPr>
      </w:pPr>
      <w:r>
        <w:rPr>
          <w:rFonts w:ascii="Arial" w:cs="Arial" w:eastAsia="Arial" w:hAnsi="Arial"/>
          <w:sz w:val="18"/>
          <w:szCs w:val="18"/>
          <w:color w:val="auto"/>
        </w:rPr>
        <w:t>The Company has one operating segment and reportable segment. The Company is in one line of business, which is the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4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2"/>
        </w:trPr>
        <w:tc>
          <w:tcPr>
            <w:tcW w:w="4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r>
      <w:tr>
        <w:trPr>
          <w:trHeight w:val="22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 America On-Highway</w:t>
            </w:r>
          </w:p>
        </w:tc>
        <w:tc>
          <w:tcPr>
            <w:tcW w:w="228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456</w:t>
            </w:r>
          </w:p>
        </w:tc>
        <w:tc>
          <w:tcPr>
            <w:tcW w:w="88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397</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876</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773</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1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49</w:t>
            </w:r>
          </w:p>
        </w:tc>
      </w:tr>
      <w:tr>
        <w:trPr>
          <w:trHeight w:val="22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Defense</w:t>
            </w:r>
          </w:p>
        </w:tc>
        <w:tc>
          <w:tcPr>
            <w:tcW w:w="15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43</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91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1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b w:val="1"/>
                <w:bCs w:val="1"/>
                <w:color w:val="auto"/>
              </w:rPr>
              <w:t>128</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9"/>
              </w:rPr>
              <w:t>123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b w:val="1"/>
                <w:bCs w:val="1"/>
                <w:color w:val="auto"/>
              </w:rPr>
              <w:t>243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231</w:t>
            </w:r>
          </w:p>
        </w:tc>
      </w:tr>
      <w:tr>
        <w:trPr>
          <w:trHeight w:val="22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Outside North America Off-Highway</w:t>
            </w:r>
          </w:p>
        </w:tc>
        <w:tc>
          <w:tcPr>
            <w:tcW w:w="15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22</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64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47</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15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166</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181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326</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364</w:t>
            </w:r>
          </w:p>
        </w:tc>
      </w:tr>
      <w:tr>
        <w:trPr>
          <w:trHeight w:val="26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Net Sales</w:t>
            </w:r>
          </w:p>
        </w:tc>
        <w:tc>
          <w:tcPr>
            <w:tcW w:w="228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816</w:t>
            </w:r>
          </w:p>
        </w:tc>
        <w:tc>
          <w:tcPr>
            <w:tcW w:w="88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783</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1,605</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1,524</w:t>
            </w:r>
          </w:p>
        </w:tc>
      </w:tr>
      <w:tr>
        <w:trPr>
          <w:trHeight w:val="578"/>
        </w:trPr>
        <w:tc>
          <w:tcPr>
            <w:tcW w:w="4560" w:type="dxa"/>
            <w:vAlign w:val="bottom"/>
            <w:tcBorders>
              <w:top w:val="single" w:sz="8" w:color="CFF0FC"/>
            </w:tcBorders>
          </w:tcPr>
          <w:p>
            <w:pPr>
              <w:spacing w:after="0"/>
              <w:rPr>
                <w:sz w:val="24"/>
                <w:szCs w:val="24"/>
                <w:color w:val="auto"/>
              </w:rPr>
            </w:pPr>
          </w:p>
        </w:tc>
        <w:tc>
          <w:tcPr>
            <w:tcW w:w="1560" w:type="dxa"/>
            <w:vAlign w:val="bottom"/>
            <w:tcBorders>
              <w:top w:val="single" w:sz="8" w:color="CFF0FC"/>
            </w:tcBorders>
          </w:tcPr>
          <w:p>
            <w:pPr>
              <w:jc w:val="right"/>
              <w:ind w:right="310"/>
              <w:spacing w:after="0"/>
              <w:rPr>
                <w:sz w:val="20"/>
                <w:szCs w:val="20"/>
                <w:color w:val="auto"/>
              </w:rPr>
            </w:pPr>
            <w:r>
              <w:rPr>
                <w:rFonts w:ascii="Arial" w:cs="Arial" w:eastAsia="Arial" w:hAnsi="Arial"/>
                <w:sz w:val="18"/>
                <w:szCs w:val="18"/>
                <w:color w:val="auto"/>
              </w:rPr>
              <w:t>10</w:t>
            </w:r>
          </w:p>
        </w:tc>
        <w:tc>
          <w:tcPr>
            <w:tcW w:w="7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745"/>
        </w:trPr>
        <w:tc>
          <w:tcPr>
            <w:tcW w:w="45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-889635</wp:posOffset>
            </wp:positionV>
            <wp:extent cx="939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-872490</wp:posOffset>
            </wp:positionV>
            <wp:extent cx="939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-889635</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-872490</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-889635</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-872490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INVENTORIES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1160" w:type="dxa"/>
            <w:vAlign w:val="bottom"/>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Purchased parts and raw materials</w:t>
            </w:r>
          </w:p>
        </w:tc>
        <w:tc>
          <w:tcPr>
            <w:tcW w:w="1160" w:type="dxa"/>
            <w:vAlign w:val="bottom"/>
            <w:shd w:val="clear" w:color="auto" w:fill="CFF0FC"/>
          </w:tcPr>
          <w:p>
            <w:pPr>
              <w:jc w:val="right"/>
              <w:ind w:right="979"/>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146</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152</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16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17</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parts</w:t>
            </w:r>
          </w:p>
        </w:tc>
        <w:tc>
          <w:tcPr>
            <w:tcW w:w="1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60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54</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79</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53</w:t>
            </w:r>
          </w:p>
        </w:tc>
      </w:tr>
      <w:tr>
        <w:trPr>
          <w:trHeight w:val="263"/>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inventories</w:t>
            </w:r>
          </w:p>
        </w:tc>
        <w:tc>
          <w:tcPr>
            <w:tcW w:w="1160" w:type="dxa"/>
            <w:vAlign w:val="bottom"/>
            <w:tcBorders>
              <w:bottom w:val="single" w:sz="8" w:color="auto"/>
            </w:tcBorders>
            <w:shd w:val="clear" w:color="auto" w:fill="CFF0FC"/>
          </w:tcPr>
          <w:p>
            <w:pPr>
              <w:jc w:val="right"/>
              <w:ind w:right="979"/>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303</w:t>
            </w: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3" w:lineRule="exact"/>
        <w:rPr>
          <w:sz w:val="20"/>
          <w:szCs w:val="20"/>
          <w:color w:val="auto"/>
        </w:rPr>
      </w:pPr>
    </w:p>
    <w:p>
      <w:pPr>
        <w:ind w:right="220" w:firstLine="494"/>
        <w:spacing w:after="0" w:line="252"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GOODWILL AND OTHER INTANGIBLE ASSETS</w:t>
      </w:r>
    </w:p>
    <w:p>
      <w:pPr>
        <w:spacing w:after="0" w:line="103" w:lineRule="exact"/>
        <w:rPr>
          <w:sz w:val="20"/>
          <w:szCs w:val="20"/>
          <w:color w:val="auto"/>
        </w:rPr>
      </w:pPr>
    </w:p>
    <w:p>
      <w:pPr>
        <w:ind w:right="380" w:firstLine="494"/>
        <w:spacing w:after="0" w:line="271" w:lineRule="auto"/>
        <w:rPr>
          <w:sz w:val="20"/>
          <w:szCs w:val="20"/>
          <w:color w:val="auto"/>
        </w:rPr>
      </w:pPr>
      <w:r>
        <w:rPr>
          <w:rFonts w:ascii="Arial" w:cs="Arial" w:eastAsia="Arial" w:hAnsi="Arial"/>
          <w:sz w:val="18"/>
          <w:szCs w:val="18"/>
          <w:color w:val="auto"/>
        </w:rPr>
        <w:t>As of June 30, 2024 and December 31, 2023, the carrying value of the Company’s Goodwill was $2,075 million and $2,076 million, respectively.</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2023</w:t>
            </w: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60"/>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136"/>
              <w:spacing w:after="0" w:line="159" w:lineRule="exact"/>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3"/>
                <w:szCs w:val="13"/>
                <w:color w:val="auto"/>
              </w:rPr>
            </w:pPr>
          </w:p>
        </w:tc>
        <w:tc>
          <w:tcPr>
            <w:tcW w:w="1020" w:type="dxa"/>
            <w:vAlign w:val="bottom"/>
            <w:gridSpan w:val="2"/>
          </w:tcPr>
          <w:p>
            <w:pPr>
              <w:jc w:val="right"/>
              <w:ind w:right="72"/>
              <w:spacing w:after="0" w:line="159" w:lineRule="exact"/>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200"/>
              <w:spacing w:after="0" w:line="159" w:lineRule="exact"/>
              <w:rPr>
                <w:sz w:val="20"/>
                <w:szCs w:val="20"/>
                <w:color w:val="auto"/>
              </w:rPr>
            </w:pPr>
            <w:r>
              <w:rPr>
                <w:rFonts w:ascii="Arial" w:cs="Arial" w:eastAsia="Arial" w:hAnsi="Arial"/>
                <w:sz w:val="14"/>
                <w:szCs w:val="14"/>
                <w:b w:val="1"/>
                <w:bCs w:val="1"/>
                <w:color w:val="auto"/>
              </w:rPr>
              <w:t>Accumulate</w:t>
            </w: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2"/>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96"/>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432"/>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94"/>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w:t>
            </w:r>
          </w:p>
        </w:tc>
        <w:tc>
          <w:tcPr>
            <w:tcW w:w="10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Intangible</w:t>
            </w:r>
          </w:p>
        </w:tc>
      </w:tr>
      <w:tr>
        <w:trPr>
          <w:trHeight w:val="185"/>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w w:val="99"/>
              </w:rPr>
              <w:t>gross</w:t>
            </w:r>
          </w:p>
        </w:tc>
        <w:tc>
          <w:tcPr>
            <w:tcW w:w="12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assets, net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54"/>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0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assets, net</w:t>
            </w:r>
          </w:p>
        </w:tc>
      </w:tr>
      <w:tr>
        <w:trPr>
          <w:trHeight w:val="22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intangible assets:</w:t>
            </w: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791</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791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791</w:t>
            </w:r>
          </w:p>
        </w:tc>
        <w:tc>
          <w:tcPr>
            <w:tcW w:w="46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791</w:t>
            </w:r>
          </w:p>
        </w:tc>
      </w:tr>
      <w:tr>
        <w:trPr>
          <w:trHeight w:val="22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Customer relationships — commercial</w:t>
            </w:r>
          </w:p>
        </w:tc>
        <w:tc>
          <w:tcPr>
            <w:tcW w:w="10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839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(837 )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2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Proprietary technology</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rPr>
              <w:t>508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(480 )</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(479 )</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Customer relationships — defense</w:t>
            </w:r>
          </w:p>
        </w:tc>
        <w:tc>
          <w:tcPr>
            <w:tcW w:w="10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29"/>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Non-compete agreement</w:t>
            </w: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Pr>
          <w:p>
            <w:pPr>
              <w:ind w:left="2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2,202</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(1,376 )</w:t>
            </w:r>
          </w:p>
        </w:tc>
        <w:tc>
          <w:tcPr>
            <w:tcW w:w="46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826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2,202</w:t>
            </w:r>
          </w:p>
        </w:tc>
        <w:tc>
          <w:tcPr>
            <w:tcW w:w="46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(1,369 )</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833</w:t>
            </w:r>
          </w:p>
        </w:tc>
      </w:tr>
      <w:tr>
        <w:trPr>
          <w:trHeight w:val="20"/>
        </w:trPr>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-179070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-179070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-179070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-179070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-179070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jc w:val="both"/>
        <w:ind w:right="20" w:firstLine="494"/>
        <w:spacing w:after="0" w:line="301" w:lineRule="auto"/>
        <w:rPr>
          <w:sz w:val="20"/>
          <w:szCs w:val="20"/>
          <w:color w:val="auto"/>
        </w:rPr>
      </w:pPr>
      <w:r>
        <w:rPr>
          <w:rFonts w:ascii="Arial" w:cs="Arial" w:eastAsia="Arial" w:hAnsi="Arial"/>
          <w:sz w:val="17"/>
          <w:szCs w:val="17"/>
          <w:color w:val="auto"/>
        </w:rPr>
        <w:t>In the second quarter of 2024, the Company reclassified $23 million of in-process research and development ("IPR&amp;D") to Proprietary technology. The IPR&amp;D was reclassified upon the completion of the Company's project to develop commercially viable eGen Power products.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other intangible assets for the next five fiscal years is expected to be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2029</w:t>
            </w:r>
          </w:p>
        </w:tc>
      </w:tr>
      <w:tr>
        <w:trPr>
          <w:trHeight w:val="26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expense</w:t>
            </w:r>
          </w:p>
        </w:tc>
        <w:tc>
          <w:tcPr>
            <w:tcW w:w="780" w:type="dxa"/>
            <w:vAlign w:val="bottom"/>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w:t>
            </w:r>
          </w:p>
        </w:tc>
      </w:tr>
      <w:tr>
        <w:trPr>
          <w:trHeight w:val="578"/>
        </w:trPr>
        <w:tc>
          <w:tcPr>
            <w:tcW w:w="518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11</w:t>
            </w: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745"/>
        </w:trPr>
        <w:tc>
          <w:tcPr>
            <w:tcW w:w="5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-889635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-872490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-889635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-872490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-889635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-872490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-889635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-872490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FAIR VALUE OF FINANCIAL INSTRUMENTS</w:t>
      </w:r>
    </w:p>
    <w:p>
      <w:pPr>
        <w:spacing w:after="0" w:line="157"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w:t>
      </w:r>
    </w:p>
    <w:p>
      <w:pPr>
        <w:spacing w:after="0" w:line="103"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Level 2 —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in which all significant value-drivers are observable in active markets or are supported by observable levels at which transactions are executed in the marketplace.</w:t>
      </w:r>
    </w:p>
    <w:p>
      <w:pPr>
        <w:spacing w:after="0" w:line="68" w:lineRule="exact"/>
        <w:rPr>
          <w:sz w:val="20"/>
          <w:szCs w:val="20"/>
          <w:color w:val="auto"/>
        </w:rPr>
      </w:pPr>
    </w:p>
    <w:p>
      <w:pPr>
        <w:ind w:right="360" w:firstLine="494"/>
        <w:spacing w:after="0" w:line="243" w:lineRule="auto"/>
        <w:rPr>
          <w:sz w:val="20"/>
          <w:szCs w:val="20"/>
          <w:color w:val="auto"/>
        </w:rPr>
      </w:pPr>
      <w:r>
        <w:rPr>
          <w:rFonts w:ascii="Arial" w:cs="Arial" w:eastAsia="Arial" w:hAnsi="Arial"/>
          <w:sz w:val="18"/>
          <w:szCs w:val="18"/>
          <w:color w:val="auto"/>
        </w:rPr>
        <w:t>Level 3 — Certain inputs are unobservable or have little or no market data available.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June 30, 2024 and December 31, 2023, the Company did not have any Level 3 financial assets or liabilities.</w:t>
      </w:r>
    </w:p>
    <w:p>
      <w:pPr>
        <w:spacing w:after="0" w:line="125" w:lineRule="exact"/>
        <w:rPr>
          <w:sz w:val="20"/>
          <w:szCs w:val="20"/>
          <w:color w:val="auto"/>
        </w:rPr>
      </w:pPr>
    </w:p>
    <w:p>
      <w:pPr>
        <w:ind w:right="60" w:firstLine="494"/>
        <w:spacing w:after="0" w:line="241" w:lineRule="auto"/>
        <w:rPr>
          <w:sz w:val="20"/>
          <w:szCs w:val="20"/>
          <w:color w:val="auto"/>
        </w:rPr>
      </w:pPr>
      <w:r>
        <w:rPr>
          <w:rFonts w:ascii="Arial" w:cs="Arial" w:eastAsia="Arial" w:hAnsi="Arial"/>
          <w:sz w:val="18"/>
          <w:szCs w:val="18"/>
          <w:color w:val="auto"/>
        </w:rPr>
        <w:t>The Company’s assets and liabilities that are measured at fair value include cash equivalents, marketable securities, derivative instruments, assets held in a rabbi trust and a deferred compensation obligation. The Company’s cash equivalents consist of short-term U.S. government backed securities and time deposits. The Company's marketable securities consist of publicly traded stock of Jing-Jin Electric Technologies Co. Ltd., which has a readily determinable fair value.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74" w:lineRule="exact"/>
        <w:rPr>
          <w:sz w:val="20"/>
          <w:szCs w:val="20"/>
          <w:color w:val="auto"/>
        </w:rPr>
      </w:pPr>
    </w:p>
    <w:p>
      <w:pPr>
        <w:ind w:right="120" w:firstLine="494"/>
        <w:spacing w:after="0" w:line="252" w:lineRule="auto"/>
        <w:rPr>
          <w:sz w:val="20"/>
          <w:szCs w:val="20"/>
          <w:color w:val="auto"/>
        </w:rPr>
      </w:pPr>
      <w:r>
        <w:rPr>
          <w:rFonts w:ascii="Arial" w:cs="Arial" w:eastAsia="Arial" w:hAnsi="Arial"/>
          <w:sz w:val="18"/>
          <w:szCs w:val="18"/>
          <w:color w:val="auto"/>
        </w:rPr>
        <w:t>The Company’s valuation techniques used to calculate the fair value of cash equivalents, marketable securities, assets held in the rabbi trust and the deferred compensation obligation represent a market approach in active markets for identical assets that qualify as Level 1 in the fair value hierarchy.</w:t>
      </w:r>
    </w:p>
    <w:p>
      <w:pPr>
        <w:spacing w:after="0" w:line="63"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The Company’s valuation techniques used to calculate the fair value of derivative instruments represent a market approach with observable inputs that qualify as Level 2 in the fair value hierarchy. The Company uses valuations from the issuing financial institutions for the fair value measurement of interest rate swaps. The floating-to-fixed interest rate swaps are based on the Secured Overnight Financing Rate ("SOFR"), which is observable at commonly quoted intervals. The fair values are included in other current and non-current assets in the Condensed Consolidated Balance Sheets. See "Note H. Derivatives” for more information regarding the Company's interest rate swaps.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right="60" w:firstLine="494"/>
        <w:spacing w:after="0" w:line="271"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June 30, 2024 and December 31, 2023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0"/>
        </w:trPr>
        <w:tc>
          <w:tcPr>
            <w:tcW w:w="2980" w:type="dxa"/>
            <w:vAlign w:val="bottom"/>
          </w:tcPr>
          <w:p>
            <w:pPr>
              <w:spacing w:after="0"/>
              <w:rPr>
                <w:sz w:val="13"/>
                <w:szCs w:val="13"/>
                <w:color w:val="auto"/>
              </w:rPr>
            </w:pPr>
          </w:p>
        </w:tc>
        <w:tc>
          <w:tcPr>
            <w:tcW w:w="2240" w:type="dxa"/>
            <w:vAlign w:val="bottom"/>
            <w:gridSpan w:val="4"/>
          </w:tcPr>
          <w:p>
            <w:pPr>
              <w:jc w:val="center"/>
              <w:ind w:left="303"/>
              <w:spacing w:after="0" w:line="159" w:lineRule="exact"/>
              <w:rPr>
                <w:sz w:val="20"/>
                <w:szCs w:val="20"/>
                <w:color w:val="auto"/>
              </w:rPr>
            </w:pPr>
            <w:r>
              <w:rPr>
                <w:rFonts w:ascii="Arial" w:cs="Arial" w:eastAsia="Arial" w:hAnsi="Arial"/>
                <w:sz w:val="14"/>
                <w:szCs w:val="14"/>
                <w:b w:val="1"/>
                <w:bCs w:val="1"/>
                <w:color w:val="auto"/>
              </w:rPr>
              <w:t>Quoted Prices in Active</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3"/>
          </w:tcPr>
          <w:p>
            <w:pPr>
              <w:jc w:val="center"/>
              <w:ind w:left="39"/>
              <w:spacing w:after="0" w:line="159" w:lineRule="exact"/>
              <w:rPr>
                <w:sz w:val="20"/>
                <w:szCs w:val="20"/>
                <w:color w:val="auto"/>
              </w:rPr>
            </w:pPr>
            <w:r>
              <w:rPr>
                <w:rFonts w:ascii="Arial" w:cs="Arial" w:eastAsia="Arial" w:hAnsi="Arial"/>
                <w:sz w:val="14"/>
                <w:szCs w:val="14"/>
                <w:b w:val="1"/>
                <w:bCs w:val="1"/>
                <w:color w:val="auto"/>
              </w:rPr>
              <w:t>Significant Other</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2980" w:type="dxa"/>
            <w:vAlign w:val="bottom"/>
          </w:tcPr>
          <w:p>
            <w:pPr>
              <w:spacing w:after="0"/>
              <w:rPr>
                <w:sz w:val="14"/>
                <w:szCs w:val="14"/>
                <w:color w:val="auto"/>
              </w:rPr>
            </w:pPr>
          </w:p>
        </w:tc>
        <w:tc>
          <w:tcPr>
            <w:tcW w:w="2240" w:type="dxa"/>
            <w:vAlign w:val="bottom"/>
            <w:gridSpan w:val="4"/>
          </w:tcPr>
          <w:p>
            <w:pPr>
              <w:jc w:val="center"/>
              <w:ind w:left="303"/>
              <w:spacing w:after="0"/>
              <w:rPr>
                <w:sz w:val="20"/>
                <w:szCs w:val="20"/>
                <w:color w:val="auto"/>
              </w:rPr>
            </w:pPr>
            <w:r>
              <w:rPr>
                <w:rFonts w:ascii="Arial" w:cs="Arial" w:eastAsia="Arial" w:hAnsi="Arial"/>
                <w:sz w:val="14"/>
                <w:szCs w:val="14"/>
                <w:b w:val="1"/>
                <w:bCs w:val="1"/>
                <w:color w:val="auto"/>
              </w:rPr>
              <w:t>Markets for Identical</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3"/>
          </w:tcPr>
          <w:p>
            <w:pPr>
              <w:jc w:val="center"/>
              <w:ind w:left="19"/>
              <w:spacing w:after="0"/>
              <w:rPr>
                <w:sz w:val="20"/>
                <w:szCs w:val="20"/>
                <w:color w:val="auto"/>
              </w:rPr>
            </w:pPr>
            <w:r>
              <w:rPr>
                <w:rFonts w:ascii="Arial" w:cs="Arial" w:eastAsia="Arial" w:hAnsi="Arial"/>
                <w:sz w:val="14"/>
                <w:szCs w:val="14"/>
                <w:b w:val="1"/>
                <w:bCs w:val="1"/>
                <w:color w:val="auto"/>
              </w:rPr>
              <w:t>Observable Inputs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5"/>
        </w:trPr>
        <w:tc>
          <w:tcPr>
            <w:tcW w:w="2980" w:type="dxa"/>
            <w:vAlign w:val="bottom"/>
          </w:tcPr>
          <w:p>
            <w:pPr>
              <w:spacing w:after="0"/>
              <w:rPr>
                <w:sz w:val="16"/>
                <w:szCs w:val="16"/>
                <w:color w:val="auto"/>
              </w:rPr>
            </w:pPr>
          </w:p>
        </w:tc>
        <w:tc>
          <w:tcPr>
            <w:tcW w:w="2240" w:type="dxa"/>
            <w:vAlign w:val="bottom"/>
            <w:tcBorders>
              <w:bottom w:val="single" w:sz="8" w:color="auto"/>
            </w:tcBorders>
            <w:gridSpan w:val="4"/>
          </w:tcPr>
          <w:p>
            <w:pPr>
              <w:jc w:val="center"/>
              <w:ind w:left="303"/>
              <w:spacing w:after="0"/>
              <w:rPr>
                <w:sz w:val="20"/>
                <w:szCs w:val="20"/>
                <w:color w:val="auto"/>
              </w:rPr>
            </w:pPr>
            <w:r>
              <w:rPr>
                <w:rFonts w:ascii="Arial" w:cs="Arial" w:eastAsia="Arial" w:hAnsi="Arial"/>
                <w:sz w:val="14"/>
                <w:szCs w:val="14"/>
                <w:b w:val="1"/>
                <w:bCs w:val="1"/>
                <w:color w:val="auto"/>
              </w:rPr>
              <w:t>Assets (Level 1)</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6"/>
                <w:szCs w:val="16"/>
                <w:color w:val="auto"/>
              </w:rPr>
            </w:pPr>
          </w:p>
        </w:tc>
      </w:tr>
      <w:tr>
        <w:trPr>
          <w:trHeight w:val="160"/>
        </w:trPr>
        <w:tc>
          <w:tcPr>
            <w:tcW w:w="29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150"/>
              <w:spacing w:after="0" w:line="15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359"/>
              <w:spacing w:after="0" w:line="15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220" w:type="dxa"/>
            <w:vAlign w:val="bottom"/>
            <w:gridSpan w:val="2"/>
          </w:tcPr>
          <w:p>
            <w:pPr>
              <w:jc w:val="right"/>
              <w:ind w:right="110"/>
              <w:spacing w:after="0" w:line="15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316"/>
              <w:spacing w:after="0" w:line="15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220" w:type="dxa"/>
            <w:vAlign w:val="bottom"/>
            <w:gridSpan w:val="2"/>
          </w:tcPr>
          <w:p>
            <w:pPr>
              <w:jc w:val="right"/>
              <w:ind w:right="113"/>
              <w:spacing w:after="0" w:line="159"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2980" w:type="dxa"/>
            <w:vAlign w:val="bottom"/>
          </w:tcPr>
          <w:p>
            <w:pPr>
              <w:spacing w:after="0"/>
              <w:rPr>
                <w:sz w:val="16"/>
                <w:szCs w:val="16"/>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r>
      <w:tr>
        <w:trPr>
          <w:trHeight w:val="223"/>
        </w:trPr>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900" w:type="dxa"/>
            <w:vAlign w:val="bottom"/>
            <w:shd w:val="clear" w:color="auto" w:fill="CFF0FC"/>
          </w:tcPr>
          <w:p>
            <w:pPr>
              <w:jc w:val="right"/>
              <w:ind w:right="703"/>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3"/>
              </w:rPr>
              <w:t>508</w:t>
            </w:r>
          </w:p>
        </w:tc>
        <w:tc>
          <w:tcPr>
            <w:tcW w:w="90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421</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508</w:t>
            </w:r>
          </w:p>
        </w:tc>
        <w:tc>
          <w:tcPr>
            <w:tcW w:w="3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421</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900" w:type="dxa"/>
            <w:vAlign w:val="bottom"/>
          </w:tcPr>
          <w:p>
            <w:pPr>
              <w:spacing w:after="0"/>
              <w:rPr>
                <w:sz w:val="19"/>
                <w:szCs w:val="19"/>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w:t>
            </w:r>
          </w:p>
        </w:tc>
      </w:tr>
      <w:tr>
        <w:trPr>
          <w:trHeight w:val="229"/>
        </w:trPr>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Rabbi trust assets</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Deferred compensation obligation</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(20 )</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2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Derivative assets</w:t>
            </w:r>
          </w:p>
        </w:tc>
        <w:tc>
          <w:tcPr>
            <w:tcW w:w="9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12</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r>
      <w:tr>
        <w:trPr>
          <w:trHeight w:val="223"/>
        </w:trPr>
        <w:tc>
          <w:tcPr>
            <w:tcW w:w="2980" w:type="dxa"/>
            <w:vAlign w:val="bottom"/>
          </w:tcPr>
          <w:p>
            <w:pPr>
              <w:ind w:left="280"/>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ind w:right="703"/>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519</w:t>
            </w:r>
          </w:p>
        </w:tc>
        <w:tc>
          <w:tcPr>
            <w:tcW w:w="90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441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9"/>
              <w:spacing w:after="0"/>
              <w:rPr>
                <w:sz w:val="20"/>
                <w:szCs w:val="20"/>
                <w:color w:val="auto"/>
              </w:rPr>
            </w:pPr>
            <w:r>
              <w:rPr>
                <w:rFonts w:ascii="Arial" w:cs="Arial" w:eastAsia="Arial" w:hAnsi="Arial"/>
                <w:sz w:val="18"/>
                <w:szCs w:val="18"/>
                <w:b w:val="1"/>
                <w:bCs w:val="1"/>
                <w:color w:val="auto"/>
              </w:rPr>
              <w:t>13</w:t>
            </w:r>
          </w:p>
        </w:tc>
        <w:tc>
          <w:tcPr>
            <w:tcW w:w="100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6"/>
              <w:spacing w:after="0"/>
              <w:rPr>
                <w:sz w:val="20"/>
                <w:szCs w:val="20"/>
                <w:color w:val="auto"/>
              </w:rPr>
            </w:pPr>
            <w:r>
              <w:rPr>
                <w:rFonts w:ascii="Arial" w:cs="Arial" w:eastAsia="Arial" w:hAnsi="Arial"/>
                <w:sz w:val="18"/>
                <w:szCs w:val="18"/>
                <w:b w:val="1"/>
                <w:bCs w:val="1"/>
                <w:color w:val="auto"/>
              </w:rPr>
              <w:t>532</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453</w:t>
            </w:r>
          </w:p>
        </w:tc>
      </w:tr>
      <w:tr>
        <w:trPr>
          <w:trHeight w:val="20"/>
        </w:trPr>
        <w:tc>
          <w:tcPr>
            <w:tcW w:w="29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-179070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-179070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-179070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-179070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-179070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The Company holds equity securities in an unconsolidated entity without a readily determinable fair value. This investment represents a less than a 20% ownership interest in the privately-held affiliate, and the Company does not maintain significant influence over or control of the entity. The Company has elected the measurement alternative and measures the investment at cost, less any impairment, plus or minus adjustments related to observable transactions for the same or similar securities. This equity investment is recorded in Other non-current assets in the Condensed Consolidated Balance Sheets, with changes in the value recorded in Other (expense) income, net in the Consolidated Statements of Comprehensive Income. As of both June 30, 2024 and December 31, 2023, the Company held equity securities without a readily determinable fair value of $5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DEBT</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3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2023</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Senior Secured Credit Facility Term Loan, variable, due 2026</w:t>
            </w:r>
          </w:p>
        </w:tc>
        <w:tc>
          <w:tcPr>
            <w:tcW w:w="1080" w:type="dxa"/>
            <w:vAlign w:val="bottom"/>
          </w:tcPr>
          <w:p>
            <w:pPr>
              <w:jc w:val="right"/>
              <w:ind w:right="897"/>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618</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fixed 4.75%, due 2027</w:t>
            </w: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400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400</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Senior Notes, fixed 5.875%, due 2029</w:t>
            </w:r>
          </w:p>
        </w:tc>
        <w:tc>
          <w:tcPr>
            <w:tcW w:w="10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500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500</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Secured Credit Facility Term Loan, variable, due 2031</w:t>
            </w: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517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Senior Notes, fixed 3.75%, due 2031</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1,000</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1,000</w:t>
            </w:r>
          </w:p>
        </w:tc>
      </w:tr>
      <w:tr>
        <w:trPr>
          <w:trHeight w:val="223"/>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long-term debt</w:t>
            </w:r>
          </w:p>
        </w:tc>
        <w:tc>
          <w:tcPr>
            <w:tcW w:w="1080" w:type="dxa"/>
            <w:vAlign w:val="bottom"/>
            <w:shd w:val="clear" w:color="auto" w:fill="CFF0FC"/>
          </w:tcPr>
          <w:p>
            <w:pPr>
              <w:jc w:val="right"/>
              <w:ind w:right="897"/>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7"/>
              </w:rPr>
              <w:t>2,417</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2,518</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10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6</w:t>
            </w:r>
          </w:p>
        </w:tc>
      </w:tr>
      <w:tr>
        <w:trPr>
          <w:trHeight w:val="229"/>
        </w:trPr>
        <w:tc>
          <w:tcPr>
            <w:tcW w:w="7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deferred financing costs, net</w:t>
            </w:r>
          </w:p>
        </w:tc>
        <w:tc>
          <w:tcPr>
            <w:tcW w:w="10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15</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r>
      <w:tr>
        <w:trPr>
          <w:trHeight w:val="223"/>
        </w:trPr>
        <w:tc>
          <w:tcPr>
            <w:tcW w:w="7740" w:type="dxa"/>
            <w:vAlign w:val="bottom"/>
          </w:tcPr>
          <w:p>
            <w:pPr>
              <w:ind w:left="280"/>
              <w:spacing w:after="0"/>
              <w:rPr>
                <w:sz w:val="20"/>
                <w:szCs w:val="20"/>
                <w:color w:val="auto"/>
              </w:rPr>
            </w:pPr>
            <w:r>
              <w:rPr>
                <w:rFonts w:ascii="Arial" w:cs="Arial" w:eastAsia="Arial" w:hAnsi="Arial"/>
                <w:sz w:val="18"/>
                <w:szCs w:val="18"/>
                <w:color w:val="auto"/>
              </w:rPr>
              <w:t>Total long-term debt, net</w:t>
            </w:r>
          </w:p>
        </w:tc>
        <w:tc>
          <w:tcPr>
            <w:tcW w:w="1080" w:type="dxa"/>
            <w:vAlign w:val="bottom"/>
          </w:tcPr>
          <w:p>
            <w:pPr>
              <w:jc w:val="right"/>
              <w:ind w:right="897"/>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2,397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2,497</w:t>
            </w:r>
          </w:p>
        </w:tc>
      </w:tr>
      <w:tr>
        <w:trPr>
          <w:trHeight w:val="20"/>
        </w:trPr>
        <w:tc>
          <w:tcPr>
            <w:tcW w:w="7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-179070</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3"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As of June 30, 2024, the Company had $2,417 million of indebtedness associated with Allison Transmission, Inc.’s (“ATI”), the Company’s wholly-owned subsidiary, 4.75% Senior Notes due October 2027 (“4.75% Senior Notes”), ATI’s 5.875% Senior Notes due June 2029 (“5.875% Senior Notes”), ATI’s 3.75% Senior Notes due January 2031 (“3.75% Senior Notes” and, together with the 4.75% Senior Notes and 5.875% Senior Notes, the “Senior Notes”) and the Second Amended and Restated Credit Agreement dated as of March 29, 2019, as amended (the “Credit Agreement”), governing ATI’s term loan facility in the amount of $517 million due March 2031 (“Term Loan”) and ATI’s revolving credit facility with commitments in the amount of $750 million due March 2029 (“Revolving Credit Facility” and, together with the Term Loan, the “Senior Secured Credit Facility”).</w:t>
      </w:r>
    </w:p>
    <w:p>
      <w:pPr>
        <w:spacing w:after="0" w:line="75" w:lineRule="exact"/>
        <w:rPr>
          <w:sz w:val="20"/>
          <w:szCs w:val="20"/>
          <w:color w:val="auto"/>
        </w:rPr>
      </w:pPr>
    </w:p>
    <w:p>
      <w:pPr>
        <w:jc w:val="both"/>
        <w:ind w:right="160" w:firstLine="494"/>
        <w:spacing w:after="0" w:line="252" w:lineRule="auto"/>
        <w:rPr>
          <w:sz w:val="20"/>
          <w:szCs w:val="20"/>
          <w:color w:val="auto"/>
        </w:rPr>
      </w:pPr>
      <w:r>
        <w:rPr>
          <w:rFonts w:ascii="Arial" w:cs="Arial" w:eastAsia="Arial" w:hAnsi="Arial"/>
          <w:sz w:val="18"/>
          <w:szCs w:val="18"/>
          <w:color w:val="auto"/>
        </w:rPr>
        <w:t>The fair value of the Company’s long-term debt obligations as of June 30, 2024 was $2,276 million. The fair value is based on quoted Level 2 market prices of the Company’s debt as of June 30, 2024. The difference between the fair value and carrying value of the long-term debt is driven primarily by trends in the financial markets.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01"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In March 2024, the Company and ATI entered into Amendment No. 4 ("Amendment") to the Credit Agreement, after giving effect to a $101 million principal prepayment, to remove the 0.10% credit spread adjustment to the SOFR benchmark for all available interest periods and increase the commitments under the existing Revolving Credit Facility by $100 million. The Amendment also extended the maturity date of the existing Term Loan from 2026 to 2031 and extended the existing Revolving Credit Facility termination date from 2025 to 2029. With the exception of the items noted above, the terms of the extended Term Loan and Revolving Credit Facility are materially the same as they were prior to the Amendment. The Amendment was treated as a modification to the Senior Secured Credit Facility under GAAP. The Company recorded $4 million as new deferred financing fees in the Condensed Consolidated Balance Sheet and expensed $1 million of prior deferred financing fees in the Condensed Consolidated Statement of Comprehensive Income during the first quarter of 2024.</w:t>
      </w:r>
    </w:p>
    <w:p>
      <w:pPr>
        <w:spacing w:after="0" w:line="77"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The borrowings under the Senior Secured Credit Facility are collateralized by a lien on substantially all assets of the Company, ATI and certain existing and future U.S. subsidiary guarantors, as provided in the Credit Agreement. Interest on the Term Loan, as of June 30, 2024, is either (a) 1.75% over a SOFR rate on deposits in U.S. dollars for one-, three- or six-month periods (or a twelve-month period if, at the time of the borrowing, consented to by all relevant lenders and the administrative agent) ("Term SOFR"), or (b) 0.75% over the greater of the prime lending rate as quoted by the administrative agent, the Term SOFR Rate for an interest period of one month plus 1.00% and the federal funds effective rate published by the Federal Reserve Bank of New York plus 0.50%, subject to a 1.00% floor (the "Base Rate"). As of June 30, 2024, the Company elected to pay the lowest all-in rate of Term SOFR plus the applicable margin, or 7.08%, on 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2031 is $1 million. As of June 30, 2024, there had been no payments required for certain net cash proceeds of non-ordinary course asset sales and casualty and condemnation events. The remaining principal balance is due upon maturity.</w:t>
      </w:r>
    </w:p>
    <w:p>
      <w:pPr>
        <w:spacing w:after="0" w:line="72" w:lineRule="exact"/>
        <w:rPr>
          <w:sz w:val="20"/>
          <w:szCs w:val="20"/>
          <w:color w:val="auto"/>
        </w:rPr>
      </w:pPr>
    </w:p>
    <w:p>
      <w:pPr>
        <w:ind w:right="20" w:firstLine="494"/>
        <w:spacing w:after="0" w:line="253" w:lineRule="auto"/>
        <w:rPr>
          <w:sz w:val="20"/>
          <w:szCs w:val="20"/>
          <w:color w:val="auto"/>
        </w:rPr>
      </w:pPr>
      <w:r>
        <w:rPr>
          <w:rFonts w:ascii="Arial" w:cs="Arial" w:eastAsia="Arial" w:hAnsi="Arial"/>
          <w:sz w:val="17"/>
          <w:szCs w:val="17"/>
          <w:color w:val="auto"/>
        </w:rPr>
        <w:t>The Senior Secured Credit Facility also provides a Revolving Credit Facility, net of an allowance for up to $75 million in outstanding letters of credit commitments. During the six months ended June 30, 2024, the Company made no withdrawals on the Revolving Credit Facility. As of June 30, 2024, the Company had $745 million available under the Revolving Credit Facility, net of $5 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 0.75% over the Base Rate or (b) 1.75% over the Term SOFR Rate; when the Company’s first lien net leverage ratio is equal to or less than 4.00x and above 3.50x, interest on the Revolving Credit Facility is (i) 0.50% over the Base Rate or (ii) 1.50% over the Term SOFR Rate; and when the Company’s first lien net leverage ratio is equal to or below 3.50x, interest on the Revolving Credit Facility is (y) 0.25% over the Base Rate or (z) 1.25% over the Term SOFR Rate. As of June 30, 2024, the applicable margin for the Revolving Credit Facility was 1.25%. In addition, there is an annual commitment fee, based on the Company’s first lien net leverage ratio, on the average unused revolving credit borrowings available under the Revolving Credit Facility. As of June 30, 2024, the commitment fee was 0.25%. Borrowings under the Revolving Credit Facility are payable at the option of the Company throughout the term of the Revolving Credit Facility with the balance due in March 2029.</w:t>
      </w:r>
    </w:p>
    <w:p>
      <w:pPr>
        <w:spacing w:after="0" w:line="62" w:lineRule="exact"/>
        <w:rPr>
          <w:sz w:val="20"/>
          <w:szCs w:val="20"/>
          <w:color w:val="auto"/>
        </w:rPr>
      </w:pPr>
    </w:p>
    <w:p>
      <w:pPr>
        <w:ind w:right="160" w:firstLine="494"/>
        <w:spacing w:after="0" w:line="243" w:lineRule="auto"/>
        <w:rPr>
          <w:sz w:val="20"/>
          <w:szCs w:val="20"/>
          <w:color w:val="auto"/>
        </w:rPr>
      </w:pPr>
      <w:r>
        <w:rPr>
          <w:rFonts w:ascii="Arial" w:cs="Arial" w:eastAsia="Arial" w:hAnsi="Arial"/>
          <w:sz w:val="18"/>
          <w:szCs w:val="18"/>
          <w:color w:val="auto"/>
        </w:rPr>
        <w:t>The Senior Secured Credit Facility requires the Company to maintain a specified maximum first lien net leverage ratio of 5.50x when revolving loan commitments remain outstanding on the Revolving Credit Facility at the end of a fiscal quarter. As of June 30, 2024, the Company had no amounts outstanding under the Revolving Credit Facility; however, the Company would have been in compliance with the maximum first lien net leverage ratio, achieving a (0.12x) ratio. Additionally, within the terms of the Senior Secured Credit Facility, a first lien net leverage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ratio at or below 4.00x results in the elimination of excess cash flow payments on the Senior Secured Credit Facility for the applicable year.</w:t>
      </w:r>
    </w:p>
    <w:p>
      <w:pPr>
        <w:spacing w:after="0" w:line="103" w:lineRule="exact"/>
        <w:rPr>
          <w:sz w:val="20"/>
          <w:szCs w:val="20"/>
          <w:color w:val="auto"/>
        </w:rPr>
      </w:pPr>
    </w:p>
    <w:p>
      <w:pPr>
        <w:ind w:right="100" w:firstLine="494"/>
        <w:spacing w:after="0" w:line="246"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June 30, 2024, the Company was in compliance with all covenants under the Credit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01"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Each series of the Senior Notes is unsecured and is guaranteed by each of ATI’s domestic subsidiaries that is a borrower under or guarantees the Senior Secured Credit Facility and is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June 30, 2024, the Company was in compliance with all covenants under the indentures governing the Senior Notes.</w:t>
      </w:r>
    </w:p>
    <w:p>
      <w:pPr>
        <w:spacing w:after="0" w:line="73" w:lineRule="exact"/>
        <w:rPr>
          <w:sz w:val="20"/>
          <w:szCs w:val="20"/>
          <w:color w:val="auto"/>
        </w:rPr>
      </w:pPr>
    </w:p>
    <w:p>
      <w:pPr>
        <w:ind w:right="80" w:firstLine="494"/>
        <w:spacing w:after="0" w:line="239" w:lineRule="auto"/>
        <w:rPr>
          <w:sz w:val="20"/>
          <w:szCs w:val="20"/>
          <w:color w:val="auto"/>
        </w:rPr>
      </w:pPr>
      <w:r>
        <w:rPr>
          <w:rFonts w:ascii="Arial" w:cs="Arial" w:eastAsia="Arial" w:hAnsi="Arial"/>
          <w:sz w:val="18"/>
          <w:szCs w:val="18"/>
          <w:color w:val="auto"/>
        </w:rPr>
        <w:t>ATI may from time to time seek to retire its Senior Notes through cash purchases, exchanges for equity securities, open market purchases, privately negotiated transactions, contractual redemptions or otherwise. Such repurchases or exchanges, if any, will depend on prevailing market conditions, liquidity requirements, contractual restrictions and other factors and will be in accordance with the respective indenture governing such notes. The amounts involved may be material. Some or all of the 4.75% Senior Notes and the 5.875% Senior Notes may be redeemed at any time at redemption prices specified in the indentures governing such notes. Prior to January 30, 2026, ATI may redeem some or all of the 3.75% Senior Notes by paying a price equal to 100.00% of the principal amount being redeemed, plus an “applicable premium”. At any time on or after January 30, 2026, ATI may redeem some or all of the 3.75% Senior Notes at redemption prices specified in the indenture governing such notes.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DERIVATIVES</w:t>
      </w:r>
    </w:p>
    <w:p>
      <w:pPr>
        <w:spacing w:after="0" w:line="103" w:lineRule="exact"/>
        <w:rPr>
          <w:sz w:val="20"/>
          <w:szCs w:val="20"/>
          <w:color w:val="auto"/>
        </w:rPr>
      </w:pPr>
    </w:p>
    <w:p>
      <w:pPr>
        <w:ind w:right="160" w:firstLine="494"/>
        <w:spacing w:after="0" w:line="243"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entered into interest rate swaps to manage a portion of this exposure. The interest rate swaps are designated as cash flow hedges that qualify for hedge accounting under the hypothetical derivative method. During the first quarter of 2024, the Company and ATI entered into the Amendment to the Credit Agreement that changed critical terms of the hedged item. Therefore, the Company performed a quantitative assessment that demonstrated a highly effective hedging relationship that qualifies for hedge accounting under the hypothetical derivative method.</w:t>
      </w:r>
    </w:p>
    <w:p>
      <w:pPr>
        <w:spacing w:after="0" w:line="71" w:lineRule="exact"/>
        <w:rPr>
          <w:sz w:val="20"/>
          <w:szCs w:val="20"/>
          <w:color w:val="auto"/>
        </w:rPr>
      </w:pPr>
    </w:p>
    <w:p>
      <w:pPr>
        <w:ind w:right="580" w:firstLine="544"/>
        <w:spacing w:after="0" w:line="301" w:lineRule="auto"/>
        <w:rPr>
          <w:sz w:val="20"/>
          <w:szCs w:val="20"/>
          <w:color w:val="auto"/>
        </w:rPr>
      </w:pPr>
      <w:r>
        <w:rPr>
          <w:rFonts w:ascii="Arial" w:cs="Arial" w:eastAsia="Arial" w:hAnsi="Arial"/>
          <w:sz w:val="17"/>
          <w:szCs w:val="17"/>
          <w:color w:val="auto"/>
        </w:rPr>
        <w:t>As of June 30, 2024, the Company held interest rate swap contracts that, in the aggregate, effectively hedge $500 million of the variable rate debt associated with the Term Loan at the Term SOFR weighted average fixed rate of 2.81% through September 2025.</w:t>
      </w:r>
    </w:p>
    <w:p>
      <w:pPr>
        <w:spacing w:after="0" w:line="22" w:lineRule="exact"/>
        <w:rPr>
          <w:sz w:val="20"/>
          <w:szCs w:val="20"/>
          <w:color w:val="auto"/>
        </w:rPr>
      </w:pPr>
    </w:p>
    <w:p>
      <w:pPr>
        <w:ind w:right="20" w:firstLine="544"/>
        <w:spacing w:after="0" w:line="252" w:lineRule="auto"/>
        <w:rPr>
          <w:sz w:val="20"/>
          <w:szCs w:val="20"/>
          <w:color w:val="auto"/>
        </w:rPr>
      </w:pPr>
      <w:r>
        <w:rPr>
          <w:rFonts w:ascii="Arial" w:cs="Arial" w:eastAsia="Arial" w:hAnsi="Arial"/>
          <w:sz w:val="18"/>
          <w:szCs w:val="18"/>
          <w:color w:val="auto"/>
        </w:rPr>
        <w:t>Fair value adjustments are recorded as a component of Accumulated other comprehensive loss, net of tax (“AOCL”) in the Condensed Consolidated Balance Sheets. Balances in AOCL are reclassified to earnings when transactions related to the underlying risk are settled. See "Note F. Fair Value of Financial Instruments” for information regarding the fair value of the Company’s interest rate swaps.</w:t>
      </w:r>
    </w:p>
    <w:p>
      <w:pPr>
        <w:spacing w:after="0" w:line="63" w:lineRule="exact"/>
        <w:rPr>
          <w:sz w:val="20"/>
          <w:szCs w:val="20"/>
          <w:color w:val="auto"/>
        </w:rPr>
      </w:pPr>
    </w:p>
    <w:p>
      <w:pPr>
        <w:ind w:right="780" w:firstLine="494"/>
        <w:spacing w:after="0" w:line="271"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1460" w:type="dxa"/>
            <w:vAlign w:val="bottom"/>
            <w:tcBorders>
              <w:bottom w:val="single" w:sz="8" w:color="auto"/>
            </w:tcBorders>
          </w:tcPr>
          <w:p>
            <w:pPr>
              <w:spacing w:after="0"/>
              <w:rPr>
                <w:sz w:val="16"/>
                <w:szCs w:val="16"/>
                <w:color w:val="auto"/>
              </w:rPr>
            </w:pPr>
          </w:p>
        </w:tc>
      </w:tr>
      <w:tr>
        <w:trPr>
          <w:trHeight w:val="160"/>
        </w:trPr>
        <w:tc>
          <w:tcPr>
            <w:tcW w:w="39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79"/>
              <w:spacing w:after="0" w:line="159" w:lineRule="exact"/>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357"/>
              <w:spacing w:after="0" w:line="159"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3960" w:type="dxa"/>
            <w:vAlign w:val="bottom"/>
          </w:tcPr>
          <w:p>
            <w:pPr>
              <w:spacing w:after="0"/>
              <w:rPr>
                <w:sz w:val="16"/>
                <w:szCs w:val="16"/>
                <w:color w:val="auto"/>
              </w:rPr>
            </w:pPr>
          </w:p>
        </w:tc>
        <w:tc>
          <w:tcPr>
            <w:tcW w:w="3620" w:type="dxa"/>
            <w:vAlign w:val="bottom"/>
            <w:gridSpan w:val="2"/>
          </w:tcPr>
          <w:p>
            <w:pPr>
              <w:ind w:left="900"/>
              <w:spacing w:after="0"/>
              <w:rPr>
                <w:sz w:val="20"/>
                <w:szCs w:val="20"/>
                <w:color w:val="auto"/>
              </w:rPr>
            </w:pPr>
            <w:r>
              <w:rPr>
                <w:rFonts w:ascii="Arial" w:cs="Arial" w:eastAsia="Arial" w:hAnsi="Arial"/>
                <w:sz w:val="14"/>
                <w:szCs w:val="14"/>
                <w:b w:val="1"/>
                <w:bCs w:val="1"/>
                <w:color w:val="auto"/>
              </w:rPr>
              <w:t>Balance Sheet Location</w:t>
            </w:r>
          </w:p>
        </w:tc>
        <w:tc>
          <w:tcPr>
            <w:tcW w:w="1260" w:type="dxa"/>
            <w:vAlign w:val="bottom"/>
          </w:tcPr>
          <w:p>
            <w:pPr>
              <w:jc w:val="right"/>
              <w:ind w:right="199"/>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677"/>
              <w:spacing w:after="0"/>
              <w:rPr>
                <w:sz w:val="20"/>
                <w:szCs w:val="20"/>
                <w:color w:val="auto"/>
              </w:rPr>
            </w:pPr>
            <w:r>
              <w:rPr>
                <w:rFonts w:ascii="Arial" w:cs="Arial" w:eastAsia="Arial" w:hAnsi="Arial"/>
                <w:sz w:val="14"/>
                <w:szCs w:val="14"/>
                <w:b w:val="1"/>
                <w:bCs w:val="1"/>
                <w:color w:val="auto"/>
              </w:rPr>
              <w:t>2023</w:t>
            </w:r>
          </w:p>
        </w:tc>
      </w:tr>
      <w:tr>
        <w:trPr>
          <w:trHeight w:val="22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Assets:</w:t>
            </w:r>
          </w:p>
        </w:tc>
        <w:tc>
          <w:tcPr>
            <w:tcW w:w="342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r>
      <w:tr>
        <w:trPr>
          <w:trHeight w:val="229"/>
        </w:trPr>
        <w:tc>
          <w:tcPr>
            <w:tcW w:w="396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60" w:type="dxa"/>
            <w:vAlign w:val="bottom"/>
          </w:tcPr>
          <w:p>
            <w:pPr>
              <w:jc w:val="right"/>
              <w:ind w:right="105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ind w:right="35"/>
              <w:spacing w:after="0"/>
              <w:rPr>
                <w:sz w:val="20"/>
                <w:szCs w:val="20"/>
                <w:color w:val="auto"/>
              </w:rPr>
            </w:pPr>
            <w:r>
              <w:rPr>
                <w:rFonts w:ascii="Arial" w:cs="Arial" w:eastAsia="Arial" w:hAnsi="Arial"/>
                <w:sz w:val="18"/>
                <w:szCs w:val="18"/>
                <w:b w:val="1"/>
                <w:bCs w:val="1"/>
                <w:color w:val="auto"/>
              </w:rPr>
              <w:t>11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7</w:t>
            </w:r>
          </w:p>
        </w:tc>
      </w:tr>
      <w:tr>
        <w:trPr>
          <w:trHeight w:val="229"/>
        </w:trPr>
        <w:tc>
          <w:tcPr>
            <w:tcW w:w="3960" w:type="dxa"/>
            <w:vAlign w:val="bottom"/>
            <w:tcBorders>
              <w:bottom w:val="single" w:sz="8" w:color="CFF0FC"/>
            </w:tcBorders>
            <w:shd w:val="clear" w:color="auto" w:fill="CFF0FC"/>
          </w:tcPr>
          <w:p>
            <w:pPr>
              <w:spacing w:after="0"/>
              <w:rPr>
                <w:sz w:val="19"/>
                <w:szCs w:val="19"/>
                <w:color w:val="auto"/>
              </w:rPr>
            </w:pPr>
          </w:p>
        </w:tc>
        <w:tc>
          <w:tcPr>
            <w:tcW w:w="3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12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w:t>
            </w:r>
          </w:p>
        </w:tc>
      </w:tr>
      <w:tr>
        <w:trPr>
          <w:trHeight w:val="223"/>
        </w:trPr>
        <w:tc>
          <w:tcPr>
            <w:tcW w:w="3960" w:type="dxa"/>
            <w:vAlign w:val="bottom"/>
          </w:tcPr>
          <w:p>
            <w:pPr>
              <w:ind w:left="280"/>
              <w:spacing w:after="0"/>
              <w:rPr>
                <w:sz w:val="20"/>
                <w:szCs w:val="20"/>
                <w:color w:val="auto"/>
              </w:rPr>
            </w:pPr>
            <w:r>
              <w:rPr>
                <w:rFonts w:ascii="Arial" w:cs="Arial" w:eastAsia="Arial" w:hAnsi="Arial"/>
                <w:sz w:val="18"/>
                <w:szCs w:val="18"/>
                <w:color w:val="auto"/>
              </w:rPr>
              <w:t>Total derivative assets</w:t>
            </w: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05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ind w:right="35"/>
              <w:spacing w:after="0"/>
              <w:rPr>
                <w:sz w:val="20"/>
                <w:szCs w:val="20"/>
                <w:color w:val="auto"/>
              </w:rPr>
            </w:pPr>
            <w:r>
              <w:rPr>
                <w:rFonts w:ascii="Arial" w:cs="Arial" w:eastAsia="Arial" w:hAnsi="Arial"/>
                <w:sz w:val="18"/>
                <w:szCs w:val="18"/>
                <w:b w:val="1"/>
                <w:bCs w:val="1"/>
                <w:color w:val="auto"/>
              </w:rPr>
              <w:t>13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12</w:t>
            </w:r>
          </w:p>
        </w:tc>
      </w:tr>
      <w:tr>
        <w:trPr>
          <w:trHeight w:val="20"/>
        </w:trPr>
        <w:tc>
          <w:tcPr>
            <w:tcW w:w="3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-179070</wp:posOffset>
            </wp:positionV>
            <wp:extent cx="120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3" w:lineRule="exact"/>
        <w:rPr>
          <w:sz w:val="20"/>
          <w:szCs w:val="20"/>
          <w:color w:val="auto"/>
        </w:rPr>
      </w:pPr>
    </w:p>
    <w:p>
      <w:pPr>
        <w:ind w:right="260" w:firstLine="494"/>
        <w:spacing w:after="0" w:line="246" w:lineRule="auto"/>
        <w:rPr>
          <w:sz w:val="20"/>
          <w:szCs w:val="20"/>
          <w:color w:val="auto"/>
        </w:rPr>
      </w:pPr>
      <w:r>
        <w:rPr>
          <w:rFonts w:ascii="Arial" w:cs="Arial" w:eastAsia="Arial" w:hAnsi="Arial"/>
          <w:sz w:val="18"/>
          <w:szCs w:val="18"/>
          <w:color w:val="auto"/>
        </w:rPr>
        <w:t>The balance of net derivative gains recorded in AOCL as of June 30, 2024 and December 31, 2023 was $13 million and $12 million, respectively. See "Note O. Accumulated Other Comprehensive Loss” for information regarding activity recorded as a component of AOCL during the three and six months ended June 30, 2024 and 2023. As of June 30, 2024, the Company had approximately $9 million of derivative gains recorded in AOCL expected to be reclassified to earnings within the next twelve months.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PRODUCT WARRANTY LIABILITIES</w:t>
      </w:r>
    </w:p>
    <w:p>
      <w:pPr>
        <w:spacing w:after="0" w:line="103"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As of June 30, 2024, current and non-current product warranty liabilities were $32 million and $27 million, respectively. As of June 30, 2023, current and non-current product warranty liabilities were $25 million and $35 million, respectively.</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Product warranty liability activities consisted of the following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216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r>
      <w:tr>
        <w:trPr>
          <w:trHeight w:val="185"/>
        </w:trPr>
        <w:tc>
          <w:tcPr>
            <w:tcW w:w="600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r>
      <w:tr>
        <w:trPr>
          <w:trHeight w:val="223"/>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780" w:type="dxa"/>
            <w:vAlign w:val="bottom"/>
            <w:shd w:val="clear" w:color="auto" w:fill="CFF0FC"/>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58</w:t>
            </w:r>
          </w:p>
        </w:tc>
        <w:tc>
          <w:tcPr>
            <w:tcW w:w="920" w:type="dxa"/>
            <w:vAlign w:val="bottom"/>
            <w:gridSpan w:val="2"/>
            <w:shd w:val="clear" w:color="auto" w:fill="CFF0FC"/>
          </w:tcPr>
          <w:p>
            <w:pPr>
              <w:jc w:val="right"/>
              <w:ind w:right="57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59</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57</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Payments</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in liability (warranty issued during period)</w:t>
            </w: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16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Net adjustments to liability</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r>
      <w:tr>
        <w:trPr>
          <w:trHeight w:val="263"/>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78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59</w:t>
            </w:r>
          </w:p>
        </w:tc>
        <w:tc>
          <w:tcPr>
            <w:tcW w:w="14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59</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-24765</wp:posOffset>
            </wp:positionV>
            <wp:extent cx="939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-7620</wp:posOffset>
            </wp:positionV>
            <wp:extent cx="93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-24765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-7620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-24765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-7620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DEFERRED REVENUE</w:t>
      </w:r>
    </w:p>
    <w:p>
      <w:pPr>
        <w:spacing w:after="0" w:line="103" w:lineRule="exact"/>
        <w:rPr>
          <w:sz w:val="20"/>
          <w:szCs w:val="20"/>
          <w:color w:val="auto"/>
        </w:rPr>
      </w:pPr>
    </w:p>
    <w:p>
      <w:pPr>
        <w:ind w:right="360" w:firstLine="494"/>
        <w:spacing w:after="0" w:line="271" w:lineRule="auto"/>
        <w:rPr>
          <w:sz w:val="20"/>
          <w:szCs w:val="20"/>
          <w:color w:val="auto"/>
        </w:rPr>
      </w:pPr>
      <w:r>
        <w:rPr>
          <w:rFonts w:ascii="Arial" w:cs="Arial" w:eastAsia="Arial" w:hAnsi="Arial"/>
          <w:sz w:val="18"/>
          <w:szCs w:val="18"/>
          <w:color w:val="auto"/>
        </w:rPr>
        <w:t>As of June 30, 2024, current and non-current deferred revenue were $44 million and $92 million, respectively. As of June 30, 2023, current and non-current deferred revenue were $46 million and $93 million, respectively.</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revenue activity consisted of the following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4"/>
                <w:szCs w:val="14"/>
                <w:color w:val="auto"/>
              </w:rPr>
            </w:pPr>
          </w:p>
        </w:tc>
      </w:tr>
      <w:tr>
        <w:trPr>
          <w:trHeight w:val="189"/>
        </w:trPr>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1020" w:type="dxa"/>
            <w:vAlign w:val="bottom"/>
          </w:tcPr>
          <w:p>
            <w:pPr>
              <w:spacing w:after="0"/>
              <w:rPr>
                <w:sz w:val="16"/>
                <w:szCs w:val="16"/>
                <w:color w:val="auto"/>
              </w:rPr>
            </w:pPr>
          </w:p>
        </w:tc>
      </w:tr>
      <w:tr>
        <w:trPr>
          <w:trHeight w:val="185"/>
        </w:trPr>
        <w:tc>
          <w:tcPr>
            <w:tcW w:w="4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r>
      <w:tr>
        <w:trPr>
          <w:trHeight w:val="223"/>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auto"/>
              </w:rPr>
              <w:t>134</w:t>
            </w:r>
          </w:p>
        </w:tc>
        <w:tc>
          <w:tcPr>
            <w:tcW w:w="76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139</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auto"/>
              </w:rPr>
              <w:t>130</w:t>
            </w: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131</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Increases</w:t>
            </w:r>
          </w:p>
        </w:tc>
        <w:tc>
          <w:tcPr>
            <w:tcW w:w="34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b w:val="1"/>
                <w:bCs w:val="1"/>
                <w:color w:val="auto"/>
              </w:rPr>
              <w:t>26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29</w:t>
            </w:r>
          </w:p>
        </w:tc>
      </w:tr>
      <w:tr>
        <w:trPr>
          <w:trHeight w:val="229"/>
        </w:trPr>
        <w:tc>
          <w:tcPr>
            <w:tcW w:w="4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earned</w:t>
            </w: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(11 )</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(20 )</w:t>
            </w: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8"/>
              <w:spacing w:after="0"/>
              <w:rPr>
                <w:sz w:val="20"/>
                <w:szCs w:val="20"/>
                <w:color w:val="auto"/>
              </w:rPr>
            </w:pPr>
            <w:r>
              <w:rPr>
                <w:rFonts w:ascii="Arial" w:cs="Arial" w:eastAsia="Arial" w:hAnsi="Arial"/>
                <w:sz w:val="18"/>
                <w:szCs w:val="18"/>
                <w:b w:val="1"/>
                <w:bCs w:val="1"/>
                <w:color w:val="auto"/>
              </w:rPr>
              <w:t>136</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139</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8"/>
              <w:spacing w:after="0"/>
              <w:rPr>
                <w:sz w:val="20"/>
                <w:szCs w:val="20"/>
                <w:color w:val="auto"/>
              </w:rPr>
            </w:pPr>
            <w:r>
              <w:rPr>
                <w:rFonts w:ascii="Arial" w:cs="Arial" w:eastAsia="Arial" w:hAnsi="Arial"/>
                <w:sz w:val="18"/>
                <w:szCs w:val="18"/>
                <w:b w:val="1"/>
                <w:bCs w:val="1"/>
                <w:color w:val="auto"/>
              </w:rPr>
              <w:t>136</w:t>
            </w: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139</w:t>
            </w:r>
          </w:p>
        </w:tc>
      </w:tr>
      <w:tr>
        <w:trPr>
          <w:trHeight w:val="20"/>
        </w:trPr>
        <w:tc>
          <w:tcPr>
            <w:tcW w:w="4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-179070</wp:posOffset>
            </wp:positionV>
            <wp:extent cx="1111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-179070</wp:posOffset>
            </wp:positionV>
            <wp:extent cx="1028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-179070</wp:posOffset>
            </wp:positionV>
            <wp:extent cx="1028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3" w:lineRule="exact"/>
        <w:rPr>
          <w:sz w:val="20"/>
          <w:szCs w:val="20"/>
          <w:color w:val="auto"/>
        </w:rPr>
      </w:pPr>
    </w:p>
    <w:p>
      <w:pPr>
        <w:jc w:val="both"/>
        <w:ind w:right="300" w:firstLine="494"/>
        <w:spacing w:after="0" w:line="252" w:lineRule="auto"/>
        <w:rPr>
          <w:sz w:val="20"/>
          <w:szCs w:val="20"/>
          <w:color w:val="auto"/>
        </w:rPr>
      </w:pPr>
      <w:r>
        <w:rPr>
          <w:rFonts w:ascii="Arial" w:cs="Arial" w:eastAsia="Arial" w:hAnsi="Arial"/>
          <w:sz w:val="18"/>
          <w:szCs w:val="18"/>
          <w:color w:val="auto"/>
        </w:rPr>
        <w:t>Deferred revenue recorded in current and non-current liabilities related to ETC as of June 30, 2024 was $30 million and $91 million, respectively. Deferred revenue recorded in current and non-current liabilities related to ETC as of June 30, 2023 was $30 million and $84 million, respectively.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LEASES</w:t>
      </w:r>
    </w:p>
    <w:p>
      <w:pPr>
        <w:spacing w:after="0" w:line="103"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Contracts are assessed by the Company to determine if the contract conveys the right to control an identified asset in exchange for consideration during a period of time. The Company classifies all identified leases as either operating or finance leases. As of both June 30, 2024 and December 31, 2023,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75" w:lineRule="exact"/>
        <w:rPr>
          <w:sz w:val="20"/>
          <w:szCs w:val="20"/>
          <w:color w:val="auto"/>
        </w:rPr>
      </w:pPr>
    </w:p>
    <w:p>
      <w:pPr>
        <w:ind w:right="320" w:firstLine="494"/>
        <w:spacing w:after="0" w:line="252" w:lineRule="auto"/>
        <w:rPr>
          <w:sz w:val="20"/>
          <w:szCs w:val="20"/>
          <w:color w:val="auto"/>
        </w:rPr>
      </w:pPr>
      <w:r>
        <w:rPr>
          <w:rFonts w:ascii="Arial" w:cs="Arial" w:eastAsia="Arial" w:hAnsi="Arial"/>
          <w:sz w:val="18"/>
          <w:szCs w:val="18"/>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spacing w:after="0" w:line="63" w:lineRule="exact"/>
        <w:rPr>
          <w:sz w:val="20"/>
          <w:szCs w:val="20"/>
          <w:color w:val="auto"/>
        </w:rPr>
      </w:pPr>
    </w:p>
    <w:p>
      <w:pPr>
        <w:ind w:right="160" w:firstLine="494"/>
        <w:spacing w:after="0" w:line="241"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Term SOFR on the Term Loan. The Company believes this rate effectively represents a borrowing rate the Company could obtain on a debt instrument possessing similar terms as the lease. Lease liabilities are classified between current and non-current liabilities based on the terms of the underlying leases. The weighted average discount rate on operating leases as of June 30, 2024 and December 31, 2023 was 4.79% and 4.75%, respectively.</w:t>
      </w:r>
    </w:p>
    <w:p>
      <w:pPr>
        <w:spacing w:after="0" w:line="74"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As of June 30, 2024, the Company recorded current and non-current operating lease liabilities of $5 million and $15 million, respectively. As of December 31, 2023, the Company recorded current and non-current operating lease liabilities of $4 million and $14 million, respectively. The following table reconciles future undiscounted cash flows for operating leases to total operating lease liabilities as of June 30, 2024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jc w:val="right"/>
              <w:ind w:right="673"/>
              <w:spacing w:after="0"/>
              <w:rPr>
                <w:sz w:val="20"/>
                <w:szCs w:val="20"/>
                <w:color w:val="auto"/>
              </w:rPr>
            </w:pPr>
            <w:r>
              <w:rPr>
                <w:rFonts w:ascii="Arial" w:cs="Arial" w:eastAsia="Arial" w:hAnsi="Arial"/>
                <w:sz w:val="14"/>
                <w:szCs w:val="14"/>
                <w:b w:val="1"/>
                <w:bCs w:val="1"/>
                <w:color w:val="auto"/>
              </w:rPr>
              <w:t>June 30,</w:t>
            </w:r>
          </w:p>
        </w:tc>
      </w:tr>
      <w:tr>
        <w:trPr>
          <w:trHeight w:val="185"/>
        </w:trPr>
        <w:tc>
          <w:tcPr>
            <w:tcW w:w="9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2024</w:t>
            </w:r>
          </w:p>
        </w:tc>
      </w:tr>
      <w:tr>
        <w:trPr>
          <w:trHeight w:val="22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 the remainder of 2024</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9"/>
                <w:szCs w:val="19"/>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b w:val="1"/>
                <w:bCs w:val="1"/>
                <w:color w:val="auto"/>
              </w:rPr>
              <w:t>5</w:t>
            </w: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2027</w:t>
            </w:r>
          </w:p>
        </w:tc>
        <w:tc>
          <w:tcPr>
            <w:tcW w:w="380" w:type="dxa"/>
            <w:vAlign w:val="bottom"/>
          </w:tcPr>
          <w:p>
            <w:pPr>
              <w:spacing w:after="0"/>
              <w:rPr>
                <w:sz w:val="19"/>
                <w:szCs w:val="19"/>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b w:val="1"/>
                <w:bCs w:val="1"/>
                <w:color w:val="auto"/>
              </w:rPr>
              <w:t>3</w:t>
            </w: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w:t>
            </w:r>
          </w:p>
        </w:tc>
        <w:tc>
          <w:tcPr>
            <w:tcW w:w="38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w:t>
            </w:r>
          </w:p>
        </w:tc>
      </w:tr>
      <w:tr>
        <w:trPr>
          <w:trHeight w:val="223"/>
        </w:trPr>
        <w:tc>
          <w:tcPr>
            <w:tcW w:w="9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22</w:t>
            </w:r>
          </w:p>
        </w:tc>
      </w:tr>
      <w:tr>
        <w:trPr>
          <w:trHeight w:val="229"/>
        </w:trPr>
        <w:tc>
          <w:tcPr>
            <w:tcW w:w="9240" w:type="dxa"/>
            <w:vAlign w:val="bottom"/>
          </w:tcPr>
          <w:p>
            <w:pPr>
              <w:ind w:left="520"/>
              <w:spacing w:after="0"/>
              <w:rPr>
                <w:sz w:val="20"/>
                <w:szCs w:val="20"/>
                <w:color w:val="auto"/>
              </w:rPr>
            </w:pPr>
            <w:r>
              <w:rPr>
                <w:rFonts w:ascii="Arial" w:cs="Arial" w:eastAsia="Arial" w:hAnsi="Arial"/>
                <w:sz w:val="18"/>
                <w:szCs w:val="18"/>
                <w:color w:val="auto"/>
              </w:rPr>
              <w:t>Less: Interest</w:t>
            </w:r>
          </w:p>
        </w:tc>
        <w:tc>
          <w:tcPr>
            <w:tcW w:w="3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w:t>
            </w:r>
          </w:p>
        </w:tc>
      </w:tr>
      <w:tr>
        <w:trPr>
          <w:trHeight w:val="263"/>
        </w:trPr>
        <w:tc>
          <w:tcPr>
            <w:tcW w:w="92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Present value of operating lease liabilities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20</w:t>
            </w:r>
          </w:p>
        </w:tc>
      </w:tr>
    </w:tbl>
    <w:p>
      <w:pPr>
        <w:spacing w:after="0" w:line="183" w:lineRule="exact"/>
        <w:rPr>
          <w:sz w:val="20"/>
          <w:szCs w:val="20"/>
          <w:color w:val="auto"/>
        </w:rPr>
      </w:pPr>
    </w:p>
    <w:p>
      <w:pPr>
        <w:ind w:right="260" w:firstLine="494"/>
        <w:spacing w:after="0" w:line="252" w:lineRule="auto"/>
        <w:rPr>
          <w:sz w:val="20"/>
          <w:szCs w:val="20"/>
          <w:color w:val="auto"/>
        </w:rPr>
      </w:pPr>
      <w:r>
        <w:rPr>
          <w:rFonts w:ascii="Arial" w:cs="Arial" w:eastAsia="Arial" w:hAnsi="Arial"/>
          <w:sz w:val="18"/>
          <w:szCs w:val="18"/>
          <w:color w:val="auto"/>
        </w:rPr>
        <w:t>ROU assets are calculated as the related lease liability adjusted for lease incentives, prepayments and the effect of escalating lease payments on period expense. The below table depicts the ROU assets held by the Company based on the underlying asset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36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r>
      <w:tr>
        <w:trPr>
          <w:trHeight w:val="223"/>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w:t>
            </w:r>
          </w:p>
        </w:tc>
        <w:tc>
          <w:tcPr>
            <w:tcW w:w="5340" w:type="dxa"/>
            <w:vAlign w:val="bottom"/>
            <w:gridSpan w:val="2"/>
            <w:shd w:val="clear" w:color="auto" w:fill="CFF0FC"/>
          </w:tcPr>
          <w:p>
            <w:pPr>
              <w:jc w:val="right"/>
              <w:ind w:right="1028"/>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16</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w:t>
            </w: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Equipment</w:t>
            </w:r>
          </w:p>
        </w:tc>
        <w:tc>
          <w:tcPr>
            <w:tcW w:w="4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2</w:t>
            </w:r>
          </w:p>
        </w:tc>
      </w:tr>
      <w:tr>
        <w:trPr>
          <w:trHeight w:val="229"/>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w:t>
            </w:r>
          </w:p>
        </w:tc>
        <w:tc>
          <w:tcPr>
            <w:tcW w:w="4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Vehicles</w:t>
            </w:r>
          </w:p>
        </w:tc>
        <w:tc>
          <w:tcPr>
            <w:tcW w:w="414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r>
      <w:tr>
        <w:trPr>
          <w:trHeight w:val="263"/>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ROU assets</w:t>
            </w:r>
          </w:p>
        </w:tc>
        <w:tc>
          <w:tcPr>
            <w:tcW w:w="5340" w:type="dxa"/>
            <w:vAlign w:val="bottom"/>
            <w:gridSpan w:val="2"/>
            <w:shd w:val="clear" w:color="auto" w:fill="CFF0FC"/>
          </w:tcPr>
          <w:p>
            <w:pPr>
              <w:jc w:val="right"/>
              <w:ind w:right="1028"/>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20</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w:t>
            </w:r>
          </w:p>
        </w:tc>
      </w:tr>
      <w:tr>
        <w:trPr>
          <w:trHeight w:val="578"/>
        </w:trPr>
        <w:tc>
          <w:tcPr>
            <w:tcW w:w="3600" w:type="dxa"/>
            <w:vAlign w:val="bottom"/>
            <w:tcBorders>
              <w:top w:val="single" w:sz="8" w:color="CFF0FC"/>
            </w:tcBorders>
          </w:tcPr>
          <w:p>
            <w:pPr>
              <w:spacing w:after="0"/>
              <w:rPr>
                <w:sz w:val="24"/>
                <w:szCs w:val="24"/>
                <w:color w:val="auto"/>
              </w:rPr>
            </w:pPr>
          </w:p>
        </w:tc>
        <w:tc>
          <w:tcPr>
            <w:tcW w:w="4140" w:type="dxa"/>
            <w:vAlign w:val="bottom"/>
            <w:tcBorders>
              <w:top w:val="single" w:sz="8" w:color="CFF0FC"/>
            </w:tcBorders>
          </w:tcPr>
          <w:p>
            <w:pPr>
              <w:jc w:val="right"/>
              <w:ind w:right="1930"/>
              <w:spacing w:after="0"/>
              <w:rPr>
                <w:sz w:val="20"/>
                <w:szCs w:val="20"/>
                <w:color w:val="auto"/>
              </w:rPr>
            </w:pPr>
            <w:r>
              <w:rPr>
                <w:rFonts w:ascii="Arial" w:cs="Arial" w:eastAsia="Arial" w:hAnsi="Arial"/>
                <w:sz w:val="18"/>
                <w:szCs w:val="18"/>
                <w:color w:val="auto"/>
              </w:rPr>
              <w:t>18</w:t>
            </w:r>
          </w:p>
        </w:tc>
        <w:tc>
          <w:tcPr>
            <w:tcW w:w="1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745"/>
        </w:trPr>
        <w:tc>
          <w:tcPr>
            <w:tcW w:w="36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-889635</wp:posOffset>
            </wp:positionV>
            <wp:extent cx="1111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-872490</wp:posOffset>
            </wp:positionV>
            <wp:extent cx="1111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 average remaining lease term as of June 30, 2024 and June 30, 2023 was 5.6 years and 5.8 years, respectively.</w:t>
      </w:r>
    </w:p>
    <w:p>
      <w:pPr>
        <w:spacing w:after="0" w:line="103"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Operating lease expense was $1 million and $3 million for the three and six months ended June 30, 2024, respectively, and $2 million and $3 million for the three and six months ended June 30, 2023, respectively. Operating lease expense was recorded within Selling, general and administrative and Engineering — research and development on the Company's Condensed Consolidated Statements of Comprehensive Income. There was no material short-term operating lease expense for either of the three or six months ended June 30, 2024 or 2023.</w:t>
      </w:r>
    </w:p>
    <w:p>
      <w:pPr>
        <w:spacing w:after="0" w:line="71"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During the six months ended June 30, 2024 and 2023, the Company recorded $4 million and $2 million, respectively, of new ROU assets obtained in exchange for lease obligations.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OTHER CURRENT LIABILITIES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1160" w:type="dxa"/>
            <w:vAlign w:val="bottom"/>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3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2023</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related costs</w:t>
            </w:r>
          </w:p>
        </w:tc>
        <w:tc>
          <w:tcPr>
            <w:tcW w:w="1160" w:type="dxa"/>
            <w:vAlign w:val="bottom"/>
            <w:shd w:val="clear" w:color="auto" w:fill="CFF0FC"/>
          </w:tcPr>
          <w:p>
            <w:pPr>
              <w:jc w:val="right"/>
              <w:ind w:right="979"/>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59</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89</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Sales incentives</w:t>
            </w:r>
          </w:p>
        </w:tc>
        <w:tc>
          <w:tcPr>
            <w:tcW w:w="116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37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41</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interest payable</w:t>
            </w:r>
          </w:p>
        </w:tc>
        <w:tc>
          <w:tcPr>
            <w:tcW w:w="1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Vendor buyback obligation</w:t>
            </w:r>
          </w:p>
        </w:tc>
        <w:tc>
          <w:tcPr>
            <w:tcW w:w="116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18</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 payable</w:t>
            </w:r>
          </w:p>
        </w:tc>
        <w:tc>
          <w:tcPr>
            <w:tcW w:w="1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OPEB liability</w:t>
            </w:r>
          </w:p>
        </w:tc>
        <w:tc>
          <w:tcPr>
            <w:tcW w:w="116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liability</w:t>
            </w:r>
          </w:p>
        </w:tc>
        <w:tc>
          <w:tcPr>
            <w:tcW w:w="1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Other accruals</w:t>
            </w:r>
          </w:p>
        </w:tc>
        <w:tc>
          <w:tcPr>
            <w:tcW w:w="1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r>
      <w:tr>
        <w:trPr>
          <w:trHeight w:val="263"/>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FF0FC"/>
          </w:tcPr>
          <w:p>
            <w:pPr>
              <w:jc w:val="right"/>
              <w:ind w:right="979"/>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181</w:t>
            </w: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EMPLOYEE BENEFIT PLANS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Components of net periodic benefit cost (credit) consist of the following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Pension Plans</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center"/>
              <w:ind w:right="27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60"/>
        </w:trPr>
        <w:tc>
          <w:tcPr>
            <w:tcW w:w="4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60" w:type="dxa"/>
            <w:vAlign w:val="bottom"/>
            <w:gridSpan w:val="4"/>
          </w:tcPr>
          <w:p>
            <w:pPr>
              <w:jc w:val="center"/>
              <w:ind w:left="228"/>
              <w:spacing w:after="0" w:line="159" w:lineRule="exact"/>
              <w:rPr>
                <w:sz w:val="20"/>
                <w:szCs w:val="20"/>
                <w:color w:val="auto"/>
              </w:rPr>
            </w:pPr>
            <w:r>
              <w:rPr>
                <w:rFonts w:ascii="Arial" w:cs="Arial" w:eastAsia="Arial" w:hAnsi="Arial"/>
                <w:sz w:val="14"/>
                <w:szCs w:val="14"/>
                <w:b w:val="1"/>
                <w:bCs w:val="1"/>
                <w:color w:val="auto"/>
              </w:rPr>
              <w:t>For the Three Months</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center"/>
              <w:ind w:right="272"/>
              <w:spacing w:after="0" w:line="159" w:lineRule="exact"/>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Ended June 30,</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rPr>
              <w:t>Ended June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417"/>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432"/>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1760" w:type="dxa"/>
            <w:vAlign w:val="bottom"/>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50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54"/>
              <w:spacing w:after="0"/>
              <w:rPr>
                <w:sz w:val="20"/>
                <w:szCs w:val="20"/>
                <w:color w:val="auto"/>
              </w:rPr>
            </w:pPr>
            <w:r>
              <w:rPr>
                <w:rFonts w:ascii="Arial" w:cs="Arial" w:eastAsia="Arial" w:hAnsi="Arial"/>
                <w:sz w:val="18"/>
                <w:szCs w:val="18"/>
                <w:b w:val="1"/>
                <w:bCs w:val="1"/>
                <w:color w:val="auto"/>
              </w:rPr>
              <w:t>1</w:t>
            </w: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17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1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Settlement loss</w:t>
            </w:r>
          </w:p>
        </w:tc>
        <w:tc>
          <w:tcPr>
            <w:tcW w:w="17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1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jc w:val="right"/>
              <w:ind w:right="5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Recognized actuarial gain</w:t>
            </w:r>
          </w:p>
        </w:tc>
        <w:tc>
          <w:tcPr>
            <w:tcW w:w="17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Net periodic benefit cost (credit)</w:t>
            </w:r>
          </w:p>
        </w:tc>
        <w:tc>
          <w:tcPr>
            <w:tcW w:w="250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54"/>
              <w:spacing w:after="0"/>
              <w:rPr>
                <w:sz w:val="20"/>
                <w:szCs w:val="20"/>
                <w:color w:val="auto"/>
              </w:rPr>
            </w:pPr>
            <w:r>
              <w:rPr>
                <w:rFonts w:ascii="Arial" w:cs="Arial" w:eastAsia="Arial" w:hAnsi="Arial"/>
                <w:sz w:val="18"/>
                <w:szCs w:val="18"/>
                <w:b w:val="1"/>
                <w:bCs w:val="1"/>
                <w:color w:val="auto"/>
              </w:rPr>
              <w:t>5</w:t>
            </w: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760" w:type="dxa"/>
            <w:vAlign w:val="bottom"/>
            <w:vMerge w:val="restart"/>
          </w:tcPr>
          <w:p>
            <w:pPr>
              <w:jc w:val="right"/>
              <w:ind w:right="15"/>
              <w:spacing w:after="0"/>
              <w:rPr>
                <w:sz w:val="20"/>
                <w:szCs w:val="20"/>
                <w:color w:val="auto"/>
              </w:rPr>
            </w:pPr>
            <w:r>
              <w:rPr>
                <w:rFonts w:ascii="Arial" w:cs="Arial" w:eastAsia="Arial" w:hAnsi="Arial"/>
                <w:sz w:val="18"/>
                <w:szCs w:val="18"/>
                <w:color w:val="auto"/>
              </w:rPr>
              <w:t>19</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40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1"/>
        </w:trPr>
        <w:tc>
          <w:tcPr>
            <w:tcW w:w="40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-1035685</wp:posOffset>
            </wp:positionV>
            <wp:extent cx="939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-1035685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-1035685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Pension Plans</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tcBorders>
              <w:bottom w:val="single" w:sz="8" w:color="auto"/>
            </w:tcBorders>
            <w:gridSpan w:val="4"/>
          </w:tcPr>
          <w:p>
            <w:pPr>
              <w:jc w:val="center"/>
              <w:ind w:left="228"/>
              <w:spacing w:after="0"/>
              <w:rPr>
                <w:sz w:val="20"/>
                <w:szCs w:val="20"/>
                <w:color w:val="auto"/>
              </w:rPr>
            </w:pPr>
            <w:r>
              <w:rPr>
                <w:rFonts w:ascii="Arial" w:cs="Arial" w:eastAsia="Arial" w:hAnsi="Arial"/>
                <w:sz w:val="14"/>
                <w:szCs w:val="14"/>
                <w:b w:val="1"/>
                <w:bCs w:val="1"/>
                <w:color w:val="auto"/>
              </w:rPr>
              <w:t>Post-retirement Benefits</w:t>
            </w:r>
          </w:p>
        </w:tc>
        <w:tc>
          <w:tcPr>
            <w:tcW w:w="400" w:type="dxa"/>
            <w:vAlign w:val="bottom"/>
            <w:tcBorders>
              <w:bottom w:val="single" w:sz="8" w:color="auto"/>
            </w:tcBorders>
          </w:tcPr>
          <w:p>
            <w:pPr>
              <w:spacing w:after="0"/>
              <w:rPr>
                <w:sz w:val="16"/>
                <w:szCs w:val="16"/>
                <w:color w:val="auto"/>
              </w:rPr>
            </w:pPr>
          </w:p>
        </w:tc>
      </w:tr>
      <w:tr>
        <w:trPr>
          <w:trHeight w:val="160"/>
        </w:trPr>
        <w:tc>
          <w:tcPr>
            <w:tcW w:w="5820" w:type="dxa"/>
            <w:vAlign w:val="bottom"/>
          </w:tcPr>
          <w:p>
            <w:pPr>
              <w:spacing w:after="0"/>
              <w:rPr>
                <w:sz w:val="13"/>
                <w:szCs w:val="13"/>
                <w:color w:val="auto"/>
              </w:rPr>
            </w:pPr>
          </w:p>
        </w:tc>
        <w:tc>
          <w:tcPr>
            <w:tcW w:w="2260" w:type="dxa"/>
            <w:vAlign w:val="bottom"/>
            <w:gridSpan w:val="4"/>
          </w:tcPr>
          <w:p>
            <w:pPr>
              <w:jc w:val="center"/>
              <w:ind w:left="219"/>
              <w:spacing w:after="0" w:line="159" w:lineRule="exact"/>
              <w:rPr>
                <w:sz w:val="20"/>
                <w:szCs w:val="20"/>
                <w:color w:val="auto"/>
              </w:rPr>
            </w:pPr>
            <w:r>
              <w:rPr>
                <w:rFonts w:ascii="Arial" w:cs="Arial" w:eastAsia="Arial" w:hAnsi="Arial"/>
                <w:sz w:val="14"/>
                <w:szCs w:val="14"/>
                <w:b w:val="1"/>
                <w:bCs w:val="1"/>
                <w:color w:val="auto"/>
              </w:rPr>
              <w:t>For the Six Months</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4"/>
          </w:tcPr>
          <w:p>
            <w:pPr>
              <w:jc w:val="center"/>
              <w:ind w:left="228"/>
              <w:spacing w:after="0" w:line="159" w:lineRule="exact"/>
              <w:rPr>
                <w:sz w:val="20"/>
                <w:szCs w:val="20"/>
                <w:color w:val="auto"/>
              </w:rPr>
            </w:pPr>
            <w:r>
              <w:rPr>
                <w:rFonts w:ascii="Arial" w:cs="Arial" w:eastAsia="Arial" w:hAnsi="Arial"/>
                <w:sz w:val="14"/>
                <w:szCs w:val="14"/>
                <w:b w:val="1"/>
                <w:bCs w:val="1"/>
                <w:color w:val="auto"/>
              </w:rPr>
              <w:t>For the Six Months</w:t>
            </w:r>
          </w:p>
        </w:tc>
        <w:tc>
          <w:tcPr>
            <w:tcW w:w="400" w:type="dxa"/>
            <w:vAlign w:val="bottom"/>
          </w:tcPr>
          <w:p>
            <w:pPr>
              <w:spacing w:after="0"/>
              <w:rPr>
                <w:sz w:val="13"/>
                <w:szCs w:val="13"/>
                <w:color w:val="auto"/>
              </w:rPr>
            </w:pPr>
          </w:p>
        </w:tc>
      </w:tr>
      <w:tr>
        <w:trPr>
          <w:trHeight w:val="189"/>
        </w:trPr>
        <w:tc>
          <w:tcPr>
            <w:tcW w:w="5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Ended June 30,</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Ended June 30,</w:t>
            </w:r>
          </w:p>
        </w:tc>
        <w:tc>
          <w:tcPr>
            <w:tcW w:w="400" w:type="dxa"/>
            <w:vAlign w:val="bottom"/>
          </w:tcPr>
          <w:p>
            <w:pPr>
              <w:spacing w:after="0"/>
              <w:rPr>
                <w:sz w:val="16"/>
                <w:szCs w:val="16"/>
                <w:color w:val="auto"/>
              </w:rPr>
            </w:pPr>
          </w:p>
        </w:tc>
      </w:tr>
      <w:tr>
        <w:trPr>
          <w:trHeight w:val="185"/>
        </w:trPr>
        <w:tc>
          <w:tcPr>
            <w:tcW w:w="58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7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740" w:type="dxa"/>
            <w:vAlign w:val="bottom"/>
          </w:tcPr>
          <w:p>
            <w:pPr>
              <w:jc w:val="right"/>
              <w:ind w:right="53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54"/>
              <w:spacing w:after="0"/>
              <w:rPr>
                <w:sz w:val="20"/>
                <w:szCs w:val="20"/>
                <w:color w:val="auto"/>
              </w:rPr>
            </w:pPr>
            <w:r>
              <w:rPr>
                <w:rFonts w:ascii="Arial" w:cs="Arial" w:eastAsia="Arial" w:hAnsi="Arial"/>
                <w:sz w:val="18"/>
                <w:szCs w:val="18"/>
                <w:b w:val="1"/>
                <w:bCs w:val="1"/>
                <w:color w:val="auto"/>
              </w:rPr>
              <w:t>2</w:t>
            </w: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Settlement loss</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740" w:type="dxa"/>
            <w:vAlign w:val="bottom"/>
          </w:tcPr>
          <w:p>
            <w:pPr>
              <w:spacing w:after="0"/>
              <w:rPr>
                <w:sz w:val="19"/>
                <w:szCs w:val="19"/>
                <w:color w:val="auto"/>
              </w:rPr>
            </w:pPr>
          </w:p>
        </w:tc>
        <w:tc>
          <w:tcPr>
            <w:tcW w:w="540" w:type="dxa"/>
            <w:vAlign w:val="bottom"/>
          </w:tcPr>
          <w:p>
            <w:pPr>
              <w:jc w:val="right"/>
              <w:ind w:right="5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Recognized actuarial gain</w:t>
            </w:r>
          </w:p>
        </w:tc>
        <w:tc>
          <w:tcPr>
            <w:tcW w:w="7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periodic benefit cost (credit)</w:t>
            </w:r>
          </w:p>
        </w:tc>
        <w:tc>
          <w:tcPr>
            <w:tcW w:w="740" w:type="dxa"/>
            <w:vAlign w:val="bottom"/>
          </w:tcPr>
          <w:p>
            <w:pPr>
              <w:jc w:val="right"/>
              <w:ind w:right="53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54"/>
              <w:spacing w:after="0"/>
              <w:rPr>
                <w:sz w:val="20"/>
                <w:szCs w:val="20"/>
                <w:color w:val="auto"/>
              </w:rPr>
            </w:pPr>
            <w:r>
              <w:rPr>
                <w:rFonts w:ascii="Arial" w:cs="Arial" w:eastAsia="Arial" w:hAnsi="Arial"/>
                <w:sz w:val="18"/>
                <w:szCs w:val="18"/>
                <w:b w:val="1"/>
                <w:bCs w:val="1"/>
                <w:color w:val="auto"/>
              </w:rPr>
              <w:t>6</w:t>
            </w: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5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-179070</wp:posOffset>
            </wp:positionV>
            <wp:extent cx="939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-179070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-179070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3" w:lineRule="exact"/>
        <w:rPr>
          <w:sz w:val="20"/>
          <w:szCs w:val="20"/>
          <w:color w:val="auto"/>
        </w:rPr>
      </w:pPr>
    </w:p>
    <w:p>
      <w:pPr>
        <w:ind w:right="300" w:firstLine="494"/>
        <w:spacing w:after="0" w:line="271" w:lineRule="auto"/>
        <w:rPr>
          <w:sz w:val="20"/>
          <w:szCs w:val="20"/>
          <w:color w:val="auto"/>
        </w:rPr>
      </w:pPr>
      <w:r>
        <w:rPr>
          <w:rFonts w:ascii="Arial" w:cs="Arial" w:eastAsia="Arial" w:hAnsi="Arial"/>
          <w:sz w:val="18"/>
          <w:szCs w:val="18"/>
          <w:color w:val="auto"/>
        </w:rPr>
        <w:t>The components of net periodic benefit cost (credit) other than the service cost component are included in Other (expense) income, net in the Condensed Consolidated Statements of Comprehensive Income.</w:t>
      </w:r>
    </w:p>
    <w:p>
      <w:pPr>
        <w:spacing w:after="0" w:line="139"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In June 2024, the Company completed a pension risk transfer to a third-party insurance company of a portion of its salaried defined benefit pension plan's obligations for certain participants and their beneficiaries. The Company agreed to an annuity contract that was purchased using pension plan assets, resulting in the transfer of $30 million of pension plan assets and $30 million of pension plan benefit obligations to the insurance company. As a result of the transaction, the Company recognized a non-recurring, non-cash $4 million settlement charge for a pro rata portion of previously unrecognized pension plan actuarial net losses, which was recorded in Other (expense) income, net in the Condensed Consolidated Statements of Comprehensive Income for the three and six months ended June 30, 2024.</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INCOME TAXES</w:t>
      </w:r>
    </w:p>
    <w:p>
      <w:pPr>
        <w:spacing w:after="0" w:line="103" w:lineRule="exact"/>
        <w:rPr>
          <w:sz w:val="20"/>
          <w:szCs w:val="20"/>
          <w:color w:val="auto"/>
        </w:rPr>
      </w:pPr>
    </w:p>
    <w:p>
      <w:pPr>
        <w:ind w:right="120" w:firstLine="494"/>
        <w:spacing w:after="0" w:line="246" w:lineRule="auto"/>
        <w:rPr>
          <w:sz w:val="20"/>
          <w:szCs w:val="20"/>
          <w:color w:val="auto"/>
        </w:rPr>
      </w:pPr>
      <w:r>
        <w:rPr>
          <w:rFonts w:ascii="Arial" w:cs="Arial" w:eastAsia="Arial" w:hAnsi="Arial"/>
          <w:sz w:val="18"/>
          <w:szCs w:val="18"/>
          <w:color w:val="auto"/>
        </w:rPr>
        <w:t>For the three and six months ended June 30, 2024, the Company recorded total income tax expense of $47 million and $82 million, respectively. The effective tax rate for the three and six months ended June 30, 2024 was 20% and 19%, respectively. For the three and six months ended June 30, 2023, the Company recorded total income tax expense of $41 million and $83 million, respectively. The effective tax rate for each of the three and six months ended June 30, 2023 was 19%.</w:t>
      </w:r>
    </w:p>
    <w:p>
      <w:pPr>
        <w:spacing w:after="0" w:line="68" w:lineRule="exact"/>
        <w:rPr>
          <w:sz w:val="20"/>
          <w:szCs w:val="20"/>
          <w:color w:val="auto"/>
        </w:rPr>
      </w:pPr>
    </w:p>
    <w:p>
      <w:pPr>
        <w:ind w:right="220" w:firstLine="494"/>
        <w:spacing w:after="0" w:line="243"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85"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The Company continues to provide for a valuation allowance on certain of its foreign deferred tax assets. The Company has determined, based on the evaluation of both objective and subjective evidence available, that this valuation allowance is necessary and that it is more likely than not that the deferred tax assets are not fully realizable.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ACCUMULATED OTHER COMPREHENSIVE LOSS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reconcile changes in AOCL by component (net of tax,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0"/>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175"/>
              <w:spacing w:after="0" w:line="159" w:lineRule="exact"/>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rPr>
              <w:t>and OPEB</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215"/>
              <w:spacing w:after="0"/>
              <w:rPr>
                <w:sz w:val="20"/>
                <w:szCs w:val="20"/>
                <w:color w:val="auto"/>
              </w:rPr>
            </w:pPr>
            <w:r>
              <w:rPr>
                <w:rFonts w:ascii="Arial" w:cs="Arial" w:eastAsia="Arial" w:hAnsi="Arial"/>
                <w:sz w:val="14"/>
                <w:szCs w:val="14"/>
                <w:b w:val="1"/>
                <w:bCs w:val="1"/>
                <w:color w:val="auto"/>
                <w:w w:val="99"/>
              </w:rPr>
              <w:t>liability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94"/>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5"/>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rate swaps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items</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March 31, 2023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w:t>
            </w: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AOCL as of June 30, 2023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(42 )</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March 31, 2024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(45 )</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w:t>
            </w: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Income tax (expense) benefit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3</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AOCL as of June 30, 2024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11</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(47 )</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(37 )</w:t>
            </w: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71"/>
        </w:trPr>
        <w:tc>
          <w:tcPr>
            <w:tcW w:w="5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60"/>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175"/>
              <w:spacing w:after="0" w:line="159" w:lineRule="exact"/>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rPr>
              <w:t>and OPEB</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215"/>
              <w:spacing w:after="0"/>
              <w:rPr>
                <w:sz w:val="20"/>
                <w:szCs w:val="20"/>
                <w:color w:val="auto"/>
              </w:rPr>
            </w:pPr>
            <w:r>
              <w:rPr>
                <w:rFonts w:ascii="Arial" w:cs="Arial" w:eastAsia="Arial" w:hAnsi="Arial"/>
                <w:sz w:val="14"/>
                <w:szCs w:val="14"/>
                <w:b w:val="1"/>
                <w:bCs w:val="1"/>
                <w:color w:val="auto"/>
                <w:w w:val="99"/>
              </w:rPr>
              <w:t>liability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94"/>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5"/>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rate swaps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items</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December 31, 2022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w:t>
            </w: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AOCL as of June 30, 2023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(42 )</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December 31, 2023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w:t>
            </w:r>
          </w:p>
        </w:tc>
      </w:tr>
      <w:tr>
        <w:trPr>
          <w:trHeight w:val="229"/>
        </w:trPr>
        <w:tc>
          <w:tcPr>
            <w:tcW w:w="5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(7 )</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(9 )</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current period other 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(7 )</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(6 )</w:t>
            </w: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AOCL as of June 30, 2024</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11</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(47 )</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-3475990</wp:posOffset>
            </wp:positionV>
            <wp:extent cx="939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-3475990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-3475990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-2559685</wp:posOffset>
            </wp:positionV>
            <wp:extent cx="939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-2559685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-2559685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-949960</wp:posOffset>
            </wp:positionV>
            <wp:extent cx="939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-949960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-949960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-333375</wp:posOffset>
            </wp:positionV>
            <wp:extent cx="939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-333375</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-333375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-24765</wp:posOffset>
            </wp:positionV>
            <wp:extent cx="939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-7620</wp:posOffset>
            </wp:positionV>
            <wp:extent cx="939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372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Amounts reclassified from AOCL</w:t>
            </w:r>
          </w:p>
        </w:tc>
        <w:tc>
          <w:tcPr>
            <w:tcW w:w="300" w:type="dxa"/>
            <w:vAlign w:val="bottom"/>
            <w:tcBorders>
              <w:bottom w:val="single" w:sz="8" w:color="auto"/>
            </w:tcBorders>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3"/>
                <w:szCs w:val="13"/>
                <w:color w:val="auto"/>
              </w:rPr>
            </w:pPr>
          </w:p>
        </w:tc>
        <w:tc>
          <w:tcPr>
            <w:tcW w:w="3340" w:type="dxa"/>
            <w:vAlign w:val="bottom"/>
          </w:tcPr>
          <w:p>
            <w:pPr>
              <w:jc w:val="center"/>
              <w:ind w:left="96"/>
              <w:spacing w:after="0" w:line="159" w:lineRule="exact"/>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340" w:type="dxa"/>
            <w:vAlign w:val="bottom"/>
          </w:tcPr>
          <w:p>
            <w:pPr>
              <w:jc w:val="center"/>
              <w:ind w:left="116"/>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85"/>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AOCL Components</w:t>
            </w: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June 30, 2024</w:t>
            </w:r>
          </w:p>
        </w:tc>
        <w:tc>
          <w:tcPr>
            <w:tcW w:w="3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June 30, 2023</w:t>
            </w:r>
          </w:p>
        </w:tc>
        <w:tc>
          <w:tcPr>
            <w:tcW w:w="300" w:type="dxa"/>
            <w:vAlign w:val="bottom"/>
            <w:tcBorders>
              <w:bottom w:val="single" w:sz="8" w:color="auto"/>
            </w:tcBorders>
          </w:tcPr>
          <w:p>
            <w:pPr>
              <w:spacing w:after="0"/>
              <w:rPr>
                <w:sz w:val="16"/>
                <w:szCs w:val="16"/>
                <w:color w:val="auto"/>
              </w:rPr>
            </w:pPr>
          </w:p>
        </w:tc>
        <w:tc>
          <w:tcPr>
            <w:tcW w:w="3340" w:type="dxa"/>
            <w:vAlign w:val="bottom"/>
          </w:tcPr>
          <w:p>
            <w:pPr>
              <w:jc w:val="center"/>
              <w:ind w:left="116"/>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620" w:type="dxa"/>
            <w:vAlign w:val="bottom"/>
            <w:shd w:val="clear" w:color="auto" w:fill="CFF0FC"/>
          </w:tcPr>
          <w:p>
            <w:pPr>
              <w:jc w:val="right"/>
              <w:ind w:right="141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w:t>
            </w:r>
          </w:p>
        </w:tc>
        <w:tc>
          <w:tcPr>
            <w:tcW w:w="1780" w:type="dxa"/>
            <w:vAlign w:val="bottom"/>
            <w:gridSpan w:val="2"/>
            <w:shd w:val="clear" w:color="auto" w:fill="CFF0FC"/>
          </w:tcPr>
          <w:p>
            <w:pPr>
              <w:jc w:val="right"/>
              <w:ind w:right="14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3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Pension settlement loss</w:t>
            </w:r>
          </w:p>
        </w:tc>
        <w:tc>
          <w:tcPr>
            <w:tcW w:w="1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6"/>
              </w:rPr>
              <w:t>(4 )</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88"/>
              </w:rPr>
              <w:t>—</w:t>
            </w:r>
          </w:p>
        </w:tc>
        <w:tc>
          <w:tcPr>
            <w:tcW w:w="3340" w:type="dxa"/>
            <w:vAlign w:val="bottom"/>
          </w:tcPr>
          <w:p>
            <w:pPr>
              <w:ind w:left="20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Prior service credit</w:t>
            </w:r>
          </w:p>
        </w:tc>
        <w:tc>
          <w:tcPr>
            <w:tcW w:w="16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3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Recognized actuarial gain</w:t>
            </w:r>
          </w:p>
        </w:tc>
        <w:tc>
          <w:tcPr>
            <w:tcW w:w="1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w:t>
            </w:r>
          </w:p>
        </w:tc>
        <w:tc>
          <w:tcPr>
            <w:tcW w:w="3340" w:type="dxa"/>
            <w:vAlign w:val="bottom"/>
          </w:tcPr>
          <w:p>
            <w:pPr>
              <w:ind w:left="20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reclassifications, before tax</w:t>
            </w:r>
          </w:p>
        </w:tc>
        <w:tc>
          <w:tcPr>
            <w:tcW w:w="1620" w:type="dxa"/>
            <w:vAlign w:val="bottom"/>
            <w:shd w:val="clear" w:color="auto" w:fill="CFF0FC"/>
          </w:tcPr>
          <w:p>
            <w:pPr>
              <w:jc w:val="right"/>
              <w:ind w:right="141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w:t>
            </w:r>
          </w:p>
        </w:tc>
        <w:tc>
          <w:tcPr>
            <w:tcW w:w="1780" w:type="dxa"/>
            <w:vAlign w:val="bottom"/>
            <w:gridSpan w:val="2"/>
            <w:shd w:val="clear" w:color="auto" w:fill="CFF0FC"/>
          </w:tcPr>
          <w:p>
            <w:pPr>
              <w:jc w:val="right"/>
              <w:ind w:right="14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3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(1 )</w:t>
            </w:r>
          </w:p>
        </w:tc>
        <w:tc>
          <w:tcPr>
            <w:tcW w:w="18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(1 )</w:t>
            </w:r>
          </w:p>
        </w:tc>
        <w:tc>
          <w:tcPr>
            <w:tcW w:w="334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6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reclassifications, net of tax</w:t>
            </w:r>
          </w:p>
        </w:tc>
        <w:tc>
          <w:tcPr>
            <w:tcW w:w="1620" w:type="dxa"/>
            <w:vAlign w:val="bottom"/>
            <w:shd w:val="clear" w:color="auto" w:fill="CFF0FC"/>
          </w:tcPr>
          <w:p>
            <w:pPr>
              <w:jc w:val="right"/>
              <w:ind w:right="141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w:t>
            </w:r>
          </w:p>
        </w:tc>
        <w:tc>
          <w:tcPr>
            <w:tcW w:w="1780" w:type="dxa"/>
            <w:vAlign w:val="bottom"/>
            <w:gridSpan w:val="2"/>
            <w:shd w:val="clear" w:color="auto" w:fill="CFF0FC"/>
          </w:tcPr>
          <w:p>
            <w:pPr>
              <w:jc w:val="right"/>
              <w:ind w:right="14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33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578"/>
        </w:trPr>
        <w:tc>
          <w:tcPr>
            <w:tcW w:w="388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21</w:t>
            </w:r>
          </w:p>
        </w:tc>
        <w:tc>
          <w:tcPr>
            <w:tcW w:w="180" w:type="dxa"/>
            <w:vAlign w:val="bottom"/>
            <w:tcBorders>
              <w:top w:val="single" w:sz="8" w:color="CFF0FC"/>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3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31"/>
        </w:trPr>
        <w:tc>
          <w:tcPr>
            <w:tcW w:w="38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-881380</wp:posOffset>
            </wp:positionV>
            <wp:extent cx="1111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-864235</wp:posOffset>
            </wp:positionV>
            <wp:extent cx="1111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-881380</wp:posOffset>
            </wp:positionV>
            <wp:extent cx="1111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-864235</wp:posOffset>
            </wp:positionV>
            <wp:extent cx="1111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368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Amounts reclassified from AOCL</w:t>
            </w:r>
          </w:p>
        </w:tc>
        <w:tc>
          <w:tcPr>
            <w:tcW w:w="340" w:type="dxa"/>
            <w:vAlign w:val="bottom"/>
            <w:tcBorders>
              <w:bottom w:val="single" w:sz="8" w:color="auto"/>
            </w:tcBorders>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3"/>
                <w:szCs w:val="13"/>
                <w:color w:val="auto"/>
              </w:rPr>
            </w:pPr>
          </w:p>
        </w:tc>
        <w:tc>
          <w:tcPr>
            <w:tcW w:w="3340" w:type="dxa"/>
            <w:vAlign w:val="bottom"/>
          </w:tcPr>
          <w:p>
            <w:pPr>
              <w:ind w:left="540"/>
              <w:spacing w:after="0" w:line="159" w:lineRule="exact"/>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340" w:type="dxa"/>
            <w:vAlign w:val="bottom"/>
          </w:tcPr>
          <w:p>
            <w:pPr>
              <w:ind w:left="780"/>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85"/>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AOCL Components</w:t>
            </w: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June 30, 2024</w:t>
            </w:r>
          </w:p>
        </w:tc>
        <w:tc>
          <w:tcPr>
            <w:tcW w:w="3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June 30, 2023</w:t>
            </w:r>
          </w:p>
        </w:tc>
        <w:tc>
          <w:tcPr>
            <w:tcW w:w="340" w:type="dxa"/>
            <w:vAlign w:val="bottom"/>
            <w:tcBorders>
              <w:bottom w:val="single" w:sz="8" w:color="auto"/>
            </w:tcBorders>
          </w:tcPr>
          <w:p>
            <w:pPr>
              <w:spacing w:after="0"/>
              <w:rPr>
                <w:sz w:val="16"/>
                <w:szCs w:val="16"/>
                <w:color w:val="auto"/>
              </w:rPr>
            </w:pPr>
          </w:p>
        </w:tc>
        <w:tc>
          <w:tcPr>
            <w:tcW w:w="3340" w:type="dxa"/>
            <w:vAlign w:val="bottom"/>
          </w:tcPr>
          <w:p>
            <w:pPr>
              <w:ind w:left="960"/>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600" w:type="dxa"/>
            <w:vAlign w:val="bottom"/>
            <w:shd w:val="clear" w:color="auto" w:fill="CFF0FC"/>
          </w:tcPr>
          <w:p>
            <w:pPr>
              <w:jc w:val="right"/>
              <w:ind w:right="1399"/>
              <w:spacing w:after="0"/>
              <w:rPr>
                <w:sz w:val="20"/>
                <w:szCs w:val="20"/>
                <w:color w:val="auto"/>
              </w:rPr>
            </w:pPr>
            <w:r>
              <w:rPr>
                <w:rFonts w:ascii="Arial" w:cs="Arial" w:eastAsia="Arial" w:hAnsi="Arial"/>
                <w:sz w:val="18"/>
                <w:szCs w:val="18"/>
                <w:b w:val="1"/>
                <w:bCs w:val="1"/>
                <w:color w:val="auto"/>
                <w:w w:val="99"/>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w:t>
            </w:r>
          </w:p>
        </w:tc>
        <w:tc>
          <w:tcPr>
            <w:tcW w:w="1740" w:type="dxa"/>
            <w:vAlign w:val="bottom"/>
            <w:gridSpan w:val="2"/>
            <w:shd w:val="clear" w:color="auto" w:fill="CFF0FC"/>
          </w:tcPr>
          <w:p>
            <w:pPr>
              <w:jc w:val="right"/>
              <w:ind w:right="1382"/>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3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Prior service credit</w:t>
            </w:r>
          </w:p>
        </w:tc>
        <w:tc>
          <w:tcPr>
            <w:tcW w:w="160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340" w:type="dxa"/>
            <w:vAlign w:val="bottom"/>
          </w:tcPr>
          <w:p>
            <w:pPr>
              <w:ind w:left="20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settlement loss</w:t>
            </w:r>
          </w:p>
        </w:tc>
        <w:tc>
          <w:tcPr>
            <w:tcW w:w="16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Recognized actuarial gain</w:t>
            </w:r>
          </w:p>
        </w:tc>
        <w:tc>
          <w:tcPr>
            <w:tcW w:w="1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340" w:type="dxa"/>
            <w:vAlign w:val="bottom"/>
          </w:tcPr>
          <w:p>
            <w:pPr>
              <w:ind w:left="20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reclassifications, before tax</w:t>
            </w:r>
          </w:p>
        </w:tc>
        <w:tc>
          <w:tcPr>
            <w:tcW w:w="1600" w:type="dxa"/>
            <w:vAlign w:val="bottom"/>
            <w:shd w:val="clear" w:color="auto" w:fill="CFF0FC"/>
          </w:tcPr>
          <w:p>
            <w:pPr>
              <w:jc w:val="right"/>
              <w:ind w:right="1399"/>
              <w:spacing w:after="0"/>
              <w:rPr>
                <w:sz w:val="20"/>
                <w:szCs w:val="20"/>
                <w:color w:val="auto"/>
              </w:rPr>
            </w:pPr>
            <w:r>
              <w:rPr>
                <w:rFonts w:ascii="Arial" w:cs="Arial" w:eastAsia="Arial" w:hAnsi="Arial"/>
                <w:sz w:val="18"/>
                <w:szCs w:val="18"/>
                <w:b w:val="1"/>
                <w:bCs w:val="1"/>
                <w:color w:val="auto"/>
                <w:w w:val="99"/>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9</w:t>
            </w:r>
          </w:p>
        </w:tc>
        <w:tc>
          <w:tcPr>
            <w:tcW w:w="1740" w:type="dxa"/>
            <w:vAlign w:val="bottom"/>
            <w:gridSpan w:val="2"/>
            <w:shd w:val="clear" w:color="auto" w:fill="CFF0FC"/>
          </w:tcPr>
          <w:p>
            <w:pPr>
              <w:jc w:val="right"/>
              <w:ind w:right="1382"/>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11</w:t>
            </w:r>
          </w:p>
        </w:tc>
        <w:tc>
          <w:tcPr>
            <w:tcW w:w="3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(2 )</w:t>
            </w: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334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63"/>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reclassifications, net of tax</w:t>
            </w:r>
          </w:p>
        </w:tc>
        <w:tc>
          <w:tcPr>
            <w:tcW w:w="1600" w:type="dxa"/>
            <w:vAlign w:val="bottom"/>
            <w:tcBorders>
              <w:bottom w:val="single" w:sz="8" w:color="auto"/>
            </w:tcBorders>
            <w:shd w:val="clear" w:color="auto" w:fill="CFF0FC"/>
          </w:tcPr>
          <w:p>
            <w:pPr>
              <w:jc w:val="right"/>
              <w:ind w:right="1399"/>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w:t>
            </w:r>
          </w:p>
        </w:tc>
        <w:tc>
          <w:tcPr>
            <w:tcW w:w="18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ind w:right="1382"/>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33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-24765</wp:posOffset>
            </wp:positionV>
            <wp:extent cx="1111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-7620</wp:posOffset>
            </wp:positionV>
            <wp:extent cx="1111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-24765</wp:posOffset>
            </wp:positionV>
            <wp:extent cx="1111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-7620</wp:posOffset>
            </wp:positionV>
            <wp:extent cx="1111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3" w:lineRule="exact"/>
        <w:rPr>
          <w:sz w:val="20"/>
          <w:szCs w:val="20"/>
          <w:color w:val="auto"/>
        </w:rPr>
      </w:pPr>
    </w:p>
    <w:p>
      <w:pPr>
        <w:ind w:right="460" w:firstLine="494"/>
        <w:spacing w:after="0" w:line="271" w:lineRule="auto"/>
        <w:rPr>
          <w:sz w:val="20"/>
          <w:szCs w:val="20"/>
          <w:color w:val="auto"/>
        </w:rPr>
      </w:pPr>
      <w:r>
        <w:rPr>
          <w:rFonts w:ascii="Arial" w:cs="Arial" w:eastAsia="Arial" w:hAnsi="Arial"/>
          <w:sz w:val="18"/>
          <w:szCs w:val="18"/>
          <w:color w:val="auto"/>
        </w:rPr>
        <w:t>Prior service credits, actuarial gains and pension settlement losses are included in the computation of the Company’s net periodic benefit cost (credit). See "Note M. Employee Benefit Plans” for additional details.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COMMITMENTS AND CONTINGENCIES</w:t>
      </w:r>
    </w:p>
    <w:p>
      <w:pPr>
        <w:spacing w:after="0" w:line="103" w:lineRule="exact"/>
        <w:rPr>
          <w:sz w:val="20"/>
          <w:szCs w:val="20"/>
          <w:color w:val="auto"/>
        </w:rPr>
      </w:pPr>
    </w:p>
    <w:p>
      <w:pPr>
        <w:ind w:right="220" w:firstLine="494"/>
        <w:spacing w:after="0" w:line="243"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EARNINGS PER SHARE</w:t>
      </w:r>
    </w:p>
    <w:p>
      <w:pPr>
        <w:spacing w:after="0" w:line="103"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(in millions,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18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8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82"/>
        </w:trPr>
        <w:tc>
          <w:tcPr>
            <w:tcW w:w="58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FF0FC"/>
          </w:tcPr>
          <w:p>
            <w:pPr>
              <w:jc w:val="right"/>
              <w:ind w:right="557"/>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187</w:t>
            </w:r>
          </w:p>
        </w:tc>
        <w:tc>
          <w:tcPr>
            <w:tcW w:w="900" w:type="dxa"/>
            <w:vAlign w:val="bottom"/>
            <w:gridSpan w:val="2"/>
            <w:shd w:val="clear" w:color="auto" w:fill="CFF0FC"/>
          </w:tcPr>
          <w:p>
            <w:pPr>
              <w:jc w:val="right"/>
              <w:ind w:right="55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175</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356</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345</w:t>
            </w:r>
          </w:p>
        </w:tc>
      </w:tr>
      <w:tr>
        <w:trPr>
          <w:trHeight w:val="210"/>
        </w:trPr>
        <w:tc>
          <w:tcPr>
            <w:tcW w:w="58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shares of common stock outstanding</w:t>
            </w:r>
          </w:p>
        </w:tc>
        <w:tc>
          <w:tcPr>
            <w:tcW w:w="7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87</w:t>
            </w:r>
          </w:p>
        </w:tc>
        <w:tc>
          <w:tcPr>
            <w:tcW w:w="140" w:type="dxa"/>
            <w:vAlign w:val="bottom"/>
            <w:tcBorders>
              <w:top w:val="single" w:sz="8" w:color="CFF0FC"/>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88</w:t>
            </w:r>
          </w:p>
        </w:tc>
        <w:tc>
          <w:tcPr>
            <w:tcW w:w="1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w:t>
            </w:r>
          </w:p>
        </w:tc>
      </w:tr>
      <w:tr>
        <w:trPr>
          <w:trHeight w:val="22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Dilutive effect of stock-based awards</w:t>
            </w:r>
          </w:p>
        </w:tc>
        <w:tc>
          <w:tcPr>
            <w:tcW w:w="7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r>
      <w:tr>
        <w:trPr>
          <w:trHeight w:val="223"/>
        </w:trPr>
        <w:tc>
          <w:tcPr>
            <w:tcW w:w="5820" w:type="dxa"/>
            <w:vAlign w:val="bottom"/>
          </w:tcPr>
          <w:p>
            <w:pPr>
              <w:ind w:left="280"/>
              <w:spacing w:after="0"/>
              <w:rPr>
                <w:sz w:val="20"/>
                <w:szCs w:val="20"/>
                <w:color w:val="auto"/>
              </w:rPr>
            </w:pPr>
            <w:r>
              <w:rPr>
                <w:rFonts w:ascii="Arial" w:cs="Arial" w:eastAsia="Arial" w:hAnsi="Arial"/>
                <w:sz w:val="18"/>
                <w:szCs w:val="18"/>
                <w:color w:val="auto"/>
              </w:rPr>
              <w:t>Diluted weighted average shares of common stock outstanding</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88</w:t>
            </w:r>
          </w:p>
        </w:tc>
        <w:tc>
          <w:tcPr>
            <w:tcW w:w="1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88</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92</w:t>
            </w:r>
          </w:p>
        </w:tc>
      </w:tr>
      <w:tr>
        <w:trPr>
          <w:trHeight w:val="20"/>
        </w:trPr>
        <w:tc>
          <w:tcPr>
            <w:tcW w:w="5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760" w:type="dxa"/>
            <w:vAlign w:val="bottom"/>
            <w:tcBorders>
              <w:bottom w:val="single" w:sz="8" w:color="auto"/>
            </w:tcBorders>
            <w:shd w:val="clear" w:color="auto" w:fill="CFF0FC"/>
          </w:tcPr>
          <w:p>
            <w:pPr>
              <w:jc w:val="right"/>
              <w:ind w:right="55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2.15</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6"/>
              </w:rPr>
              <w:t>1.94</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4.05</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3.79</w:t>
            </w:r>
          </w:p>
        </w:tc>
      </w:tr>
      <w:tr>
        <w:trPr>
          <w:trHeight w:val="210"/>
        </w:trPr>
        <w:tc>
          <w:tcPr>
            <w:tcW w:w="5820" w:type="dxa"/>
            <w:vAlign w:val="bottom"/>
          </w:tcPr>
          <w:p>
            <w:pPr>
              <w:ind w:left="280"/>
              <w:spacing w:after="0"/>
              <w:rPr>
                <w:sz w:val="20"/>
                <w:szCs w:val="20"/>
                <w:color w:val="auto"/>
              </w:rPr>
            </w:pPr>
            <w:r>
              <w:rPr>
                <w:rFonts w:ascii="Arial" w:cs="Arial" w:eastAsia="Arial" w:hAnsi="Arial"/>
                <w:sz w:val="18"/>
                <w:szCs w:val="18"/>
                <w:color w:val="auto"/>
              </w:rPr>
              <w:t>Diluted earnings per share attributable to common stockholders</w:t>
            </w:r>
          </w:p>
        </w:tc>
        <w:tc>
          <w:tcPr>
            <w:tcW w:w="760" w:type="dxa"/>
            <w:vAlign w:val="bottom"/>
          </w:tcPr>
          <w:p>
            <w:pPr>
              <w:jc w:val="right"/>
              <w:ind w:right="55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53"/>
              <w:spacing w:after="0"/>
              <w:rPr>
                <w:sz w:val="20"/>
                <w:szCs w:val="20"/>
                <w:color w:val="auto"/>
              </w:rPr>
            </w:pPr>
            <w:r>
              <w:rPr>
                <w:rFonts w:ascii="Arial" w:cs="Arial" w:eastAsia="Arial" w:hAnsi="Arial"/>
                <w:sz w:val="18"/>
                <w:szCs w:val="18"/>
                <w:b w:val="1"/>
                <w:bCs w:val="1"/>
                <w:color w:val="auto"/>
              </w:rPr>
              <w:t>2.13</w:t>
            </w:r>
          </w:p>
        </w:tc>
        <w:tc>
          <w:tcPr>
            <w:tcW w:w="90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1.92</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4.05</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3.75</w:t>
            </w:r>
          </w:p>
        </w:tc>
      </w:tr>
      <w:tr>
        <w:trPr>
          <w:trHeight w:val="20"/>
        </w:trPr>
        <w:tc>
          <w:tcPr>
            <w:tcW w:w="5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-838200</wp:posOffset>
            </wp:positionV>
            <wp:extent cx="939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-821055</wp:posOffset>
            </wp:positionV>
            <wp:extent cx="939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-838200</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-821055</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-838200</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-821055</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-521970</wp:posOffset>
            </wp:positionV>
            <wp:extent cx="939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-521970</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-521970</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-196215</wp:posOffset>
            </wp:positionV>
            <wp:extent cx="939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-179070</wp:posOffset>
            </wp:positionV>
            <wp:extent cx="939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-196215</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-179070</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-196215</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-179070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9" w:lineRule="exact"/>
        <w:rPr>
          <w:sz w:val="20"/>
          <w:szCs w:val="20"/>
          <w:color w:val="auto"/>
        </w:rPr>
      </w:pPr>
    </w:p>
    <w:p>
      <w:pPr>
        <w:ind w:right="140" w:firstLine="494"/>
        <w:spacing w:after="0" w:line="239" w:lineRule="auto"/>
        <w:rPr>
          <w:sz w:val="20"/>
          <w:szCs w:val="20"/>
          <w:color w:val="auto"/>
        </w:rPr>
      </w:pPr>
      <w:r>
        <w:rPr>
          <w:rFonts w:ascii="Arial" w:cs="Arial" w:eastAsia="Arial" w:hAnsi="Arial"/>
          <w:sz w:val="18"/>
          <w:szCs w:val="18"/>
          <w:color w:val="auto"/>
        </w:rPr>
        <w:t>The dilutive impact of stock-based compensation is calculated using the treasury stock method. The treasury stock method assumes that the Company uses the proceeds from the exercise of awards to repurchase common stock at the average market price during the period. For each of the three and six months ended June 30, 2024, there were no outstanding stock options excluded from the diluted EPS calculation because they were anti-dilutive. For each of the three and six months ended June 30, 2023, 1 million outstanding stock options were excluded from the diluted EPS calculation because they were anti-dilutive. Basic and diluted EPS for the full-year are calculated using the weighted average shares of common stock outstanding during the year while quarterly basic and diluted EPS are calculated using the weighted average shares of common stock outstanding during the quarter; therefore, the sum of each quarter's EPS may not equal full-year EPS.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COMMON STOCK</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Board of Directors has authorized the Company to repurchase up to $4,000 million of its common stock pursuant to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repurchase program (the "Repurchase Program"). During the three and six months ended June 30, 2024, the Company repurchased</w:t>
      </w:r>
    </w:p>
    <w:p>
      <w:pPr>
        <w:spacing w:after="0"/>
        <w:rPr>
          <w:sz w:val="20"/>
          <w:szCs w:val="20"/>
          <w:color w:val="auto"/>
        </w:rPr>
      </w:pPr>
      <w:r>
        <w:rPr>
          <w:rFonts w:ascii="Arial" w:cs="Arial" w:eastAsia="Arial" w:hAnsi="Arial"/>
          <w:sz w:val="17"/>
          <w:szCs w:val="17"/>
          <w:color w:val="auto"/>
        </w:rPr>
        <w:t>$31 million and $83 million, respectively, of its common stock under the Repurchase Program, leaving $689 million of authorized repurchases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remaining under the Repurchase Program as of June 30, 2024. The Repurchase Program has no termination date, and the timing and</w:t>
      </w:r>
    </w:p>
    <w:p>
      <w:pPr>
        <w:spacing w:after="0" w:line="234" w:lineRule="auto"/>
        <w:rPr>
          <w:sz w:val="20"/>
          <w:szCs w:val="20"/>
          <w:color w:val="auto"/>
        </w:rPr>
      </w:pPr>
      <w:r>
        <w:rPr>
          <w:rFonts w:ascii="Arial" w:cs="Arial" w:eastAsia="Arial" w:hAnsi="Arial"/>
          <w:sz w:val="18"/>
          <w:szCs w:val="18"/>
          <w:color w:val="auto"/>
        </w:rPr>
        <w:t>amount of stock purchases are subject to market conditions and corporate needs. The Repurchase Program may be modified, suspended or</w:t>
      </w:r>
    </w:p>
    <w:p>
      <w:pPr>
        <w:spacing w:after="0"/>
        <w:rPr>
          <w:sz w:val="20"/>
          <w:szCs w:val="20"/>
          <w:color w:val="auto"/>
        </w:rPr>
      </w:pPr>
      <w:r>
        <w:rPr>
          <w:rFonts w:ascii="Arial" w:cs="Arial" w:eastAsia="Arial" w:hAnsi="Arial"/>
          <w:sz w:val="18"/>
          <w:szCs w:val="18"/>
          <w:color w:val="auto"/>
        </w:rPr>
        <w:t>discontinued at any time at the Company’s discretion.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80" w:lineRule="exact"/>
        <w:rPr>
          <w:sz w:val="20"/>
          <w:szCs w:val="20"/>
          <w:color w:val="auto"/>
        </w:rPr>
      </w:pPr>
    </w:p>
    <w:p>
      <w:pPr>
        <w:ind w:right="20" w:firstLine="494"/>
        <w:spacing w:after="0" w:line="251"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65" w:lineRule="exact"/>
        <w:rPr>
          <w:sz w:val="20"/>
          <w:szCs w:val="20"/>
          <w:color w:val="auto"/>
        </w:rPr>
      </w:pPr>
    </w:p>
    <w:p>
      <w:pPr>
        <w:ind w:right="200" w:firstLine="494"/>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2023 as filed with the Securities and Exchange Commission on February 14, 2024. Our actual results may differ materially from those contained in or implied by any forward-looking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7" w:lineRule="exact"/>
        <w:rPr>
          <w:sz w:val="20"/>
          <w:szCs w:val="20"/>
          <w:color w:val="auto"/>
        </w:rPr>
      </w:pPr>
    </w:p>
    <w:p>
      <w:pPr>
        <w:ind w:right="180" w:firstLine="494"/>
        <w:spacing w:after="0" w:line="246" w:lineRule="auto"/>
        <w:rPr>
          <w:sz w:val="20"/>
          <w:szCs w:val="20"/>
          <w:color w:val="auto"/>
        </w:rPr>
      </w:pPr>
      <w:r>
        <w:rPr>
          <w:rFonts w:ascii="Arial" w:cs="Arial" w:eastAsia="Arial" w:hAnsi="Arial"/>
          <w:sz w:val="18"/>
          <w:szCs w:val="18"/>
          <w:color w:val="auto"/>
        </w:rPr>
        <w:t>Allison Transmission Holdings, Inc. and its subsidiaries (“Allison,” the “Company,” “we,” “us” or “our”)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68" w:lineRule="exact"/>
        <w:rPr>
          <w:sz w:val="20"/>
          <w:szCs w:val="20"/>
          <w:color w:val="auto"/>
        </w:rPr>
      </w:pPr>
    </w:p>
    <w:p>
      <w:pPr>
        <w:ind w:right="80" w:firstLine="499"/>
        <w:spacing w:after="0" w:line="252" w:lineRule="auto"/>
        <w:rPr>
          <w:sz w:val="20"/>
          <w:szCs w:val="20"/>
          <w:color w:val="auto"/>
        </w:rPr>
      </w:pPr>
      <w:r>
        <w:rPr>
          <w:rFonts w:ascii="Arial" w:cs="Arial" w:eastAsia="Arial" w:hAnsi="Arial"/>
          <w:sz w:val="18"/>
          <w:szCs w:val="18"/>
          <w:color w:val="auto"/>
        </w:rPr>
        <w:t>We have a global presence by serving customers in North America, Asia, Europe, South America, and Africa, with approximately 75% of our revenues being generated in North America in 2023. We serve customers through an independent network of approximately 1,600 independent distributor and dealer locations worldwide.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57"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In January 2024, the International Union, United Automobile, Aerospace and Agricultural Implement Workers of America ("UAW") Local 933 ratified a new four-year collective bargaining agreement with us that expires in November 2027. We have experienced and expect to continue to experience a significant increase in labor costs under the terms of this new agreement.</w:t>
      </w:r>
    </w:p>
    <w:p>
      <w:pPr>
        <w:spacing w:after="0" w:line="63" w:lineRule="exact"/>
        <w:rPr>
          <w:sz w:val="20"/>
          <w:szCs w:val="20"/>
          <w:color w:val="auto"/>
        </w:rPr>
      </w:pPr>
    </w:p>
    <w:p>
      <w:pPr>
        <w:ind w:right="80" w:firstLine="499"/>
        <w:spacing w:after="0" w:line="271" w:lineRule="auto"/>
        <w:rPr>
          <w:sz w:val="20"/>
          <w:szCs w:val="20"/>
          <w:color w:val="auto"/>
        </w:rPr>
      </w:pPr>
      <w:r>
        <w:rPr>
          <w:rFonts w:ascii="Arial" w:cs="Arial" w:eastAsia="Arial" w:hAnsi="Arial"/>
          <w:sz w:val="18"/>
          <w:szCs w:val="18"/>
          <w:color w:val="auto"/>
        </w:rPr>
        <w:t>In 2024, we expect higher net sales driven by price increases on certain products, increased North America On-Highway and Defense end market demand and the continued execution of growth initiatives.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Net Sales by End Market (dollars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Q2 2024</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Q2 2023</w:t>
            </w: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End Market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Net Sales</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Variance</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North America On-Highway</w:t>
            </w:r>
          </w:p>
        </w:tc>
        <w:tc>
          <w:tcPr>
            <w:tcW w:w="1000" w:type="dxa"/>
            <w:vAlign w:val="bottom"/>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456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397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1000" w:type="dxa"/>
            <w:vAlign w:val="bottom"/>
          </w:tcPr>
          <w:p>
            <w:pPr>
              <w:spacing w:after="0"/>
              <w:rPr>
                <w:sz w:val="19"/>
                <w:szCs w:val="19"/>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(96 )%</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Defense</w:t>
            </w:r>
          </w:p>
        </w:tc>
        <w:tc>
          <w:tcPr>
            <w:tcW w:w="1000" w:type="dxa"/>
            <w:vAlign w:val="bottom"/>
          </w:tcPr>
          <w:p>
            <w:pPr>
              <w:spacing w:after="0"/>
              <w:rPr>
                <w:sz w:val="19"/>
                <w:szCs w:val="19"/>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1000" w:type="dxa"/>
            <w:vAlign w:val="bottom"/>
          </w:tcPr>
          <w:p>
            <w:pPr>
              <w:spacing w:after="0"/>
              <w:rPr>
                <w:sz w:val="19"/>
                <w:szCs w:val="19"/>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128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123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Outside North America Off-Highway</w:t>
            </w:r>
          </w:p>
        </w:tc>
        <w:tc>
          <w:tcPr>
            <w:tcW w:w="1000" w:type="dxa"/>
            <w:vAlign w:val="bottom"/>
          </w:tcPr>
          <w:p>
            <w:pPr>
              <w:spacing w:after="0"/>
              <w:rPr>
                <w:sz w:val="19"/>
                <w:szCs w:val="19"/>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166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181</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(8 )%</w:t>
            </w: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1000" w:type="dxa"/>
            <w:vAlign w:val="bottom"/>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816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783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6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45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3" w:lineRule="exact"/>
        <w:rPr>
          <w:sz w:val="20"/>
          <w:szCs w:val="20"/>
          <w:color w:val="auto"/>
        </w:rPr>
      </w:pPr>
    </w:p>
    <w:p>
      <w:pPr>
        <w:jc w:val="both"/>
        <w:ind w:right="480" w:firstLine="494"/>
        <w:spacing w:after="0" w:line="301" w:lineRule="auto"/>
        <w:rPr>
          <w:sz w:val="20"/>
          <w:szCs w:val="20"/>
          <w:color w:val="auto"/>
        </w:rPr>
      </w:pPr>
      <w:r>
        <w:rPr>
          <w:rFonts w:ascii="Arial" w:cs="Arial" w:eastAsia="Arial" w:hAnsi="Arial"/>
          <w:sz w:val="17"/>
          <w:szCs w:val="17"/>
          <w:color w:val="auto"/>
        </w:rPr>
        <w:t>North America On-Highway end market net sales were up 15% for the second quarter 2024 compared to the second quarter 2023, principally driven by strength in demand for Class 8 vocational vehicles and medium-duty trucks and price increases on certain products.</w:t>
      </w:r>
    </w:p>
    <w:p>
      <w:pPr>
        <w:spacing w:after="0" w:line="22" w:lineRule="exact"/>
        <w:rPr>
          <w:sz w:val="20"/>
          <w:szCs w:val="20"/>
          <w:color w:val="auto"/>
        </w:rPr>
      </w:pPr>
    </w:p>
    <w:p>
      <w:pPr>
        <w:jc w:val="both"/>
        <w:ind w:right="200" w:firstLine="494"/>
        <w:spacing w:after="0" w:line="252" w:lineRule="auto"/>
        <w:rPr>
          <w:sz w:val="20"/>
          <w:szCs w:val="20"/>
          <w:color w:val="auto"/>
        </w:rPr>
      </w:pPr>
      <w:r>
        <w:rPr>
          <w:rFonts w:ascii="Arial" w:cs="Arial" w:eastAsia="Arial" w:hAnsi="Arial"/>
          <w:sz w:val="18"/>
          <w:szCs w:val="18"/>
          <w:color w:val="auto"/>
        </w:rPr>
        <w:t>Global Off-Highway net sales were down 53% for the second quarter 2024 compared to the second quarter 2023, principally driven by lower demand from the energy sector in North America and the mining and construction sectors outside of North America, partially offset by strength in demand from the energy sector outside of North America.</w:t>
      </w:r>
    </w:p>
    <w:p>
      <w:pPr>
        <w:spacing w:after="0" w:line="63" w:lineRule="exact"/>
        <w:rPr>
          <w:sz w:val="20"/>
          <w:szCs w:val="20"/>
          <w:color w:val="auto"/>
        </w:rPr>
      </w:pPr>
    </w:p>
    <w:p>
      <w:pPr>
        <w:ind w:right="360" w:firstLine="494"/>
        <w:spacing w:after="0" w:line="271" w:lineRule="auto"/>
        <w:rPr>
          <w:sz w:val="20"/>
          <w:szCs w:val="20"/>
          <w:color w:val="auto"/>
        </w:rPr>
      </w:pPr>
      <w:r>
        <w:rPr>
          <w:rFonts w:ascii="Arial" w:cs="Arial" w:eastAsia="Arial" w:hAnsi="Arial"/>
          <w:sz w:val="18"/>
          <w:szCs w:val="18"/>
          <w:color w:val="auto"/>
        </w:rPr>
        <w:t>Defense end market net sales were up 30% for the second quarter 2024 compared to the second quarter 2023, principally driven by increased demand for Tracked vehicle applications.</w:t>
      </w:r>
    </w:p>
    <w:p>
      <w:pPr>
        <w:spacing w:after="0" w:line="45" w:lineRule="exact"/>
        <w:rPr>
          <w:sz w:val="20"/>
          <w:szCs w:val="20"/>
          <w:color w:val="auto"/>
        </w:rPr>
      </w:pPr>
    </w:p>
    <w:p>
      <w:pPr>
        <w:ind w:right="400" w:firstLine="494"/>
        <w:spacing w:after="0" w:line="271" w:lineRule="auto"/>
        <w:rPr>
          <w:sz w:val="20"/>
          <w:szCs w:val="20"/>
          <w:color w:val="auto"/>
        </w:rPr>
      </w:pPr>
      <w:r>
        <w:rPr>
          <w:rFonts w:ascii="Arial" w:cs="Arial" w:eastAsia="Arial" w:hAnsi="Arial"/>
          <w:sz w:val="18"/>
          <w:szCs w:val="18"/>
          <w:color w:val="auto"/>
        </w:rPr>
        <w:t>Outside North America On-Highway end market net sales were up 4% for the second quarter 2024 compared to the second quarter 2023, principally driven by higher demand in Asia and price increases on certain products, partially offset by lower demand in Europe.</w:t>
      </w:r>
    </w:p>
    <w:p>
      <w:pPr>
        <w:spacing w:after="0" w:line="45" w:lineRule="exact"/>
        <w:rPr>
          <w:sz w:val="20"/>
          <w:szCs w:val="20"/>
          <w:color w:val="auto"/>
        </w:rPr>
      </w:pPr>
    </w:p>
    <w:p>
      <w:pPr>
        <w:ind w:right="220" w:firstLine="494"/>
        <w:spacing w:after="0" w:line="252" w:lineRule="auto"/>
        <w:rPr>
          <w:sz w:val="20"/>
          <w:szCs w:val="20"/>
          <w:color w:val="auto"/>
        </w:rPr>
      </w:pPr>
      <w:r>
        <w:rPr>
          <w:rFonts w:ascii="Arial" w:cs="Arial" w:eastAsia="Arial" w:hAnsi="Arial"/>
          <w:sz w:val="18"/>
          <w:szCs w:val="18"/>
          <w:color w:val="auto"/>
        </w:rPr>
        <w:t>Service Parts, Support Equipment and Other end market net sales were down 8% for the second quarter 2024 compared to the second quarter 2023, principally driven by lower demand for North America service parts and aluminum die cast components, partially offset by higher demand for global support equipment.</w:t>
      </w:r>
    </w:p>
    <w:p>
      <w:pPr>
        <w:spacing w:after="0" w:line="1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01" w:lineRule="exact"/>
        <w:rPr>
          <w:sz w:val="20"/>
          <w:szCs w:val="20"/>
          <w:color w:val="auto"/>
        </w:rPr>
      </w:pPr>
    </w:p>
    <w:p>
      <w:pPr>
        <w:ind w:right="220" w:firstLine="494"/>
        <w:spacing w:after="0" w:line="241" w:lineRule="auto"/>
        <w:rPr>
          <w:sz w:val="20"/>
          <w:szCs w:val="20"/>
          <w:color w:val="auto"/>
        </w:rPr>
      </w:pPr>
      <w:r>
        <w:rPr>
          <w:rFonts w:ascii="Arial" w:cs="Arial" w:eastAsia="Arial" w:hAnsi="Arial"/>
          <w:sz w:val="18"/>
          <w:szCs w:val="18"/>
          <w:color w:val="auto"/>
        </w:rPr>
        <w:t>We generate our net sales primarily from the sale of vehicle propulsion solutions, service and component parts, support equipment, defense kits, engineering services, royalties and extended transmission coverage to a wide array of original equipment manufacturers, distributors and the U.S. government. Sales are recorded in accordance with the terms of the contract, net of provisions for customer incentives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01"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Our primary components of cost of sales are purchased parts, the overhead expense related to our manufacturing operations and direct labor associated with the manufacture and assembly of vehicle propulsion solutions and parts. For the six months ended June 30, 2024, direct material costs were approximately 65%, overhead costs were approximately 27%, and direct labor costs were approximately 8% of cost of sales. We are subject to changes in our cost of sales caused by movements in underlying commodity prices. We seek to hedge against this risk by using long-term agreements (“LTAs”), as appropriate. See Part I, Item 3, “Quantitative and Qualitative Disclosures about Market Risk—Commodity Price Risk” included below.</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1" w:lineRule="exact"/>
        <w:rPr>
          <w:sz w:val="20"/>
          <w:szCs w:val="20"/>
          <w:color w:val="auto"/>
        </w:rPr>
      </w:pPr>
    </w:p>
    <w:p>
      <w:pPr>
        <w:ind w:right="580" w:firstLine="494"/>
        <w:spacing w:after="0" w:line="252"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01"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55"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Allison Transmission, Inc.’s (“ATI”), our wholly-owned subsidiary, term loan facility in the amount of $517 million due March 2031 (“Term Loan”) and ATI’s revolving credit facility with commitments in the amount of $750 million due March 2029 ("Revolving Credit Facility" and, together with the Term Loan, the "Senior Secured Credit Facility"). Adjusted EBITDA as a percent of net sales is calculated as Adjusted EBITDA divided by net sales.</w:t>
      </w:r>
    </w:p>
    <w:p>
      <w:pPr>
        <w:spacing w:after="0" w:line="126" w:lineRule="exact"/>
        <w:rPr>
          <w:sz w:val="20"/>
          <w:szCs w:val="20"/>
          <w:color w:val="auto"/>
        </w:rPr>
      </w:pPr>
    </w:p>
    <w:p>
      <w:pPr>
        <w:ind w:right="160" w:firstLine="494"/>
        <w:spacing w:after="0"/>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75" w:lineRule="exact"/>
        <w:rPr>
          <w:sz w:val="20"/>
          <w:szCs w:val="20"/>
          <w:color w:val="auto"/>
        </w:rPr>
      </w:pPr>
    </w:p>
    <w:p>
      <w:pPr>
        <w:ind w:right="140" w:firstLine="494"/>
        <w:spacing w:after="0" w:line="255"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tbl>
      <w:tblPr>
        <w:tblLayout w:type="fixed"/>
        <w:tblInd w:w="0" w:type="dxa"/>
        <w:tblCellMar>
          <w:top w:w="0" w:type="dxa"/>
          <w:left w:w="0" w:type="dxa"/>
          <w:bottom w:w="0" w:type="dxa"/>
          <w:right w:w="0" w:type="dxa"/>
        </w:tblCellMar>
      </w:tblPr>
      <w:tr>
        <w:trPr>
          <w:trHeight w:val="150"/>
        </w:trPr>
        <w:tc>
          <w:tcPr>
            <w:tcW w:w="5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jc w:val="right"/>
              <w:ind w:right="800"/>
              <w:spacing w:after="0" w:line="149" w:lineRule="exact"/>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3"/>
                <w:szCs w:val="13"/>
                <w:color w:val="auto"/>
              </w:rPr>
            </w:pPr>
          </w:p>
        </w:tc>
        <w:tc>
          <w:tcPr>
            <w:tcW w:w="2420" w:type="dxa"/>
            <w:vAlign w:val="bottom"/>
            <w:gridSpan w:val="5"/>
          </w:tcPr>
          <w:p>
            <w:pPr>
              <w:jc w:val="right"/>
              <w:ind w:right="800"/>
              <w:spacing w:after="0" w:line="149"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(GAAP)</w:t>
            </w:r>
          </w:p>
        </w:tc>
        <w:tc>
          <w:tcPr>
            <w:tcW w:w="9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187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356</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plus: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 expense</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47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82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b w:val="1"/>
                <w:bCs w:val="1"/>
                <w:color w:val="auto"/>
              </w:rPr>
              <w:t>27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54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expense, net</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22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80"/>
              <w:spacing w:after="0"/>
              <w:rPr>
                <w:sz w:val="20"/>
                <w:szCs w:val="20"/>
                <w:color w:val="auto"/>
              </w:rPr>
            </w:pPr>
            <w:r>
              <w:rPr>
                <w:rFonts w:ascii="Arial" w:cs="Arial" w:eastAsia="Arial" w:hAnsi="Arial"/>
                <w:sz w:val="18"/>
                <w:szCs w:val="18"/>
                <w:color w:val="auto"/>
              </w:rPr>
              <w:t>Stock-based compensation expense (a)</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UAW Local 933 contract signing incentives (b)</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80"/>
              <w:spacing w:after="0"/>
              <w:rPr>
                <w:sz w:val="20"/>
                <w:szCs w:val="20"/>
                <w:color w:val="auto"/>
              </w:rPr>
            </w:pPr>
            <w:r>
              <w:rPr>
                <w:rFonts w:ascii="Arial" w:cs="Arial" w:eastAsia="Arial" w:hAnsi="Arial"/>
                <w:sz w:val="18"/>
                <w:szCs w:val="18"/>
                <w:color w:val="auto"/>
              </w:rPr>
              <w:t>Unrealized loss (gain) on marketable securities (c)</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80"/>
              <w:spacing w:after="0"/>
              <w:rPr>
                <w:sz w:val="20"/>
                <w:szCs w:val="20"/>
                <w:color w:val="auto"/>
              </w:rPr>
            </w:pPr>
            <w:r>
              <w:rPr>
                <w:rFonts w:ascii="Arial" w:cs="Arial" w:eastAsia="Arial" w:hAnsi="Arial"/>
                <w:sz w:val="18"/>
                <w:szCs w:val="18"/>
                <w:color w:val="auto"/>
              </w:rPr>
              <w:t>Pension plan settlement loss (d)</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Technology-related investments loss (gain) (e)</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80"/>
              <w:spacing w:after="0"/>
              <w:rPr>
                <w:sz w:val="20"/>
                <w:szCs w:val="20"/>
                <w:color w:val="auto"/>
              </w:rPr>
            </w:pPr>
            <w:r>
              <w:rPr>
                <w:rFonts w:ascii="Arial" w:cs="Arial" w:eastAsia="Arial" w:hAnsi="Arial"/>
                <w:sz w:val="18"/>
                <w:szCs w:val="18"/>
                <w:color w:val="auto"/>
              </w:rPr>
              <w:t>Loss associated with impairment of long-lived assets</w:t>
            </w: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6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301</w:t>
            </w: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288</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590</w:t>
            </w: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564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sales (GAAP)</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b w:val="1"/>
                <w:bCs w:val="1"/>
                <w:color w:val="auto"/>
              </w:rPr>
              <w:t>816</w:t>
            </w:r>
          </w:p>
        </w:tc>
        <w:tc>
          <w:tcPr>
            <w:tcW w:w="1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1,605</w:t>
            </w:r>
          </w:p>
        </w:tc>
        <w:tc>
          <w:tcPr>
            <w:tcW w:w="1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income as a percent of net sales (GAAP)</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22.9 %</w:t>
            </w: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22.3 %</w:t>
            </w: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22.2 %</w:t>
            </w: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Adjusted EBITDA as a percent of net sales (Non-GAAP)</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36.9 %</w:t>
            </w: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36.8 %</w:t>
            </w: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36.8 %</w:t>
            </w: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37.0 %</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9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171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344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Deductions to reconcile to Adjusted free cash flow:</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Additions of long-lived assets</w:t>
            </w:r>
          </w:p>
        </w:tc>
        <w:tc>
          <w:tcPr>
            <w:tcW w:w="6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(21 )</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(32 )</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 (Non-GAAP)</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b w:val="1"/>
                <w:bCs w:val="1"/>
                <w:color w:val="auto"/>
              </w:rPr>
              <w:t>150</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312</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auto"/>
              </w:rPr>
              <w:t>27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514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-1771650</wp:posOffset>
            </wp:positionV>
            <wp:extent cx="7132320" cy="145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-1943100</wp:posOffset>
            </wp:positionV>
            <wp:extent cx="939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-1925955</wp:posOffset>
            </wp:positionV>
            <wp:extent cx="939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-1943100</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-1925955</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-1943100</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-1925955</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-1043940</wp:posOffset>
            </wp:positionV>
            <wp:extent cx="939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-1043940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-1043940</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0" w:lineRule="exact"/>
        <w:rPr>
          <w:sz w:val="20"/>
          <w:szCs w:val="20"/>
          <w:color w:val="auto"/>
        </w:rPr>
      </w:pPr>
    </w:p>
    <w:p>
      <w:pPr>
        <w:ind w:left="640" w:right="180" w:hanging="377"/>
        <w:spacing w:after="0" w:line="24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spacing w:after="0" w:line="1" w:lineRule="exact"/>
        <w:rPr>
          <w:rFonts w:ascii="Arial" w:cs="Arial" w:eastAsia="Arial" w:hAnsi="Arial"/>
          <w:sz w:val="18"/>
          <w:szCs w:val="18"/>
          <w:color w:val="auto"/>
        </w:rPr>
      </w:pPr>
    </w:p>
    <w:p>
      <w:pPr>
        <w:jc w:val="both"/>
        <w:ind w:left="640" w:right="160" w:hanging="377"/>
        <w:spacing w:after="0" w:line="23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non-recurring incentives (recorded in Cost of sales, Selling, general and administrative, and Engineering - research and development) to eligible employees as a result of UAW Local 933 represented employees ratifying a four-year collective bargaining agreement effective through November 2027.</w:t>
      </w:r>
    </w:p>
    <w:p>
      <w:pPr>
        <w:spacing w:after="0" w:line="1" w:lineRule="exact"/>
        <w:rPr>
          <w:rFonts w:ascii="Arial" w:cs="Arial" w:eastAsia="Arial" w:hAnsi="Arial"/>
          <w:sz w:val="18"/>
          <w:szCs w:val="18"/>
          <w:color w:val="auto"/>
        </w:rPr>
      </w:pPr>
    </w:p>
    <w:p>
      <w:pPr>
        <w:ind w:left="640" w:right="80" w:hanging="377"/>
        <w:spacing w:after="0" w:line="23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loss (gain) (recorded in Other (expense) income, net) related to an investment in the common stock of Jing-Jin Electric Technologies Co. Ltd.</w:t>
      </w:r>
    </w:p>
    <w:p>
      <w:pPr>
        <w:ind w:left="640" w:hanging="377"/>
        <w:spacing w:after="0" w:line="23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non-cash settlement charge (recorded in Other (expense) income, net) for a pro rata portion of previously unrecognized pension plan actuarial net losses associated with the pension risk transfer of a portion of our salaried defined benefit pension plan obligations to a third-party insurance company.</w:t>
      </w:r>
    </w:p>
    <w:p>
      <w:pPr>
        <w:spacing w:after="0" w:line="1" w:lineRule="exact"/>
        <w:rPr>
          <w:rFonts w:ascii="Arial" w:cs="Arial" w:eastAsia="Arial" w:hAnsi="Arial"/>
          <w:sz w:val="18"/>
          <w:szCs w:val="18"/>
          <w:color w:val="auto"/>
        </w:rPr>
      </w:pPr>
    </w:p>
    <w:p>
      <w:pPr>
        <w:ind w:left="640" w:right="100" w:hanging="377"/>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loss (gain) (recorded in Other (expense) income, net) related to investments in co-development agreements to expand our position in propulsion solution technologies.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three months ended June 30, 2024 and 2023</w:t>
      </w:r>
    </w:p>
    <w:p>
      <w:pPr>
        <w:spacing w:after="0" w:line="101" w:lineRule="exact"/>
        <w:rPr>
          <w:sz w:val="20"/>
          <w:szCs w:val="20"/>
          <w:color w:val="auto"/>
        </w:rPr>
      </w:pPr>
    </w:p>
    <w:p>
      <w:pPr>
        <w:ind w:right="120" w:firstLine="494"/>
        <w:spacing w:after="0" w:line="252" w:lineRule="auto"/>
        <w:rPr>
          <w:sz w:val="20"/>
          <w:szCs w:val="20"/>
          <w:color w:val="auto"/>
        </w:rPr>
      </w:pPr>
      <w:r>
        <w:rPr>
          <w:rFonts w:ascii="Arial" w:cs="Arial" w:eastAsia="Arial" w:hAnsi="Arial"/>
          <w:sz w:val="18"/>
          <w:szCs w:val="18"/>
          <w:color w:val="auto"/>
        </w:rPr>
        <w:t>The following table sets forth certain financial information for the three months ended June 30, 2024 and 2023. The following table and discussion should be read in conjunction with the information contained in our condensed consolidated financial statements and the notes thereto included in Part I, Item 1 of this Quarterly Report on Form 10-Q.</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 June 30,</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454"/>
              <w:spacing w:after="0" w:line="15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453"/>
              <w:spacing w:after="0" w:line="15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of net sales</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of net sales</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816</w:t>
            </w:r>
          </w:p>
        </w:tc>
        <w:tc>
          <w:tcPr>
            <w:tcW w:w="240" w:type="dxa"/>
            <w:vAlign w:val="bottom"/>
          </w:tcPr>
          <w:p>
            <w:pPr>
              <w:spacing w:after="0"/>
              <w:rPr>
                <w:sz w:val="19"/>
                <w:szCs w:val="19"/>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 xml:space="preserve">100 % </w:t>
            </w: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783</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394</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Engineering — research and development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w:t>
            </w:r>
          </w:p>
        </w:tc>
        <w:tc>
          <w:tcPr>
            <w:tcW w:w="2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(22 )</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(2 )</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(28 )</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(7 )</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(1 )</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234</w:t>
            </w:r>
          </w:p>
        </w:tc>
        <w:tc>
          <w:tcPr>
            <w:tcW w:w="24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w:t>
            </w: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(47 )</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(6 )</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(41 )</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240" w:type="dxa"/>
            <w:vAlign w:val="bottom"/>
          </w:tcPr>
          <w:p>
            <w:pPr>
              <w:spacing w:after="0"/>
              <w:rPr>
                <w:sz w:val="19"/>
                <w:szCs w:val="19"/>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 xml:space="preserve">23 % </w:t>
            </w: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-1960245</wp:posOffset>
            </wp:positionV>
            <wp:extent cx="7132320" cy="145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-923925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-923925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-923925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-923925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01" w:lineRule="exact"/>
        <w:rPr>
          <w:sz w:val="20"/>
          <w:szCs w:val="20"/>
          <w:color w:val="auto"/>
        </w:rPr>
      </w:pPr>
    </w:p>
    <w:p>
      <w:pPr>
        <w:ind w:right="200" w:firstLine="494"/>
        <w:spacing w:after="0" w:line="254" w:lineRule="auto"/>
        <w:rPr>
          <w:sz w:val="20"/>
          <w:szCs w:val="20"/>
          <w:color w:val="auto"/>
        </w:rPr>
      </w:pPr>
      <w:r>
        <w:rPr>
          <w:rFonts w:ascii="Arial" w:cs="Arial" w:eastAsia="Arial" w:hAnsi="Arial"/>
          <w:sz w:val="17"/>
          <w:szCs w:val="17"/>
          <w:color w:val="auto"/>
        </w:rPr>
        <w:t>Net sales for the quarter ended June 30, 2024 were $816 million compared to $783 million for the quarter ended June 30, 2023, an increase of 4%. The increase was principally driven by a $59 million, or 15%, increase in net sales in the North America On-Highway end market principally driven by strength in demand for Class 8 vocational vehicles and medium-duty trucks and price increases on certain products, a $10 million, or 30%, increase in net sales in the Defense end market principally driven by increased demand for Tracked vehicle applications and a $ 5 million, or 4%, increase in net sales in the Outside North America On-Highway end market principally driven by higher demand in Asia and price increases on certain products, partially offset by lower demand in Europe, partially offset by a $26 million, or 53%, decrease in Global Off-Highway net sales principally driven by lower demand from the energy sector in North America and the mining and construction sectors outside of North America, partially offset by strength in demand from the energy sector outside of North America, and a $15 million, or 8%, decrease in net sales in the Service Parts, Support Equipment and Other end market principally driven by lower demand for North America service parts and aluminum die cast components, partially offset by higher demand for global support equipment.</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01"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Cost of sales for the quarter ended June 30, 2024 was $422 million compared to $402 million for the quarter ended June 30, 2023, an increase of 5%. The increase was principally driven by higher manufacturing expense.</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01" w:lineRule="exact"/>
        <w:rPr>
          <w:sz w:val="20"/>
          <w:szCs w:val="20"/>
          <w:color w:val="auto"/>
        </w:rPr>
      </w:pPr>
    </w:p>
    <w:p>
      <w:pPr>
        <w:ind w:right="160" w:firstLine="494"/>
        <w:spacing w:after="0" w:line="243" w:lineRule="auto"/>
        <w:rPr>
          <w:sz w:val="20"/>
          <w:szCs w:val="20"/>
          <w:color w:val="auto"/>
        </w:rPr>
      </w:pPr>
      <w:r>
        <w:rPr>
          <w:rFonts w:ascii="Arial" w:cs="Arial" w:eastAsia="Arial" w:hAnsi="Arial"/>
          <w:sz w:val="18"/>
          <w:szCs w:val="18"/>
          <w:color w:val="auto"/>
        </w:rPr>
        <w:t>Gross profit for the quarter ended June 30, 2024 was $394 million compared to $381 million for the quarter ended June 30, 2023, an increase of 3%. The increase was principally driven by $21 million of price increases on certain products and $ 4 million of increased net sales, partially offset by $12 million of higher manufacturing expense. Gross profit as a percent of net sales for the three months ended June 30, 2024 decreased 40 basis points compared to the same period in 2023 principally driven by increased cost of sales and unfavorable product mix, partially offset by price increases on certain products.</w:t>
      </w:r>
    </w:p>
    <w:p>
      <w:pPr>
        <w:spacing w:after="0" w:line="1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1" w:lineRule="exact"/>
        <w:rPr>
          <w:sz w:val="20"/>
          <w:szCs w:val="20"/>
          <w:color w:val="auto"/>
        </w:rPr>
      </w:pPr>
    </w:p>
    <w:p>
      <w:pPr>
        <w:ind w:right="360" w:firstLine="494"/>
        <w:spacing w:after="0" w:line="271" w:lineRule="auto"/>
        <w:rPr>
          <w:sz w:val="20"/>
          <w:szCs w:val="20"/>
          <w:color w:val="auto"/>
        </w:rPr>
      </w:pPr>
      <w:r>
        <w:rPr>
          <w:rFonts w:ascii="Arial" w:cs="Arial" w:eastAsia="Arial" w:hAnsi="Arial"/>
          <w:sz w:val="18"/>
          <w:szCs w:val="18"/>
          <w:color w:val="auto"/>
        </w:rPr>
        <w:t>Selling, general and administrative expenses for the quarter ended June 30, 2024 were $82 million compared to $92 million for the quarter ended June 30, 2023, a decrease of 11%. The decrease was principally driven by lower intangible amortization expense.</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01" w:lineRule="exact"/>
        <w:rPr>
          <w:sz w:val="20"/>
          <w:szCs w:val="20"/>
          <w:color w:val="auto"/>
        </w:rPr>
      </w:pPr>
    </w:p>
    <w:p>
      <w:pPr>
        <w:ind w:right="240" w:firstLine="494"/>
        <w:spacing w:after="0" w:line="271" w:lineRule="auto"/>
        <w:rPr>
          <w:sz w:val="20"/>
          <w:szCs w:val="20"/>
          <w:color w:val="auto"/>
        </w:rPr>
      </w:pPr>
      <w:r>
        <w:rPr>
          <w:rFonts w:ascii="Arial" w:cs="Arial" w:eastAsia="Arial" w:hAnsi="Arial"/>
          <w:sz w:val="18"/>
          <w:szCs w:val="18"/>
          <w:color w:val="auto"/>
        </w:rPr>
        <w:t>Engineering expenses for the quarter ended June 30, 2024 were $49 million compared to $47 million for the quarter ended June 30, 2023, an increase of 4%.</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01" w:lineRule="exact"/>
        <w:rPr>
          <w:sz w:val="20"/>
          <w:szCs w:val="20"/>
          <w:color w:val="auto"/>
        </w:rPr>
      </w:pPr>
    </w:p>
    <w:p>
      <w:pPr>
        <w:ind w:right="320" w:firstLine="494"/>
        <w:spacing w:after="0" w:line="252" w:lineRule="auto"/>
        <w:rPr>
          <w:sz w:val="20"/>
          <w:szCs w:val="20"/>
          <w:color w:val="auto"/>
        </w:rPr>
      </w:pPr>
      <w:r>
        <w:rPr>
          <w:rFonts w:ascii="Arial" w:cs="Arial" w:eastAsia="Arial" w:hAnsi="Arial"/>
          <w:sz w:val="18"/>
          <w:szCs w:val="18"/>
          <w:color w:val="auto"/>
        </w:rPr>
        <w:t>Interest expense, net for the quarter ended June 30, 2024 was $22 million compared to $28 million for the quarter ended June 30, 2023, a decrease of 21%. The decrease was principally driven by higher interest income on cash and cash equivalents and lower interest expense on ATI's Term Loan due primarily to the repayment of $101 million of principal in the first quarter of 2024.</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01"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Other (expense) income, net for the quarter ended June 30, 2024 was ($7) million compared to $2 million for the quarter ended June 30, 2023. The change was principally driven by a $4 million non-cash defined benefit pension plan settlement charge and a $3 million change in unrealized mark-to-market adjustments for marketable securities.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1" w:lineRule="exact"/>
        <w:rPr>
          <w:sz w:val="20"/>
          <w:szCs w:val="20"/>
          <w:color w:val="auto"/>
        </w:rPr>
      </w:pPr>
    </w:p>
    <w:p>
      <w:pPr>
        <w:ind w:right="140" w:firstLine="494"/>
        <w:spacing w:after="0" w:line="252" w:lineRule="auto"/>
        <w:rPr>
          <w:sz w:val="20"/>
          <w:szCs w:val="20"/>
          <w:color w:val="auto"/>
        </w:rPr>
      </w:pPr>
      <w:r>
        <w:rPr>
          <w:rFonts w:ascii="Arial" w:cs="Arial" w:eastAsia="Arial" w:hAnsi="Arial"/>
          <w:sz w:val="18"/>
          <w:szCs w:val="18"/>
          <w:color w:val="auto"/>
        </w:rPr>
        <w:t>Income tax expense for the three months ended June 30, 2024 was $47 million, resulting in an effective tax rate of 20%, compared to $41 million of income tax expense and an effective tax rate of 19% for the three months ended June 30, 2023. The increase in income tax expense was principally driven by higher taxable income.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six months ended June 30, 2024 and 2023</w:t>
      </w:r>
    </w:p>
    <w:p>
      <w:pPr>
        <w:spacing w:after="0" w:line="101" w:lineRule="exact"/>
        <w:rPr>
          <w:sz w:val="20"/>
          <w:szCs w:val="20"/>
          <w:color w:val="auto"/>
        </w:rPr>
      </w:pPr>
    </w:p>
    <w:p>
      <w:pPr>
        <w:jc w:val="both"/>
        <w:ind w:right="320" w:firstLine="494"/>
        <w:spacing w:after="0" w:line="252" w:lineRule="auto"/>
        <w:rPr>
          <w:sz w:val="20"/>
          <w:szCs w:val="20"/>
          <w:color w:val="auto"/>
        </w:rPr>
      </w:pPr>
      <w:r>
        <w:rPr>
          <w:rFonts w:ascii="Arial" w:cs="Arial" w:eastAsia="Arial" w:hAnsi="Arial"/>
          <w:sz w:val="18"/>
          <w:szCs w:val="18"/>
          <w:color w:val="auto"/>
        </w:rPr>
        <w:t>The following table sets forth certain financial information for the six months ended June 30, 2024 and 2023. The following table and discussion should be read in conjunction with the information contained in our condensed consolidated financial statements and the notes thereto included in Part I, Item 1 of this Quarterly Report on Form 10-Q.</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0"/>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gridSpan w:val="2"/>
          </w:tcPr>
          <w:p>
            <w:pPr>
              <w:jc w:val="right"/>
              <w:ind w:right="555"/>
              <w:spacing w:after="0" w:line="15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gridSpan w:val="2"/>
          </w:tcPr>
          <w:p>
            <w:pPr>
              <w:jc w:val="right"/>
              <w:ind w:right="553"/>
              <w:spacing w:after="0" w:line="15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r>
      <w:tr>
        <w:trPr>
          <w:trHeight w:val="185"/>
        </w:trPr>
        <w:tc>
          <w:tcPr>
            <w:tcW w:w="5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of net sales</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of net sales</w:t>
            </w:r>
          </w:p>
        </w:tc>
        <w:tc>
          <w:tcPr>
            <w:tcW w:w="60" w:type="dxa"/>
            <w:vAlign w:val="bottom"/>
          </w:tcPr>
          <w:p>
            <w:pPr>
              <w:spacing w:after="0"/>
              <w:rPr>
                <w:sz w:val="16"/>
                <w:szCs w:val="16"/>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1,605</w:t>
            </w:r>
          </w:p>
        </w:tc>
        <w:tc>
          <w:tcPr>
            <w:tcW w:w="18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 xml:space="preserve">100 % </w:t>
            </w: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1,524</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845</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53</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760</w:t>
            </w:r>
          </w:p>
        </w:tc>
        <w:tc>
          <w:tcPr>
            <w:tcW w:w="142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47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742</w:t>
            </w:r>
          </w:p>
        </w:tc>
        <w:tc>
          <w:tcPr>
            <w:tcW w:w="138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168</w:t>
            </w:r>
          </w:p>
        </w:tc>
        <w:tc>
          <w:tcPr>
            <w:tcW w:w="142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179</w:t>
            </w:r>
          </w:p>
        </w:tc>
        <w:tc>
          <w:tcPr>
            <w:tcW w:w="138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Engineering — research and development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263</w:t>
            </w:r>
          </w:p>
        </w:tc>
        <w:tc>
          <w:tcPr>
            <w:tcW w:w="1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16</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497</w:t>
            </w:r>
          </w:p>
        </w:tc>
        <w:tc>
          <w:tcPr>
            <w:tcW w:w="1420" w:type="dxa"/>
            <w:vAlign w:val="bottom"/>
            <w:gridSpan w:val="2"/>
          </w:tcPr>
          <w:p>
            <w:pPr>
              <w:jc w:val="right"/>
              <w:ind w:right="35"/>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472</w:t>
            </w:r>
          </w:p>
        </w:tc>
        <w:tc>
          <w:tcPr>
            <w:tcW w:w="1380" w:type="dxa"/>
            <w:vAlign w:val="bottom"/>
            <w:gridSpan w:val="2"/>
          </w:tcPr>
          <w:p>
            <w:pPr>
              <w:jc w:val="right"/>
              <w:ind w:right="33"/>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(47 )</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(56 )</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60" w:type="dxa"/>
            <w:vAlign w:val="bottom"/>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438</w:t>
            </w:r>
          </w:p>
        </w:tc>
        <w:tc>
          <w:tcPr>
            <w:tcW w:w="142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27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428</w:t>
            </w:r>
          </w:p>
        </w:tc>
        <w:tc>
          <w:tcPr>
            <w:tcW w:w="138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(82 )</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(5 )</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60" w:type="dxa"/>
            <w:vAlign w:val="bottom"/>
          </w:tcPr>
          <w:p>
            <w:pPr>
              <w:spacing w:after="0"/>
              <w:rPr>
                <w:sz w:val="19"/>
                <w:szCs w:val="19"/>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356</w:t>
            </w:r>
          </w:p>
        </w:tc>
        <w:tc>
          <w:tcPr>
            <w:tcW w:w="18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 xml:space="preserve">22 % </w:t>
            </w: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345</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23 %</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-1960245</wp:posOffset>
            </wp:positionV>
            <wp:extent cx="7132320" cy="145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-923925</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-923925</wp:posOffset>
            </wp:positionV>
            <wp:extent cx="857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-923925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01" w:lineRule="exact"/>
        <w:rPr>
          <w:sz w:val="20"/>
          <w:szCs w:val="20"/>
          <w:color w:val="auto"/>
        </w:rPr>
      </w:pPr>
    </w:p>
    <w:p>
      <w:pPr>
        <w:ind w:right="180" w:firstLine="494"/>
        <w:spacing w:after="0" w:line="254" w:lineRule="auto"/>
        <w:rPr>
          <w:sz w:val="20"/>
          <w:szCs w:val="20"/>
          <w:color w:val="auto"/>
        </w:rPr>
      </w:pPr>
      <w:r>
        <w:rPr>
          <w:rFonts w:ascii="Arial" w:cs="Arial" w:eastAsia="Arial" w:hAnsi="Arial"/>
          <w:sz w:val="17"/>
          <w:szCs w:val="17"/>
          <w:color w:val="auto"/>
        </w:rPr>
        <w:t>Net sales for the six months ended June 30, 2024 were $1,605 million compared to $1,524 million for the six months ended June 30, 2023, an increase of 5%. The increase was principally driven by a $103 million, or 13%, increase in net sales in the North America On-Highway end market principally driven by strength in demand for Class 8 vocational and medium-duty trucks and price increases on certain products, a $ 31 million, or 52%, increase in net sales in the Defense end market principally driven by increased demand for Tracked vehicle applications, partially offset by lower demand for wheeled vehicle applications and a $12 million, or 5%, increase in net sales in the Outside North America On-Highway end market principally driven by higher demand in Asia and price increases on certain products, partially offset by lower demand in Europe, partially offset by a $38 million, or 10%, decrease in net sales in the Service Parts, Support Equipment and Other end market principally driven by lower demand for North America service parts and aluminum die cast components, partially offset by higher demand for global support equipment and a $27 million, or 28%, decrease in Global Off-Highway net sales principally driven by lower demand from the energy sector in North America, partially offset by strength in demand from the energy sector outside of North America.</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01" w:lineRule="exact"/>
        <w:rPr>
          <w:sz w:val="20"/>
          <w:szCs w:val="20"/>
          <w:color w:val="auto"/>
        </w:rPr>
      </w:pPr>
    </w:p>
    <w:p>
      <w:pPr>
        <w:ind w:right="260" w:firstLine="494"/>
        <w:spacing w:after="0" w:line="252" w:lineRule="auto"/>
        <w:rPr>
          <w:sz w:val="20"/>
          <w:szCs w:val="20"/>
          <w:color w:val="auto"/>
        </w:rPr>
      </w:pPr>
      <w:r>
        <w:rPr>
          <w:rFonts w:ascii="Arial" w:cs="Arial" w:eastAsia="Arial" w:hAnsi="Arial"/>
          <w:sz w:val="18"/>
          <w:szCs w:val="18"/>
          <w:color w:val="auto"/>
        </w:rPr>
        <w:t>Cost of sales for the six months ended June 30, 2024 was $845 million compared to $782 million for the six months ended June 30, 2023, an increase of 8%. The increase was principally driven by higher manufacturing expense, including $13 million of non-recurring UAW contract signing incentives, and higher direct material costs.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01" w:lineRule="exact"/>
        <w:rPr>
          <w:sz w:val="20"/>
          <w:szCs w:val="20"/>
          <w:color w:val="auto"/>
        </w:rPr>
      </w:pPr>
    </w:p>
    <w:p>
      <w:pPr>
        <w:ind w:right="220" w:firstLine="494"/>
        <w:spacing w:after="0" w:line="243" w:lineRule="auto"/>
        <w:rPr>
          <w:sz w:val="20"/>
          <w:szCs w:val="20"/>
          <w:color w:val="auto"/>
        </w:rPr>
      </w:pPr>
      <w:r>
        <w:rPr>
          <w:rFonts w:ascii="Arial" w:cs="Arial" w:eastAsia="Arial" w:hAnsi="Arial"/>
          <w:sz w:val="18"/>
          <w:szCs w:val="18"/>
          <w:color w:val="auto"/>
        </w:rPr>
        <w:t>Gross profit for the six months ended June 30, 2024 was $760 million compared to $742 million for the six months ended June 30, 2023, an increase of 2%. The increase was principally driven by $35 million of price increases on certain products and $24 million related to increased net sales, partially offset by $24 million of higher manufacturing expense, $13 million of non-recurring UAW contract signing incentives and $4 million of higher direct material costs. Gross profit as a percent of net sales for the six months ended June 30, 2024 decreased 130 basis points compared to the same period in 2023 principally driven by increased cost of sales, including $13 million of</w:t>
      </w:r>
    </w:p>
    <w:p>
      <w:pPr>
        <w:spacing w:after="0" w:line="1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non-recurring UAW contract signing incentives, partially offset by price increases on certain products and increased net sales.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1" w:lineRule="exact"/>
        <w:rPr>
          <w:sz w:val="20"/>
          <w:szCs w:val="20"/>
          <w:color w:val="auto"/>
        </w:rPr>
      </w:pPr>
    </w:p>
    <w:p>
      <w:pPr>
        <w:ind w:right="200" w:firstLine="494"/>
        <w:spacing w:after="0" w:line="252" w:lineRule="auto"/>
        <w:rPr>
          <w:sz w:val="20"/>
          <w:szCs w:val="20"/>
          <w:color w:val="auto"/>
        </w:rPr>
      </w:pPr>
      <w:r>
        <w:rPr>
          <w:rFonts w:ascii="Arial" w:cs="Arial" w:eastAsia="Arial" w:hAnsi="Arial"/>
          <w:sz w:val="18"/>
          <w:szCs w:val="18"/>
          <w:color w:val="auto"/>
        </w:rPr>
        <w:t>Selling, general and administrative expenses for the six months ended June 30, 2024 were $168 million compared to $179 million for the six months ended June 30, 2023, a decrease of 6%. The decrease was principally driven by lower intangible amortization expense, partially offset by higher commercial activities spending.</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01" w:lineRule="exact"/>
        <w:rPr>
          <w:sz w:val="20"/>
          <w:szCs w:val="20"/>
          <w:color w:val="auto"/>
        </w:rPr>
      </w:pPr>
    </w:p>
    <w:p>
      <w:pPr>
        <w:ind w:right="420" w:firstLine="494"/>
        <w:spacing w:after="0" w:line="271" w:lineRule="auto"/>
        <w:rPr>
          <w:sz w:val="20"/>
          <w:szCs w:val="20"/>
          <w:color w:val="auto"/>
        </w:rPr>
      </w:pPr>
      <w:r>
        <w:rPr>
          <w:rFonts w:ascii="Arial" w:cs="Arial" w:eastAsia="Arial" w:hAnsi="Arial"/>
          <w:sz w:val="18"/>
          <w:szCs w:val="18"/>
          <w:color w:val="auto"/>
        </w:rPr>
        <w:t>Engineering expenses for the six months ended June 30, 2024 were $95 million compared to $91 million for the six months ended June 30, 2023, an increase of 4%. The increase was principally driven by increased product initiatives spending.</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01"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Interest expense, net for the six months ended June 30, 2024 was $47 million compared to $56 million for the six months ended June 30, 2023, a decrease of 16%. The decrease was principally driven by higher interest income on cash and cash equivalents.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01" w:lineRule="exact"/>
        <w:rPr>
          <w:sz w:val="20"/>
          <w:szCs w:val="20"/>
          <w:color w:val="auto"/>
        </w:rPr>
      </w:pPr>
    </w:p>
    <w:p>
      <w:pPr>
        <w:ind w:right="220" w:firstLine="494"/>
        <w:spacing w:after="0" w:line="246" w:lineRule="auto"/>
        <w:rPr>
          <w:sz w:val="20"/>
          <w:szCs w:val="20"/>
          <w:color w:val="auto"/>
        </w:rPr>
      </w:pPr>
      <w:r>
        <w:rPr>
          <w:rFonts w:ascii="Arial" w:cs="Arial" w:eastAsia="Arial" w:hAnsi="Arial"/>
          <w:sz w:val="18"/>
          <w:szCs w:val="18"/>
          <w:color w:val="auto"/>
        </w:rPr>
        <w:t>Other (expense) income, net for the six months ended June 30, 2024 was ($12) million compared to $12 million for the six months ended June 30, 2023. The change was principally driven by a $13 million change in unrealized mark-to-market adjustments for marketable securities, a $4 million non-cash defined benefit pension plan settlement charge and a $4 million change in technology-related investments gains and losses.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1"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Income tax expense for the six months ended June 30, 2024 was $82 million, resulting in an effective tax rate of 19%, compared to $83 million of income tax expense and an effective tax rate of 19% for the six months ended June 30, 2023.</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3"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$648 million and $555 million as of June 30, 2024 and December 31, 2023, respectively. Of the available cash and cash equivalents, $140 million was deposited in operating accounts and $508 million was invested in U.S. government backed securities and time deposits as of June 30, 2024, compared to $134 million deposited in operating accounts and $421 million invested in U.S. government backed securities as of December 31, 2023.</w:t>
      </w:r>
    </w:p>
    <w:p>
      <w:pPr>
        <w:spacing w:after="0" w:line="77"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As of June 30, 2024, the total of cash held by foreign subsidiaries was $74 million, the majority of which was at our subsidiaries located in China, India, Japan and the Netherlands.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initiatives or operating needs with local resources.</w:t>
      </w:r>
    </w:p>
    <w:p>
      <w:pPr>
        <w:spacing w:after="0" w:line="125" w:lineRule="exact"/>
        <w:rPr>
          <w:sz w:val="20"/>
          <w:szCs w:val="20"/>
          <w:color w:val="auto"/>
        </w:rPr>
      </w:pPr>
    </w:p>
    <w:p>
      <w:pPr>
        <w:ind w:right="20" w:firstLine="494"/>
        <w:spacing w:after="0" w:line="243"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25" w:lineRule="exact"/>
        <w:rPr>
          <w:sz w:val="20"/>
          <w:szCs w:val="20"/>
          <w:color w:val="auto"/>
        </w:rPr>
      </w:pPr>
    </w:p>
    <w:p>
      <w:pPr>
        <w:ind w:right="120" w:firstLine="494"/>
        <w:spacing w:after="0" w:line="239" w:lineRule="auto"/>
        <w:rPr>
          <w:sz w:val="20"/>
          <w:szCs w:val="20"/>
          <w:color w:val="auto"/>
        </w:rPr>
      </w:pPr>
      <w:r>
        <w:rPr>
          <w:rFonts w:ascii="Arial" w:cs="Arial" w:eastAsia="Arial" w:hAnsi="Arial"/>
          <w:sz w:val="18"/>
          <w:szCs w:val="18"/>
          <w:color w:val="auto"/>
        </w:rPr>
        <w:t>Our liquidity requirements are significant, primarily due to our debt service requirements. As of June 30, 2024, we had $517 million of indebtedness associated with ATI’s Term Loan, $400 million of indebtedness associated with ATI’s 4.75% Senior Notes due October 2027 (“4.75% Senior Notes”), $500 million of indebtedness associated with ATI’s 5.875% Senior Notes due June 2029 (“5.875% Senior Notes”) and $1,000 million of indebtedness associated with ATI’s 3.75% Senior Notes due January 2031 (“3.75% Senior Notes” and, together with the 4.75% Senior Notes and 5.875% Senior Notes, the “Senior Notes”). Short-term and long-term debt service liquidity requirements consist of $1 million of minimum required quarterly principal payments on ATI’s Term Loan through its maturity date of March 2031 and periodic interest payments on ATI’s Term Loan and the Senior Notes. There are no required quarterly principal payments on the Senior Notes. Long-term debt service liquidity requirements also consist of the payment in full of any remaining principal balance of ATI’s Term Loan and the Senior Notes upon their respective maturity dates.</w:t>
      </w:r>
    </w:p>
    <w:p>
      <w:pPr>
        <w:spacing w:after="0" w:line="127" w:lineRule="exact"/>
        <w:rPr>
          <w:sz w:val="20"/>
          <w:szCs w:val="20"/>
          <w:color w:val="auto"/>
        </w:rPr>
      </w:pPr>
    </w:p>
    <w:p>
      <w:pPr>
        <w:ind w:right="20" w:firstLine="494"/>
        <w:spacing w:after="0" w:line="252" w:lineRule="auto"/>
        <w:rPr>
          <w:sz w:val="20"/>
          <w:szCs w:val="20"/>
          <w:color w:val="auto"/>
        </w:rPr>
      </w:pPr>
      <w:r>
        <w:rPr>
          <w:rFonts w:ascii="Arial" w:cs="Arial" w:eastAsia="Arial" w:hAnsi="Arial"/>
          <w:sz w:val="18"/>
          <w:szCs w:val="18"/>
          <w:color w:val="auto"/>
        </w:rPr>
        <w:t>We made $102 million and $3 million of principal payments on the Term Loan during the six months ended June 30, 2024 and 2023, respectively. Our ability to make payments on and refinance our indebtedness and to fund planned capital expenditures and growth initiatives will depend on our ability to generate cash in the future.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right="140" w:firstLine="494"/>
        <w:spacing w:after="0" w:line="238" w:lineRule="auto"/>
        <w:rPr>
          <w:sz w:val="20"/>
          <w:szCs w:val="20"/>
          <w:color w:val="auto"/>
        </w:rPr>
      </w:pPr>
      <w:r>
        <w:rPr>
          <w:rFonts w:ascii="Arial" w:cs="Arial" w:eastAsia="Arial" w:hAnsi="Arial"/>
          <w:sz w:val="18"/>
          <w:szCs w:val="18"/>
          <w:color w:val="auto"/>
        </w:rPr>
        <w:t>The Senior Secured Credit Facility provides for a $750 million Revolving Credit Facility, net of an allowance for up to $75 million in outstanding letter of credit commitments. As of June 30, 2024, we had $745 million available under the Revolving Credit Facility, net of $5 million in letters of credit. As of June 30, 2024, we had no amounts outstanding under the Revolving Credit Facility.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June 30, 2024, our first lien net leverage ratio was (0.12x).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29"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June 30, 2024, we are in compliance with all covenants under the Senior Secured Credit Facility and indentures governing the Senior Notes.</w:t>
      </w:r>
    </w:p>
    <w:p>
      <w:pPr>
        <w:spacing w:after="0" w:line="129" w:lineRule="exact"/>
        <w:rPr>
          <w:sz w:val="20"/>
          <w:szCs w:val="20"/>
          <w:color w:val="auto"/>
        </w:rPr>
      </w:pPr>
    </w:p>
    <w:p>
      <w:pPr>
        <w:ind w:right="20" w:firstLine="494"/>
        <w:spacing w:after="0" w:line="271" w:lineRule="auto"/>
        <w:rPr>
          <w:sz w:val="20"/>
          <w:szCs w:val="20"/>
          <w:color w:val="auto"/>
        </w:rPr>
      </w:pPr>
      <w:r>
        <w:rPr>
          <w:rFonts w:ascii="Arial" w:cs="Arial" w:eastAsia="Arial" w:hAnsi="Arial"/>
          <w:sz w:val="18"/>
          <w:szCs w:val="18"/>
          <w:color w:val="auto"/>
        </w:rPr>
        <w:t>Our credit ratings and outlook are reviewed periodically by Moody’s Ratings (“Moody’s”) and Fitch Ratings, Inc. (“Fitch”). As of June 30, 2024, our credit ratings from both Moody's and Fitch are shown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June 30, 2024</w:t>
            </w:r>
          </w:p>
        </w:tc>
      </w:tr>
      <w:tr>
        <w:trPr>
          <w:trHeight w:val="182"/>
        </w:trPr>
        <w:tc>
          <w:tcPr>
            <w:tcW w:w="6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Credit Ratings</w:t>
            </w:r>
          </w:p>
        </w:tc>
        <w:tc>
          <w:tcPr>
            <w:tcW w:w="18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Moody's</w:t>
            </w:r>
          </w:p>
        </w:tc>
        <w:tc>
          <w:tcPr>
            <w:tcW w:w="6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Fitch</w:t>
            </w:r>
          </w:p>
        </w:tc>
      </w:tr>
      <w:tr>
        <w:trPr>
          <w:trHeight w:val="223"/>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Credit</w:t>
            </w:r>
          </w:p>
        </w:tc>
        <w:tc>
          <w:tcPr>
            <w:tcW w:w="1820" w:type="dxa"/>
            <w:vAlign w:val="bottom"/>
            <w:shd w:val="clear" w:color="auto" w:fill="CFF0FC"/>
          </w:tcPr>
          <w:p>
            <w:pPr>
              <w:jc w:val="center"/>
              <w:ind w:left="613"/>
              <w:spacing w:after="0"/>
              <w:rPr>
                <w:sz w:val="20"/>
                <w:szCs w:val="20"/>
                <w:color w:val="auto"/>
              </w:rPr>
            </w:pPr>
            <w:r>
              <w:rPr>
                <w:rFonts w:ascii="Arial" w:cs="Arial" w:eastAsia="Arial" w:hAnsi="Arial"/>
                <w:sz w:val="18"/>
                <w:szCs w:val="18"/>
                <w:color w:val="auto"/>
                <w:w w:val="99"/>
              </w:rPr>
              <w:t>Ba1</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820" w:type="dxa"/>
            <w:vAlign w:val="bottom"/>
          </w:tcPr>
          <w:p>
            <w:pPr>
              <w:jc w:val="center"/>
              <w:ind w:left="593"/>
              <w:spacing w:after="0"/>
              <w:rPr>
                <w:sz w:val="20"/>
                <w:szCs w:val="20"/>
                <w:color w:val="auto"/>
              </w:rPr>
            </w:pPr>
            <w:r>
              <w:rPr>
                <w:rFonts w:ascii="Arial" w:cs="Arial" w:eastAsia="Arial" w:hAnsi="Arial"/>
                <w:sz w:val="18"/>
                <w:szCs w:val="18"/>
                <w:color w:val="auto"/>
                <w:w w:val="99"/>
              </w:rPr>
              <w:t>Baa2</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9"/>
              </w:rPr>
              <w:t>BBB-</w:t>
            </w:r>
          </w:p>
        </w:tc>
      </w:tr>
      <w:tr>
        <w:trPr>
          <w:trHeight w:val="229"/>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4.75% Senior Notes</w:t>
            </w:r>
          </w:p>
        </w:tc>
        <w:tc>
          <w:tcPr>
            <w:tcW w:w="1820" w:type="dxa"/>
            <w:vAlign w:val="bottom"/>
            <w:shd w:val="clear" w:color="auto" w:fill="CFF0FC"/>
          </w:tcPr>
          <w:p>
            <w:pPr>
              <w:jc w:val="center"/>
              <w:ind w:left="613"/>
              <w:spacing w:after="0"/>
              <w:rPr>
                <w:sz w:val="20"/>
                <w:szCs w:val="20"/>
                <w:color w:val="auto"/>
              </w:rPr>
            </w:pPr>
            <w:r>
              <w:rPr>
                <w:rFonts w:ascii="Arial" w:cs="Arial" w:eastAsia="Arial" w:hAnsi="Arial"/>
                <w:sz w:val="18"/>
                <w:szCs w:val="18"/>
                <w:color w:val="auto"/>
                <w:w w:val="99"/>
              </w:rPr>
              <w:t>Ba2</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5.875% Senior Notes</w:t>
            </w:r>
          </w:p>
        </w:tc>
        <w:tc>
          <w:tcPr>
            <w:tcW w:w="1820" w:type="dxa"/>
            <w:vAlign w:val="bottom"/>
          </w:tcPr>
          <w:p>
            <w:pPr>
              <w:jc w:val="center"/>
              <w:ind w:left="613"/>
              <w:spacing w:after="0"/>
              <w:rPr>
                <w:sz w:val="20"/>
                <w:szCs w:val="20"/>
                <w:color w:val="auto"/>
              </w:rPr>
            </w:pPr>
            <w:r>
              <w:rPr>
                <w:rFonts w:ascii="Arial" w:cs="Arial" w:eastAsia="Arial" w:hAnsi="Arial"/>
                <w:sz w:val="18"/>
                <w:szCs w:val="18"/>
                <w:color w:val="auto"/>
                <w:w w:val="99"/>
              </w:rPr>
              <w:t>Ba2</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3.75% Senior Notes</w:t>
            </w:r>
          </w:p>
        </w:tc>
        <w:tc>
          <w:tcPr>
            <w:tcW w:w="1820" w:type="dxa"/>
            <w:vAlign w:val="bottom"/>
            <w:shd w:val="clear" w:color="auto" w:fill="CFF0FC"/>
          </w:tcPr>
          <w:p>
            <w:pPr>
              <w:jc w:val="center"/>
              <w:ind w:left="613"/>
              <w:spacing w:after="0"/>
              <w:rPr>
                <w:sz w:val="20"/>
                <w:szCs w:val="20"/>
                <w:color w:val="auto"/>
              </w:rPr>
            </w:pPr>
            <w:r>
              <w:rPr>
                <w:rFonts w:ascii="Arial" w:cs="Arial" w:eastAsia="Arial" w:hAnsi="Arial"/>
                <w:sz w:val="18"/>
                <w:szCs w:val="18"/>
                <w:color w:val="auto"/>
                <w:w w:val="99"/>
              </w:rPr>
              <w:t>Ba2</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bl>
    <w:p>
      <w:pPr>
        <w:spacing w:after="0" w:line="143" w:lineRule="exact"/>
        <w:rPr>
          <w:sz w:val="20"/>
          <w:szCs w:val="20"/>
          <w:color w:val="auto"/>
        </w:rPr>
      </w:pPr>
    </w:p>
    <w:p>
      <w:pPr>
        <w:ind w:right="160" w:firstLine="494"/>
        <w:spacing w:after="0" w:line="246" w:lineRule="auto"/>
        <w:rPr>
          <w:sz w:val="20"/>
          <w:szCs w:val="20"/>
          <w:color w:val="auto"/>
        </w:rPr>
      </w:pPr>
      <w:r>
        <w:rPr>
          <w:rFonts w:ascii="Arial" w:cs="Arial" w:eastAsia="Arial" w:hAnsi="Arial"/>
          <w:sz w:val="18"/>
          <w:szCs w:val="18"/>
          <w:color w:val="auto"/>
        </w:rPr>
        <w:t>Our Board of Directors has authorized us to repurchase up to $4,000 million of our common stock pursuant to a stock repurchase program (the "Repurchase Program"). During the six months ended June 30, 2024, we repurchased $83 million of our common stock under the Repurchase Program. All of the repurchase transactions during the six months ended June 30, 2024 were settled in cash during the same period. As of June 30, 2024, we had approximately $689 million available under the Repurchase Program.</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sources and uses of funds for the six months ended June 30, 2024 and 2023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14"/>
                <w:szCs w:val="14"/>
                <w:color w:val="auto"/>
              </w:rPr>
            </w:pPr>
          </w:p>
        </w:tc>
      </w:tr>
      <w:tr>
        <w:trPr>
          <w:trHeight w:val="185"/>
        </w:trPr>
        <w:tc>
          <w:tcPr>
            <w:tcW w:w="44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r>
      <w:tr>
        <w:trPr>
          <w:trHeight w:val="182"/>
        </w:trPr>
        <w:tc>
          <w:tcPr>
            <w:tcW w:w="4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326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r>
      <w:tr>
        <w:trPr>
          <w:trHeight w:val="22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426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344</w:t>
            </w:r>
          </w:p>
        </w:tc>
        <w:tc>
          <w:tcPr>
            <w:tcW w:w="7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334</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4260" w:type="dxa"/>
            <w:vAlign w:val="bottom"/>
            <w:gridSpan w:val="2"/>
          </w:tcPr>
          <w:p>
            <w:pPr>
              <w:jc w:val="right"/>
              <w:ind w:right="828"/>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(32 )</w:t>
            </w: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426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(218 )</w:t>
            </w:r>
          </w:p>
        </w:tc>
        <w:tc>
          <w:tcPr>
            <w:tcW w:w="7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(174 )</w:t>
            </w:r>
          </w:p>
        </w:tc>
      </w:tr>
      <w:tr>
        <w:trPr>
          <w:trHeight w:val="597"/>
        </w:trPr>
        <w:tc>
          <w:tcPr>
            <w:tcW w:w="4480" w:type="dxa"/>
            <w:vAlign w:val="bottom"/>
          </w:tcPr>
          <w:p>
            <w:pPr>
              <w:spacing w:after="0"/>
              <w:rPr>
                <w:sz w:val="24"/>
                <w:szCs w:val="24"/>
                <w:color w:val="auto"/>
              </w:rPr>
            </w:pPr>
          </w:p>
        </w:tc>
        <w:tc>
          <w:tcPr>
            <w:tcW w:w="3260" w:type="dxa"/>
            <w:vAlign w:val="bottom"/>
          </w:tcPr>
          <w:p>
            <w:pPr>
              <w:jc w:val="right"/>
              <w:ind w:right="1930"/>
              <w:spacing w:after="0"/>
              <w:rPr>
                <w:sz w:val="20"/>
                <w:szCs w:val="20"/>
                <w:color w:val="auto"/>
              </w:rPr>
            </w:pPr>
            <w:r>
              <w:rPr>
                <w:rFonts w:ascii="Arial" w:cs="Arial" w:eastAsia="Arial" w:hAnsi="Arial"/>
                <w:sz w:val="18"/>
                <w:szCs w:val="18"/>
                <w:color w:val="auto"/>
              </w:rPr>
              <w:t>34</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45"/>
        </w:trPr>
        <w:tc>
          <w:tcPr>
            <w:tcW w:w="44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right="20" w:firstLine="494"/>
        <w:spacing w:after="0" w:line="266" w:lineRule="auto"/>
        <w:rPr>
          <w:sz w:val="20"/>
          <w:szCs w:val="20"/>
          <w:color w:val="auto"/>
        </w:rPr>
      </w:pPr>
      <w:r>
        <w:rPr>
          <w:rFonts w:ascii="Arial" w:cs="Arial" w:eastAsia="Arial" w:hAnsi="Arial"/>
          <w:sz w:val="17"/>
          <w:szCs w:val="17"/>
          <w:color w:val="auto"/>
        </w:rPr>
        <w:t>Generally, cash provided by operating activities has been adequate to fund our operations. We have significant liquidity, including $ 648 million of cash and cash equivalents and $745 million available under the Revolving Credit Facility, net of $5 million of letters of credit, as of June 30, 2024. At this time, we believe cash provided by operating activities, cash and cash equivalents and borrowing capacity under the Revolving Credit Facility will be sufficient to meet our known and anticipated cash requirements for the next twelve months and thereafter.</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01" w:lineRule="exact"/>
        <w:rPr>
          <w:sz w:val="20"/>
          <w:szCs w:val="20"/>
          <w:color w:val="auto"/>
        </w:rPr>
      </w:pPr>
    </w:p>
    <w:p>
      <w:pPr>
        <w:ind w:right="440" w:firstLine="494"/>
        <w:spacing w:after="0" w:line="252" w:lineRule="auto"/>
        <w:rPr>
          <w:sz w:val="20"/>
          <w:szCs w:val="20"/>
          <w:color w:val="auto"/>
        </w:rPr>
      </w:pPr>
      <w:r>
        <w:rPr>
          <w:rFonts w:ascii="Arial" w:cs="Arial" w:eastAsia="Arial" w:hAnsi="Arial"/>
          <w:sz w:val="18"/>
          <w:szCs w:val="18"/>
          <w:color w:val="auto"/>
        </w:rPr>
        <w:t>Operating activities for the six months ended June 30, 2024 generated $344 million of cash compared to $334 million for the six months ended June 30, 2023. The increase was principally driven by lower cash income taxes and higher gross profit, partially offset by higher cash incentive compensation payments and non-recurring UAW contract signing incentive payments.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01" w:lineRule="exact"/>
        <w:rPr>
          <w:sz w:val="20"/>
          <w:szCs w:val="20"/>
          <w:color w:val="auto"/>
        </w:rPr>
      </w:pPr>
    </w:p>
    <w:p>
      <w:pPr>
        <w:ind w:right="100" w:firstLine="499"/>
        <w:spacing w:after="0" w:line="271" w:lineRule="auto"/>
        <w:rPr>
          <w:sz w:val="20"/>
          <w:szCs w:val="20"/>
          <w:color w:val="auto"/>
        </w:rPr>
      </w:pPr>
      <w:r>
        <w:rPr>
          <w:rFonts w:ascii="Arial" w:cs="Arial" w:eastAsia="Arial" w:hAnsi="Arial"/>
          <w:sz w:val="18"/>
          <w:szCs w:val="18"/>
          <w:color w:val="auto"/>
        </w:rPr>
        <w:t>Investing activities for the six months ended June 30, 2024 used $32 million of cash compared to $41 million for the six months ended June 30, 2023. The decrease was principally driven by an $11 million decrease in capital expenditures.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01" w:lineRule="exact"/>
        <w:rPr>
          <w:sz w:val="20"/>
          <w:szCs w:val="20"/>
          <w:color w:val="auto"/>
        </w:rPr>
      </w:pPr>
    </w:p>
    <w:p>
      <w:pPr>
        <w:ind w:right="100" w:firstLine="494"/>
        <w:spacing w:after="0" w:line="266" w:lineRule="auto"/>
        <w:rPr>
          <w:sz w:val="20"/>
          <w:szCs w:val="20"/>
          <w:color w:val="auto"/>
        </w:rPr>
      </w:pPr>
      <w:r>
        <w:rPr>
          <w:rFonts w:ascii="Arial" w:cs="Arial" w:eastAsia="Arial" w:hAnsi="Arial"/>
          <w:sz w:val="17"/>
          <w:szCs w:val="17"/>
          <w:color w:val="auto"/>
        </w:rPr>
        <w:t>Financing activities for the six months ended June 30, 2024 used $218 million of cash compared to $174 million for the six months ended June 30, 2023. The increase was principally driven by $99 million of increased payments on our long-term debt and $4 million of debt financing fees associated with the amendment of the Credit Agreement governing our Senior Secured Credit Facility, partially offset by $54 million of lower stock repurchases under the Repurchase Program and $10 million of higher proceeds from the exercise of stock options.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03"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03"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A discussion of our critical accounting policies and significant accounting estimates is included in Part II, Item 7, “Management’s Discussion and Analysis of Financial Condition and Results of Operations” in our Annual Report on Form 10-K for the year ended December 31, 2023 as filed with the Securities and Exchange Commission on February 14, 2024.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and six months ended June 30, 2024.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B. Summary of Significant Accounting Policies” in Part I, Item 1, of this Quarterly Report on Form 10-Q.</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3"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wars and pandemics; global economic volatility; general economic and industry conditions, including the risk of recession; labor strikes, work stoppages or similar labor disputes, which could significantly disrupt our operations or those of our principal customers or suppliers; the highly cyclical industries in which certain of our end users operate; uncertainty in the global regulatory and business environments in which we operate; the concentration of our net sales in our top five customers and the loss of any one of these;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p>
    <w:p>
      <w:pPr>
        <w:spacing w:after="0" w:line="80" w:lineRule="exact"/>
        <w:rPr>
          <w:sz w:val="20"/>
          <w:szCs w:val="20"/>
          <w:color w:val="auto"/>
        </w:rPr>
      </w:pPr>
    </w:p>
    <w:p>
      <w:pPr>
        <w:ind w:right="20" w:firstLine="494"/>
        <w:spacing w:after="0" w:line="241"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2023 as filed with the Securities and Exchange Commission on February 14, 2024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 time to time in our other Securities and Exchange Commission filings or public communications. You should evaluate all forward-looking statements made in this Quarterly Report on Form 10-Q in the context of these risks and uncertainties.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8" w:lineRule="exact"/>
        <w:rPr>
          <w:sz w:val="20"/>
          <w:szCs w:val="20"/>
          <w:color w:val="auto"/>
        </w:rPr>
      </w:pPr>
    </w:p>
    <w:p>
      <w:pPr>
        <w:ind w:right="420" w:firstLine="499"/>
        <w:spacing w:after="0" w:line="271" w:lineRule="auto"/>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1" w:lineRule="exact"/>
        <w:rPr>
          <w:sz w:val="20"/>
          <w:szCs w:val="20"/>
          <w:color w:val="auto"/>
        </w:rPr>
      </w:pPr>
    </w:p>
    <w:p>
      <w:pPr>
        <w:ind w:right="20" w:firstLine="499"/>
        <w:spacing w:after="0" w:line="257" w:lineRule="auto"/>
        <w:rPr>
          <w:sz w:val="20"/>
          <w:szCs w:val="20"/>
          <w:color w:val="auto"/>
        </w:rPr>
      </w:pPr>
      <w:r>
        <w:rPr>
          <w:rFonts w:ascii="Arial" w:cs="Arial" w:eastAsia="Arial" w:hAnsi="Arial"/>
          <w:sz w:val="17"/>
          <w:szCs w:val="17"/>
          <w:color w:val="auto"/>
        </w:rPr>
        <w:t>Our principal interest rate exposure relates to outstanding amounts under our Senior Secured Credit Facility. Our Senior Secured Credit Facility provides for variable rate borrowings of up to $1,262 million, including our $ 517 million Term Loan and $ 745 million under our Revolving Credit Facility, net of $5 million of letters of credit. As of June 30, 2024, we held interest rate swap contracts that, in the aggregate, effectively hedge $500 million of the variable rate debt associated with the Term Loan at the forward-looking term rate based on the Secured Overnight Financing Rate weighted average fixed rate of 2.81% through September 2025. A one-eighth percent increase or decrease in assumed interest rates for the Senior Secured Credit Facility, if fully drawn as of June 30, 2024, would have an impact of approximately $1 million on interest expense per year. As of June 30, 2024, we had no outstanding borrowings against the Revolving Credit Facility.</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01" w:lineRule="exact"/>
        <w:rPr>
          <w:sz w:val="20"/>
          <w:szCs w:val="20"/>
          <w:color w:val="auto"/>
        </w:rPr>
      </w:pPr>
    </w:p>
    <w:p>
      <w:pPr>
        <w:ind w:right="160" w:firstLine="499"/>
        <w:spacing w:after="0" w:line="246"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68"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Chinese Yuan Renminbi, Euro, Indian Rupee, and Japanese Yen would correspondingly change our earnings, net of tax, by an estimated $6 million per year. We believe our other direct exposure to foreign currencies is immaterial.</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01" w:lineRule="exact"/>
        <w:rPr>
          <w:sz w:val="20"/>
          <w:szCs w:val="20"/>
          <w:color w:val="auto"/>
        </w:rPr>
      </w:pPr>
    </w:p>
    <w:p>
      <w:pPr>
        <w:ind w:right="40" w:firstLine="499"/>
        <w:spacing w:after="0" w:line="241"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As of June 30, 2024, approximately 65% of our cost of sales consisted of purchased components.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includes an index-based component. As our costs change, we are able to pass through a portion of the changes in commodity prices to certain of our customers according to our LTAs. We historically have not entered into long-term purchase contracts related to the purchase of aluminum and steel.</w:t>
      </w:r>
    </w:p>
    <w:p>
      <w:pPr>
        <w:spacing w:after="0" w:line="74" w:lineRule="exact"/>
        <w:rPr>
          <w:sz w:val="20"/>
          <w:szCs w:val="20"/>
          <w:color w:val="auto"/>
        </w:rPr>
      </w:pPr>
    </w:p>
    <w:p>
      <w:pPr>
        <w:ind w:right="240" w:firstLine="499"/>
        <w:spacing w:after="0" w:line="271"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$8 million and $13 million per year, respectively.</w:t>
      </w:r>
    </w:p>
    <w:p>
      <w:pPr>
        <w:spacing w:after="0" w:line="45" w:lineRule="exact"/>
        <w:rPr>
          <w:sz w:val="20"/>
          <w:szCs w:val="20"/>
          <w:color w:val="auto"/>
        </w:rPr>
      </w:pPr>
    </w:p>
    <w:p>
      <w:pPr>
        <w:ind w:right="60" w:firstLine="499"/>
        <w:spacing w:after="0" w:line="271" w:lineRule="auto"/>
        <w:rPr>
          <w:sz w:val="20"/>
          <w:szCs w:val="20"/>
          <w:color w:val="auto"/>
        </w:rPr>
      </w:pPr>
      <w:r>
        <w:rPr>
          <w:rFonts w:ascii="Arial" w:cs="Arial" w:eastAsia="Arial" w:hAnsi="Arial"/>
          <w:sz w:val="18"/>
          <w:szCs w:val="18"/>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3" w:lineRule="exact"/>
        <w:rPr>
          <w:sz w:val="20"/>
          <w:szCs w:val="20"/>
          <w:color w:val="auto"/>
        </w:rPr>
      </w:pPr>
    </w:p>
    <w:p>
      <w:pPr>
        <w:ind w:right="100" w:firstLine="499"/>
        <w:spacing w:after="0"/>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75" w:lineRule="exact"/>
        <w:rPr>
          <w:sz w:val="20"/>
          <w:szCs w:val="20"/>
          <w:color w:val="auto"/>
        </w:rPr>
      </w:pPr>
    </w:p>
    <w:p>
      <w:pPr>
        <w:ind w:firstLine="499"/>
        <w:spacing w:after="0" w:line="241"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3" w:lineRule="exact"/>
        <w:rPr>
          <w:sz w:val="20"/>
          <w:szCs w:val="20"/>
          <w:color w:val="auto"/>
        </w:rPr>
      </w:pPr>
    </w:p>
    <w:p>
      <w:pPr>
        <w:ind w:firstLine="499"/>
        <w:spacing w:after="0" w:line="252"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3" w:lineRule="exact"/>
        <w:rPr>
          <w:sz w:val="20"/>
          <w:szCs w:val="20"/>
          <w:color w:val="auto"/>
        </w:rPr>
      </w:pPr>
    </w:p>
    <w:p>
      <w:pPr>
        <w:ind w:right="120" w:firstLine="499"/>
        <w:spacing w:after="0" w:line="266" w:lineRule="auto"/>
        <w:rPr>
          <w:sz w:val="20"/>
          <w:szCs w:val="20"/>
          <w:color w:val="auto"/>
        </w:rPr>
      </w:pPr>
      <w:r>
        <w:rPr>
          <w:rFonts w:ascii="Arial" w:cs="Arial" w:eastAsia="Arial" w:hAnsi="Arial"/>
          <w:sz w:val="17"/>
          <w:szCs w:val="17"/>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which information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3" w:lineRule="exact"/>
        <w:rPr>
          <w:sz w:val="20"/>
          <w:szCs w:val="20"/>
          <w:color w:val="auto"/>
        </w:rPr>
      </w:pPr>
    </w:p>
    <w:p>
      <w:pPr>
        <w:ind w:firstLine="499"/>
        <w:spacing w:after="0" w:line="271"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2023 as filed with the Securities and Exchange Commission on February 14,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3" w:lineRule="exact"/>
        <w:rPr>
          <w:sz w:val="20"/>
          <w:szCs w:val="20"/>
          <w:color w:val="auto"/>
        </w:rPr>
      </w:pPr>
    </w:p>
    <w:p>
      <w:pPr>
        <w:ind w:right="140" w:firstLine="499"/>
        <w:spacing w:after="0" w:line="271" w:lineRule="auto"/>
        <w:rPr>
          <w:sz w:val="20"/>
          <w:szCs w:val="20"/>
          <w:color w:val="auto"/>
        </w:rPr>
      </w:pPr>
      <w:r>
        <w:rPr>
          <w:rFonts w:ascii="Arial" w:cs="Arial" w:eastAsia="Arial" w:hAnsi="Arial"/>
          <w:sz w:val="18"/>
          <w:szCs w:val="18"/>
          <w:color w:val="auto"/>
        </w:rPr>
        <w:t>The following table sets forth information related to our repurchases of our common stock on a monthly basis during the three months ended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w w:val="99"/>
              </w:rPr>
              <w:t>Total Number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56"/>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Purchased</w:t>
            </w:r>
          </w:p>
        </w:tc>
        <w:tc>
          <w:tcPr>
            <w:tcW w:w="140" w:type="dxa"/>
            <w:vAlign w:val="bottom"/>
          </w:tcPr>
          <w:p>
            <w:pPr>
              <w:spacing w:after="0"/>
              <w:rPr>
                <w:sz w:val="14"/>
                <w:szCs w:val="14"/>
                <w:color w:val="auto"/>
              </w:rPr>
            </w:pPr>
          </w:p>
        </w:tc>
        <w:tc>
          <w:tcPr>
            <w:tcW w:w="1240" w:type="dxa"/>
            <w:vAlign w:val="bottom"/>
            <w:gridSpan w:val="2"/>
          </w:tcPr>
          <w:p>
            <w:pPr>
              <w:jc w:val="center"/>
              <w:ind w:right="36"/>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as Part of</w:t>
            </w:r>
          </w:p>
        </w:tc>
        <w:tc>
          <w:tcPr>
            <w:tcW w:w="140" w:type="dxa"/>
            <w:vAlign w:val="bottom"/>
          </w:tcPr>
          <w:p>
            <w:pPr>
              <w:spacing w:after="0"/>
              <w:rPr>
                <w:sz w:val="14"/>
                <w:szCs w:val="14"/>
                <w:color w:val="auto"/>
              </w:rPr>
            </w:pPr>
          </w:p>
        </w:tc>
        <w:tc>
          <w:tcPr>
            <w:tcW w:w="1240" w:type="dxa"/>
            <w:vAlign w:val="bottom"/>
            <w:gridSpan w:val="2"/>
          </w:tcPr>
          <w:p>
            <w:pPr>
              <w:jc w:val="center"/>
              <w:ind w:right="16"/>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Publicly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96"/>
              <w:spacing w:after="0"/>
              <w:rPr>
                <w:sz w:val="20"/>
                <w:szCs w:val="20"/>
                <w:color w:val="auto"/>
              </w:rPr>
            </w:pPr>
            <w:r>
              <w:rPr>
                <w:rFonts w:ascii="Arial" w:cs="Arial" w:eastAsia="Arial" w:hAnsi="Arial"/>
                <w:sz w:val="14"/>
                <w:szCs w:val="14"/>
                <w:b w:val="1"/>
                <w:bCs w:val="1"/>
                <w:color w:val="auto"/>
              </w:rPr>
              <w:t>Yet Be</w:t>
            </w:r>
          </w:p>
        </w:tc>
      </w:tr>
      <w:tr>
        <w:trPr>
          <w:trHeight w:val="162"/>
        </w:trPr>
        <w:tc>
          <w:tcPr>
            <w:tcW w:w="5760" w:type="dxa"/>
            <w:vAlign w:val="bottom"/>
          </w:tcPr>
          <w:p>
            <w:pPr>
              <w:spacing w:after="0"/>
              <w:rPr>
                <w:sz w:val="14"/>
                <w:szCs w:val="14"/>
                <w:color w:val="auto"/>
              </w:rPr>
            </w:pP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rPr>
              <w:t>Total Number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98"/>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Announced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36"/>
              <w:spacing w:after="0"/>
              <w:rPr>
                <w:sz w:val="20"/>
                <w:szCs w:val="20"/>
                <w:color w:val="auto"/>
              </w:rPr>
            </w:pPr>
            <w:r>
              <w:rPr>
                <w:rFonts w:ascii="Arial" w:cs="Arial" w:eastAsia="Arial" w:hAnsi="Arial"/>
                <w:sz w:val="14"/>
                <w:szCs w:val="14"/>
                <w:b w:val="1"/>
                <w:bCs w:val="1"/>
                <w:color w:val="auto"/>
              </w:rPr>
              <w:t>Purchased</w:t>
            </w:r>
          </w:p>
        </w:tc>
      </w:tr>
      <w:tr>
        <w:trPr>
          <w:trHeight w:val="162"/>
        </w:trPr>
        <w:tc>
          <w:tcPr>
            <w:tcW w:w="5760" w:type="dxa"/>
            <w:vAlign w:val="bottom"/>
          </w:tcPr>
          <w:p>
            <w:pPr>
              <w:spacing w:after="0"/>
              <w:rPr>
                <w:sz w:val="14"/>
                <w:szCs w:val="14"/>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218"/>
              <w:spacing w:after="0"/>
              <w:rPr>
                <w:sz w:val="20"/>
                <w:szCs w:val="20"/>
                <w:color w:val="auto"/>
              </w:rPr>
            </w:pPr>
            <w:r>
              <w:rPr>
                <w:rFonts w:ascii="Arial" w:cs="Arial" w:eastAsia="Arial" w:hAnsi="Arial"/>
                <w:sz w:val="14"/>
                <w:szCs w:val="14"/>
                <w:b w:val="1"/>
                <w:bCs w:val="1"/>
                <w:color w:val="auto"/>
              </w:rPr>
              <w:t>Price Paid</w:t>
            </w: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Plans or</w:t>
            </w:r>
          </w:p>
        </w:tc>
        <w:tc>
          <w:tcPr>
            <w:tcW w:w="140" w:type="dxa"/>
            <w:vAlign w:val="bottom"/>
          </w:tcPr>
          <w:p>
            <w:pPr>
              <w:spacing w:after="0"/>
              <w:rPr>
                <w:sz w:val="14"/>
                <w:szCs w:val="14"/>
                <w:color w:val="auto"/>
              </w:rPr>
            </w:pPr>
          </w:p>
        </w:tc>
        <w:tc>
          <w:tcPr>
            <w:tcW w:w="1240" w:type="dxa"/>
            <w:vAlign w:val="bottom"/>
            <w:gridSpan w:val="2"/>
          </w:tcPr>
          <w:p>
            <w:pPr>
              <w:jc w:val="center"/>
              <w:ind w:right="36"/>
              <w:spacing w:after="0"/>
              <w:rPr>
                <w:sz w:val="20"/>
                <w:szCs w:val="20"/>
                <w:color w:val="auto"/>
              </w:rPr>
            </w:pPr>
            <w:r>
              <w:rPr>
                <w:rFonts w:ascii="Arial" w:cs="Arial" w:eastAsia="Arial" w:hAnsi="Arial"/>
                <w:sz w:val="14"/>
                <w:szCs w:val="14"/>
                <w:b w:val="1"/>
                <w:bCs w:val="1"/>
                <w:color w:val="auto"/>
              </w:rPr>
              <w:t>Under the Plans</w:t>
            </w:r>
          </w:p>
        </w:tc>
      </w:tr>
      <w:tr>
        <w:trPr>
          <w:trHeight w:val="185"/>
        </w:trPr>
        <w:tc>
          <w:tcPr>
            <w:tcW w:w="5760" w:type="dxa"/>
            <w:vAlign w:val="bottom"/>
          </w:tcPr>
          <w:p>
            <w:pPr>
              <w:spacing w:after="0"/>
              <w:rPr>
                <w:sz w:val="16"/>
                <w:szCs w:val="16"/>
                <w:color w:val="auto"/>
              </w:rPr>
            </w:pPr>
          </w:p>
        </w:tc>
        <w:tc>
          <w:tcPr>
            <w:tcW w:w="13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Purchased</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rPr>
              <w:t>Programs</w:t>
            </w:r>
          </w:p>
        </w:tc>
        <w:tc>
          <w:tcPr>
            <w:tcW w:w="140" w:type="dxa"/>
            <w:vAlign w:val="bottom"/>
          </w:tcPr>
          <w:p>
            <w:pPr>
              <w:spacing w:after="0"/>
              <w:rPr>
                <w:sz w:val="16"/>
                <w:szCs w:val="16"/>
                <w:color w:val="auto"/>
              </w:rPr>
            </w:pPr>
          </w:p>
        </w:tc>
        <w:tc>
          <w:tcPr>
            <w:tcW w:w="1240" w:type="dxa"/>
            <w:vAlign w:val="bottom"/>
            <w:tcBorders>
              <w:bottom w:val="single" w:sz="8" w:color="auto"/>
            </w:tcBorders>
            <w:gridSpan w:val="2"/>
          </w:tcPr>
          <w:p>
            <w:pPr>
              <w:jc w:val="center"/>
              <w:ind w:right="16"/>
              <w:spacing w:after="0"/>
              <w:rPr>
                <w:sz w:val="20"/>
                <w:szCs w:val="20"/>
                <w:color w:val="auto"/>
              </w:rPr>
            </w:pPr>
            <w:r>
              <w:rPr>
                <w:rFonts w:ascii="Arial" w:cs="Arial" w:eastAsia="Arial" w:hAnsi="Arial"/>
                <w:sz w:val="14"/>
                <w:szCs w:val="14"/>
                <w:b w:val="1"/>
                <w:bCs w:val="1"/>
                <w:color w:val="auto"/>
              </w:rPr>
              <w:t>or Programs(1)</w:t>
            </w:r>
          </w:p>
        </w:tc>
      </w:tr>
      <w:tr>
        <w:trPr>
          <w:trHeight w:val="190"/>
        </w:trPr>
        <w:tc>
          <w:tcPr>
            <w:tcW w:w="7080" w:type="dxa"/>
            <w:vAlign w:val="bottom"/>
            <w:gridSpan w:val="2"/>
            <w:shd w:val="clear" w:color="auto" w:fill="CFF0FC"/>
          </w:tcPr>
          <w:p>
            <w:pPr>
              <w:ind w:left="20"/>
              <w:spacing w:after="0" w:line="190" w:lineRule="exact"/>
              <w:rPr>
                <w:sz w:val="20"/>
                <w:szCs w:val="20"/>
                <w:color w:val="auto"/>
              </w:rPr>
            </w:pPr>
            <w:r>
              <w:rPr>
                <w:rFonts w:ascii="Arial" w:cs="Arial" w:eastAsia="Arial" w:hAnsi="Arial"/>
                <w:sz w:val="18"/>
                <w:szCs w:val="18"/>
                <w:color w:val="auto"/>
              </w:rPr>
              <w:t>April 1 – April 30, 2024</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6"/>
              <w:spacing w:after="0" w:line="190" w:lineRule="exact"/>
              <w:rPr>
                <w:sz w:val="20"/>
                <w:szCs w:val="20"/>
                <w:color w:val="auto"/>
              </w:rPr>
            </w:pPr>
            <w:r>
              <w:rPr>
                <w:rFonts w:ascii="Arial" w:cs="Arial" w:eastAsia="Arial" w:hAnsi="Arial"/>
                <w:sz w:val="18"/>
                <w:szCs w:val="18"/>
                <w:color w:val="auto"/>
              </w:rPr>
              <w:t>709,723,43</w:t>
            </w:r>
          </w:p>
        </w:tc>
      </w:tr>
      <w:tr>
        <w:trPr>
          <w:trHeight w:val="235"/>
        </w:trPr>
        <w:tc>
          <w:tcPr>
            <w:tcW w:w="7080" w:type="dxa"/>
            <w:vAlign w:val="bottom"/>
            <w:gridSpan w:val="2"/>
            <w:shd w:val="clear" w:color="auto" w:fill="CFF0FC"/>
          </w:tcPr>
          <w:p>
            <w:pPr>
              <w:jc w:val="right"/>
              <w:ind w:right="64"/>
              <w:spacing w:after="0"/>
              <w:rPr>
                <w:sz w:val="20"/>
                <w:szCs w:val="20"/>
                <w:color w:val="auto"/>
              </w:rPr>
            </w:pPr>
            <w:r>
              <w:rPr>
                <w:rFonts w:ascii="Arial" w:cs="Arial" w:eastAsia="Arial" w:hAnsi="Arial"/>
                <w:sz w:val="18"/>
                <w:szCs w:val="18"/>
                <w:color w:val="auto"/>
              </w:rPr>
              <w:t>137,413</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80.03</w:t>
            </w:r>
          </w:p>
        </w:tc>
        <w:tc>
          <w:tcPr>
            <w:tcW w:w="1380" w:type="dxa"/>
            <w:vAlign w:val="bottom"/>
            <w:gridSpan w:val="2"/>
            <w:shd w:val="clear" w:color="auto" w:fill="CFF0FC"/>
          </w:tcPr>
          <w:p>
            <w:pPr>
              <w:jc w:val="right"/>
              <w:ind w:right="46"/>
              <w:spacing w:after="0"/>
              <w:rPr>
                <w:sz w:val="20"/>
                <w:szCs w:val="20"/>
                <w:color w:val="auto"/>
              </w:rPr>
            </w:pPr>
            <w:r>
              <w:rPr>
                <w:rFonts w:ascii="Arial" w:cs="Arial" w:eastAsia="Arial" w:hAnsi="Arial"/>
                <w:sz w:val="18"/>
                <w:szCs w:val="18"/>
                <w:color w:val="auto"/>
              </w:rPr>
              <w:t>137,413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w:t>
            </w:r>
          </w:p>
        </w:tc>
      </w:tr>
      <w:tr>
        <w:trPr>
          <w:trHeight w:val="197"/>
        </w:trPr>
        <w:tc>
          <w:tcPr>
            <w:tcW w:w="708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May 1 – May 31, 2024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6"/>
              <w:spacing w:after="0" w:line="197" w:lineRule="exact"/>
              <w:rPr>
                <w:sz w:val="20"/>
                <w:szCs w:val="20"/>
                <w:color w:val="auto"/>
              </w:rPr>
            </w:pPr>
            <w:r>
              <w:rPr>
                <w:rFonts w:ascii="Arial" w:cs="Arial" w:eastAsia="Arial" w:hAnsi="Arial"/>
                <w:sz w:val="18"/>
                <w:szCs w:val="18"/>
                <w:color w:val="auto"/>
              </w:rPr>
              <w:t>698,724,85</w:t>
            </w:r>
          </w:p>
        </w:tc>
      </w:tr>
      <w:tr>
        <w:trPr>
          <w:trHeight w:val="235"/>
        </w:trPr>
        <w:tc>
          <w:tcPr>
            <w:tcW w:w="7080" w:type="dxa"/>
            <w:vAlign w:val="bottom"/>
            <w:gridSpan w:val="2"/>
          </w:tcPr>
          <w:p>
            <w:pPr>
              <w:jc w:val="right"/>
              <w:ind w:right="64"/>
              <w:spacing w:after="0"/>
              <w:rPr>
                <w:sz w:val="20"/>
                <w:szCs w:val="20"/>
                <w:color w:val="auto"/>
              </w:rPr>
            </w:pPr>
            <w:r>
              <w:rPr>
                <w:rFonts w:ascii="Arial" w:cs="Arial" w:eastAsia="Arial" w:hAnsi="Arial"/>
                <w:sz w:val="18"/>
                <w:szCs w:val="18"/>
                <w:color w:val="auto"/>
              </w:rPr>
              <w:t>146,356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75.15</w:t>
            </w:r>
          </w:p>
        </w:tc>
        <w:tc>
          <w:tcPr>
            <w:tcW w:w="1380" w:type="dxa"/>
            <w:vAlign w:val="bottom"/>
            <w:gridSpan w:val="2"/>
          </w:tcPr>
          <w:p>
            <w:pPr>
              <w:jc w:val="right"/>
              <w:ind w:right="46"/>
              <w:spacing w:after="0"/>
              <w:rPr>
                <w:sz w:val="20"/>
                <w:szCs w:val="20"/>
                <w:color w:val="auto"/>
              </w:rPr>
            </w:pPr>
            <w:r>
              <w:rPr>
                <w:rFonts w:ascii="Arial" w:cs="Arial" w:eastAsia="Arial" w:hAnsi="Arial"/>
                <w:sz w:val="18"/>
                <w:szCs w:val="18"/>
                <w:color w:val="auto"/>
              </w:rPr>
              <w:t>146,356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8</w:t>
            </w:r>
          </w:p>
        </w:tc>
      </w:tr>
      <w:tr>
        <w:trPr>
          <w:trHeight w:val="183"/>
        </w:trPr>
        <w:tc>
          <w:tcPr>
            <w:tcW w:w="708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8"/>
                <w:szCs w:val="18"/>
                <w:color w:val="auto"/>
              </w:rPr>
              <w:t>June 1 – June 30, 2024</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36"/>
              <w:spacing w:after="0" w:line="183" w:lineRule="exact"/>
              <w:rPr>
                <w:sz w:val="20"/>
                <w:szCs w:val="20"/>
                <w:color w:val="auto"/>
              </w:rPr>
            </w:pPr>
            <w:r>
              <w:rPr>
                <w:rFonts w:ascii="Arial" w:cs="Arial" w:eastAsia="Arial" w:hAnsi="Arial"/>
                <w:sz w:val="18"/>
                <w:szCs w:val="18"/>
                <w:color w:val="auto"/>
              </w:rPr>
              <w:t>689,123,44</w:t>
            </w:r>
          </w:p>
        </w:tc>
      </w:tr>
      <w:tr>
        <w:trPr>
          <w:trHeight w:val="235"/>
        </w:trPr>
        <w:tc>
          <w:tcPr>
            <w:tcW w:w="576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8"/>
                <w:szCs w:val="18"/>
                <w:color w:val="auto"/>
              </w:rPr>
              <w:t>129,307</w:t>
            </w:r>
          </w:p>
        </w:tc>
        <w:tc>
          <w:tcPr>
            <w:tcW w:w="3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74.25</w:t>
            </w:r>
          </w:p>
        </w:tc>
        <w:tc>
          <w:tcPr>
            <w:tcW w:w="1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8"/>
                <w:szCs w:val="18"/>
                <w:color w:val="auto"/>
              </w:rPr>
              <w:t>129,307</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6</w:t>
            </w:r>
          </w:p>
        </w:tc>
      </w:tr>
      <w:tr>
        <w:trPr>
          <w:trHeight w:val="223"/>
        </w:trPr>
        <w:tc>
          <w:tcPr>
            <w:tcW w:w="7080" w:type="dxa"/>
            <w:vAlign w:val="bottom"/>
            <w:gridSpan w:val="2"/>
          </w:tcPr>
          <w:p>
            <w:pPr>
              <w:jc w:val="right"/>
              <w:ind w:right="64"/>
              <w:spacing w:after="0"/>
              <w:rPr>
                <w:sz w:val="20"/>
                <w:szCs w:val="20"/>
                <w:color w:val="auto"/>
              </w:rPr>
            </w:pPr>
            <w:r>
              <w:rPr>
                <w:rFonts w:ascii="Arial" w:cs="Arial" w:eastAsia="Arial" w:hAnsi="Arial"/>
                <w:sz w:val="18"/>
                <w:szCs w:val="18"/>
                <w:color w:val="auto"/>
              </w:rPr>
              <w:t>413,076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76.49</w:t>
            </w:r>
          </w:p>
        </w:tc>
        <w:tc>
          <w:tcPr>
            <w:tcW w:w="1380" w:type="dxa"/>
            <w:vAlign w:val="bottom"/>
            <w:gridSpan w:val="2"/>
          </w:tcPr>
          <w:p>
            <w:pPr>
              <w:jc w:val="right"/>
              <w:ind w:right="46"/>
              <w:spacing w:after="0"/>
              <w:rPr>
                <w:sz w:val="20"/>
                <w:szCs w:val="20"/>
                <w:color w:val="auto"/>
              </w:rPr>
            </w:pPr>
            <w:r>
              <w:rPr>
                <w:rFonts w:ascii="Arial" w:cs="Arial" w:eastAsia="Arial" w:hAnsi="Arial"/>
                <w:sz w:val="18"/>
                <w:szCs w:val="18"/>
                <w:color w:val="auto"/>
              </w:rPr>
              <w:t>413,076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-179070</wp:posOffset>
            </wp:positionV>
            <wp:extent cx="939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-179070</wp:posOffset>
            </wp:positionV>
            <wp:extent cx="857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3" w:lineRule="exact"/>
        <w:rPr>
          <w:sz w:val="20"/>
          <w:szCs w:val="20"/>
          <w:color w:val="auto"/>
        </w:rPr>
      </w:pPr>
    </w:p>
    <w:p>
      <w:pPr>
        <w:ind w:left="640" w:right="260" w:hanging="372"/>
        <w:spacing w:after="0" w:line="24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values reflect the amounts that may be repurchased under the Repurchase Program approved by the Board of Directors on November 14, 2016 and the increases approved by the Board of Directors on November 8, 2017, July 30, 2018, May 9, 2019 and February 24, 2022, which in the aggregate total authorized repurchases of $4,000 million. The Repurchase Program has no termination date.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Insider Trading Arrangements</w:t>
      </w:r>
    </w:p>
    <w:p>
      <w:pPr>
        <w:spacing w:after="0" w:line="103" w:lineRule="exact"/>
        <w:rPr>
          <w:sz w:val="20"/>
          <w:szCs w:val="20"/>
          <w:color w:val="auto"/>
        </w:rPr>
      </w:pPr>
    </w:p>
    <w:p>
      <w:pPr>
        <w:ind w:right="180" w:firstLine="499"/>
        <w:spacing w:after="0" w:line="246" w:lineRule="auto"/>
        <w:rPr>
          <w:sz w:val="20"/>
          <w:szCs w:val="20"/>
          <w:color w:val="auto"/>
        </w:rPr>
      </w:pPr>
      <w:r>
        <w:rPr>
          <w:rFonts w:ascii="Arial" w:cs="Arial" w:eastAsia="Arial" w:hAnsi="Arial"/>
          <w:sz w:val="18"/>
          <w:szCs w:val="18"/>
          <w:color w:val="auto"/>
        </w:rPr>
        <w:t>The following table sets forth information related to the Company's directors and officers who adopted, modified or terminated any contract, instruction or written plan for the purchase or sale of Company securities that was intended to satisfy the affirmative defense conditions of Rule 10b5-1(c) ("Rule 10b5-1 trading arrangement") or any “non-Rule 10b5-1 trading arrangement,” as such term is defined in Item 408(c) of Regulation S-K, during the three months ended June 30, 2024: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Trading Arrangement</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0"/>
        </w:trPr>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Non-Rule</w:t>
            </w:r>
          </w:p>
        </w:tc>
        <w:tc>
          <w:tcPr>
            <w:tcW w:w="100" w:type="dxa"/>
            <w:vAlign w:val="bottom"/>
          </w:tcPr>
          <w:p>
            <w:pPr>
              <w:spacing w:after="0"/>
              <w:rPr>
                <w:sz w:val="13"/>
                <w:szCs w:val="13"/>
                <w:color w:val="auto"/>
              </w:rPr>
            </w:pPr>
          </w:p>
        </w:tc>
        <w:tc>
          <w:tcPr>
            <w:tcW w:w="1200" w:type="dxa"/>
            <w:vAlign w:val="bottom"/>
          </w:tcPr>
          <w:p>
            <w:pPr>
              <w:jc w:val="center"/>
              <w:ind w:right="68"/>
              <w:spacing w:after="0" w:line="159" w:lineRule="exact"/>
              <w:rPr>
                <w:sz w:val="20"/>
                <w:szCs w:val="20"/>
                <w:color w:val="auto"/>
              </w:rPr>
            </w:pPr>
            <w:r>
              <w:rPr>
                <w:rFonts w:ascii="Arial" w:cs="Arial" w:eastAsia="Arial" w:hAnsi="Arial"/>
                <w:sz w:val="14"/>
                <w:szCs w:val="14"/>
                <w:b w:val="1"/>
                <w:bCs w:val="1"/>
                <w:color w:val="auto"/>
              </w:rPr>
              <w:t>Total Shares to</w:t>
            </w:r>
          </w:p>
        </w:tc>
        <w:tc>
          <w:tcPr>
            <w:tcW w:w="14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Expiration</w:t>
            </w:r>
          </w:p>
        </w:tc>
      </w:tr>
      <w:tr>
        <w:trPr>
          <w:trHeight w:val="185"/>
        </w:trPr>
        <w:tc>
          <w:tcPr>
            <w:tcW w:w="1740" w:type="dxa"/>
            <w:vAlign w:val="bottom"/>
          </w:tcPr>
          <w:p>
            <w:pPr>
              <w:ind w:left="68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6"/>
                <w:szCs w:val="16"/>
                <w:color w:val="auto"/>
              </w:rPr>
            </w:pPr>
          </w:p>
        </w:tc>
        <w:tc>
          <w:tcPr>
            <w:tcW w:w="2700" w:type="dxa"/>
            <w:vAlign w:val="bottom"/>
          </w:tcPr>
          <w:p>
            <w:pPr>
              <w:ind w:left="120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Action</w:t>
            </w:r>
          </w:p>
        </w:tc>
        <w:tc>
          <w:tcPr>
            <w:tcW w:w="16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Rule 10b5-1*</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10b5-1**</w:t>
            </w:r>
          </w:p>
        </w:tc>
        <w:tc>
          <w:tcPr>
            <w:tcW w:w="100" w:type="dxa"/>
            <w:vAlign w:val="bottom"/>
          </w:tcPr>
          <w:p>
            <w:pPr>
              <w:spacing w:after="0"/>
              <w:rPr>
                <w:sz w:val="16"/>
                <w:szCs w:val="16"/>
                <w:color w:val="auto"/>
              </w:rPr>
            </w:pPr>
          </w:p>
        </w:tc>
        <w:tc>
          <w:tcPr>
            <w:tcW w:w="1200" w:type="dxa"/>
            <w:vAlign w:val="bottom"/>
          </w:tcPr>
          <w:p>
            <w:pPr>
              <w:jc w:val="center"/>
              <w:ind w:right="48"/>
              <w:spacing w:after="0"/>
              <w:rPr>
                <w:sz w:val="20"/>
                <w:szCs w:val="20"/>
                <w:color w:val="auto"/>
              </w:rPr>
            </w:pPr>
            <w:r>
              <w:rPr>
                <w:rFonts w:ascii="Arial" w:cs="Arial" w:eastAsia="Arial" w:hAnsi="Arial"/>
                <w:sz w:val="14"/>
                <w:szCs w:val="14"/>
                <w:b w:val="1"/>
                <w:bCs w:val="1"/>
                <w:color w:val="auto"/>
              </w:rPr>
              <w:t>be Sold</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r>
      <w:tr>
        <w:trPr>
          <w:trHeight w:val="190"/>
        </w:trPr>
        <w:tc>
          <w:tcPr>
            <w:tcW w:w="174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700" w:type="dxa"/>
            <w:vAlign w:val="bottom"/>
            <w:tcBorders>
              <w:top w:val="single" w:sz="8" w:color="auto"/>
            </w:tcBorders>
            <w:shd w:val="clear" w:color="auto" w:fill="CFF0FC"/>
          </w:tcPr>
          <w:p>
            <w:pPr>
              <w:spacing w:after="0" w:line="190" w:lineRule="exact"/>
              <w:rPr>
                <w:sz w:val="20"/>
                <w:szCs w:val="20"/>
                <w:color w:val="auto"/>
              </w:rPr>
            </w:pPr>
            <w:r>
              <w:rPr>
                <w:rFonts w:ascii="Arial" w:cs="Arial" w:eastAsia="Arial" w:hAnsi="Arial"/>
                <w:sz w:val="18"/>
                <w:szCs w:val="18"/>
                <w:color w:val="auto"/>
              </w:rPr>
              <w:t>Vice President, Quality, Planning</w:t>
            </w:r>
          </w:p>
        </w:tc>
        <w:tc>
          <w:tcPr>
            <w:tcW w:w="160" w:type="dxa"/>
            <w:vAlign w:val="bottom"/>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r>
      <w:tr>
        <w:trPr>
          <w:trHeight w:val="235"/>
        </w:trPr>
        <w:tc>
          <w:tcPr>
            <w:tcW w:w="1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Thomas Eifert</w:t>
            </w:r>
          </w:p>
        </w:tc>
        <w:tc>
          <w:tcPr>
            <w:tcW w:w="160" w:type="dxa"/>
            <w:vAlign w:val="bottom"/>
            <w:shd w:val="clear" w:color="auto" w:fill="CFF0FC"/>
          </w:tcPr>
          <w:p>
            <w:pPr>
              <w:spacing w:after="0"/>
              <w:rPr>
                <w:sz w:val="20"/>
                <w:szCs w:val="20"/>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and Program Management</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Adopted</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5/13/2024</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7,943</w:t>
            </w:r>
          </w:p>
        </w:tc>
        <w:tc>
          <w:tcPr>
            <w:tcW w:w="11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5/5/2025</w:t>
            </w:r>
          </w:p>
        </w:tc>
      </w:tr>
    </w:tbl>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Intended to satisfy the affirmative defense of Rule 10b5-1(c)</w:t>
      </w:r>
    </w:p>
    <w:p>
      <w:pPr>
        <w:spacing w:after="0" w:line="13" w:lineRule="exact"/>
        <w:rPr>
          <w:sz w:val="20"/>
          <w:szCs w:val="20"/>
          <w:color w:val="auto"/>
        </w:rPr>
      </w:pPr>
    </w:p>
    <w:p>
      <w:pPr>
        <w:ind w:left="5520" w:right="5520" w:hanging="5252"/>
        <w:spacing w:after="0" w:line="358" w:lineRule="auto"/>
        <w:tabs>
          <w:tab w:leader="none" w:pos="454"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 intended to satisfy the affirmative defense of Rule 10b5-1(c)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440" w:type="dxa"/>
            <w:vAlign w:val="bottom"/>
            <w:gridSpan w:val="5"/>
          </w:tcPr>
          <w:p>
            <w:pPr>
              <w:jc w:val="center"/>
              <w:ind w:right="820"/>
              <w:spacing w:after="0"/>
              <w:rPr>
                <w:sz w:val="20"/>
                <w:szCs w:val="20"/>
                <w:color w:val="auto"/>
              </w:rPr>
            </w:pPr>
            <w:r>
              <w:rPr>
                <w:rFonts w:ascii="Arial" w:cs="Arial" w:eastAsia="Arial" w:hAnsi="Arial"/>
                <w:sz w:val="18"/>
                <w:szCs w:val="18"/>
                <w:b w:val="1"/>
                <w:bCs w:val="1"/>
                <w:color w:val="auto"/>
              </w:rPr>
              <w:t>Item 6.</w:t>
            </w:r>
          </w:p>
        </w:tc>
        <w:tc>
          <w:tcPr>
            <w:tcW w:w="8580" w:type="dxa"/>
            <w:vAlign w:val="bottom"/>
            <w:gridSpan w:val="10"/>
          </w:tcPr>
          <w:p>
            <w:pPr>
              <w:ind w:left="20"/>
              <w:spacing w:after="0"/>
              <w:rPr>
                <w:sz w:val="20"/>
                <w:szCs w:val="20"/>
                <w:color w:val="auto"/>
              </w:rPr>
            </w:pPr>
            <w:r>
              <w:rPr>
                <w:rFonts w:ascii="Arial" w:cs="Arial" w:eastAsia="Arial" w:hAnsi="Arial"/>
                <w:sz w:val="18"/>
                <w:szCs w:val="18"/>
                <w:b w:val="1"/>
                <w:bCs w:val="1"/>
                <w:color w:val="auto"/>
              </w:rPr>
              <w:t>Exhibits</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144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3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320" w:type="dxa"/>
            <w:vAlign w:val="bottom"/>
            <w:gridSpan w:val="6"/>
            <w:vMerge w:val="restart"/>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Number</w:t>
            </w:r>
          </w:p>
        </w:tc>
        <w:tc>
          <w:tcPr>
            <w:tcW w:w="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Borders>
              <w:bottom w:val="single" w:sz="8" w:color="auto"/>
            </w:tcBorders>
            <w:gridSpan w:val="2"/>
            <w:vMerge w:val="continue"/>
          </w:tcPr>
          <w:p>
            <w:pPr>
              <w:spacing w:after="0"/>
              <w:rPr>
                <w:sz w:val="12"/>
                <w:szCs w:val="12"/>
                <w:color w:val="auto"/>
              </w:rPr>
            </w:pPr>
          </w:p>
        </w:tc>
        <w:tc>
          <w:tcPr>
            <w:tcW w:w="3320" w:type="dxa"/>
            <w:vAlign w:val="bottom"/>
            <w:gridSpan w:val="6"/>
            <w:vMerge w:val="continue"/>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10.1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5"/>
          </w:tcPr>
          <w:p>
            <w:pPr>
              <w:spacing w:after="0"/>
              <w:rPr>
                <w:rFonts w:ascii="Arial" w:cs="Arial" w:eastAsia="Arial" w:hAnsi="Arial"/>
                <w:sz w:val="18"/>
                <w:szCs w:val="18"/>
                <w:color w:val="0000FF"/>
              </w:rPr>
            </w:pPr>
            <w:hyperlink r:id="rId275">
              <w:r>
                <w:rPr>
                  <w:rFonts w:ascii="Arial" w:cs="Arial" w:eastAsia="Arial" w:hAnsi="Arial"/>
                  <w:sz w:val="18"/>
                  <w:szCs w:val="18"/>
                  <w:color w:val="0000FF"/>
                </w:rPr>
                <w:t>Allison Transmission Holdings, Inc. 2024 Equity Incentive Award Plan (incorporated by reference to Exhibit 10.1 to the</w:t>
              </w:r>
            </w:hyperlink>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58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275">
              <w:r>
                <w:rPr>
                  <w:rFonts w:ascii="Arial" w:cs="Arial" w:eastAsia="Arial" w:hAnsi="Arial"/>
                  <w:sz w:val="18"/>
                  <w:szCs w:val="18"/>
                  <w:color w:val="0000FF"/>
                </w:rPr>
                <w:t>Company's Current Report on Form 8-K filed May 10, 2024)</w:t>
              </w:r>
            </w:hyperlink>
          </w:p>
        </w:tc>
        <w:tc>
          <w:tcPr>
            <w:tcW w:w="8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10.2</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80" w:type="dxa"/>
            <w:vAlign w:val="bottom"/>
            <w:gridSpan w:val="10"/>
          </w:tcPr>
          <w:p>
            <w:pPr>
              <w:spacing w:after="0"/>
              <w:rPr>
                <w:sz w:val="20"/>
                <w:szCs w:val="20"/>
                <w:color w:val="auto"/>
              </w:rPr>
            </w:pPr>
            <w:r>
              <w:rPr>
                <w:rFonts w:ascii="Arial" w:cs="Arial" w:eastAsia="Arial" w:hAnsi="Arial"/>
                <w:sz w:val="18"/>
                <w:szCs w:val="18"/>
                <w:color w:val="0000FF"/>
              </w:rPr>
              <w:t>Eighth Amended and Restated Non-Employee Director Compensation Policy (filed herewith)</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10.3</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80" w:type="dxa"/>
            <w:vAlign w:val="bottom"/>
            <w:gridSpan w:val="10"/>
          </w:tcPr>
          <w:p>
            <w:pPr>
              <w:spacing w:after="0"/>
              <w:rPr>
                <w:sz w:val="20"/>
                <w:szCs w:val="20"/>
                <w:color w:val="auto"/>
              </w:rPr>
            </w:pPr>
            <w:r>
              <w:rPr>
                <w:rFonts w:ascii="Arial" w:cs="Arial" w:eastAsia="Arial" w:hAnsi="Arial"/>
                <w:sz w:val="18"/>
                <w:szCs w:val="18"/>
                <w:color w:val="0000FF"/>
              </w:rPr>
              <w:t>Form of 2024 Equity Incentive Award Plan Restricted Stock Unit Agreement (filed herewith)</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10.4</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80" w:type="dxa"/>
            <w:vAlign w:val="bottom"/>
            <w:gridSpan w:val="10"/>
          </w:tcPr>
          <w:p>
            <w:pPr>
              <w:spacing w:after="0"/>
              <w:rPr>
                <w:sz w:val="20"/>
                <w:szCs w:val="20"/>
                <w:color w:val="auto"/>
              </w:rPr>
            </w:pPr>
            <w:r>
              <w:rPr>
                <w:rFonts w:ascii="Arial" w:cs="Arial" w:eastAsia="Arial" w:hAnsi="Arial"/>
                <w:sz w:val="18"/>
                <w:szCs w:val="18"/>
                <w:color w:val="0000FF"/>
              </w:rPr>
              <w:t>Form of 2024 Equity Incentive Award Plan Stock Option Agreement (filed herewith)</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10.5</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80" w:type="dxa"/>
            <w:vAlign w:val="bottom"/>
            <w:gridSpan w:val="10"/>
          </w:tcPr>
          <w:p>
            <w:pPr>
              <w:spacing w:after="0"/>
              <w:rPr>
                <w:sz w:val="20"/>
                <w:szCs w:val="20"/>
                <w:color w:val="auto"/>
              </w:rPr>
            </w:pPr>
            <w:r>
              <w:rPr>
                <w:rFonts w:ascii="Arial" w:cs="Arial" w:eastAsia="Arial" w:hAnsi="Arial"/>
                <w:sz w:val="18"/>
                <w:szCs w:val="18"/>
                <w:color w:val="0000FF"/>
              </w:rPr>
              <w:t>Form of 2024 Equity Incentive Award Plan Performance Stock Unit Agreement (filed herewith)</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560" w:type="dxa"/>
            <w:vAlign w:val="bottom"/>
            <w:tcBorders>
              <w:right w:val="single" w:sz="8" w:color="0000EE"/>
            </w:tcBorders>
            <w:gridSpan w:val="3"/>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31.1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80" w:type="dxa"/>
            <w:vAlign w:val="bottom"/>
            <w:gridSpan w:val="10"/>
          </w:tcPr>
          <w:p>
            <w:pPr>
              <w:spacing w:after="0"/>
              <w:rPr>
                <w:sz w:val="20"/>
                <w:szCs w:val="20"/>
                <w:color w:val="auto"/>
              </w:rPr>
            </w:pPr>
            <w:r>
              <w:rPr>
                <w:rFonts w:ascii="Arial" w:cs="Arial" w:eastAsia="Arial" w:hAnsi="Arial"/>
                <w:sz w:val="18"/>
                <w:szCs w:val="18"/>
                <w:color w:val="0000FF"/>
                <w:w w:val="99"/>
              </w:rPr>
              <w:t>Certification of Chief Executive Officer pursuant to Rule 13a-14(a)/15d-14(a) as adopted pursuant to Section</w:t>
            </w:r>
          </w:p>
        </w:tc>
        <w:tc>
          <w:tcPr>
            <w:tcW w:w="1220" w:type="dxa"/>
            <w:vAlign w:val="bottom"/>
            <w:gridSpan w:val="5"/>
          </w:tcPr>
          <w:p>
            <w:pPr>
              <w:ind w:left="80"/>
              <w:spacing w:after="0"/>
              <w:rPr>
                <w:sz w:val="20"/>
                <w:szCs w:val="20"/>
                <w:color w:val="auto"/>
              </w:rPr>
            </w:pPr>
            <w:r>
              <w:rPr>
                <w:rFonts w:ascii="Arial" w:cs="Arial" w:eastAsia="Arial" w:hAnsi="Arial"/>
                <w:sz w:val="18"/>
                <w:szCs w:val="18"/>
                <w:color w:val="0000FF"/>
              </w:rPr>
              <w:t>302 of the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58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Sarbanes-Oxley Act of 2002 (filed herewith)</w:t>
            </w:r>
          </w:p>
        </w:tc>
        <w:tc>
          <w:tcPr>
            <w:tcW w:w="8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31.2</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80" w:type="dxa"/>
            <w:vAlign w:val="bottom"/>
            <w:gridSpan w:val="10"/>
          </w:tcPr>
          <w:p>
            <w:pPr>
              <w:spacing w:after="0"/>
              <w:rPr>
                <w:sz w:val="20"/>
                <w:szCs w:val="20"/>
                <w:color w:val="auto"/>
              </w:rPr>
            </w:pPr>
            <w:r>
              <w:rPr>
                <w:rFonts w:ascii="Arial" w:cs="Arial" w:eastAsia="Arial" w:hAnsi="Arial"/>
                <w:sz w:val="18"/>
                <w:szCs w:val="18"/>
                <w:color w:val="0000FF"/>
              </w:rPr>
              <w:t>Certification of Chief Financial Officer pursuant to Rule 13a-14(a)/15d-14(a) as adopted pursuant to Section</w:t>
            </w:r>
          </w:p>
        </w:tc>
        <w:tc>
          <w:tcPr>
            <w:tcW w:w="1220" w:type="dxa"/>
            <w:vAlign w:val="bottom"/>
            <w:gridSpan w:val="5"/>
          </w:tcPr>
          <w:p>
            <w:pPr>
              <w:ind w:left="20"/>
              <w:spacing w:after="0"/>
              <w:rPr>
                <w:sz w:val="20"/>
                <w:szCs w:val="20"/>
                <w:color w:val="auto"/>
              </w:rPr>
            </w:pPr>
            <w:r>
              <w:rPr>
                <w:rFonts w:ascii="Arial" w:cs="Arial" w:eastAsia="Arial" w:hAnsi="Arial"/>
                <w:sz w:val="18"/>
                <w:szCs w:val="18"/>
                <w:color w:val="0000FF"/>
              </w:rPr>
              <w:t>302 of the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58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Sarbanes-Oxley Act of 2002 (filed herewith)</w:t>
            </w:r>
          </w:p>
        </w:tc>
        <w:tc>
          <w:tcPr>
            <w:tcW w:w="8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32.1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5"/>
          </w:tcPr>
          <w:p>
            <w:pPr>
              <w:spacing w:after="0"/>
              <w:rPr>
                <w:sz w:val="20"/>
                <w:szCs w:val="20"/>
                <w:color w:val="auto"/>
              </w:rPr>
            </w:pPr>
            <w:r>
              <w:rPr>
                <w:rFonts w:ascii="Arial" w:cs="Arial" w:eastAsia="Arial" w:hAnsi="Arial"/>
                <w:sz w:val="18"/>
                <w:szCs w:val="18"/>
                <w:color w:val="0000FF"/>
              </w:rPr>
              <w:t>Certification of Periodic Report by Chief Executive Officer and Chief Financial Officer pursuant to 18 U.S.C. Section 1350,</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58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as adopted pursuant to Section 906 of the Sarbanes-Oxley Act of 2002 (filed herewith)</w:t>
            </w:r>
          </w:p>
        </w:tc>
        <w:tc>
          <w:tcPr>
            <w:tcW w:w="8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gridSpan w:val="5"/>
          </w:tcPr>
          <w:p>
            <w:pPr>
              <w:spacing w:after="0" w:line="20" w:lineRule="exact"/>
              <w:rPr>
                <w:sz w:val="1"/>
                <w:szCs w:val="1"/>
                <w:color w:val="auto"/>
              </w:rPr>
            </w:pPr>
          </w:p>
        </w:tc>
        <w:tc>
          <w:tcPr>
            <w:tcW w:w="6880" w:type="dxa"/>
            <w:vAlign w:val="bottom"/>
            <w:gridSpan w:val="6"/>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1440" w:type="dxa"/>
            <w:vAlign w:val="bottom"/>
            <w:gridSpan w:val="5"/>
          </w:tcPr>
          <w:p>
            <w:pPr>
              <w:ind w:left="60"/>
              <w:spacing w:after="0"/>
              <w:rPr>
                <w:sz w:val="20"/>
                <w:szCs w:val="20"/>
                <w:color w:val="auto"/>
              </w:rPr>
            </w:pPr>
            <w:r>
              <w:rPr>
                <w:rFonts w:ascii="Arial" w:cs="Arial" w:eastAsia="Arial" w:hAnsi="Arial"/>
                <w:sz w:val="18"/>
                <w:szCs w:val="18"/>
                <w:color w:val="auto"/>
              </w:rPr>
              <w:t>101.INS</w:t>
            </w:r>
          </w:p>
        </w:tc>
        <w:tc>
          <w:tcPr>
            <w:tcW w:w="8580" w:type="dxa"/>
            <w:vAlign w:val="bottom"/>
            <w:gridSpan w:val="10"/>
          </w:tcPr>
          <w:p>
            <w:pPr>
              <w:spacing w:after="0"/>
              <w:rPr>
                <w:sz w:val="20"/>
                <w:szCs w:val="20"/>
                <w:color w:val="auto"/>
              </w:rPr>
            </w:pPr>
            <w:r>
              <w:rPr>
                <w:rFonts w:ascii="Arial" w:cs="Arial" w:eastAsia="Arial" w:hAnsi="Arial"/>
                <w:sz w:val="18"/>
                <w:szCs w:val="18"/>
                <w:color w:val="auto"/>
              </w:rPr>
              <w:t>Inline XBRL Instance Document (filed herewith)</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440" w:type="dxa"/>
            <w:vAlign w:val="bottom"/>
            <w:gridSpan w:val="5"/>
          </w:tcPr>
          <w:p>
            <w:pPr>
              <w:ind w:left="80"/>
              <w:spacing w:after="0"/>
              <w:rPr>
                <w:sz w:val="20"/>
                <w:szCs w:val="20"/>
                <w:color w:val="auto"/>
              </w:rPr>
            </w:pPr>
            <w:r>
              <w:rPr>
                <w:rFonts w:ascii="Arial" w:cs="Arial" w:eastAsia="Arial" w:hAnsi="Arial"/>
                <w:sz w:val="18"/>
                <w:szCs w:val="18"/>
                <w:color w:val="auto"/>
              </w:rPr>
              <w:t>101.SCH</w:t>
            </w:r>
          </w:p>
        </w:tc>
        <w:tc>
          <w:tcPr>
            <w:tcW w:w="858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With Embedded Linkbase Document (filed herewith)</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420" w:right="360" w:hanging="1358"/>
        <w:spacing w:after="0" w:line="271"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the Registrant’s Quarterly Report on Form 10-Q for the quarter ended June 30, 2024, formatted in Inline XBRL and contained in Exhibit 101</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420" w:firstLine="49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b w:val="1"/>
                <w:bCs w:val="1"/>
                <w:color w:val="auto"/>
              </w:rPr>
              <w:t>ALLISON TRANSMISSION HOLDINGS, INC.</w:t>
            </w:r>
          </w:p>
        </w:tc>
        <w:tc>
          <w:tcPr>
            <w:tcW w:w="2020" w:type="dxa"/>
            <w:vAlign w:val="bottom"/>
          </w:tcPr>
          <w:p>
            <w:pPr>
              <w:spacing w:after="0"/>
              <w:rPr>
                <w:sz w:val="21"/>
                <w:szCs w:val="21"/>
                <w:color w:val="auto"/>
              </w:rPr>
            </w:pPr>
          </w:p>
        </w:tc>
      </w:tr>
      <w:tr>
        <w:trPr>
          <w:trHeight w:val="473"/>
        </w:trPr>
        <w:tc>
          <w:tcPr>
            <w:tcW w:w="2080" w:type="dxa"/>
            <w:vAlign w:val="bottom"/>
          </w:tcPr>
          <w:p>
            <w:pPr>
              <w:ind w:left="20"/>
              <w:spacing w:after="0"/>
              <w:rPr>
                <w:sz w:val="20"/>
                <w:szCs w:val="20"/>
                <w:color w:val="auto"/>
              </w:rPr>
            </w:pPr>
            <w:r>
              <w:rPr>
                <w:rFonts w:ascii="Arial" w:cs="Arial" w:eastAsia="Arial" w:hAnsi="Arial"/>
                <w:sz w:val="18"/>
                <w:szCs w:val="18"/>
                <w:color w:val="auto"/>
              </w:rPr>
              <w:t>Date: July 26, 2024</w:t>
            </w:r>
          </w:p>
        </w:tc>
        <w:tc>
          <w:tcPr>
            <w:tcW w:w="980" w:type="dxa"/>
            <w:vAlign w:val="bottom"/>
          </w:tcPr>
          <w:p>
            <w:pPr>
              <w:ind w:left="520"/>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S. Graziosi</w:t>
            </w:r>
          </w:p>
        </w:tc>
        <w:tc>
          <w:tcPr>
            <w:tcW w:w="2020" w:type="dxa"/>
            <w:vAlign w:val="bottom"/>
          </w:tcPr>
          <w:p>
            <w:pPr>
              <w:spacing w:after="0"/>
              <w:rPr>
                <w:sz w:val="24"/>
                <w:szCs w:val="24"/>
                <w:color w:val="auto"/>
              </w:rPr>
            </w:pPr>
          </w:p>
        </w:tc>
      </w:tr>
      <w:tr>
        <w:trPr>
          <w:trHeight w:val="469"/>
        </w:trPr>
        <w:tc>
          <w:tcPr>
            <w:tcW w:w="2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color w:val="auto"/>
                <w:w w:val="98"/>
              </w:rPr>
              <w:t>Name:</w:t>
            </w:r>
          </w:p>
        </w:tc>
        <w:tc>
          <w:tcPr>
            <w:tcW w:w="5020" w:type="dxa"/>
            <w:vAlign w:val="bottom"/>
          </w:tcPr>
          <w:p>
            <w:pPr>
              <w:ind w:left="220"/>
              <w:spacing w:after="0"/>
              <w:rPr>
                <w:sz w:val="20"/>
                <w:szCs w:val="20"/>
                <w:color w:val="auto"/>
              </w:rPr>
            </w:pPr>
            <w:r>
              <w:rPr>
                <w:rFonts w:ascii="Arial" w:cs="Arial" w:eastAsia="Arial" w:hAnsi="Arial"/>
                <w:sz w:val="18"/>
                <w:szCs w:val="18"/>
                <w:color w:val="auto"/>
              </w:rPr>
              <w:t>David S. Graziosi</w:t>
            </w:r>
          </w:p>
        </w:tc>
        <w:tc>
          <w:tcPr>
            <w:tcW w:w="2020" w:type="dxa"/>
            <w:vAlign w:val="bottom"/>
          </w:tcPr>
          <w:p>
            <w:pPr>
              <w:spacing w:after="0"/>
              <w:rPr>
                <w:sz w:val="24"/>
                <w:szCs w:val="24"/>
                <w:color w:val="auto"/>
              </w:rPr>
            </w:pPr>
          </w:p>
        </w:tc>
      </w:tr>
      <w:tr>
        <w:trPr>
          <w:trHeight w:val="260"/>
        </w:trPr>
        <w:tc>
          <w:tcPr>
            <w:tcW w:w="2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7"/>
              </w:rPr>
              <w:t>Title:</w:t>
            </w:r>
          </w:p>
        </w:tc>
        <w:tc>
          <w:tcPr>
            <w:tcW w:w="5020" w:type="dxa"/>
            <w:vAlign w:val="bottom"/>
          </w:tcPr>
          <w:p>
            <w:pPr>
              <w:ind w:left="220"/>
              <w:spacing w:after="0"/>
              <w:rPr>
                <w:sz w:val="20"/>
                <w:szCs w:val="20"/>
                <w:color w:val="auto"/>
              </w:rPr>
            </w:pPr>
            <w:r>
              <w:rPr>
                <w:rFonts w:ascii="Arial" w:cs="Arial" w:eastAsia="Arial" w:hAnsi="Arial"/>
                <w:sz w:val="18"/>
                <w:szCs w:val="18"/>
                <w:color w:val="auto"/>
              </w:rPr>
              <w:t>Chair, President and Chief Executive Officer</w:t>
            </w:r>
          </w:p>
        </w:tc>
        <w:tc>
          <w:tcPr>
            <w:tcW w:w="2020" w:type="dxa"/>
            <w:vAlign w:val="bottom"/>
          </w:tcPr>
          <w:p>
            <w:pPr>
              <w:spacing w:after="0"/>
              <w:rPr>
                <w:sz w:val="22"/>
                <w:szCs w:val="22"/>
                <w:color w:val="auto"/>
              </w:rPr>
            </w:pPr>
          </w:p>
        </w:tc>
      </w:tr>
      <w:tr>
        <w:trPr>
          <w:trHeight w:val="239"/>
        </w:trPr>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20"/>
                <w:szCs w:val="20"/>
                <w:color w:val="auto"/>
              </w:rPr>
            </w:pPr>
          </w:p>
        </w:tc>
      </w:tr>
      <w:tr>
        <w:trPr>
          <w:trHeight w:val="684"/>
        </w:trPr>
        <w:tc>
          <w:tcPr>
            <w:tcW w:w="2080" w:type="dxa"/>
            <w:vAlign w:val="bottom"/>
          </w:tcPr>
          <w:p>
            <w:pPr>
              <w:ind w:left="20"/>
              <w:spacing w:after="0"/>
              <w:rPr>
                <w:sz w:val="20"/>
                <w:szCs w:val="20"/>
                <w:color w:val="auto"/>
              </w:rPr>
            </w:pPr>
            <w:r>
              <w:rPr>
                <w:rFonts w:ascii="Arial" w:cs="Arial" w:eastAsia="Arial" w:hAnsi="Arial"/>
                <w:sz w:val="18"/>
                <w:szCs w:val="18"/>
                <w:color w:val="auto"/>
              </w:rPr>
              <w:t>Date: July 26, 2024</w:t>
            </w:r>
          </w:p>
        </w:tc>
        <w:tc>
          <w:tcPr>
            <w:tcW w:w="980" w:type="dxa"/>
            <w:vAlign w:val="bottom"/>
          </w:tcPr>
          <w:p>
            <w:pPr>
              <w:ind w:left="520"/>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G. Frederick Bohley</w:t>
            </w:r>
          </w:p>
        </w:tc>
        <w:tc>
          <w:tcPr>
            <w:tcW w:w="2020" w:type="dxa"/>
            <w:vAlign w:val="bottom"/>
          </w:tcPr>
          <w:p>
            <w:pPr>
              <w:spacing w:after="0"/>
              <w:rPr>
                <w:sz w:val="24"/>
                <w:szCs w:val="24"/>
                <w:color w:val="auto"/>
              </w:rPr>
            </w:pPr>
          </w:p>
        </w:tc>
      </w:tr>
      <w:tr>
        <w:trPr>
          <w:trHeight w:val="469"/>
        </w:trPr>
        <w:tc>
          <w:tcPr>
            <w:tcW w:w="2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color w:val="auto"/>
                <w:w w:val="98"/>
              </w:rPr>
              <w:t>Name:</w:t>
            </w:r>
          </w:p>
        </w:tc>
        <w:tc>
          <w:tcPr>
            <w:tcW w:w="5020" w:type="dxa"/>
            <w:vAlign w:val="bottom"/>
          </w:tcPr>
          <w:p>
            <w:pPr>
              <w:ind w:left="220"/>
              <w:spacing w:after="0"/>
              <w:rPr>
                <w:sz w:val="20"/>
                <w:szCs w:val="20"/>
                <w:color w:val="auto"/>
              </w:rPr>
            </w:pPr>
            <w:r>
              <w:rPr>
                <w:rFonts w:ascii="Arial" w:cs="Arial" w:eastAsia="Arial" w:hAnsi="Arial"/>
                <w:sz w:val="18"/>
                <w:szCs w:val="18"/>
                <w:color w:val="auto"/>
              </w:rPr>
              <w:t>G. Frederick Bohley</w:t>
            </w:r>
          </w:p>
        </w:tc>
        <w:tc>
          <w:tcPr>
            <w:tcW w:w="2020" w:type="dxa"/>
            <w:vAlign w:val="bottom"/>
          </w:tcPr>
          <w:p>
            <w:pPr>
              <w:spacing w:after="0"/>
              <w:rPr>
                <w:sz w:val="24"/>
                <w:szCs w:val="24"/>
                <w:color w:val="auto"/>
              </w:rPr>
            </w:pPr>
          </w:p>
        </w:tc>
      </w:tr>
      <w:tr>
        <w:trPr>
          <w:trHeight w:val="233"/>
        </w:trPr>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7"/>
              </w:rPr>
              <w:t>Title:</w:t>
            </w:r>
          </w:p>
        </w:tc>
        <w:tc>
          <w:tcPr>
            <w:tcW w:w="5020" w:type="dxa"/>
            <w:vAlign w:val="bottom"/>
          </w:tcPr>
          <w:p>
            <w:pPr>
              <w:ind w:left="220"/>
              <w:spacing w:after="0"/>
              <w:rPr>
                <w:sz w:val="20"/>
                <w:szCs w:val="20"/>
                <w:color w:val="auto"/>
              </w:rPr>
            </w:pPr>
            <w:r>
              <w:rPr>
                <w:rFonts w:ascii="Arial" w:cs="Arial" w:eastAsia="Arial" w:hAnsi="Arial"/>
                <w:sz w:val="18"/>
                <w:szCs w:val="18"/>
                <w:color w:val="auto"/>
              </w:rPr>
              <w:t>Chief Operating Officer, Chief Financial Officer and</w:t>
            </w:r>
          </w:p>
        </w:tc>
        <w:tc>
          <w:tcPr>
            <w:tcW w:w="2020" w:type="dxa"/>
            <w:vAlign w:val="bottom"/>
          </w:tcPr>
          <w:p>
            <w:pPr>
              <w:spacing w:after="0"/>
              <w:rPr>
                <w:sz w:val="20"/>
                <w:szCs w:val="20"/>
                <w:color w:val="auto"/>
              </w:rPr>
            </w:pPr>
          </w:p>
        </w:tc>
      </w:tr>
      <w:tr>
        <w:trPr>
          <w:trHeight w:val="202"/>
        </w:trPr>
        <w:tc>
          <w:tcPr>
            <w:tcW w:w="2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Treasurer (Principal Financial Officer and Principal</w:t>
            </w:r>
          </w:p>
        </w:tc>
        <w:tc>
          <w:tcPr>
            <w:tcW w:w="2020" w:type="dxa"/>
            <w:vAlign w:val="bottom"/>
          </w:tcPr>
          <w:p>
            <w:pPr>
              <w:spacing w:after="0"/>
              <w:rPr>
                <w:sz w:val="17"/>
                <w:szCs w:val="17"/>
                <w:color w:val="auto"/>
              </w:rPr>
            </w:pPr>
          </w:p>
        </w:tc>
      </w:tr>
      <w:tr>
        <w:trPr>
          <w:trHeight w:val="239"/>
        </w:trPr>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Accounting Officer)</w:t>
            </w:r>
          </w:p>
        </w:tc>
        <w:tc>
          <w:tcPr>
            <w:tcW w:w="2020" w:type="dxa"/>
            <w:vAlign w:val="bottom"/>
          </w:tcPr>
          <w:p>
            <w:pPr>
              <w:spacing w:after="0"/>
              <w:rPr>
                <w:sz w:val="20"/>
                <w:szCs w:val="20"/>
                <w:color w:val="auto"/>
              </w:rPr>
            </w:pPr>
          </w:p>
        </w:tc>
      </w:tr>
      <w:tr>
        <w:trPr>
          <w:trHeight w:val="593"/>
        </w:trPr>
        <w:tc>
          <w:tcPr>
            <w:tcW w:w="2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20" w:type="dxa"/>
            <w:vAlign w:val="bottom"/>
          </w:tcPr>
          <w:p>
            <w:pPr>
              <w:ind w:left="1320"/>
              <w:spacing w:after="0"/>
              <w:rPr>
                <w:sz w:val="20"/>
                <w:szCs w:val="20"/>
                <w:color w:val="auto"/>
              </w:rPr>
            </w:pPr>
            <w:r>
              <w:rPr>
                <w:rFonts w:ascii="Arial" w:cs="Arial" w:eastAsia="Arial" w:hAnsi="Arial"/>
                <w:sz w:val="18"/>
                <w:szCs w:val="18"/>
                <w:color w:val="auto"/>
              </w:rPr>
              <w:t>42</w:t>
            </w:r>
          </w:p>
        </w:tc>
        <w:tc>
          <w:tcPr>
            <w:tcW w:w="2020" w:type="dxa"/>
            <w:vAlign w:val="bottom"/>
          </w:tcPr>
          <w:p>
            <w:pPr>
              <w:spacing w:after="0"/>
              <w:rPr>
                <w:sz w:val="24"/>
                <w:szCs w:val="24"/>
                <w:color w:val="auto"/>
              </w:rPr>
            </w:pPr>
          </w:p>
        </w:tc>
      </w:tr>
      <w:tr>
        <w:trPr>
          <w:trHeight w:val="745"/>
        </w:trPr>
        <w:tc>
          <w:tcPr>
            <w:tcW w:w="20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2" w:name="page43"/>
    <w:bookmarkEnd w:id="42"/>
    <w:p>
      <w:pPr>
        <w:spacing w:after="0" w:line="35"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ALLISON TRANSMISSION HOLDINGS,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Eighth Amended and Restated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08" w:lineRule="exact"/>
        <w:rPr>
          <w:sz w:val="20"/>
          <w:szCs w:val="20"/>
          <w:color w:val="auto"/>
        </w:rPr>
      </w:pPr>
    </w:p>
    <w:p>
      <w:pPr>
        <w:jc w:val="both"/>
        <w:ind w:firstLine="757"/>
        <w:spacing w:after="0" w:line="237" w:lineRule="auto"/>
        <w:tabs>
          <w:tab w:leader="none" w:pos="1018" w:val="left"/>
        </w:tabs>
        <w:numPr>
          <w:ilvl w:val="0"/>
          <w:numId w:val="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This Eighth Amended and Restated Non-Employee Director Compensation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set forth herein, amends and restates that certain Seventh Amended and Restated Non-Employee Director Compensation Policy, previously adopted by the Compensation Committee of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Allison Transmission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shall be effective as of May 8, 2024. Capitalized but undefined terms used herein shall have the meanings provided for in the Allison Transmission Holdings, Inc. 2024 Equity Incentive Award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u w:val="single" w:color="auto"/>
          <w:color w:val="auto"/>
        </w:rPr>
      </w:pPr>
    </w:p>
    <w:p>
      <w:pPr>
        <w:ind w:firstLine="757"/>
        <w:spacing w:after="0" w:line="258" w:lineRule="auto"/>
        <w:tabs>
          <w:tab w:leader="none" w:pos="1018" w:val="left"/>
        </w:tabs>
        <w:numPr>
          <w:ilvl w:val="0"/>
          <w:numId w:val="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Annual Retainer and Other Fees</w:t>
      </w:r>
      <w:r>
        <w:rPr>
          <w:rFonts w:ascii="Times New Roman" w:cs="Times New Roman" w:eastAsia="Times New Roman" w:hAnsi="Times New Roman"/>
          <w:sz w:val="22"/>
          <w:szCs w:val="22"/>
          <w:color w:val="auto"/>
        </w:rPr>
        <w:t>. Each member of the Board who is not employed by the Company or one of its subsidiaries (a “</w:t>
      </w:r>
      <w:r>
        <w:rPr>
          <w:rFonts w:ascii="Times New Roman" w:cs="Times New Roman" w:eastAsia="Times New Roman" w:hAnsi="Times New Roman"/>
          <w:sz w:val="22"/>
          <w:szCs w:val="22"/>
          <w:u w:val="single" w:color="auto"/>
          <w:color w:val="auto"/>
        </w:rPr>
        <w:t>Non-Employee Director</w:t>
      </w:r>
      <w:r>
        <w:rPr>
          <w:rFonts w:ascii="Times New Roman" w:cs="Times New Roman" w:eastAsia="Times New Roman" w:hAnsi="Times New Roman"/>
          <w:sz w:val="22"/>
          <w:szCs w:val="22"/>
          <w:color w:val="auto"/>
        </w:rPr>
        <w:t>”) shall be entitled to an annual retainer and other fee(s) as follows:</w:t>
      </w:r>
    </w:p>
    <w:p>
      <w:pPr>
        <w:spacing w:after="0" w:line="157" w:lineRule="exact"/>
        <w:rPr>
          <w:rFonts w:ascii="Times New Roman" w:cs="Times New Roman" w:eastAsia="Times New Roman" w:hAnsi="Times New Roman"/>
          <w:sz w:val="22"/>
          <w:szCs w:val="22"/>
          <w:u w:val="single" w:color="auto"/>
          <w:color w:val="auto"/>
        </w:rPr>
      </w:pPr>
    </w:p>
    <w:p>
      <w:pPr>
        <w:jc w:val="both"/>
        <w:ind w:left="100" w:firstLine="1495"/>
        <w:spacing w:after="0" w:line="237" w:lineRule="auto"/>
        <w:tabs>
          <w:tab w:leader="none" w:pos="2047"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on the Board shall be $95,000 (such amount shall also be referred to as, the “</w:t>
      </w:r>
      <w:r>
        <w:rPr>
          <w:rFonts w:ascii="Times New Roman" w:cs="Times New Roman" w:eastAsia="Times New Roman" w:hAnsi="Times New Roman"/>
          <w:sz w:val="22"/>
          <w:szCs w:val="22"/>
          <w:u w:val="single" w:color="auto"/>
          <w:color w:val="auto"/>
        </w:rPr>
        <w:t>Annual Retainer</w:t>
      </w:r>
      <w:r>
        <w:rPr>
          <w:rFonts w:ascii="Times New Roman" w:cs="Times New Roman" w:eastAsia="Times New Roman" w:hAnsi="Times New Roman"/>
          <w:sz w:val="22"/>
          <w:szCs w:val="22"/>
          <w:color w:val="auto"/>
        </w:rPr>
        <w:t xml:space="preserve">”), with the Annual Retainer payable at the Non-Employee Director’s election </w:t>
      </w:r>
      <w:r>
        <w:rPr>
          <w:rFonts w:ascii="Times New Roman" w:cs="Times New Roman" w:eastAsia="Times New Roman" w:hAnsi="Times New Roman"/>
          <w:sz w:val="22"/>
          <w:szCs w:val="22"/>
          <w:i w:val="1"/>
          <w:iCs w:val="1"/>
          <w:color w:val="auto"/>
        </w:rPr>
        <w:t>either</w:t>
      </w:r>
      <w:r>
        <w:rPr>
          <w:rFonts w:ascii="Times New Roman" w:cs="Times New Roman" w:eastAsia="Times New Roman" w:hAnsi="Times New Roman"/>
          <w:sz w:val="22"/>
          <w:szCs w:val="22"/>
          <w:color w:val="auto"/>
        </w:rPr>
        <w:t xml:space="preserve"> 100% in fully vested Common Stock granted under the Plan (valued based on the Fair Market Value of the Common Stock on the date of grant), 100% in cash, </w:t>
      </w:r>
      <w:r>
        <w:rPr>
          <w:rFonts w:ascii="Times New Roman" w:cs="Times New Roman" w:eastAsia="Times New Roman" w:hAnsi="Times New Roman"/>
          <w:sz w:val="22"/>
          <w:szCs w:val="22"/>
          <w:i w:val="1"/>
          <w:iCs w:val="1"/>
          <w:color w:val="auto"/>
        </w:rPr>
        <w:t>or</w:t>
      </w:r>
      <w:r>
        <w:rPr>
          <w:rFonts w:ascii="Times New Roman" w:cs="Times New Roman" w:eastAsia="Times New Roman" w:hAnsi="Times New Roman"/>
          <w:sz w:val="22"/>
          <w:szCs w:val="22"/>
          <w:color w:val="auto"/>
        </w:rPr>
        <w:t xml:space="preserve"> 50% in fully vested Common Stock granted under the Plan and 50% in cash (if no election is made, the Annual Retainer will be paid 100% in cash);</w:t>
      </w:r>
    </w:p>
    <w:p>
      <w:pPr>
        <w:spacing w:after="0" w:line="180" w:lineRule="exact"/>
        <w:rPr>
          <w:rFonts w:ascii="Times New Roman" w:cs="Times New Roman" w:eastAsia="Times New Roman" w:hAnsi="Times New Roman"/>
          <w:sz w:val="22"/>
          <w:szCs w:val="22"/>
          <w:color w:val="auto"/>
        </w:rPr>
      </w:pPr>
    </w:p>
    <w:p>
      <w:pPr>
        <w:ind w:left="100" w:firstLine="1495"/>
        <w:spacing w:after="0" w:line="258" w:lineRule="auto"/>
        <w:tabs>
          <w:tab w:leader="none" w:pos="2047"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as Chair of the Audit Committee shall be an additional $24,000, payable in cash (the “</w:t>
      </w:r>
      <w:r>
        <w:rPr>
          <w:rFonts w:ascii="Times New Roman" w:cs="Times New Roman" w:eastAsia="Times New Roman" w:hAnsi="Times New Roman"/>
          <w:sz w:val="22"/>
          <w:szCs w:val="22"/>
          <w:u w:val="single" w:color="auto"/>
          <w:color w:val="auto"/>
        </w:rPr>
        <w:t>Audit Chair Fee</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2040" w:hanging="445"/>
        <w:spacing w:after="0"/>
        <w:tabs>
          <w:tab w:leader="none" w:pos="204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as Chair of the Compensation Committee shall be an additional</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$15,000, payable in cash (the “</w:t>
      </w:r>
      <w:r>
        <w:rPr>
          <w:rFonts w:ascii="Times New Roman" w:cs="Times New Roman" w:eastAsia="Times New Roman" w:hAnsi="Times New Roman"/>
          <w:sz w:val="22"/>
          <w:szCs w:val="22"/>
          <w:u w:val="single" w:color="auto"/>
          <w:color w:val="auto"/>
        </w:rPr>
        <w:t>Compensation Chair Fee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00" w:firstLine="1495"/>
        <w:spacing w:after="0" w:line="258" w:lineRule="auto"/>
        <w:tabs>
          <w:tab w:leader="none" w:pos="204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as a Chair of a committee of the Board (other than the Audit or the Compensation Committee) shall be an additional $15,000, payable in cash (the “</w:t>
      </w:r>
      <w:r>
        <w:rPr>
          <w:rFonts w:ascii="Times New Roman" w:cs="Times New Roman" w:eastAsia="Times New Roman" w:hAnsi="Times New Roman"/>
          <w:sz w:val="22"/>
          <w:szCs w:val="22"/>
          <w:u w:val="single" w:color="auto"/>
          <w:color w:val="auto"/>
        </w:rPr>
        <w:t>Other Chair Fee</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00" w:firstLine="1495"/>
        <w:spacing w:after="0" w:line="258" w:lineRule="auto"/>
        <w:tabs>
          <w:tab w:leader="none" w:pos="204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as a Non-Employee Director on the Audit Committee shall be an additional $12,000, payable in cash (the “</w:t>
      </w:r>
      <w:r>
        <w:rPr>
          <w:rFonts w:ascii="Times New Roman" w:cs="Times New Roman" w:eastAsia="Times New Roman" w:hAnsi="Times New Roman"/>
          <w:sz w:val="22"/>
          <w:szCs w:val="22"/>
          <w:u w:val="single" w:color="auto"/>
          <w:color w:val="auto"/>
        </w:rPr>
        <w:t>Audit Committee Service Fee</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00" w:right="80" w:firstLine="1495"/>
        <w:spacing w:after="0" w:line="258" w:lineRule="auto"/>
        <w:tabs>
          <w:tab w:leader="none" w:pos="204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retainer fee for service as a Non-Employee Director on the Compensation Committee shall be an additional $7,500, payable in cash (the “</w:t>
      </w:r>
      <w:r>
        <w:rPr>
          <w:rFonts w:ascii="Times New Roman" w:cs="Times New Roman" w:eastAsia="Times New Roman" w:hAnsi="Times New Roman"/>
          <w:sz w:val="22"/>
          <w:szCs w:val="22"/>
          <w:u w:val="single" w:color="auto"/>
          <w:color w:val="auto"/>
        </w:rPr>
        <w:t>Compensation Committee Service Fee</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00" w:firstLine="1495"/>
        <w:spacing w:after="0" w:line="307" w:lineRule="auto"/>
        <w:tabs>
          <w:tab w:leader="none" w:pos="204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retainer fee for service as a Non-Employee Director on a committee of the Board other than the Audit or Compensation Committee shall be an additional $6,500, payable in cash (the “</w:t>
      </w:r>
      <w:r>
        <w:rPr>
          <w:rFonts w:ascii="Times New Roman" w:cs="Times New Roman" w:eastAsia="Times New Roman" w:hAnsi="Times New Roman"/>
          <w:sz w:val="20"/>
          <w:szCs w:val="20"/>
          <w:u w:val="single" w:color="auto"/>
          <w:color w:val="auto"/>
        </w:rPr>
        <w:t>Other Committee Service Fee</w:t>
      </w:r>
      <w:r>
        <w:rPr>
          <w:rFonts w:ascii="Times New Roman" w:cs="Times New Roman" w:eastAsia="Times New Roman" w:hAnsi="Times New Roman"/>
          <w:sz w:val="20"/>
          <w:szCs w:val="20"/>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ind w:left="100" w:firstLine="1495"/>
        <w:spacing w:after="0" w:line="258" w:lineRule="auto"/>
        <w:tabs>
          <w:tab w:leader="none" w:pos="204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leadership fee for service as the Non-Executive Chairman of the Board shall be an additional $50,000, payable in cash (the “Non-Executive Chairman Fee”); and</w:t>
      </w:r>
    </w:p>
    <w:p>
      <w:pPr>
        <w:spacing w:after="0" w:line="157" w:lineRule="exact"/>
        <w:rPr>
          <w:rFonts w:ascii="Times New Roman" w:cs="Times New Roman" w:eastAsia="Times New Roman" w:hAnsi="Times New Roman"/>
          <w:sz w:val="22"/>
          <w:szCs w:val="22"/>
          <w:color w:val="auto"/>
        </w:rPr>
      </w:pPr>
    </w:p>
    <w:p>
      <w:pPr>
        <w:ind w:left="100" w:firstLine="1495"/>
        <w:spacing w:after="0" w:line="258" w:lineRule="auto"/>
        <w:tabs>
          <w:tab w:leader="none" w:pos="204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leadership fee for service as the Lead Director of the Board shall be an additional $30,000 (the “</w:t>
      </w:r>
      <w:r>
        <w:rPr>
          <w:rFonts w:ascii="Times New Roman" w:cs="Times New Roman" w:eastAsia="Times New Roman" w:hAnsi="Times New Roman"/>
          <w:sz w:val="22"/>
          <w:szCs w:val="22"/>
          <w:u w:val="single" w:color="auto"/>
          <w:color w:val="auto"/>
        </w:rPr>
        <w:t>Lead Director Fee</w:t>
      </w:r>
      <w:r>
        <w:rPr>
          <w:rFonts w:ascii="Times New Roman" w:cs="Times New Roman" w:eastAsia="Times New Roman" w:hAnsi="Times New Roman"/>
          <w:sz w:val="22"/>
          <w:szCs w:val="22"/>
          <w:color w:val="auto"/>
        </w:rPr>
        <w:t>,” and together with the fees in clauses (b) through (h), the “</w:t>
      </w:r>
      <w:r>
        <w:rPr>
          <w:rFonts w:ascii="Times New Roman" w:cs="Times New Roman" w:eastAsia="Times New Roman" w:hAnsi="Times New Roman"/>
          <w:sz w:val="22"/>
          <w:szCs w:val="22"/>
          <w:u w:val="single" w:color="auto"/>
          <w:color w:val="auto"/>
        </w:rPr>
        <w:t>Other Fees</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ind w:firstLine="1498"/>
        <w:spacing w:after="0" w:line="258" w:lineRule="auto"/>
        <w:rPr>
          <w:sz w:val="20"/>
          <w:szCs w:val="20"/>
          <w:color w:val="auto"/>
        </w:rPr>
      </w:pPr>
      <w:r>
        <w:rPr>
          <w:rFonts w:ascii="Times New Roman" w:cs="Times New Roman" w:eastAsia="Times New Roman" w:hAnsi="Times New Roman"/>
          <w:sz w:val="22"/>
          <w:szCs w:val="22"/>
          <w:color w:val="auto"/>
        </w:rPr>
        <w:t>In no event shall a Non-Employee Director receive a fee pursuant to clause (e), (f) or (g) with respect to a committee that the Non-Employee Director serves as its Chair for the applicable year.</w:t>
      </w:r>
    </w:p>
    <w:p>
      <w:pPr>
        <w:spacing w:after="0" w:line="157" w:lineRule="exact"/>
        <w:rPr>
          <w:sz w:val="20"/>
          <w:szCs w:val="20"/>
          <w:color w:val="auto"/>
        </w:rPr>
      </w:pPr>
    </w:p>
    <w:p>
      <w:pPr>
        <w:jc w:val="both"/>
        <w:ind w:firstLine="757"/>
        <w:spacing w:after="0" w:line="236" w:lineRule="auto"/>
        <w:tabs>
          <w:tab w:leader="none" w:pos="1018" w:val="left"/>
        </w:tabs>
        <w:numPr>
          <w:ilvl w:val="1"/>
          <w:numId w:val="1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Timing of Payment of Annual Retainer and Other Fees</w:t>
      </w:r>
      <w:r>
        <w:rPr>
          <w:rFonts w:ascii="Times New Roman" w:cs="Times New Roman" w:eastAsia="Times New Roman" w:hAnsi="Times New Roman"/>
          <w:sz w:val="22"/>
          <w:szCs w:val="22"/>
          <w:color w:val="auto"/>
        </w:rPr>
        <w:t>. The Annual Retainer and Other Fees payable hereunder are intended to cover service from one regular annual stockholders meeting to the next and, unless a deferral election is made as provided below, the Annual Retainer and Other Fees shall be paid quarterly in arrears in equal installments following the date of the Company’s annual stockholders meeting, without any requirement of additional Board action in connection therewith. The Annual Retainer and Other Fees shall be subject to the Non-Employee Director’s continued service on the Board on each applicable payment date.</w:t>
      </w:r>
    </w:p>
    <w:p>
      <w:pPr>
        <w:spacing w:after="0" w:line="179" w:lineRule="exact"/>
        <w:rPr>
          <w:rFonts w:ascii="Times New Roman" w:cs="Times New Roman" w:eastAsia="Times New Roman" w:hAnsi="Times New Roman"/>
          <w:sz w:val="22"/>
          <w:szCs w:val="22"/>
          <w:u w:val="single" w:color="auto"/>
          <w:color w:val="auto"/>
        </w:rPr>
      </w:pPr>
    </w:p>
    <w:p>
      <w:pPr>
        <w:jc w:val="both"/>
        <w:ind w:firstLine="757"/>
        <w:spacing w:after="0" w:line="233" w:lineRule="auto"/>
        <w:tabs>
          <w:tab w:leader="none" w:pos="1018" w:val="left"/>
        </w:tabs>
        <w:numPr>
          <w:ilvl w:val="1"/>
          <w:numId w:val="1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Annual Equity Award</w:t>
      </w:r>
      <w:r>
        <w:rPr>
          <w:rFonts w:ascii="Times New Roman" w:cs="Times New Roman" w:eastAsia="Times New Roman" w:hAnsi="Times New Roman"/>
          <w:sz w:val="22"/>
          <w:szCs w:val="22"/>
          <w:color w:val="auto"/>
        </w:rPr>
        <w:t>. Each Non-Employee Director shall be entitled to an annual grant of Restricted Stock Units under the Plan covering shares of Common Stock with a grant date Fair Market Value of $155,000 (the “</w:t>
      </w:r>
      <w:r>
        <w:rPr>
          <w:rFonts w:ascii="Times New Roman" w:cs="Times New Roman" w:eastAsia="Times New Roman" w:hAnsi="Times New Roman"/>
          <w:sz w:val="22"/>
          <w:szCs w:val="22"/>
          <w:u w:val="single" w:color="auto"/>
          <w:color w:val="auto"/>
        </w:rPr>
        <w:t>Annual Equity Award</w:t>
      </w:r>
      <w:r>
        <w:rPr>
          <w:rFonts w:ascii="Times New Roman" w:cs="Times New Roman" w:eastAsia="Times New Roman" w:hAnsi="Times New Roman"/>
          <w:sz w:val="22"/>
          <w:szCs w:val="22"/>
          <w:color w:val="auto"/>
        </w:rPr>
        <w:t>”). The Annual Equity Award shall be granted as of the next business day after the date of the Company’s annual stockholders meeting, without any requirement of additional Board action in connection therewith, and will vest on the first to occur of (A) date of the Company’s next regular annual stockholders meeting in the year following the year of grant, (B) the date of the Non-Employee Director’s Separation from Service due to death or Disability, or (C) the date of a Change in Control, subject to continued service as a Non-Employee Director through the applicable vesting date. Any Annual Equity Award that does not vest on or prior to the date of the Non-Employee Director’s Separation from Service shall be immediately forfeited. The Restricted Stock Units shall be granted pursuant and subject to the terms set forth in the written agreement previously approved by the Board and duly executed by an executive officer of the Company. Unless a deferral election is made as provided below, the Restricted Stock Units will be distributed in actual shares of Common Stock, or, at the Company’s election, cash, in either case promptly (within 30 days) upon vesting.</w:t>
      </w:r>
    </w:p>
    <w:p>
      <w:pPr>
        <w:spacing w:after="0" w:line="181"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1"/>
          <w:numId w:val="1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Deferral Elections</w:t>
      </w:r>
      <w:r>
        <w:rPr>
          <w:rFonts w:ascii="Times New Roman" w:cs="Times New Roman" w:eastAsia="Times New Roman" w:hAnsi="Times New Roman"/>
          <w:sz w:val="20"/>
          <w:szCs w:val="20"/>
          <w:color w:val="auto"/>
        </w:rPr>
        <w:t>. A Non-Employee Director may elect to receive deferred stock units (“</w:t>
      </w:r>
      <w:r>
        <w:rPr>
          <w:rFonts w:ascii="Times New Roman" w:cs="Times New Roman" w:eastAsia="Times New Roman" w:hAnsi="Times New Roman"/>
          <w:sz w:val="20"/>
          <w:szCs w:val="20"/>
          <w:u w:val="single" w:color="auto"/>
          <w:color w:val="auto"/>
        </w:rPr>
        <w:t>Deferred Stock</w:t>
      </w:r>
      <w:r>
        <w:rPr>
          <w:rFonts w:ascii="Times New Roman" w:cs="Times New Roman" w:eastAsia="Times New Roman" w:hAnsi="Times New Roman"/>
          <w:sz w:val="20"/>
          <w:szCs w:val="20"/>
          <w:color w:val="auto"/>
        </w:rPr>
        <w:t>”) in lieu of</w:t>
      </w:r>
    </w:p>
    <w:p>
      <w:pPr>
        <w:spacing w:after="0" w:line="36" w:lineRule="exact"/>
        <w:rPr>
          <w:rFonts w:ascii="Times New Roman" w:cs="Times New Roman" w:eastAsia="Times New Roman" w:hAnsi="Times New Roman"/>
          <w:sz w:val="20"/>
          <w:szCs w:val="20"/>
          <w:u w:val="single" w:color="auto"/>
          <w:color w:val="auto"/>
        </w:rPr>
      </w:pPr>
    </w:p>
    <w:p>
      <w:pPr>
        <w:jc w:val="both"/>
        <w:ind w:firstLine="8"/>
        <w:spacing w:after="0" w:line="231" w:lineRule="auto"/>
        <w:tabs>
          <w:tab w:leader="none" w:pos="30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some or all of the fully vested stock awards constituting his or her Annual Retainer, (b) all of the cash constituting his or her Other Fees and (iii) some or all of the Restricted Stock Units constituting his or her Annual Equity Award. Any such Deferred Stock that relates to an Annual Equity Award shall be subject to the same vesting provisions as described in Section 4 above and will be immediately forfeited to the extent the Deferred Stock does not vest in accordance with such provisions. If the Non-Employee Director elects to receive Deferred Stock, the units will be credited to a bookkeeping account under the Company’s Non-Employee Director Deferred Compensation Plan, where each unit will be equivalent in value to one share of Common Stock, and the units will be distributed in actual shares of Common Stock, or at the Company’s election, cash, at the earlier of the Non-Employee Director’s Separation from Service on the Board or a Change in Control, as described more fully in and in each case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4" w:name="page45"/>
    <w:bookmarkEnd w:id="44"/>
    <w:p>
      <w:pPr>
        <w:jc w:val="both"/>
        <w:spacing w:after="0" w:line="239" w:lineRule="auto"/>
        <w:rPr>
          <w:sz w:val="20"/>
          <w:szCs w:val="20"/>
          <w:color w:val="auto"/>
        </w:rPr>
      </w:pPr>
      <w:r>
        <w:rPr>
          <w:rFonts w:ascii="Times New Roman" w:cs="Times New Roman" w:eastAsia="Times New Roman" w:hAnsi="Times New Roman"/>
          <w:sz w:val="22"/>
          <w:szCs w:val="22"/>
          <w:color w:val="auto"/>
        </w:rPr>
        <w:t>to the terms and conditions of the Company’s Non-Employee Director Deferred Compensation Plan (the “</w:t>
      </w:r>
      <w:r>
        <w:rPr>
          <w:rFonts w:ascii="Times New Roman" w:cs="Times New Roman" w:eastAsia="Times New Roman" w:hAnsi="Times New Roman"/>
          <w:sz w:val="22"/>
          <w:szCs w:val="22"/>
          <w:u w:val="single" w:color="auto"/>
          <w:color w:val="auto"/>
        </w:rPr>
        <w:t>Director Deferred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Compensation Plan</w:t>
      </w:r>
      <w:r>
        <w:rPr>
          <w:rFonts w:ascii="Times New Roman" w:cs="Times New Roman" w:eastAsia="Times New Roman" w:hAnsi="Times New Roman"/>
          <w:sz w:val="22"/>
          <w:szCs w:val="22"/>
          <w:color w:val="auto"/>
        </w:rPr>
        <w:t>”). All deferral elections must be made in accordance with and are subject to the terms and conditions of the Director Deferred Compensation Plan. As used in this paragraph and in paragraph 5(i), the terms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have meanings assigned to them in the Director Deferred Compensation Plan.</w:t>
      </w:r>
    </w:p>
    <w:p>
      <w:pPr>
        <w:spacing w:after="0" w:line="179" w:lineRule="exact"/>
        <w:rPr>
          <w:sz w:val="20"/>
          <w:szCs w:val="20"/>
          <w:color w:val="auto"/>
        </w:rPr>
      </w:pPr>
    </w:p>
    <w:p>
      <w:pPr>
        <w:jc w:val="both"/>
        <w:ind w:firstLine="757"/>
        <w:spacing w:after="0" w:line="235" w:lineRule="auto"/>
        <w:tabs>
          <w:tab w:leader="none" w:pos="1018" w:val="left"/>
        </w:tabs>
        <w:numPr>
          <w:ilvl w:val="0"/>
          <w:numId w:val="1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Directors Commencing Service After the Annual Stockholders Meeting; Partial Year Roles</w:t>
      </w:r>
      <w:r>
        <w:rPr>
          <w:rFonts w:ascii="Times New Roman" w:cs="Times New Roman" w:eastAsia="Times New Roman" w:hAnsi="Times New Roman"/>
          <w:sz w:val="22"/>
          <w:szCs w:val="22"/>
          <w:color w:val="auto"/>
        </w:rPr>
        <w:t>. If a Non-Employee Director commences service on the Board after the date of the Company’s regular annual stockholders meeting, the Non-Employee Director will receive a pro-rated portion the Annual Retainer, Other Fees, as applicable, and the Annual Equity Grant (based on the numbers of whole months elapsed since the most recent regular annual stockholders meeting). If a Non-Employee Director commences service on a committee of the Board, as the Non-Executive Chairman or as the Lead Director the Board in the middle of a service period, the Board may pro-rate any Other Fees otherwise payable with respect to such service and the payment date shall be within thirty days of such appointment, subject to any deferral elections.</w:t>
      </w:r>
    </w:p>
    <w:p>
      <w:pPr>
        <w:spacing w:after="0" w:line="180" w:lineRule="exact"/>
        <w:rPr>
          <w:rFonts w:ascii="Times New Roman" w:cs="Times New Roman" w:eastAsia="Times New Roman" w:hAnsi="Times New Roman"/>
          <w:sz w:val="22"/>
          <w:szCs w:val="22"/>
          <w:u w:val="single" w:color="auto"/>
          <w:color w:val="auto"/>
        </w:rPr>
      </w:pPr>
    </w:p>
    <w:p>
      <w:pPr>
        <w:ind w:firstLine="757"/>
        <w:spacing w:after="0" w:line="258" w:lineRule="auto"/>
        <w:tabs>
          <w:tab w:leader="none" w:pos="1018" w:val="left"/>
        </w:tabs>
        <w:numPr>
          <w:ilvl w:val="0"/>
          <w:numId w:val="1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Effect of Other Plan Provisions</w:t>
      </w:r>
      <w:r>
        <w:rPr>
          <w:rFonts w:ascii="Times New Roman" w:cs="Times New Roman" w:eastAsia="Times New Roman" w:hAnsi="Times New Roman"/>
          <w:sz w:val="22"/>
          <w:szCs w:val="22"/>
          <w:color w:val="auto"/>
        </w:rPr>
        <w:t>. All of the provisions of the Plan shall apply to the Awards granted automatically pursuant to this Policy, except to the extent such provisions are inconsistent with this Policy.</w:t>
      </w:r>
    </w:p>
    <w:p>
      <w:pPr>
        <w:spacing w:after="0" w:line="157" w:lineRule="exact"/>
        <w:rPr>
          <w:rFonts w:ascii="Times New Roman" w:cs="Times New Roman" w:eastAsia="Times New Roman" w:hAnsi="Times New Roman"/>
          <w:sz w:val="22"/>
          <w:szCs w:val="22"/>
          <w:u w:val="single" w:color="auto"/>
          <w:color w:val="auto"/>
        </w:rPr>
      </w:pPr>
    </w:p>
    <w:p>
      <w:pPr>
        <w:jc w:val="both"/>
        <w:ind w:firstLine="757"/>
        <w:spacing w:after="0" w:line="239" w:lineRule="auto"/>
        <w:tabs>
          <w:tab w:leader="none" w:pos="1018" w:val="left"/>
        </w:tabs>
        <w:numPr>
          <w:ilvl w:val="0"/>
          <w:numId w:val="1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Policy Subject to Amendment, Modification and Termination</w:t>
      </w:r>
      <w:r>
        <w:rPr>
          <w:rFonts w:ascii="Times New Roman" w:cs="Times New Roman" w:eastAsia="Times New Roman" w:hAnsi="Times New Roman"/>
          <w:sz w:val="22"/>
          <w:szCs w:val="22"/>
          <w:color w:val="auto"/>
        </w:rPr>
        <w:t>. This Policy may be amended, modified or terminated by the Board or Compensation Committee in the future at its sole discretion. Without limiting the generality of the foregoing, the Board or Compensation Committee hereby expressly reserves the authority to terminate this Policy during any year up and until the election of directors at a given annual meeting of stockholders.</w:t>
      </w:r>
    </w:p>
    <w:p>
      <w:pPr>
        <w:spacing w:after="0" w:line="178" w:lineRule="exact"/>
        <w:rPr>
          <w:rFonts w:ascii="Times New Roman" w:cs="Times New Roman" w:eastAsia="Times New Roman" w:hAnsi="Times New Roman"/>
          <w:sz w:val="22"/>
          <w:szCs w:val="22"/>
          <w:u w:val="single" w:color="auto"/>
          <w:color w:val="auto"/>
        </w:rPr>
      </w:pPr>
    </w:p>
    <w:p>
      <w:pPr>
        <w:ind w:left="4820"/>
        <w:spacing w:after="0"/>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1025525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ALLISON TRANSMISSION HOLDINGS, INC. 2024 EQUITY</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INCENTIVE AWARD PLAN</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232" w:lineRule="exact"/>
        <w:rPr>
          <w:sz w:val="20"/>
          <w:szCs w:val="20"/>
          <w:color w:val="auto"/>
        </w:rPr>
      </w:pPr>
    </w:p>
    <w:p>
      <w:pPr>
        <w:jc w:val="both"/>
        <w:ind w:left="180" w:right="120" w:firstLine="749"/>
        <w:spacing w:after="0" w:line="245" w:lineRule="auto"/>
        <w:rPr>
          <w:sz w:val="20"/>
          <w:szCs w:val="20"/>
          <w:color w:val="auto"/>
        </w:rPr>
      </w:pPr>
      <w:r>
        <w:rPr>
          <w:rFonts w:ascii="Times New Roman" w:cs="Times New Roman" w:eastAsia="Times New Roman" w:hAnsi="Times New Roman"/>
          <w:sz w:val="20"/>
          <w:szCs w:val="20"/>
          <w:color w:val="auto"/>
        </w:rPr>
        <w:t>Allison Transmission Holdings,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2024 Equity Incentive Award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the number of Restricted Stock Units (the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set forth below. The RSUs are subject to the terms and conditions set forth in this Restricted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and the Restricted Stock Unit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Plan, which are incorporated herein by reference. Unless otherwise defined herein, the terms defined in the Plan shall have the same defined meanings in the Grant Notice and the Agreement.</w:t>
      </w: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Number of RSUs:</w:t>
      </w:r>
    </w:p>
    <w:p>
      <w:pPr>
        <w:spacing w:after="0" w:line="107" w:lineRule="exact"/>
        <w:rPr>
          <w:sz w:val="20"/>
          <w:szCs w:val="20"/>
          <w:color w:val="auto"/>
        </w:rPr>
      </w:pPr>
    </w:p>
    <w:p>
      <w:pPr>
        <w:ind w:left="200"/>
        <w:spacing w:after="0"/>
        <w:tabs>
          <w:tab w:leader="none" w:pos="2540" w:val="left"/>
        </w:tabs>
        <w:rPr>
          <w:sz w:val="20"/>
          <w:szCs w:val="20"/>
          <w:color w:val="auto"/>
        </w:rPr>
      </w:pPr>
      <w:r>
        <w:rPr>
          <w:rFonts w:ascii="Times New Roman" w:cs="Times New Roman" w:eastAsia="Times New Roman" w:hAnsi="Times New Roman"/>
          <w:sz w:val="20"/>
          <w:szCs w:val="20"/>
          <w:b w:val="1"/>
          <w:bCs w:val="1"/>
          <w:color w:val="auto"/>
        </w:rPr>
        <w:t>Type of Shares Issuable:</w:t>
      </w:r>
      <w:r>
        <w:rPr>
          <w:sz w:val="20"/>
          <w:szCs w:val="20"/>
          <w:color w:val="auto"/>
        </w:rPr>
        <w:tab/>
      </w:r>
      <w:r>
        <w:rPr>
          <w:rFonts w:ascii="Times New Roman" w:cs="Times New Roman" w:eastAsia="Times New Roman" w:hAnsi="Times New Roman"/>
          <w:sz w:val="19"/>
          <w:szCs w:val="19"/>
          <w:color w:val="auto"/>
        </w:rPr>
        <w:t>Common Stock of Allison Transmission Holdings, Inc.</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color w:val="auto"/>
        </w:rPr>
        <w:t>[To be specified in individual agreements]</w:t>
      </w:r>
    </w:p>
    <w:p>
      <w:pPr>
        <w:spacing w:after="0" w:line="273" w:lineRule="exact"/>
        <w:rPr>
          <w:sz w:val="20"/>
          <w:szCs w:val="20"/>
          <w:color w:val="auto"/>
        </w:rPr>
      </w:pPr>
    </w:p>
    <w:p>
      <w:pPr>
        <w:jc w:val="both"/>
        <w:ind w:left="180" w:right="120" w:firstLine="749"/>
        <w:spacing w:after="0" w:line="246" w:lineRule="auto"/>
        <w:rPr>
          <w:sz w:val="20"/>
          <w:szCs w:val="20"/>
          <w:color w:val="auto"/>
        </w:rPr>
      </w:pPr>
      <w:r>
        <w:rPr>
          <w:rFonts w:ascii="Times New Roman" w:cs="Times New Roman" w:eastAsia="Times New Roman" w:hAnsi="Times New Roman"/>
          <w:sz w:val="20"/>
          <w:szCs w:val="20"/>
          <w:color w:val="auto"/>
        </w:rPr>
        <w:t>By his or her signature, and the Company’s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pacing w:after="0" w:line="206" w:lineRule="exact"/>
        <w:rPr>
          <w:sz w:val="20"/>
          <w:szCs w:val="20"/>
          <w:color w:val="auto"/>
        </w:rPr>
      </w:pPr>
    </w:p>
    <w:p>
      <w:pPr>
        <w:ind w:left="180"/>
        <w:spacing w:after="0"/>
        <w:tabs>
          <w:tab w:leader="none" w:pos="4500" w:val="left"/>
        </w:tabs>
        <w:rPr>
          <w:sz w:val="20"/>
          <w:szCs w:val="20"/>
          <w:color w:val="auto"/>
        </w:rPr>
      </w:pPr>
      <w:r>
        <w:rPr>
          <w:rFonts w:ascii="Times New Roman" w:cs="Times New Roman" w:eastAsia="Times New Roman" w:hAnsi="Times New Roman"/>
          <w:sz w:val="20"/>
          <w:szCs w:val="20"/>
          <w:b w:val="1"/>
          <w:bCs w:val="1"/>
          <w:color w:val="auto"/>
        </w:rPr>
        <w:t>ALLISON TRANSMISSION HOLDINGS, INC.</w:t>
      </w:r>
      <w:r>
        <w:rPr>
          <w:sz w:val="20"/>
          <w:szCs w:val="20"/>
          <w:color w:val="auto"/>
        </w:rPr>
        <w:tab/>
      </w:r>
      <w:r>
        <w:rPr>
          <w:rFonts w:ascii="Times New Roman" w:cs="Times New Roman" w:eastAsia="Times New Roman" w:hAnsi="Times New Roman"/>
          <w:sz w:val="19"/>
          <w:szCs w:val="19"/>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By:</w:t>
            </w:r>
          </w:p>
        </w:tc>
        <w:tc>
          <w:tcPr>
            <w:tcW w:w="76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256"/>
        </w:trPr>
        <w:tc>
          <w:tcPr>
            <w:tcW w:w="3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Print Name:</w:t>
            </w:r>
          </w:p>
        </w:tc>
        <w:tc>
          <w:tcPr>
            <w:tcW w:w="76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Print Name:</w:t>
            </w:r>
          </w:p>
        </w:tc>
        <w:tc>
          <w:tcPr>
            <w:tcW w:w="0" w:type="dxa"/>
            <w:vAlign w:val="bottom"/>
          </w:tcPr>
          <w:p>
            <w:pPr>
              <w:spacing w:after="0"/>
              <w:rPr>
                <w:sz w:val="1"/>
                <w:szCs w:val="1"/>
                <w:color w:val="auto"/>
              </w:rPr>
            </w:pPr>
          </w:p>
        </w:tc>
      </w:tr>
      <w:tr>
        <w:trPr>
          <w:trHeight w:val="258"/>
        </w:trPr>
        <w:tc>
          <w:tcPr>
            <w:tcW w:w="3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Title:</w:t>
            </w:r>
          </w:p>
        </w:tc>
        <w:tc>
          <w:tcPr>
            <w:tcW w:w="7620" w:type="dxa"/>
            <w:vAlign w:val="bottom"/>
            <w:vMerge w:val="restart"/>
          </w:tcPr>
          <w:p>
            <w:pPr>
              <w:ind w:left="210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256"/>
        </w:trPr>
        <w:tc>
          <w:tcPr>
            <w:tcW w:w="3620" w:type="dxa"/>
            <w:vAlign w:val="bottom"/>
          </w:tcPr>
          <w:p>
            <w:pPr>
              <w:spacing w:after="0"/>
              <w:rPr>
                <w:sz w:val="22"/>
                <w:szCs w:val="22"/>
                <w:color w:val="auto"/>
              </w:rPr>
            </w:pPr>
          </w:p>
        </w:tc>
        <w:tc>
          <w:tcPr>
            <w:tcW w:w="7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16"/>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|US-DOCS\149144305.3||</w:t>
            </w:r>
          </w:p>
        </w:tc>
        <w:tc>
          <w:tcPr>
            <w:tcW w:w="7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0"/>
        </w:trPr>
        <w:tc>
          <w:tcPr>
            <w:tcW w:w="362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TO RESTRICTED STOCK UNIT GRANT NOTICE RESTRICTED</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STOCK UNIT AGREEMENT</w:t>
      </w:r>
    </w:p>
    <w:p>
      <w:pPr>
        <w:ind w:left="180" w:firstLine="749"/>
        <w:spacing w:after="0" w:line="245" w:lineRule="auto"/>
        <w:rPr>
          <w:sz w:val="20"/>
          <w:szCs w:val="20"/>
          <w:color w:val="auto"/>
        </w:rPr>
      </w:pPr>
      <w:r>
        <w:rPr>
          <w:rFonts w:ascii="Times New Roman" w:cs="Times New Roman" w:eastAsia="Times New Roman" w:hAnsi="Times New Roman"/>
          <w:sz w:val="20"/>
          <w:szCs w:val="20"/>
          <w:color w:val="auto"/>
        </w:rPr>
        <w:t>Pursuant to the Grant Notice to which this Agreement is attached, the Company has granted to Participant the number of RSUs set forth in the Grant Notice.</w:t>
      </w:r>
    </w:p>
    <w:p>
      <w:pPr>
        <w:spacing w:after="0" w:line="19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ARTICLE I. GENERAL</w:t>
      </w:r>
    </w:p>
    <w:p>
      <w:pPr>
        <w:spacing w:after="0" w:line="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u w:val="single" w:color="auto"/>
          <w:color w:val="auto"/>
        </w:rPr>
        <w:t>1.1Defined Terms</w:t>
      </w:r>
      <w:r>
        <w:rPr>
          <w:rFonts w:ascii="Times New Roman" w:cs="Times New Roman" w:eastAsia="Times New Roman" w:hAnsi="Times New Roman"/>
          <w:sz w:val="20"/>
          <w:szCs w:val="20"/>
          <w:color w:val="auto"/>
        </w:rPr>
        <w:t>. Capitalized terms not specifically defined herein shall have the meanings specified in the Plan or the Grant</w:t>
      </w:r>
    </w:p>
    <w:p>
      <w:pPr>
        <w:ind w:left="180"/>
        <w:spacing w:after="0"/>
        <w:rPr>
          <w:sz w:val="20"/>
          <w:szCs w:val="20"/>
          <w:color w:val="auto"/>
        </w:rPr>
      </w:pPr>
      <w:r>
        <w:rPr>
          <w:rFonts w:ascii="Times New Roman" w:cs="Times New Roman" w:eastAsia="Times New Roman" w:hAnsi="Times New Roman"/>
          <w:sz w:val="20"/>
          <w:szCs w:val="20"/>
          <w:color w:val="auto"/>
        </w:rPr>
        <w:t>Notice.</w:t>
      </w:r>
    </w:p>
    <w:p>
      <w:pPr>
        <w:spacing w:after="0" w:line="220" w:lineRule="exact"/>
        <w:rPr>
          <w:sz w:val="20"/>
          <w:szCs w:val="20"/>
          <w:color w:val="auto"/>
        </w:rPr>
      </w:pPr>
    </w:p>
    <w:p>
      <w:pPr>
        <w:jc w:val="both"/>
        <w:ind w:left="180" w:right="120" w:firstLine="749"/>
        <w:spacing w:after="0" w:line="253" w:lineRule="auto"/>
        <w:rPr>
          <w:sz w:val="20"/>
          <w:szCs w:val="20"/>
          <w:color w:val="auto"/>
        </w:rPr>
      </w:pPr>
      <w:r>
        <w:rPr>
          <w:rFonts w:ascii="Times New Roman" w:cs="Times New Roman" w:eastAsia="Times New Roman" w:hAnsi="Times New Roman"/>
          <w:sz w:val="20"/>
          <w:szCs w:val="20"/>
          <w:u w:val="single" w:color="auto"/>
          <w:color w:val="auto"/>
        </w:rPr>
        <w:t>1.2Incorporation of Terms of Plan</w:t>
      </w:r>
      <w:r>
        <w:rPr>
          <w:rFonts w:ascii="Times New Roman" w:cs="Times New Roman" w:eastAsia="Times New Roman" w:hAnsi="Times New Roman"/>
          <w:sz w:val="20"/>
          <w:szCs w:val="20"/>
          <w:color w:val="auto"/>
        </w:rPr>
        <w:t>. The RSUs and the shares of Common Stock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issued to Participant hereunder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are subject to the terms and conditions set forth in this Agreement and the Plan, which is incorporated herein by reference. In the event of any inconsistency between the Plan and this Agreement, the terms of the Plan shall control.</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b w:val="1"/>
          <w:bCs w:val="1"/>
          <w:color w:val="auto"/>
        </w:rPr>
        <w:t>AWARD OF RESTRICTED STOCK UNITS AND DIVIDEND EQUIVALENTS</w:t>
      </w:r>
    </w:p>
    <w:p>
      <w:pPr>
        <w:spacing w:after="0" w:line="232" w:lineRule="exact"/>
        <w:rPr>
          <w:sz w:val="20"/>
          <w:szCs w:val="20"/>
          <w:color w:val="auto"/>
        </w:rPr>
      </w:pPr>
    </w:p>
    <w:p>
      <w:pPr>
        <w:ind w:left="920"/>
        <w:spacing w:after="0"/>
        <w:tabs>
          <w:tab w:leader="none" w:pos="1640" w:val="left"/>
        </w:tabs>
        <w:rPr>
          <w:sz w:val="20"/>
          <w:szCs w:val="20"/>
          <w:color w:val="auto"/>
        </w:rPr>
      </w:pPr>
      <w:r>
        <w:rPr>
          <w:rFonts w:ascii="Times New Roman" w:cs="Times New Roman" w:eastAsia="Times New Roman" w:hAnsi="Times New Roman"/>
          <w:sz w:val="20"/>
          <w:szCs w:val="20"/>
          <w:u w:val="single" w:color="auto"/>
          <w:color w:val="auto"/>
        </w:rPr>
        <w:t>2.1</w:t>
      </w:r>
      <w:r>
        <w:rPr>
          <w:sz w:val="20"/>
          <w:szCs w:val="20"/>
          <w:color w:val="auto"/>
        </w:rPr>
        <w:tab/>
      </w:r>
      <w:r>
        <w:rPr>
          <w:rFonts w:ascii="Times New Roman" w:cs="Times New Roman" w:eastAsia="Times New Roman" w:hAnsi="Times New Roman"/>
          <w:sz w:val="19"/>
          <w:szCs w:val="19"/>
          <w:u w:val="single" w:color="auto"/>
          <w:color w:val="auto"/>
        </w:rPr>
        <w:t>Award of RSUs and Dividend Equivalents</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both"/>
        <w:ind w:left="180" w:right="120" w:firstLine="1490"/>
        <w:spacing w:after="0" w:line="243" w:lineRule="auto"/>
        <w:tabs>
          <w:tab w:leader="none" w:pos="20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Participant’s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Participant the number of RSUs set forth in the Grant Notice, upon the terms and conditions set forth in the Grant Notice, the Plan and this Agreement, subject to adjustments as provided in Section 12.2 of the 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200" w:lineRule="exact"/>
        <w:rPr>
          <w:rFonts w:ascii="Times New Roman" w:cs="Times New Roman" w:eastAsia="Times New Roman" w:hAnsi="Times New Roman"/>
          <w:sz w:val="20"/>
          <w:szCs w:val="20"/>
          <w:color w:val="auto"/>
        </w:rPr>
      </w:pPr>
    </w:p>
    <w:p>
      <w:pPr>
        <w:jc w:val="both"/>
        <w:ind w:left="180" w:right="120" w:firstLine="1490"/>
        <w:spacing w:after="0" w:line="244" w:lineRule="auto"/>
        <w:tabs>
          <w:tab w:leader="none" w:pos="20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hereby grants to Participant an Award of Dividend Equivalents with respect to each RSU granted pursuant to the Grant Notice for all ordinary cash dividends which are paid to all or substantially all holders of the outstanding shares of Stock between the Grant Date and the date when the applicable RSU is distributed or paid to Participant or is forfeited or expires. The Dividend Equivalents for each RSU shall be equal to the amount of cash which is paid as a dividend on one share of Stock. All such Dividend Equivalents shall be credited to Participant and be deemed to be reinvested in additional RSUs as of the date of payment of any such dividend based on the Fair Market Value of a share of Stock on such date. Each additional RSU which results from such deemed reinvestment of Dividend Equivalents</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|US-DOCS\149144305.3||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7" w:name="page48"/>
    <w:bookmarkEnd w:id="47"/>
    <w:p>
      <w:pPr>
        <w:ind w:left="180"/>
        <w:spacing w:after="0" w:line="268" w:lineRule="auto"/>
        <w:rPr>
          <w:sz w:val="20"/>
          <w:szCs w:val="20"/>
          <w:color w:val="auto"/>
        </w:rPr>
      </w:pPr>
      <w:r>
        <w:rPr>
          <w:rFonts w:ascii="Times New Roman" w:cs="Times New Roman" w:eastAsia="Times New Roman" w:hAnsi="Times New Roman"/>
          <w:sz w:val="20"/>
          <w:szCs w:val="20"/>
          <w:color w:val="auto"/>
        </w:rPr>
        <w:t>granted hereunder shall be subject to the same vesting, distribution or payment, adjustment and other provisions which apply to the underlying RSU to which such additional RSU relates.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|US-DOCS\149144305.3||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0" w:right="459" w:bottom="1440" w:gutter="0" w:footer="0" w:header="0"/>
        </w:sectPr>
      </w:pPr>
    </w:p>
    <w:bookmarkStart w:id="48" w:name="page49"/>
    <w:bookmarkEnd w:id="48"/>
    <w:p>
      <w:pPr>
        <w:ind w:left="920"/>
        <w:spacing w:after="0"/>
        <w:tabs>
          <w:tab w:leader="none" w:pos="1640" w:val="left"/>
        </w:tabs>
        <w:rPr>
          <w:sz w:val="20"/>
          <w:szCs w:val="20"/>
          <w:color w:val="auto"/>
        </w:rPr>
      </w:pPr>
      <w:r>
        <w:rPr>
          <w:rFonts w:ascii="Times New Roman" w:cs="Times New Roman" w:eastAsia="Times New Roman" w:hAnsi="Times New Roman"/>
          <w:sz w:val="20"/>
          <w:szCs w:val="20"/>
          <w:u w:val="single" w:color="auto"/>
          <w:color w:val="auto"/>
        </w:rPr>
        <w:t>2.2</w:t>
      </w:r>
      <w:r>
        <w:rPr>
          <w:sz w:val="20"/>
          <w:szCs w:val="20"/>
          <w:color w:val="auto"/>
        </w:rPr>
        <w:tab/>
      </w:r>
      <w:r>
        <w:rPr>
          <w:rFonts w:ascii="Times New Roman" w:cs="Times New Roman" w:eastAsia="Times New Roman" w:hAnsi="Times New Roman"/>
          <w:sz w:val="19"/>
          <w:szCs w:val="19"/>
          <w:u w:val="single" w:color="auto"/>
          <w:color w:val="auto"/>
        </w:rPr>
        <w:t>Vesting of RSUs and Dividend Equivalents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180" w:right="20" w:firstLine="1490"/>
        <w:spacing w:after="0" w:line="249" w:lineRule="auto"/>
        <w:tabs>
          <w:tab w:leader="none" w:pos="2052"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Participant’s continued employment with or service to the Company or a Subsidiary on each applicable vesting date and subject to the terms of this Agreement, the RSUs shall vest in such amounts and at such times as are set forth in the Grant Notice and this Agreement. Each additional RSU which results from deemed reinvestments of Dividend Equivalents pursuant to Section 2.1(b) hereof shall vest whenever the underlying RSU to which such additional RSU relates vests.</w:t>
      </w:r>
    </w:p>
    <w:p>
      <w:pPr>
        <w:spacing w:after="0" w:line="191" w:lineRule="exact"/>
        <w:rPr>
          <w:rFonts w:ascii="Times New Roman" w:cs="Times New Roman" w:eastAsia="Times New Roman" w:hAnsi="Times New Roman"/>
          <w:sz w:val="20"/>
          <w:szCs w:val="20"/>
          <w:color w:val="auto"/>
        </w:rPr>
      </w:pPr>
    </w:p>
    <w:p>
      <w:pPr>
        <w:jc w:val="both"/>
        <w:ind w:left="180" w:right="20" w:firstLine="1490"/>
        <w:spacing w:after="0" w:line="266" w:lineRule="auto"/>
        <w:tabs>
          <w:tab w:leader="none" w:pos="2052"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Participant incurs a Termination of Service, except as may be otherwise provided by the Administrator or as set forth in a written agreement between Participant and the Company, Participant shall immediately forfeit any and all RSUs and Dividend Equivalents granted under this Agreement which have not vested or do not vest on or prior to the date on which such Termination of Service occurs, and Participant’s rights in any such RSUs and Dividend Equivalents which are not so vested shall lapse and expire.</w:t>
      </w:r>
    </w:p>
    <w:p>
      <w:pPr>
        <w:spacing w:after="0" w:line="177" w:lineRule="exact"/>
        <w:rPr>
          <w:rFonts w:ascii="Times New Roman" w:cs="Times New Roman" w:eastAsia="Times New Roman" w:hAnsi="Times New Roman"/>
          <w:sz w:val="19"/>
          <w:szCs w:val="19"/>
          <w:color w:val="auto"/>
        </w:rPr>
      </w:pPr>
    </w:p>
    <w:p>
      <w:pPr>
        <w:jc w:val="both"/>
        <w:ind w:left="200" w:firstLine="1500"/>
        <w:spacing w:after="0" w:line="245" w:lineRule="auto"/>
        <w:tabs>
          <w:tab w:leader="none" w:pos="2042"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Grant Notice or this Agreement, in the event of Participant’s Termination of Service by the Company without Cause or due to Participant’s death or disability, in each case, within twenty-four (24) months following a Change in Control, all unvested RSUs will vest in full; provided, however, that if Participant is a party to a written employment or consulting agreement or change in control severance agreement or plan with the Company (or its Subsidiary) (each, a “</w:t>
      </w:r>
      <w:r>
        <w:rPr>
          <w:rFonts w:ascii="Times New Roman" w:cs="Times New Roman" w:eastAsia="Times New Roman" w:hAnsi="Times New Roman"/>
          <w:sz w:val="20"/>
          <w:szCs w:val="20"/>
          <w:u w:val="single" w:color="auto"/>
          <w:color w:val="auto"/>
        </w:rPr>
        <w:t>Relevant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that provides more favorable treatment for unvested RSUs in connection with a Change in Control, then the RSUs shall be treated as provided in the applicable Relevant Agreement.</w:t>
      </w:r>
    </w:p>
    <w:p>
      <w:pPr>
        <w:spacing w:after="0" w:line="195" w:lineRule="exact"/>
        <w:rPr>
          <w:rFonts w:ascii="Times New Roman" w:cs="Times New Roman" w:eastAsia="Times New Roman" w:hAnsi="Times New Roman"/>
          <w:sz w:val="20"/>
          <w:szCs w:val="20"/>
          <w:color w:val="auto"/>
        </w:rPr>
      </w:pPr>
    </w:p>
    <w:p>
      <w:pPr>
        <w:jc w:val="both"/>
        <w:ind w:left="200" w:firstLine="1500"/>
        <w:spacing w:after="0" w:line="256" w:lineRule="auto"/>
        <w:tabs>
          <w:tab w:leader="none" w:pos="2042" w:val="left"/>
        </w:tabs>
        <w:numPr>
          <w:ilvl w:val="2"/>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the Grant Notice or this Agreement to the contrary, in the event of Participant’s Retirement, a pro-rated portion of the RSUs shall vest on the date of Participant’s Retirement in an amount determined by multiplying (i) the number of Shares subject to the RSUs that were scheduled to vest on the next regularly scheduled vesting date following Participant’s Retirement by (ii) a fraction, the numerator of which is the number of days from and including the first day of the applicable twelve (12) month vesting period through the date of Participant’s Retirement, and the denominator of which is the total number of days in such twelve</w:t>
      </w:r>
    </w:p>
    <w:p>
      <w:pPr>
        <w:spacing w:after="0" w:line="2" w:lineRule="exact"/>
        <w:rPr>
          <w:rFonts w:ascii="Times New Roman" w:cs="Times New Roman" w:eastAsia="Times New Roman" w:hAnsi="Times New Roman"/>
          <w:sz w:val="19"/>
          <w:szCs w:val="19"/>
          <w:color w:val="auto"/>
        </w:rPr>
      </w:pPr>
    </w:p>
    <w:p>
      <w:pPr>
        <w:jc w:val="both"/>
        <w:ind w:left="200" w:firstLine="2"/>
        <w:spacing w:after="0" w:line="241" w:lineRule="auto"/>
        <w:tabs>
          <w:tab w:leader="none" w:pos="58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 vesting period (excluding the actual vesting date for such vesting period), with any partial Shares that result rounded up to the nearest whole Share. For example, if the Grant Date is February 21, 2024 and Participant’s Retirement occurs on July 21, 2024, the number of Shares subject to the RSUs that are next regularly scheduled to vest and will vest upon Participant’s Retirement shall be based on a fraction equal to 183/366.</w:t>
      </w:r>
    </w:p>
    <w:p>
      <w:pPr>
        <w:spacing w:after="0" w:line="281" w:lineRule="exact"/>
        <w:rPr>
          <w:sz w:val="20"/>
          <w:szCs w:val="20"/>
          <w:color w:val="auto"/>
        </w:rPr>
      </w:pPr>
    </w:p>
    <w:p>
      <w:pPr>
        <w:jc w:val="both"/>
        <w:ind w:left="100" w:right="20"/>
        <w:spacing w:after="0" w:line="242" w:lineRule="auto"/>
        <w:rPr>
          <w:sz w:val="20"/>
          <w:szCs w:val="20"/>
          <w:color w:val="auto"/>
        </w:rPr>
      </w:pPr>
      <w:r>
        <w:rPr>
          <w:rFonts w:ascii="Times New Roman" w:cs="Times New Roman" w:eastAsia="Times New Roman" w:hAnsi="Times New Roman"/>
          <w:sz w:val="20"/>
          <w:szCs w:val="20"/>
          <w:color w:val="auto"/>
        </w:rPr>
        <w:t>As used in this Agreement,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shall mean shall mean (a) the Board’s determination that Participant failed to substantially perform his or her duties (other than any such failure resulting from Participant’s disability); (b) the Board’s determination that Participant failed to carry out, or comply with any lawful and reasonable directive of the Board or Participant’s immediate supervisor; (c) Participant’s conviction, plea of no contest, plea of nolo contendere, or imposition of unadjudicated probation for any felony, indictable offense or crime involving moral turpitude; (d) Participant’s unlawful use (including being under the influence) or possession of illegal drugs on the Company’s (or any of its Subsidiaries’) premises or while performing Participant’s duties and responsibilities; or (e) Participant’s commission of an act of fraud, embezzlement, misappropriation, misconduct, or breach of fiduciary duty against the Company or any of its Subsidiaries. Notwithstanding the foregoing, if Participant is a party to a Relevant Agreement, then “Cause” shall be as such term is defined in the applicable Relevant Agreement.</w:t>
      </w:r>
    </w:p>
    <w:p>
      <w:pPr>
        <w:spacing w:after="0" w:line="43" w:lineRule="exact"/>
        <w:rPr>
          <w:sz w:val="20"/>
          <w:szCs w:val="20"/>
          <w:color w:val="auto"/>
        </w:rPr>
      </w:pPr>
    </w:p>
    <w:p>
      <w:pPr>
        <w:jc w:val="both"/>
        <w:ind w:left="100" w:right="20"/>
        <w:spacing w:after="0" w:line="268" w:lineRule="auto"/>
        <w:rPr>
          <w:sz w:val="20"/>
          <w:szCs w:val="20"/>
          <w:color w:val="auto"/>
        </w:rPr>
      </w:pPr>
      <w:r>
        <w:rPr>
          <w:rFonts w:ascii="Times New Roman" w:cs="Times New Roman" w:eastAsia="Times New Roman" w:hAnsi="Times New Roman"/>
          <w:sz w:val="20"/>
          <w:szCs w:val="20"/>
          <w:color w:val="auto"/>
        </w:rPr>
        <w:t>As used in this Agreement,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shall mean Participant’s voluntary Termination of Service on or after the date on which Participant satisfies the definition of “Retirement” in the Company’s Retirement</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|US-DOCS\149144305.3||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9" w:name="page50"/>
    <w:bookmarkEnd w:id="49"/>
    <w:p>
      <w:pPr>
        <w:ind w:left="100"/>
        <w:spacing w:after="0"/>
        <w:rPr>
          <w:sz w:val="20"/>
          <w:szCs w:val="20"/>
          <w:color w:val="auto"/>
        </w:rPr>
      </w:pPr>
      <w:r>
        <w:rPr>
          <w:rFonts w:ascii="Times New Roman" w:cs="Times New Roman" w:eastAsia="Times New Roman" w:hAnsi="Times New Roman"/>
          <w:sz w:val="20"/>
          <w:szCs w:val="20"/>
          <w:color w:val="auto"/>
        </w:rPr>
        <w:t>Policy applicable to Participant.</w:t>
      </w:r>
    </w:p>
    <w:p>
      <w:pPr>
        <w:spacing w:after="0" w:line="228" w:lineRule="exact"/>
        <w:rPr>
          <w:sz w:val="20"/>
          <w:szCs w:val="20"/>
          <w:color w:val="auto"/>
        </w:rPr>
      </w:pPr>
    </w:p>
    <w:p>
      <w:pPr>
        <w:ind w:left="920"/>
        <w:spacing w:after="0"/>
        <w:tabs>
          <w:tab w:leader="none" w:pos="1640" w:val="left"/>
        </w:tabs>
        <w:rPr>
          <w:sz w:val="20"/>
          <w:szCs w:val="20"/>
          <w:color w:val="auto"/>
        </w:rPr>
      </w:pPr>
      <w:r>
        <w:rPr>
          <w:rFonts w:ascii="Times New Roman" w:cs="Times New Roman" w:eastAsia="Times New Roman" w:hAnsi="Times New Roman"/>
          <w:sz w:val="20"/>
          <w:szCs w:val="20"/>
          <w:u w:val="single" w:color="auto"/>
          <w:color w:val="auto"/>
        </w:rPr>
        <w:t>2.3</w:t>
      </w:r>
      <w:r>
        <w:rPr>
          <w:sz w:val="20"/>
          <w:szCs w:val="20"/>
          <w:color w:val="auto"/>
        </w:rPr>
        <w:tab/>
      </w:r>
      <w:r>
        <w:rPr>
          <w:rFonts w:ascii="Times New Roman" w:cs="Times New Roman" w:eastAsia="Times New Roman" w:hAnsi="Times New Roman"/>
          <w:sz w:val="19"/>
          <w:szCs w:val="19"/>
          <w:u w:val="single" w:color="auto"/>
          <w:color w:val="auto"/>
        </w:rPr>
        <w:t>Distribution or Payment of RSUs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left="180" w:firstLine="1490"/>
        <w:spacing w:after="0" w:line="243" w:lineRule="auto"/>
        <w:tabs>
          <w:tab w:leader="none" w:pos="205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Participant’s RSUs shall be distributed in Shares (either in book-entry form or otherwise) or, at the option of the Company, paid in an amount of cash as set forth in Section 2.3(b), in either case, as soon as administratively practicable following the vesting of the applicable RSU pursuant to Section 2.2, and, in any event, within sixty (60) days following such vesting. Notwithstanding the foregoing, the Company may delay a distribution or payment in settlement of RSUs if it reasonably determines that such payment or distribution will violate Federal securities laws or any other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no payment or distribution shall be delayed under this Section 2.3(a) if such delay will result in a violation of Section 409A of the Code.</w:t>
      </w:r>
    </w:p>
    <w:p>
      <w:pPr>
        <w:spacing w:after="0" w:line="213" w:lineRule="exact"/>
        <w:rPr>
          <w:rFonts w:ascii="Times New Roman" w:cs="Times New Roman" w:eastAsia="Times New Roman" w:hAnsi="Times New Roman"/>
          <w:sz w:val="20"/>
          <w:szCs w:val="20"/>
          <w:color w:val="auto"/>
        </w:rPr>
      </w:pPr>
    </w:p>
    <w:p>
      <w:pPr>
        <w:jc w:val="both"/>
        <w:ind w:left="180" w:firstLine="1490"/>
        <w:spacing w:after="0" w:line="246" w:lineRule="auto"/>
        <w:tabs>
          <w:tab w:leader="none" w:pos="205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 elects to make payment of Participant’s RSUs in cash, the amount of cash payable with respect to each RSU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97" w:lineRule="exact"/>
        <w:rPr>
          <w:sz w:val="20"/>
          <w:szCs w:val="20"/>
          <w:color w:val="auto"/>
        </w:rPr>
      </w:pPr>
    </w:p>
    <w:p>
      <w:pPr>
        <w:jc w:val="both"/>
        <w:ind w:left="180" w:right="100" w:firstLine="749"/>
        <w:spacing w:after="0" w:line="260" w:lineRule="auto"/>
        <w:rPr>
          <w:sz w:val="20"/>
          <w:szCs w:val="20"/>
          <w:color w:val="auto"/>
        </w:rPr>
      </w:pPr>
      <w:r>
        <w:rPr>
          <w:rFonts w:ascii="Times New Roman" w:cs="Times New Roman" w:eastAsia="Times New Roman" w:hAnsi="Times New Roman"/>
          <w:sz w:val="19"/>
          <w:szCs w:val="19"/>
          <w:u w:val="single" w:color="auto"/>
          <w:color w:val="auto"/>
        </w:rPr>
        <w:t>2.4Conditions to Issuance of Certificates</w:t>
      </w:r>
      <w:r>
        <w:rPr>
          <w:rFonts w:ascii="Times New Roman" w:cs="Times New Roman" w:eastAsia="Times New Roman" w:hAnsi="Times New Roman"/>
          <w:sz w:val="19"/>
          <w:szCs w:val="19"/>
          <w:color w:val="auto"/>
        </w:rPr>
        <w:t>. The Company shall not be required to issue or deliver any certificate or certificates for any Shares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98" w:lineRule="exact"/>
        <w:rPr>
          <w:sz w:val="20"/>
          <w:szCs w:val="20"/>
          <w:color w:val="auto"/>
        </w:rPr>
      </w:pPr>
    </w:p>
    <w:p>
      <w:pPr>
        <w:ind w:left="920"/>
        <w:spacing w:after="0"/>
        <w:tabs>
          <w:tab w:leader="none" w:pos="1640" w:val="left"/>
        </w:tabs>
        <w:rPr>
          <w:sz w:val="20"/>
          <w:szCs w:val="20"/>
          <w:color w:val="auto"/>
        </w:rPr>
      </w:pPr>
      <w:r>
        <w:rPr>
          <w:rFonts w:ascii="Times New Roman" w:cs="Times New Roman" w:eastAsia="Times New Roman" w:hAnsi="Times New Roman"/>
          <w:sz w:val="20"/>
          <w:szCs w:val="20"/>
          <w:u w:val="single" w:color="auto"/>
          <w:color w:val="auto"/>
        </w:rPr>
        <w:t>2.5</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215" w:lineRule="exact"/>
        <w:rPr>
          <w:sz w:val="20"/>
          <w:szCs w:val="20"/>
          <w:color w:val="auto"/>
        </w:rPr>
      </w:pPr>
    </w:p>
    <w:p>
      <w:pPr>
        <w:jc w:val="both"/>
        <w:ind w:left="180" w:right="100" w:firstLine="1490"/>
        <w:spacing w:after="0" w:line="246" w:lineRule="auto"/>
        <w:tabs>
          <w:tab w:leader="none" w:pos="20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the authority to deduct or withhold, or require Participant to remit to the Company or the applicable Subsidiary, an amount sufficient to satisfy applicable federal, state, local and foreign taxes (including the employee portion of any FICA obligation) required by law to be withheld with respect to any taxable event arising pursuant to this Agreement. The Company and its Subsidiaries may withhold or the Participant may make such payment in one or more of the forms specified below:</w:t>
      </w:r>
    </w:p>
    <w:p>
      <w:pPr>
        <w:spacing w:after="0" w:line="21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(i)by cash or check made payable to the Company or the Subsidiary with respect to which the withholding</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obligation arises;</w:t>
      </w:r>
    </w:p>
    <w:p>
      <w:pPr>
        <w:spacing w:after="0" w:line="180" w:lineRule="exact"/>
        <w:rPr>
          <w:sz w:val="20"/>
          <w:szCs w:val="20"/>
          <w:color w:val="auto"/>
        </w:rPr>
      </w:pPr>
    </w:p>
    <w:p>
      <w:pPr>
        <w:ind w:left="3160" w:hanging="741"/>
        <w:spacing w:after="0"/>
        <w:tabs>
          <w:tab w:leader="none" w:pos="31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Participant;</w:t>
      </w:r>
    </w:p>
    <w:p>
      <w:pPr>
        <w:spacing w:after="0" w:line="193" w:lineRule="exact"/>
        <w:rPr>
          <w:sz w:val="20"/>
          <w:szCs w:val="20"/>
          <w:color w:val="auto"/>
        </w:rPr>
      </w:pPr>
    </w:p>
    <w:p>
      <w:pPr>
        <w:jc w:val="both"/>
        <w:ind w:left="180" w:right="100" w:firstLine="2246"/>
        <w:spacing w:after="0" w:line="253" w:lineRule="auto"/>
        <w:rPr>
          <w:sz w:val="20"/>
          <w:szCs w:val="20"/>
          <w:color w:val="auto"/>
        </w:rPr>
      </w:pPr>
      <w:r>
        <w:rPr>
          <w:rFonts w:ascii="Times New Roman" w:cs="Times New Roman" w:eastAsia="Times New Roman" w:hAnsi="Times New Roman"/>
          <w:sz w:val="20"/>
          <w:szCs w:val="20"/>
          <w:color w:val="auto"/>
        </w:rPr>
        <w:t>(iii)with respect to any withholding taxes arising in connection with the distribution of the RSUs, with the consent of the Administrator, by requesting that the Company and its Subsidiaries withhold a net number of vested shares of Stock otherwise issuable pursuant to the RSUs</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|US-DOCS\149144305.3||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50" w:name="page51"/>
    <w:bookmarkEnd w:id="50"/>
    <w:p>
      <w:pPr>
        <w:jc w:val="both"/>
        <w:ind w:left="180"/>
        <w:spacing w:after="0" w:line="295" w:lineRule="auto"/>
        <w:rPr>
          <w:sz w:val="20"/>
          <w:szCs w:val="20"/>
          <w:color w:val="auto"/>
        </w:rPr>
      </w:pPr>
      <w:r>
        <w:rPr>
          <w:rFonts w:ascii="Times New Roman" w:cs="Times New Roman" w:eastAsia="Times New Roman" w:hAnsi="Times New Roman"/>
          <w:sz w:val="19"/>
          <w:szCs w:val="19"/>
          <w:color w:val="auto"/>
        </w:rPr>
        <w:t>having a then current Fair Market Value not exceeding the amount necessary to satisfy the withholding obligation of the Company and its Subsidiaries based on the applicable statutory withholding rates for federal, state, local and foreign income tax and payroll tax purposes;</w:t>
      </w:r>
    </w:p>
    <w:p>
      <w:pPr>
        <w:spacing w:after="0" w:line="164" w:lineRule="exact"/>
        <w:rPr>
          <w:sz w:val="20"/>
          <w:szCs w:val="20"/>
          <w:color w:val="auto"/>
        </w:rPr>
      </w:pPr>
    </w:p>
    <w:p>
      <w:pPr>
        <w:jc w:val="both"/>
        <w:ind w:left="180" w:firstLine="2246"/>
        <w:spacing w:after="0" w:line="249" w:lineRule="auto"/>
        <w:rPr>
          <w:sz w:val="20"/>
          <w:szCs w:val="20"/>
          <w:color w:val="auto"/>
        </w:rPr>
      </w:pPr>
      <w:r>
        <w:rPr>
          <w:rFonts w:ascii="Times New Roman" w:cs="Times New Roman" w:eastAsia="Times New Roman" w:hAnsi="Times New Roman"/>
          <w:sz w:val="20"/>
          <w:szCs w:val="20"/>
          <w:color w:val="auto"/>
        </w:rPr>
        <w:t>(iv)with respect to any withholding taxes arising in connection with the distribution of the RSUs, with the consent of the Administrator, by tendering to the Company vested shares of Stock having a then current Fair Market Value not exceeding the amount necessary to satisfy the withholding obligation of the Company and its Subsidiaries based on the applicable statutory withholding rates for federal, state, local and foreign income tax and payroll tax purposes;</w:t>
      </w:r>
    </w:p>
    <w:p>
      <w:pPr>
        <w:spacing w:after="0" w:line="205" w:lineRule="exact"/>
        <w:rPr>
          <w:sz w:val="20"/>
          <w:szCs w:val="20"/>
          <w:color w:val="auto"/>
        </w:rPr>
      </w:pPr>
    </w:p>
    <w:p>
      <w:pPr>
        <w:jc w:val="both"/>
        <w:ind w:left="180" w:firstLine="2246"/>
        <w:spacing w:after="0" w:line="245" w:lineRule="auto"/>
        <w:rPr>
          <w:sz w:val="20"/>
          <w:szCs w:val="20"/>
          <w:color w:val="auto"/>
        </w:rPr>
      </w:pPr>
      <w:r>
        <w:rPr>
          <w:rFonts w:ascii="Times New Roman" w:cs="Times New Roman" w:eastAsia="Times New Roman" w:hAnsi="Times New Roman"/>
          <w:sz w:val="20"/>
          <w:szCs w:val="20"/>
          <w:color w:val="auto"/>
        </w:rPr>
        <w:t xml:space="preserve">(v)with respect to any withholding taxes arising in connection with the distribution of the RSUs, through the delivery of a notice that Participant has placed a market sell order with a broker acceptable to the Company with respect to shares of Stock then issuable to Participant pursuant to the RSUs, and that the broker has been directed to pay a sufficient portion of the net proceeds of the sale to the Company or the Subsidiary with respect to which the withholding obligation arises in satisfaction of such withholding taxes;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96" w:lineRule="exact"/>
        <w:rPr>
          <w:sz w:val="20"/>
          <w:szCs w:val="20"/>
          <w:color w:val="auto"/>
        </w:rPr>
      </w:pPr>
    </w:p>
    <w:p>
      <w:pPr>
        <w:ind w:left="3160" w:hanging="741"/>
        <w:spacing w:after="0"/>
        <w:tabs>
          <w:tab w:leader="none" w:pos="316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241" w:lineRule="exact"/>
        <w:rPr>
          <w:rFonts w:ascii="Times New Roman" w:cs="Times New Roman" w:eastAsia="Times New Roman" w:hAnsi="Times New Roman"/>
          <w:sz w:val="20"/>
          <w:szCs w:val="20"/>
          <w:color w:val="auto"/>
        </w:rPr>
      </w:pPr>
    </w:p>
    <w:p>
      <w:pPr>
        <w:jc w:val="both"/>
        <w:ind w:left="180" w:firstLine="1490"/>
        <w:spacing w:after="0" w:line="243" w:lineRule="auto"/>
        <w:tabs>
          <w:tab w:leader="none" w:pos="20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RSUs,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 The Company shall not be obligated to deliver any certificate representing shares of Stock issuable with respect to the RSUs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213" w:lineRule="exact"/>
        <w:rPr>
          <w:rFonts w:ascii="Times New Roman" w:cs="Times New Roman" w:eastAsia="Times New Roman" w:hAnsi="Times New Roman"/>
          <w:sz w:val="20"/>
          <w:szCs w:val="20"/>
          <w:color w:val="auto"/>
        </w:rPr>
      </w:pPr>
    </w:p>
    <w:p>
      <w:pPr>
        <w:jc w:val="both"/>
        <w:ind w:left="180" w:firstLine="1490"/>
        <w:spacing w:after="0" w:line="257" w:lineRule="auto"/>
        <w:tabs>
          <w:tab w:leader="none" w:pos="2048"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any tax withholding obligation arising in connection with the RSUs will be satisfied under Section 2.5(a)(iii), then the Company may elect to instruct any brokerage firm determined acceptable to the Company for such purpose to sell on Participant’s behalf a whole number of shares from those shares of Stock then issuable to Participant pursuant to the RSUs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2.5(c), including the transactions described in the previous sentence, as applicable. The Company may refuse to issue any shares of Stock in settlement of the RSUs to Participant until the foregoing tax withholding obligations are satisfied,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payment shall be delayed under this Section 2.5(c) if such delay will result in a violation of Section 409A of the Code.</w:t>
      </w:r>
    </w:p>
    <w:p>
      <w:pPr>
        <w:spacing w:after="0" w:line="186" w:lineRule="exact"/>
        <w:rPr>
          <w:rFonts w:ascii="Times New Roman" w:cs="Times New Roman" w:eastAsia="Times New Roman" w:hAnsi="Times New Roman"/>
          <w:sz w:val="19"/>
          <w:szCs w:val="19"/>
          <w:color w:val="auto"/>
        </w:rPr>
      </w:pPr>
    </w:p>
    <w:p>
      <w:pPr>
        <w:jc w:val="both"/>
        <w:ind w:left="180" w:firstLine="1490"/>
        <w:spacing w:after="0" w:line="249" w:lineRule="auto"/>
        <w:tabs>
          <w:tab w:leader="none" w:pos="20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|US-DOCS\149144305.3||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1" w:right="459" w:bottom="1440" w:gutter="0" w:footer="0" w:header="0"/>
        </w:sectPr>
      </w:pPr>
    </w:p>
    <w:bookmarkStart w:id="51" w:name="page52"/>
    <w:bookmarkEnd w:id="51"/>
    <w:p>
      <w:pPr>
        <w:jc w:val="both"/>
        <w:ind w:left="180"/>
        <w:spacing w:after="0" w:line="268" w:lineRule="auto"/>
        <w:rPr>
          <w:sz w:val="20"/>
          <w:szCs w:val="20"/>
          <w:color w:val="auto"/>
        </w:rPr>
      </w:pPr>
      <w:r>
        <w:rPr>
          <w:rFonts w:ascii="Times New Roman" w:cs="Times New Roman" w:eastAsia="Times New Roman" w:hAnsi="Times New Roman"/>
          <w:sz w:val="20"/>
          <w:szCs w:val="20"/>
          <w:color w:val="auto"/>
        </w:rPr>
        <w:t>awarding, vesting or payment of the RSUs or the subsequent sale of Shares. The Company and the Subsidiaries do not commit and are under no obligation to structure the RSUs to reduce or eliminate Participant’s tax liability.</w:t>
      </w:r>
    </w:p>
    <w:p>
      <w:pPr>
        <w:spacing w:after="0" w:line="188" w:lineRule="exact"/>
        <w:rPr>
          <w:sz w:val="20"/>
          <w:szCs w:val="20"/>
          <w:color w:val="auto"/>
        </w:rPr>
      </w:pPr>
    </w:p>
    <w:p>
      <w:pPr>
        <w:jc w:val="both"/>
        <w:ind w:left="180"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2.6Rights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20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ARTICLE III. OTHER</w:t>
      </w:r>
    </w:p>
    <w:p>
      <w:pPr>
        <w:spacing w:after="0" w:line="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PROVISIONS</w:t>
      </w:r>
    </w:p>
    <w:p>
      <w:pPr>
        <w:jc w:val="both"/>
        <w:ind w:left="180" w:firstLine="749"/>
        <w:spacing w:after="0"/>
        <w:rPr>
          <w:sz w:val="20"/>
          <w:szCs w:val="20"/>
          <w:color w:val="auto"/>
        </w:rPr>
      </w:pPr>
      <w:r>
        <w:rPr>
          <w:rFonts w:ascii="Times New Roman" w:cs="Times New Roman" w:eastAsia="Times New Roman" w:hAnsi="Times New Roman"/>
          <w:sz w:val="20"/>
          <w:szCs w:val="20"/>
          <w:u w:val="single" w:color="auto"/>
          <w:color w:val="auto"/>
        </w:rPr>
        <w:t>3.1Administration</w:t>
      </w:r>
      <w:r>
        <w:rPr>
          <w:rFonts w:ascii="Times New Roman" w:cs="Times New Roman" w:eastAsia="Times New Roman" w:hAnsi="Times New Roman"/>
          <w:sz w:val="20"/>
          <w:szCs w:val="20"/>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203" w:lineRule="exact"/>
        <w:rPr>
          <w:sz w:val="20"/>
          <w:szCs w:val="20"/>
          <w:color w:val="auto"/>
        </w:rPr>
      </w:pPr>
    </w:p>
    <w:p>
      <w:pPr>
        <w:jc w:val="both"/>
        <w:ind w:left="180" w:firstLine="749"/>
        <w:spacing w:after="0" w:line="244" w:lineRule="auto"/>
        <w:rPr>
          <w:sz w:val="20"/>
          <w:szCs w:val="20"/>
          <w:color w:val="auto"/>
        </w:rPr>
      </w:pPr>
      <w:r>
        <w:rPr>
          <w:rFonts w:ascii="Times New Roman" w:cs="Times New Roman" w:eastAsia="Times New Roman" w:hAnsi="Times New Roman"/>
          <w:sz w:val="20"/>
          <w:szCs w:val="20"/>
          <w:u w:val="single" w:color="auto"/>
          <w:color w:val="auto"/>
        </w:rPr>
        <w:t>3.2RSUs Not Transferable</w:t>
      </w:r>
      <w:r>
        <w:rPr>
          <w:rFonts w:ascii="Times New Roman" w:cs="Times New Roman" w:eastAsia="Times New Roman" w:hAnsi="Times New Roman"/>
          <w:sz w:val="20"/>
          <w:szCs w:val="20"/>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211" w:lineRule="exact"/>
        <w:rPr>
          <w:sz w:val="20"/>
          <w:szCs w:val="20"/>
          <w:color w:val="auto"/>
        </w:rPr>
      </w:pPr>
    </w:p>
    <w:p>
      <w:pPr>
        <w:jc w:val="both"/>
        <w:ind w:left="180" w:firstLine="749"/>
        <w:spacing w:after="0" w:line="253" w:lineRule="auto"/>
        <w:rPr>
          <w:sz w:val="20"/>
          <w:szCs w:val="20"/>
          <w:color w:val="auto"/>
        </w:rPr>
      </w:pPr>
      <w:r>
        <w:rPr>
          <w:rFonts w:ascii="Times New Roman" w:cs="Times New Roman" w:eastAsia="Times New Roman" w:hAnsi="Times New Roman"/>
          <w:sz w:val="20"/>
          <w:szCs w:val="20"/>
          <w:u w:val="single" w:color="auto"/>
          <w:color w:val="auto"/>
        </w:rPr>
        <w:t>3.3Adjustments</w:t>
      </w:r>
      <w:r>
        <w:rPr>
          <w:rFonts w:ascii="Times New Roman" w:cs="Times New Roman" w:eastAsia="Times New Roman" w:hAnsi="Times New Roman"/>
          <w:sz w:val="20"/>
          <w:szCs w:val="20"/>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Section 12.2 of the Plan.</w:t>
      </w:r>
    </w:p>
    <w:p>
      <w:pPr>
        <w:spacing w:after="0" w:line="203" w:lineRule="exact"/>
        <w:rPr>
          <w:sz w:val="20"/>
          <w:szCs w:val="20"/>
          <w:color w:val="auto"/>
        </w:rPr>
      </w:pPr>
    </w:p>
    <w:p>
      <w:pPr>
        <w:jc w:val="both"/>
        <w:ind w:left="180"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3.4Notices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|US-DOCS\149144305.3||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0" w:right="459" w:bottom="1440" w:gutter="0" w:footer="0" w:header="0"/>
        </w:sectPr>
      </w:pPr>
    </w:p>
    <w:bookmarkStart w:id="52" w:name="page53"/>
    <w:bookmarkEnd w:id="52"/>
    <w:p>
      <w:pPr>
        <w:spacing w:after="0" w:line="133" w:lineRule="exact"/>
        <w:rPr>
          <w:sz w:val="20"/>
          <w:szCs w:val="20"/>
          <w:color w:val="auto"/>
        </w:rPr>
      </w:pPr>
    </w:p>
    <w:p>
      <w:pPr>
        <w:jc w:val="both"/>
        <w:ind w:left="180" w:firstLine="749"/>
        <w:spacing w:after="0" w:line="268" w:lineRule="auto"/>
        <w:rPr>
          <w:sz w:val="20"/>
          <w:szCs w:val="20"/>
          <w:color w:val="auto"/>
        </w:rPr>
      </w:pPr>
      <w:r>
        <w:rPr>
          <w:rFonts w:ascii="Times New Roman" w:cs="Times New Roman" w:eastAsia="Times New Roman" w:hAnsi="Times New Roman"/>
          <w:sz w:val="20"/>
          <w:szCs w:val="20"/>
          <w:u w:val="single" w:color="auto"/>
          <w:color w:val="auto"/>
        </w:rPr>
        <w:t>3.5Titles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88" w:lineRule="exact"/>
        <w:rPr>
          <w:sz w:val="20"/>
          <w:szCs w:val="20"/>
          <w:color w:val="auto"/>
        </w:rPr>
      </w:pPr>
    </w:p>
    <w:p>
      <w:pPr>
        <w:jc w:val="both"/>
        <w:ind w:left="180" w:firstLine="749"/>
        <w:spacing w:after="0" w:line="268" w:lineRule="auto"/>
        <w:rPr>
          <w:sz w:val="20"/>
          <w:szCs w:val="20"/>
          <w:color w:val="auto"/>
        </w:rPr>
      </w:pPr>
      <w:r>
        <w:rPr>
          <w:rFonts w:ascii="Times New Roman" w:cs="Times New Roman" w:eastAsia="Times New Roman" w:hAnsi="Times New Roman"/>
          <w:sz w:val="20"/>
          <w:szCs w:val="20"/>
          <w:u w:val="single" w:color="auto"/>
          <w:color w:val="auto"/>
        </w:rPr>
        <w:t>3.6Governing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4" w:lineRule="exact"/>
        <w:rPr>
          <w:sz w:val="20"/>
          <w:szCs w:val="20"/>
          <w:color w:val="auto"/>
        </w:rPr>
      </w:pPr>
    </w:p>
    <w:p>
      <w:pPr>
        <w:jc w:val="both"/>
        <w:ind w:left="180"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3.7Conformity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Applicable Law.</w:t>
      </w:r>
    </w:p>
    <w:p>
      <w:pPr>
        <w:spacing w:after="0" w:line="209" w:lineRule="exact"/>
        <w:rPr>
          <w:sz w:val="20"/>
          <w:szCs w:val="20"/>
          <w:color w:val="auto"/>
        </w:rPr>
      </w:pPr>
    </w:p>
    <w:p>
      <w:pPr>
        <w:jc w:val="both"/>
        <w:ind w:left="180"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3.8Amendment, Suspension and Termination</w:t>
      </w:r>
      <w:r>
        <w:rPr>
          <w:rFonts w:ascii="Times New Roman" w:cs="Times New Roman" w:eastAsia="Times New Roman" w:hAnsi="Times New Roman"/>
          <w:sz w:val="20"/>
          <w:szCs w:val="20"/>
          <w:color w:val="auto"/>
        </w:rPr>
        <w:t>. To the extent permitted by the Plan, this Agreement may be wholly or partially amended or otherwise modified, suspended or terminated at any time or from time to time by the Administrator or the Board</w:t>
      </w:r>
      <w:r>
        <w:rPr>
          <w:rFonts w:ascii="Times New Roman" w:cs="Times New Roman" w:eastAsia="Times New Roman" w:hAnsi="Times New Roman"/>
          <w:sz w:val="20"/>
          <w:szCs w:val="20"/>
          <w:i w:val="1"/>
          <w:iCs w:val="1"/>
          <w:color w:val="auto"/>
        </w:rPr>
        <w:t>, provided</w:t>
      </w:r>
      <w:r>
        <w:rPr>
          <w:rFonts w:ascii="Times New Roman" w:cs="Times New Roman" w:eastAsia="Times New Roman" w:hAnsi="Times New Roman"/>
          <w:sz w:val="20"/>
          <w:szCs w:val="20"/>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205" w:lineRule="exact"/>
        <w:rPr>
          <w:sz w:val="20"/>
          <w:szCs w:val="20"/>
          <w:color w:val="auto"/>
        </w:rPr>
      </w:pPr>
    </w:p>
    <w:p>
      <w:pPr>
        <w:jc w:val="both"/>
        <w:ind w:left="180"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3.9Successors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Plan, this Agreement shall be binding upon and inure to the benefit of the heirs, legatees, legal representatives, successors and assigns of the parties hereto.</w:t>
      </w:r>
    </w:p>
    <w:p>
      <w:pPr>
        <w:spacing w:after="0" w:line="192" w:lineRule="exact"/>
        <w:rPr>
          <w:sz w:val="20"/>
          <w:szCs w:val="20"/>
          <w:color w:val="auto"/>
        </w:rPr>
      </w:pPr>
    </w:p>
    <w:p>
      <w:pPr>
        <w:jc w:val="both"/>
        <w:ind w:left="180"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3.10Limitations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RSUs (including RSUs which result from the deemed reinvestment of Dividend Equivalents), the Dividend Equivalents,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209" w:lineRule="exact"/>
        <w:rPr>
          <w:sz w:val="20"/>
          <w:szCs w:val="20"/>
          <w:color w:val="auto"/>
        </w:rPr>
      </w:pPr>
    </w:p>
    <w:p>
      <w:pPr>
        <w:jc w:val="both"/>
        <w:ind w:left="180"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3.11 Not a Contract of Employment</w:t>
      </w:r>
      <w:r>
        <w:rPr>
          <w:rFonts w:ascii="Times New Roman" w:cs="Times New Roman" w:eastAsia="Times New Roman" w:hAnsi="Times New Roman"/>
          <w:sz w:val="20"/>
          <w:szCs w:val="20"/>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7" w:lineRule="exact"/>
        <w:rPr>
          <w:sz w:val="20"/>
          <w:szCs w:val="20"/>
          <w:color w:val="auto"/>
        </w:rPr>
      </w:pPr>
    </w:p>
    <w:p>
      <w:pPr>
        <w:jc w:val="both"/>
        <w:ind w:left="180" w:firstLine="749"/>
        <w:spacing w:after="0" w:line="253" w:lineRule="auto"/>
        <w:rPr>
          <w:sz w:val="20"/>
          <w:szCs w:val="20"/>
          <w:color w:val="auto"/>
        </w:rPr>
      </w:pPr>
      <w:r>
        <w:rPr>
          <w:rFonts w:ascii="Times New Roman" w:cs="Times New Roman" w:eastAsia="Times New Roman" w:hAnsi="Times New Roman"/>
          <w:sz w:val="20"/>
          <w:szCs w:val="20"/>
          <w:u w:val="single" w:color="auto"/>
          <w:color w:val="auto"/>
        </w:rPr>
        <w:t>3.12Entire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|US-DOCS\149144305.3||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53" w:name="page54"/>
    <w:bookmarkEnd w:id="53"/>
    <w:p>
      <w:pPr>
        <w:jc w:val="both"/>
        <w:ind w:left="180" w:firstLine="749"/>
        <w:spacing w:after="0" w:line="242" w:lineRule="auto"/>
        <w:rPr>
          <w:sz w:val="20"/>
          <w:szCs w:val="20"/>
          <w:color w:val="auto"/>
        </w:rPr>
      </w:pPr>
      <w:r>
        <w:rPr>
          <w:rFonts w:ascii="Times New Roman" w:cs="Times New Roman" w:eastAsia="Times New Roman" w:hAnsi="Times New Roman"/>
          <w:sz w:val="20"/>
          <w:szCs w:val="20"/>
          <w:u w:val="single" w:color="auto"/>
          <w:color w:val="auto"/>
        </w:rPr>
        <w:t>3.13Section 409A</w:t>
      </w:r>
      <w:r>
        <w:rPr>
          <w:rFonts w:ascii="Times New Roman" w:cs="Times New Roman" w:eastAsia="Times New Roman" w:hAnsi="Times New Roman"/>
          <w:sz w:val="20"/>
          <w:szCs w:val="20"/>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219" w:lineRule="exact"/>
        <w:rPr>
          <w:sz w:val="20"/>
          <w:szCs w:val="20"/>
          <w:color w:val="auto"/>
        </w:rPr>
      </w:pPr>
    </w:p>
    <w:p>
      <w:pPr>
        <w:jc w:val="both"/>
        <w:ind w:left="180" w:firstLine="749"/>
        <w:spacing w:after="0" w:line="253" w:lineRule="auto"/>
        <w:rPr>
          <w:sz w:val="20"/>
          <w:szCs w:val="20"/>
          <w:color w:val="auto"/>
        </w:rPr>
      </w:pPr>
      <w:r>
        <w:rPr>
          <w:rFonts w:ascii="Times New Roman" w:cs="Times New Roman" w:eastAsia="Times New Roman" w:hAnsi="Times New Roman"/>
          <w:sz w:val="20"/>
          <w:szCs w:val="20"/>
          <w:u w:val="single" w:color="auto"/>
          <w:color w:val="auto"/>
        </w:rPr>
        <w:t>3.14Agreement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203" w:lineRule="exact"/>
        <w:rPr>
          <w:sz w:val="20"/>
          <w:szCs w:val="20"/>
          <w:color w:val="auto"/>
        </w:rPr>
      </w:pPr>
    </w:p>
    <w:p>
      <w:pPr>
        <w:jc w:val="both"/>
        <w:ind w:left="180"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3.15Limitation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 and Dividend Equivalents.</w:t>
      </w:r>
    </w:p>
    <w:p>
      <w:pPr>
        <w:spacing w:after="0" w:line="197" w:lineRule="exact"/>
        <w:rPr>
          <w:sz w:val="20"/>
          <w:szCs w:val="20"/>
          <w:color w:val="auto"/>
        </w:rPr>
      </w:pPr>
    </w:p>
    <w:p>
      <w:pPr>
        <w:jc w:val="both"/>
        <w:ind w:left="180" w:firstLine="749"/>
        <w:spacing w:after="0" w:line="295" w:lineRule="auto"/>
        <w:rPr>
          <w:sz w:val="20"/>
          <w:szCs w:val="20"/>
          <w:color w:val="auto"/>
        </w:rPr>
      </w:pPr>
      <w:r>
        <w:rPr>
          <w:rFonts w:ascii="Times New Roman" w:cs="Times New Roman" w:eastAsia="Times New Roman" w:hAnsi="Times New Roman"/>
          <w:sz w:val="19"/>
          <w:szCs w:val="19"/>
          <w:u w:val="single" w:color="auto"/>
          <w:color w:val="auto"/>
        </w:rPr>
        <w:t>3.16Counterparts</w:t>
      </w:r>
      <w:r>
        <w:rPr>
          <w:rFonts w:ascii="Times New Roman" w:cs="Times New Roman" w:eastAsia="Times New Roman" w:hAnsi="Times New Roman"/>
          <w:sz w:val="19"/>
          <w:szCs w:val="19"/>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64" w:lineRule="exact"/>
        <w:rPr>
          <w:sz w:val="20"/>
          <w:szCs w:val="20"/>
          <w:color w:val="auto"/>
        </w:rPr>
      </w:pPr>
    </w:p>
    <w:p>
      <w:pPr>
        <w:jc w:val="both"/>
        <w:ind w:left="180" w:firstLine="749"/>
        <w:spacing w:after="0" w:line="250" w:lineRule="auto"/>
        <w:rPr>
          <w:sz w:val="20"/>
          <w:szCs w:val="20"/>
          <w:color w:val="auto"/>
        </w:rPr>
      </w:pPr>
      <w:r>
        <w:rPr>
          <w:rFonts w:ascii="Times New Roman" w:cs="Times New Roman" w:eastAsia="Times New Roman" w:hAnsi="Times New Roman"/>
          <w:sz w:val="20"/>
          <w:szCs w:val="20"/>
          <w:u w:val="single" w:color="auto"/>
          <w:color w:val="auto"/>
        </w:rPr>
        <w:t>3.17Broker-Assisted Sales</w:t>
      </w:r>
      <w:r>
        <w:rPr>
          <w:rFonts w:ascii="Times New Roman" w:cs="Times New Roman" w:eastAsia="Times New Roman" w:hAnsi="Times New Roman"/>
          <w:sz w:val="20"/>
          <w:szCs w:val="20"/>
          <w:color w:val="auto"/>
        </w:rPr>
        <w:t>. In the event of any broker-assisted sale of shares of Stock in connection with the payment of withholding taxes as provided in Section 2.5(a)(iii) or Section 2.5(a)(v):</w:t>
      </w:r>
    </w:p>
    <w:p>
      <w:pPr>
        <w:spacing w:after="0" w:line="1" w:lineRule="exact"/>
        <w:rPr>
          <w:sz w:val="20"/>
          <w:szCs w:val="20"/>
          <w:color w:val="auto"/>
        </w:rPr>
      </w:pPr>
    </w:p>
    <w:p>
      <w:pPr>
        <w:jc w:val="both"/>
        <w:ind w:left="180" w:hanging="6"/>
        <w:spacing w:after="0" w:line="239" w:lineRule="auto"/>
        <w:tabs>
          <w:tab w:leader="none" w:pos="51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shares of Stock to be sold through a broker-assisted sale will be sold on the day the tax withholding obligation arises or as soon thereafter as practicable; (B) such shares of Stock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223" w:lineRule="exact"/>
        <w:rPr>
          <w:rFonts w:ascii="Times New Roman" w:cs="Times New Roman" w:eastAsia="Times New Roman" w:hAnsi="Times New Roman"/>
          <w:sz w:val="20"/>
          <w:szCs w:val="20"/>
          <w:color w:val="auto"/>
        </w:rPr>
      </w:pPr>
    </w:p>
    <w:p>
      <w:pPr>
        <w:ind w:left="5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|US-DOCS\149144305.3||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0" w:right="4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ALLISON TRANSMISSION HOLDINGS, INC. 2024 EQUITY</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INCENTIVE AWARD PLAN</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STOCK OPTION GRANT NOTICE</w:t>
      </w:r>
    </w:p>
    <w:p>
      <w:pPr>
        <w:spacing w:after="0" w:line="246" w:lineRule="exact"/>
        <w:rPr>
          <w:sz w:val="20"/>
          <w:szCs w:val="20"/>
          <w:color w:val="auto"/>
        </w:rPr>
      </w:pPr>
    </w:p>
    <w:p>
      <w:pPr>
        <w:jc w:val="both"/>
        <w:ind w:left="180" w:right="140" w:firstLine="749"/>
        <w:spacing w:after="0" w:line="245" w:lineRule="auto"/>
        <w:rPr>
          <w:sz w:val="20"/>
          <w:szCs w:val="20"/>
          <w:color w:val="auto"/>
        </w:rPr>
      </w:pPr>
      <w:r>
        <w:rPr>
          <w:rFonts w:ascii="Times New Roman" w:cs="Times New Roman" w:eastAsia="Times New Roman" w:hAnsi="Times New Roman"/>
          <w:sz w:val="20"/>
          <w:szCs w:val="20"/>
          <w:color w:val="auto"/>
        </w:rPr>
        <w:t>Allison Transmission Holdings,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2024 Equity Incentive Award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an option to purchase the number of shares of Common Stock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set forth below (the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The Option is subject to the terms and conditions set forth in this Stock Option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and the Stock Option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Plan, which are incorporated herein by reference. Unless otherwise defined herein, the terms defined in the Plan shall have the same defined meanings in the Grant Notice and the Agreement.</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107" w:lineRule="exact"/>
        <w:rPr>
          <w:sz w:val="20"/>
          <w:szCs w:val="20"/>
          <w:color w:val="auto"/>
        </w:rPr>
      </w:pPr>
    </w:p>
    <w:p>
      <w:pPr>
        <w:ind w:left="200"/>
        <w:spacing w:after="0"/>
        <w:tabs>
          <w:tab w:leader="none" w:pos="2540" w:val="left"/>
        </w:tabs>
        <w:rPr>
          <w:sz w:val="20"/>
          <w:szCs w:val="20"/>
          <w:color w:val="auto"/>
        </w:rPr>
      </w:pPr>
      <w:r>
        <w:rPr>
          <w:rFonts w:ascii="Times New Roman" w:cs="Times New Roman" w:eastAsia="Times New Roman" w:hAnsi="Times New Roman"/>
          <w:sz w:val="20"/>
          <w:szCs w:val="20"/>
          <w:b w:val="1"/>
          <w:bCs w:val="1"/>
          <w:color w:val="auto"/>
        </w:rPr>
        <w:t>Exercise Price per Share:</w:t>
      </w:r>
      <w:r>
        <w:rPr>
          <w:sz w:val="20"/>
          <w:szCs w:val="20"/>
          <w:color w:val="auto"/>
        </w:rPr>
        <w:tab/>
      </w:r>
      <w:r>
        <w:rPr>
          <w:rFonts w:ascii="Times New Roman" w:cs="Times New Roman" w:eastAsia="Times New Roman" w:hAnsi="Times New Roman"/>
          <w:sz w:val="20"/>
          <w:szCs w:val="20"/>
          <w:color w:val="auto"/>
        </w:rPr>
        <w:t>$</w:t>
      </w:r>
    </w:p>
    <w:p>
      <w:pPr>
        <w:spacing w:after="0" w:line="53" w:lineRule="exact"/>
        <w:rPr>
          <w:sz w:val="20"/>
          <w:szCs w:val="20"/>
          <w:color w:val="auto"/>
        </w:rPr>
      </w:pPr>
    </w:p>
    <w:p>
      <w:pPr>
        <w:ind w:left="200"/>
        <w:spacing w:after="0"/>
        <w:tabs>
          <w:tab w:leader="none" w:pos="2140" w:val="left"/>
        </w:tabs>
        <w:rPr>
          <w:sz w:val="20"/>
          <w:szCs w:val="20"/>
          <w:color w:val="auto"/>
        </w:rPr>
      </w:pPr>
      <w:r>
        <w:rPr>
          <w:rFonts w:ascii="Times New Roman" w:cs="Times New Roman" w:eastAsia="Times New Roman" w:hAnsi="Times New Roman"/>
          <w:sz w:val="20"/>
          <w:szCs w:val="20"/>
          <w:b w:val="1"/>
          <w:bCs w:val="1"/>
          <w:color w:val="auto"/>
        </w:rPr>
        <w:t>Total Exercise Price:</w:t>
      </w:r>
      <w:r>
        <w:rPr>
          <w:sz w:val="20"/>
          <w:szCs w:val="20"/>
          <w:color w:val="auto"/>
        </w:rPr>
        <w:tab/>
      </w:r>
      <w:r>
        <w:rPr>
          <w:rFonts w:ascii="Times New Roman" w:cs="Times New Roman" w:eastAsia="Times New Roman" w:hAnsi="Times New Roman"/>
          <w:sz w:val="20"/>
          <w:szCs w:val="20"/>
          <w:color w:val="auto"/>
        </w:rPr>
        <w:t>$</w:t>
      </w:r>
    </w:p>
    <w:p>
      <w:pPr>
        <w:spacing w:after="0" w:line="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Total Number of Shares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Subject to the Option: </w:t>
      </w:r>
      <w:r>
        <w:rPr>
          <w:rFonts w:ascii="Times New Roman" w:cs="Times New Roman" w:eastAsia="Times New Roman" w:hAnsi="Times New Roman"/>
          <w:sz w:val="20"/>
          <w:szCs w:val="20"/>
          <w:color w:val="auto"/>
        </w:rPr>
        <w:t>shares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Expiration Date:</w:t>
      </w:r>
    </w:p>
    <w:p>
      <w:pPr>
        <w:spacing w:after="0" w:line="1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color w:val="auto"/>
        </w:rPr>
        <w:t>[To be specified in individual agreements]</w:t>
      </w:r>
    </w:p>
    <w:p>
      <w:pPr>
        <w:spacing w:after="0" w:line="53" w:lineRule="exact"/>
        <w:rPr>
          <w:sz w:val="20"/>
          <w:szCs w:val="20"/>
          <w:color w:val="auto"/>
        </w:rPr>
      </w:pPr>
    </w:p>
    <w:p>
      <w:pPr>
        <w:ind w:left="18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Type of Option:</w:t>
      </w:r>
      <w:r>
        <w:rPr>
          <w:sz w:val="20"/>
          <w:szCs w:val="20"/>
          <w:color w:val="auto"/>
        </w:rPr>
        <w:tab/>
      </w:r>
      <w:r>
        <w:rPr>
          <w:rFonts w:ascii="Times New Roman" w:cs="Times New Roman" w:eastAsia="Times New Roman" w:hAnsi="Times New Roman"/>
          <w:sz w:val="19"/>
          <w:szCs w:val="19"/>
          <w:color w:val="auto"/>
        </w:rPr>
        <w:t>Non-Qualified Stock Option</w:t>
      </w:r>
    </w:p>
    <w:p>
      <w:pPr>
        <w:spacing w:after="0" w:line="219" w:lineRule="exact"/>
        <w:rPr>
          <w:sz w:val="20"/>
          <w:szCs w:val="20"/>
          <w:color w:val="auto"/>
        </w:rPr>
      </w:pPr>
    </w:p>
    <w:p>
      <w:pPr>
        <w:jc w:val="both"/>
        <w:ind w:left="180" w:right="120" w:firstLine="749"/>
        <w:spacing w:after="0" w:line="246" w:lineRule="auto"/>
        <w:rPr>
          <w:sz w:val="20"/>
          <w:szCs w:val="20"/>
          <w:color w:val="auto"/>
        </w:rPr>
      </w:pPr>
      <w:r>
        <w:rPr>
          <w:rFonts w:ascii="Times New Roman" w:cs="Times New Roman" w:eastAsia="Times New Roman" w:hAnsi="Times New Roman"/>
          <w:sz w:val="20"/>
          <w:szCs w:val="20"/>
          <w:color w:val="auto"/>
        </w:rPr>
        <w:t>By his or her signature and the Company’s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pacing w:after="0" w:line="206" w:lineRule="exact"/>
        <w:rPr>
          <w:sz w:val="20"/>
          <w:szCs w:val="20"/>
          <w:color w:val="auto"/>
        </w:rPr>
      </w:pPr>
    </w:p>
    <w:p>
      <w:pPr>
        <w:ind w:left="180"/>
        <w:spacing w:after="0"/>
        <w:tabs>
          <w:tab w:leader="none" w:pos="4500" w:val="left"/>
        </w:tabs>
        <w:rPr>
          <w:sz w:val="20"/>
          <w:szCs w:val="20"/>
          <w:color w:val="auto"/>
        </w:rPr>
      </w:pPr>
      <w:r>
        <w:rPr>
          <w:rFonts w:ascii="Times New Roman" w:cs="Times New Roman" w:eastAsia="Times New Roman" w:hAnsi="Times New Roman"/>
          <w:sz w:val="20"/>
          <w:szCs w:val="20"/>
          <w:b w:val="1"/>
          <w:bCs w:val="1"/>
          <w:color w:val="auto"/>
        </w:rPr>
        <w:t>ALLISON TRANSMISSION HOLDINGS, INC.</w:t>
      </w:r>
      <w:r>
        <w:rPr>
          <w:sz w:val="20"/>
          <w:szCs w:val="20"/>
          <w:color w:val="auto"/>
        </w:rPr>
        <w:tab/>
      </w:r>
      <w:r>
        <w:rPr>
          <w:rFonts w:ascii="Times New Roman" w:cs="Times New Roman" w:eastAsia="Times New Roman" w:hAnsi="Times New Roman"/>
          <w:sz w:val="19"/>
          <w:szCs w:val="19"/>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By:</w:t>
            </w:r>
          </w:p>
        </w:tc>
        <w:tc>
          <w:tcPr>
            <w:tcW w:w="76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256"/>
        </w:trPr>
        <w:tc>
          <w:tcPr>
            <w:tcW w:w="3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Print Name:</w:t>
            </w:r>
          </w:p>
        </w:tc>
        <w:tc>
          <w:tcPr>
            <w:tcW w:w="76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Print Name:</w:t>
            </w:r>
          </w:p>
        </w:tc>
        <w:tc>
          <w:tcPr>
            <w:tcW w:w="0" w:type="dxa"/>
            <w:vAlign w:val="bottom"/>
          </w:tcPr>
          <w:p>
            <w:pPr>
              <w:spacing w:after="0"/>
              <w:rPr>
                <w:sz w:val="1"/>
                <w:szCs w:val="1"/>
                <w:color w:val="auto"/>
              </w:rPr>
            </w:pPr>
          </w:p>
        </w:tc>
      </w:tr>
      <w:tr>
        <w:trPr>
          <w:trHeight w:val="258"/>
        </w:trPr>
        <w:tc>
          <w:tcPr>
            <w:tcW w:w="3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Title:</w:t>
            </w:r>
          </w:p>
        </w:tc>
        <w:tc>
          <w:tcPr>
            <w:tcW w:w="7620" w:type="dxa"/>
            <w:vAlign w:val="bottom"/>
            <w:vMerge w:val="restart"/>
          </w:tcPr>
          <w:p>
            <w:pPr>
              <w:ind w:left="210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256"/>
        </w:trPr>
        <w:tc>
          <w:tcPr>
            <w:tcW w:w="3620" w:type="dxa"/>
            <w:vAlign w:val="bottom"/>
          </w:tcPr>
          <w:p>
            <w:pPr>
              <w:spacing w:after="0"/>
              <w:rPr>
                <w:sz w:val="22"/>
                <w:szCs w:val="22"/>
                <w:color w:val="auto"/>
              </w:rPr>
            </w:pPr>
          </w:p>
        </w:tc>
        <w:tc>
          <w:tcPr>
            <w:tcW w:w="7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16"/>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|US-DOCS\149143964.3||</w:t>
            </w:r>
          </w:p>
        </w:tc>
        <w:tc>
          <w:tcPr>
            <w:tcW w:w="7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0"/>
        </w:trPr>
        <w:tc>
          <w:tcPr>
            <w:tcW w:w="362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5" w:name="page56"/>
    <w:bookmarkEnd w:id="55"/>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TO STOCK OPTION GRANT NOTICE STOCK OPTION</w:t>
      </w: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AGREEMENT</w:t>
      </w:r>
    </w:p>
    <w:p>
      <w:pPr>
        <w:jc w:val="both"/>
        <w:ind w:left="180" w:right="20" w:firstLine="749"/>
        <w:spacing w:after="0" w:line="245" w:lineRule="auto"/>
        <w:rPr>
          <w:sz w:val="20"/>
          <w:szCs w:val="20"/>
          <w:color w:val="auto"/>
        </w:rPr>
      </w:pPr>
      <w:r>
        <w:rPr>
          <w:rFonts w:ascii="Times New Roman" w:cs="Times New Roman" w:eastAsia="Times New Roman" w:hAnsi="Times New Roman"/>
          <w:sz w:val="20"/>
          <w:szCs w:val="20"/>
          <w:color w:val="auto"/>
        </w:rPr>
        <w:t>Pursuant to the Grant Notice to which this Agreement is attached, the Company has granted to Participant an Option under the Plan to purchase the number of shares of Stock set forth in the Grant Notice.</w:t>
      </w:r>
    </w:p>
    <w:p>
      <w:pPr>
        <w:spacing w:after="0" w:line="1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ARTICLE 1. GENERAL</w:t>
      </w:r>
    </w:p>
    <w:p>
      <w:pPr>
        <w:spacing w:after="0" w:line="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u w:val="single" w:color="auto"/>
          <w:color w:val="auto"/>
        </w:rPr>
        <w:t>1.1Defined Terms</w:t>
      </w:r>
      <w:r>
        <w:rPr>
          <w:rFonts w:ascii="Times New Roman" w:cs="Times New Roman" w:eastAsia="Times New Roman" w:hAnsi="Times New Roman"/>
          <w:sz w:val="20"/>
          <w:szCs w:val="20"/>
          <w:color w:val="auto"/>
        </w:rPr>
        <w:t>. Capitalized terms not specifically defined herein shall have the meanings specified in the Plan or the Grant</w:t>
      </w:r>
    </w:p>
    <w:p>
      <w:pPr>
        <w:ind w:left="180"/>
        <w:spacing w:after="0"/>
        <w:rPr>
          <w:sz w:val="20"/>
          <w:szCs w:val="20"/>
          <w:color w:val="auto"/>
        </w:rPr>
      </w:pPr>
      <w:r>
        <w:rPr>
          <w:rFonts w:ascii="Times New Roman" w:cs="Times New Roman" w:eastAsia="Times New Roman" w:hAnsi="Times New Roman"/>
          <w:sz w:val="20"/>
          <w:szCs w:val="20"/>
          <w:color w:val="auto"/>
        </w:rPr>
        <w:t>Notice.</w:t>
      </w:r>
    </w:p>
    <w:p>
      <w:pPr>
        <w:spacing w:after="0" w:line="220" w:lineRule="exact"/>
        <w:rPr>
          <w:sz w:val="20"/>
          <w:szCs w:val="20"/>
          <w:color w:val="auto"/>
        </w:rPr>
      </w:pPr>
    </w:p>
    <w:p>
      <w:pPr>
        <w:jc w:val="both"/>
        <w:ind w:left="180" w:firstLine="749"/>
        <w:spacing w:after="0" w:line="253" w:lineRule="auto"/>
        <w:rPr>
          <w:sz w:val="20"/>
          <w:szCs w:val="20"/>
          <w:color w:val="auto"/>
        </w:rPr>
      </w:pPr>
      <w:r>
        <w:rPr>
          <w:rFonts w:ascii="Times New Roman" w:cs="Times New Roman" w:eastAsia="Times New Roman" w:hAnsi="Times New Roman"/>
          <w:sz w:val="20"/>
          <w:szCs w:val="20"/>
          <w:u w:val="single" w:color="auto"/>
          <w:color w:val="auto"/>
        </w:rPr>
        <w:t>1.2Incorporation of Terms of Plan</w:t>
      </w:r>
      <w:r>
        <w:rPr>
          <w:rFonts w:ascii="Times New Roman" w:cs="Times New Roman" w:eastAsia="Times New Roman" w:hAnsi="Times New Roman"/>
          <w:sz w:val="20"/>
          <w:szCs w:val="20"/>
          <w:color w:val="auto"/>
        </w:rPr>
        <w:t>. The Option is subject to the terms and conditions set forth in this Agreement and the Plan, which is incorporated herein by reference. In the event of any inconsistency between the Plan and this Agreement, the terms of the Plan shall control.</w:t>
      </w:r>
    </w:p>
    <w:p>
      <w:pPr>
        <w:spacing w:after="0" w:line="1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GRANT OF OPTION</w:t>
      </w:r>
    </w:p>
    <w:p>
      <w:pPr>
        <w:spacing w:after="0" w:line="232" w:lineRule="exact"/>
        <w:rPr>
          <w:sz w:val="20"/>
          <w:szCs w:val="20"/>
          <w:color w:val="auto"/>
        </w:rPr>
      </w:pPr>
    </w:p>
    <w:p>
      <w:pPr>
        <w:jc w:val="both"/>
        <w:ind w:left="180"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2.1Grant of Option</w:t>
      </w:r>
      <w:r>
        <w:rPr>
          <w:rFonts w:ascii="Times New Roman" w:cs="Times New Roman" w:eastAsia="Times New Roman" w:hAnsi="Times New Roman"/>
          <w:sz w:val="20"/>
          <w:szCs w:val="20"/>
          <w:color w:val="auto"/>
        </w:rPr>
        <w:t>. In consideration of Participant’s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Participant the Option to purchase any part or all of an aggregate of the number of shares of Stock set forth in the Grant Notice, upon the terms and conditions set forth in the Grant Notice, the Plan and this Agreement, subject to adjustments as provided in Section 12.2 of the Plan.</w:t>
      </w:r>
    </w:p>
    <w:p>
      <w:pPr>
        <w:spacing w:after="0" w:line="210" w:lineRule="exact"/>
        <w:rPr>
          <w:sz w:val="20"/>
          <w:szCs w:val="20"/>
          <w:color w:val="auto"/>
        </w:rPr>
      </w:pPr>
    </w:p>
    <w:p>
      <w:pPr>
        <w:jc w:val="both"/>
        <w:ind w:left="180" w:firstLine="749"/>
        <w:spacing w:after="0" w:line="268" w:lineRule="auto"/>
        <w:rPr>
          <w:sz w:val="20"/>
          <w:szCs w:val="20"/>
          <w:color w:val="auto"/>
        </w:rPr>
      </w:pPr>
      <w:r>
        <w:rPr>
          <w:rFonts w:ascii="Times New Roman" w:cs="Times New Roman" w:eastAsia="Times New Roman" w:hAnsi="Times New Roman"/>
          <w:sz w:val="20"/>
          <w:szCs w:val="20"/>
          <w:u w:val="single" w:color="auto"/>
          <w:color w:val="auto"/>
        </w:rPr>
        <w:t>2.2Exercise Price</w:t>
      </w:r>
      <w:r>
        <w:rPr>
          <w:rFonts w:ascii="Times New Roman" w:cs="Times New Roman" w:eastAsia="Times New Roman" w:hAnsi="Times New Roman"/>
          <w:sz w:val="20"/>
          <w:szCs w:val="20"/>
          <w:color w:val="auto"/>
        </w:rPr>
        <w:t>. The exercise price per share of the shares of Stock subject to the Option (the “</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shall be as set forth in the Grant Notice.</w:t>
      </w:r>
    </w:p>
    <w:p>
      <w:pPr>
        <w:spacing w:after="0" w:line="161" w:lineRule="exact"/>
        <w:rPr>
          <w:sz w:val="20"/>
          <w:szCs w:val="20"/>
          <w:color w:val="auto"/>
        </w:rPr>
      </w:pPr>
    </w:p>
    <w:p>
      <w:pPr>
        <w:jc w:val="both"/>
        <w:ind w:left="180"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2.3Consideration to the Company</w:t>
      </w:r>
      <w:r>
        <w:rPr>
          <w:rFonts w:ascii="Times New Roman" w:cs="Times New Roman" w:eastAsia="Times New Roman" w:hAnsi="Times New Roman"/>
          <w:sz w:val="20"/>
          <w:szCs w:val="20"/>
          <w:color w:val="auto"/>
        </w:rPr>
        <w:t>. In consideration of the grant of the Option by the Company, Participant agrees to render faithful and efficient services to the Company or any Subsidiary. Nothing in the Plan, the Grant Notice or this Agreement shall confer upon Participant any right to continue in the employ or service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PERIOD OF EXERCISABILITY</w:t>
      </w: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A-1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|US-DOCS\149143964.3||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7" w:right="459" w:bottom="1440" w:gutter="0" w:footer="0" w:header="0"/>
        </w:sectPr>
      </w:pPr>
    </w:p>
    <w:bookmarkStart w:id="56" w:name="page57"/>
    <w:bookmarkEnd w:id="56"/>
    <w:p>
      <w:pPr>
        <w:ind w:left="920"/>
        <w:spacing w:after="0"/>
        <w:tabs>
          <w:tab w:leader="none" w:pos="1640" w:val="left"/>
        </w:tabs>
        <w:rPr>
          <w:sz w:val="20"/>
          <w:szCs w:val="20"/>
          <w:color w:val="auto"/>
        </w:rPr>
      </w:pPr>
      <w:r>
        <w:rPr>
          <w:rFonts w:ascii="Times New Roman" w:cs="Times New Roman" w:eastAsia="Times New Roman" w:hAnsi="Times New Roman"/>
          <w:sz w:val="20"/>
          <w:szCs w:val="20"/>
          <w:u w:val="single" w:color="auto"/>
          <w:color w:val="auto"/>
        </w:rPr>
        <w:t>3.1</w:t>
      </w:r>
      <w:r>
        <w:rPr>
          <w:sz w:val="20"/>
          <w:szCs w:val="20"/>
          <w:color w:val="auto"/>
        </w:rPr>
        <w:tab/>
      </w:r>
      <w:r>
        <w:rPr>
          <w:rFonts w:ascii="Times New Roman" w:cs="Times New Roman" w:eastAsia="Times New Roman" w:hAnsi="Times New Roman"/>
          <w:sz w:val="19"/>
          <w:szCs w:val="19"/>
          <w:u w:val="single" w:color="auto"/>
          <w:color w:val="auto"/>
        </w:rPr>
        <w:t>Commencement of Exercisability</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left="180" w:right="60" w:firstLine="1490"/>
        <w:spacing w:after="0" w:line="268" w:lineRule="auto"/>
        <w:tabs>
          <w:tab w:leader="none" w:pos="20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Sections 3.1(c) and (d), 3.2, 3.3, 5.9 and 5.14 hereof, the Option shall become vested and exercisable in such amounts and at such times as are set forth in the Grant Notice.</w:t>
      </w:r>
    </w:p>
    <w:p>
      <w:pPr>
        <w:spacing w:after="0" w:line="25" w:lineRule="exact"/>
        <w:rPr>
          <w:rFonts w:ascii="Times New Roman" w:cs="Times New Roman" w:eastAsia="Times New Roman" w:hAnsi="Times New Roman"/>
          <w:sz w:val="20"/>
          <w:szCs w:val="20"/>
          <w:color w:val="auto"/>
        </w:rPr>
      </w:pPr>
    </w:p>
    <w:p>
      <w:pPr>
        <w:jc w:val="both"/>
        <w:ind w:left="180" w:firstLine="1490"/>
        <w:spacing w:after="0" w:line="253" w:lineRule="auto"/>
        <w:tabs>
          <w:tab w:leader="none" w:pos="20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the Option which has not become vested and exercisable at the date of Participant’s Termination of Service shall thereafter become vested and exercisable, except as may be otherwise provided by the Administrator or as set forth in a written agreement between the Company and Participant.</w:t>
      </w:r>
    </w:p>
    <w:p>
      <w:pPr>
        <w:spacing w:after="0" w:line="257" w:lineRule="exact"/>
        <w:rPr>
          <w:rFonts w:ascii="Times New Roman" w:cs="Times New Roman" w:eastAsia="Times New Roman" w:hAnsi="Times New Roman"/>
          <w:sz w:val="20"/>
          <w:szCs w:val="20"/>
          <w:color w:val="auto"/>
        </w:rPr>
      </w:pPr>
    </w:p>
    <w:p>
      <w:pPr>
        <w:jc w:val="both"/>
        <w:ind w:left="180" w:firstLine="1490"/>
        <w:spacing w:after="0" w:line="245" w:lineRule="auto"/>
        <w:tabs>
          <w:tab w:leader="none" w:pos="20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Grant Notice or this Agreement to the contrary, in the event of Participant’s Termination of Service by the Company without Cause (as defined below) or due to Participant’s death or disability, in each case, within twenty-four (24) months following a Change in Control, all unvested Options will vest in full; provided, however, that if Participant is a party to a written employment or consulting agreement or change in control severance agreement or plan with the Company (or its Subsidiary) (each, a “</w:t>
      </w:r>
      <w:r>
        <w:rPr>
          <w:rFonts w:ascii="Times New Roman" w:cs="Times New Roman" w:eastAsia="Times New Roman" w:hAnsi="Times New Roman"/>
          <w:sz w:val="20"/>
          <w:szCs w:val="20"/>
          <w:u w:val="single" w:color="auto"/>
          <w:color w:val="auto"/>
        </w:rPr>
        <w:t>Relevant Agreement</w:t>
      </w:r>
      <w:r>
        <w:rPr>
          <w:rFonts w:ascii="Times New Roman" w:cs="Times New Roman" w:eastAsia="Times New Roman" w:hAnsi="Times New Roman"/>
          <w:sz w:val="20"/>
          <w:szCs w:val="20"/>
          <w:color w:val="auto"/>
        </w:rPr>
        <w:t>”) that provides more favorable treatment for unvested Options in connection with a Change in Control, then the Options shall be treated as provided in the applicable Relevant Agreement.</w:t>
      </w:r>
    </w:p>
    <w:p>
      <w:pPr>
        <w:spacing w:after="0" w:line="263" w:lineRule="exact"/>
        <w:rPr>
          <w:rFonts w:ascii="Times New Roman" w:cs="Times New Roman" w:eastAsia="Times New Roman" w:hAnsi="Times New Roman"/>
          <w:sz w:val="20"/>
          <w:szCs w:val="20"/>
          <w:color w:val="auto"/>
        </w:rPr>
      </w:pPr>
    </w:p>
    <w:p>
      <w:pPr>
        <w:jc w:val="both"/>
        <w:ind w:left="180" w:firstLine="1490"/>
        <w:spacing w:after="0" w:line="242" w:lineRule="auto"/>
        <w:tabs>
          <w:tab w:leader="none" w:pos="20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Grant Notice or this Agreement to the contrary, in the event of Participant’s Retirement, a pro-rated portion of the Option shall vest on the date of Participant’s Retirement in an amount determined by multiplying (i) the number of shares subject to the Option that were scheduled to vest on the next regularly scheduled vesting date following Participant’s Retirement by (ii) a fraction, the numerator of which is the number of days from and including the first day of the applicable twelve (12) month vesting period through the date of Participant’s Retirement, and the denominator of which is the total number of days in such twelve (12) month vesting period (excluding the actual vesting date for such vesting period), with any partial shares that result rounded up to the nearest whole share. For example, if the Grant Date is February 21, 2024 and Participant’s Retirement occurs on July 21, 2024, the number of shares subject to the Option that are next regularly scheduled to vest and will vest upon Participant’s Retirement shall be based on a fraction equal to 183/366.</w:t>
      </w:r>
    </w:p>
    <w:p>
      <w:pPr>
        <w:spacing w:after="0" w:line="286" w:lineRule="exact"/>
        <w:rPr>
          <w:sz w:val="20"/>
          <w:szCs w:val="20"/>
          <w:color w:val="auto"/>
        </w:rPr>
      </w:pPr>
    </w:p>
    <w:p>
      <w:pPr>
        <w:ind w:left="100" w:right="20"/>
        <w:spacing w:after="0" w:line="268" w:lineRule="auto"/>
        <w:rPr>
          <w:sz w:val="20"/>
          <w:szCs w:val="20"/>
          <w:color w:val="auto"/>
        </w:rPr>
      </w:pPr>
      <w:r>
        <w:rPr>
          <w:rFonts w:ascii="Times New Roman" w:cs="Times New Roman" w:eastAsia="Times New Roman" w:hAnsi="Times New Roman"/>
          <w:sz w:val="20"/>
          <w:szCs w:val="20"/>
          <w:color w:val="auto"/>
        </w:rPr>
        <w:t>As used in this Agreement,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shall mean Participant’s voluntary Termination of Service on or after the date on which Participant satisfies the definition of “Retirement” in the Company’s Retirement Policy applicable to Participant.</w:t>
      </w:r>
    </w:p>
    <w:p>
      <w:pPr>
        <w:spacing w:after="0" w:line="174" w:lineRule="exact"/>
        <w:rPr>
          <w:sz w:val="20"/>
          <w:szCs w:val="20"/>
          <w:color w:val="auto"/>
        </w:rPr>
      </w:pPr>
    </w:p>
    <w:p>
      <w:pPr>
        <w:jc w:val="both"/>
        <w:ind w:left="180" w:firstLine="749"/>
        <w:spacing w:after="0" w:line="253" w:lineRule="auto"/>
        <w:rPr>
          <w:sz w:val="20"/>
          <w:szCs w:val="20"/>
          <w:color w:val="auto"/>
        </w:rPr>
      </w:pPr>
      <w:r>
        <w:rPr>
          <w:rFonts w:ascii="Times New Roman" w:cs="Times New Roman" w:eastAsia="Times New Roman" w:hAnsi="Times New Roman"/>
          <w:sz w:val="20"/>
          <w:szCs w:val="20"/>
          <w:u w:val="single" w:color="auto"/>
          <w:color w:val="auto"/>
        </w:rPr>
        <w:t>3.2Duration of Exercisability</w:t>
      </w:r>
      <w:r>
        <w:rPr>
          <w:rFonts w:ascii="Times New Roman" w:cs="Times New Roman" w:eastAsia="Times New Roman" w:hAnsi="Times New Roman"/>
          <w:sz w:val="20"/>
          <w:szCs w:val="20"/>
          <w:color w:val="auto"/>
        </w:rPr>
        <w:t>. The installments provided for in the vesting schedule set forth in the Grant Notice and this Agreement are cumulative. Each such installment which becomes vested and exercisable pursuant to the vesting schedule set forth in the Grant Notice and this Agreement shall remain vested and exercisable until it becomes unexercisable under Section 3.3 hereof.</w:t>
      </w:r>
    </w:p>
    <w:p>
      <w:pPr>
        <w:spacing w:after="0" w:line="2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u w:val="single" w:color="auto"/>
          <w:color w:val="auto"/>
        </w:rPr>
        <w:t>3.3Expiration of Option</w:t>
      </w:r>
      <w:r>
        <w:rPr>
          <w:rFonts w:ascii="Times New Roman" w:cs="Times New Roman" w:eastAsia="Times New Roman" w:hAnsi="Times New Roman"/>
          <w:sz w:val="20"/>
          <w:szCs w:val="20"/>
          <w:color w:val="auto"/>
        </w:rPr>
        <w:t>. The Option may not be exercised to any extent by anyone after the first to occur of the following</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events:</w:t>
      </w:r>
    </w:p>
    <w:p>
      <w:pPr>
        <w:spacing w:after="0" w:line="220" w:lineRule="exact"/>
        <w:rPr>
          <w:sz w:val="20"/>
          <w:szCs w:val="20"/>
          <w:color w:val="auto"/>
        </w:rPr>
      </w:pPr>
    </w:p>
    <w:p>
      <w:pPr>
        <w:ind w:left="2420" w:hanging="750"/>
        <w:spacing w:after="0"/>
        <w:tabs>
          <w:tab w:leader="none" w:pos="24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set forth in the Grant Notice;</w:t>
      </w:r>
    </w:p>
    <w:p>
      <w:pPr>
        <w:spacing w:after="0" w:line="228" w:lineRule="exact"/>
        <w:rPr>
          <w:rFonts w:ascii="Times New Roman" w:cs="Times New Roman" w:eastAsia="Times New Roman" w:hAnsi="Times New Roman"/>
          <w:sz w:val="20"/>
          <w:szCs w:val="20"/>
          <w:color w:val="auto"/>
        </w:rPr>
      </w:pPr>
    </w:p>
    <w:p>
      <w:pPr>
        <w:jc w:val="both"/>
        <w:ind w:left="180" w:firstLine="1490"/>
        <w:spacing w:after="0" w:line="253" w:lineRule="auto"/>
        <w:tabs>
          <w:tab w:leader="none" w:pos="20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Administrator may otherwise approve, in the event of Participant’s Termination of Service other than for Cause or by reason of Participant’s death, disability or Retirement, the expiration of three (3) months from the date of Participant’s Termination of Service;</w:t>
      </w:r>
    </w:p>
    <w:p>
      <w:pPr>
        <w:spacing w:after="0" w:line="1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A-2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|US-DOCS\149143964.3||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0" w:right="459" w:bottom="1440" w:gutter="0" w:footer="0" w:header="0"/>
        </w:sectPr>
      </w:pPr>
    </w:p>
    <w:bookmarkStart w:id="57" w:name="page58"/>
    <w:bookmarkEnd w:id="57"/>
    <w:p>
      <w:pPr>
        <w:ind w:left="180" w:right="100" w:firstLine="1490"/>
        <w:spacing w:after="0" w:line="268" w:lineRule="auto"/>
        <w:tabs>
          <w:tab w:leader="none" w:pos="20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Administrator may otherwise approve, the expiration of one (1) year from the date of Participant’s Termination of Service by reason of Participant’s death or disability;</w:t>
      </w:r>
    </w:p>
    <w:p>
      <w:pPr>
        <w:spacing w:after="0" w:line="187" w:lineRule="exact"/>
        <w:rPr>
          <w:rFonts w:ascii="Times New Roman" w:cs="Times New Roman" w:eastAsia="Times New Roman" w:hAnsi="Times New Roman"/>
          <w:sz w:val="20"/>
          <w:szCs w:val="20"/>
          <w:color w:val="auto"/>
        </w:rPr>
      </w:pPr>
    </w:p>
    <w:p>
      <w:pPr>
        <w:ind w:left="2040" w:hanging="370"/>
        <w:spacing w:after="0"/>
        <w:tabs>
          <w:tab w:leader="none" w:pos="20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Administrator may otherwise approve, the expiration of two (2) years from the date of Participant’s</w:t>
      </w:r>
    </w:p>
    <w:p>
      <w:pPr>
        <w:spacing w:after="0" w:line="21" w:lineRule="exact"/>
        <w:rPr>
          <w:rFonts w:ascii="Times New Roman" w:cs="Times New Roman" w:eastAsia="Times New Roman" w:hAnsi="Times New Roman"/>
          <w:sz w:val="20"/>
          <w:szCs w:val="20"/>
          <w:color w:val="auto"/>
        </w:rPr>
      </w:pPr>
    </w:p>
    <w:p>
      <w:pPr>
        <w:ind w:left="1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Retirement; or</w:t>
      </w:r>
    </w:p>
    <w:p>
      <w:pPr>
        <w:spacing w:after="0" w:line="206" w:lineRule="exact"/>
        <w:rPr>
          <w:rFonts w:ascii="Times New Roman" w:cs="Times New Roman" w:eastAsia="Times New Roman" w:hAnsi="Times New Roman"/>
          <w:sz w:val="20"/>
          <w:szCs w:val="20"/>
          <w:color w:val="auto"/>
        </w:rPr>
      </w:pPr>
    </w:p>
    <w:p>
      <w:pPr>
        <w:ind w:left="2040" w:hanging="370"/>
        <w:spacing w:after="0"/>
        <w:tabs>
          <w:tab w:leader="none" w:pos="20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Administrator may otherwise approve, upon Participant’s Termination of Service for Cause.</w:t>
      </w:r>
    </w:p>
    <w:p>
      <w:pPr>
        <w:spacing w:after="0" w:line="242" w:lineRule="exact"/>
        <w:rPr>
          <w:sz w:val="20"/>
          <w:szCs w:val="20"/>
          <w:color w:val="auto"/>
        </w:rPr>
      </w:pPr>
    </w:p>
    <w:p>
      <w:pPr>
        <w:ind w:left="180" w:right="120"/>
        <w:spacing w:after="0" w:line="250" w:lineRule="auto"/>
        <w:rPr>
          <w:sz w:val="20"/>
          <w:szCs w:val="20"/>
          <w:color w:val="auto"/>
        </w:rPr>
      </w:pPr>
      <w:r>
        <w:rPr>
          <w:rFonts w:ascii="Times New Roman" w:cs="Times New Roman" w:eastAsia="Times New Roman" w:hAnsi="Times New Roman"/>
          <w:sz w:val="20"/>
          <w:szCs w:val="20"/>
          <w:color w:val="auto"/>
        </w:rPr>
        <w:t>As used in this Agreement,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shall mean (a) the Board’s determination that Participant failed to substantially perform his or her duties (other than any such failure resulting from Participant’s disability);</w:t>
      </w:r>
    </w:p>
    <w:p>
      <w:pPr>
        <w:spacing w:after="0" w:line="1" w:lineRule="exact"/>
        <w:rPr>
          <w:sz w:val="20"/>
          <w:szCs w:val="20"/>
          <w:color w:val="auto"/>
        </w:rPr>
      </w:pPr>
    </w:p>
    <w:p>
      <w:pPr>
        <w:jc w:val="both"/>
        <w:ind w:left="180" w:right="100" w:hanging="7"/>
        <w:spacing w:after="0"/>
        <w:tabs>
          <w:tab w:leader="none" w:pos="48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Board’s determination that Participant failed to carry out, or comply with any lawful and reasonable directive of the Board or Participant’s immediate supervisor; (c) Participant’s conviction, plea of no contest,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or imposition of unadjudicated probation for any felony, indictable offense or crime involving moral turpitude; (d) Participant’s unlawful use (including being under the influence) or possession of illegal drugs on the Company’s (or any of its Subsidiaries’) premises or while performing Participant’s duties and responsibilities; or (e) Participant’s commission of an act of fraud, embezzlement, misappropriation, misconduct, or breach of fiduciary duty against the Company or any of its Subsidiaries. Notwithstanding the foregoing, if Participant is a party to a Relevant Agreement, then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shall be as such term is defined in the applicable Relevant Agreement.</w:t>
      </w:r>
    </w:p>
    <w:p>
      <w:pPr>
        <w:spacing w:after="0" w:line="202" w:lineRule="exact"/>
        <w:rPr>
          <w:sz w:val="20"/>
          <w:szCs w:val="20"/>
          <w:color w:val="auto"/>
        </w:rPr>
      </w:pPr>
    </w:p>
    <w:p>
      <w:pPr>
        <w:ind w:left="920"/>
        <w:spacing w:after="0"/>
        <w:tabs>
          <w:tab w:leader="none" w:pos="1640" w:val="left"/>
        </w:tabs>
        <w:rPr>
          <w:sz w:val="20"/>
          <w:szCs w:val="20"/>
          <w:color w:val="auto"/>
        </w:rPr>
      </w:pPr>
      <w:r>
        <w:rPr>
          <w:rFonts w:ascii="Times New Roman" w:cs="Times New Roman" w:eastAsia="Times New Roman" w:hAnsi="Times New Roman"/>
          <w:sz w:val="20"/>
          <w:szCs w:val="20"/>
          <w:u w:val="single" w:color="auto"/>
          <w:color w:val="auto"/>
        </w:rPr>
        <w:t>3.4</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215" w:lineRule="exact"/>
        <w:rPr>
          <w:sz w:val="20"/>
          <w:szCs w:val="20"/>
          <w:color w:val="auto"/>
        </w:rPr>
      </w:pPr>
    </w:p>
    <w:p>
      <w:pPr>
        <w:jc w:val="both"/>
        <w:ind w:left="180" w:right="100" w:firstLine="1490"/>
        <w:spacing w:after="0" w:line="246" w:lineRule="auto"/>
        <w:tabs>
          <w:tab w:leader="none" w:pos="20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the authority to deduct or withhold, or require Participant to remit to the Company or the applicable Subsidiary, an amount sufficient to satisfy applicable federal, state, local and foreign taxes (including the employee portion of any FICA obligation) required by law to be withheld with respect to any taxable event arising pursuant to this Agreement. The Company and its Subsidiaries may withhold or the Participant may make such payment in one or more of the forms specified below:</w:t>
      </w:r>
    </w:p>
    <w:p>
      <w:pPr>
        <w:spacing w:after="0" w:line="21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(i)by cash or check made payable to the Company or the Subsidiary with respect to which the withholding</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obligation arises;</w:t>
      </w:r>
    </w:p>
    <w:p>
      <w:pPr>
        <w:spacing w:after="0" w:line="274" w:lineRule="exact"/>
        <w:rPr>
          <w:sz w:val="20"/>
          <w:szCs w:val="20"/>
          <w:color w:val="auto"/>
        </w:rPr>
      </w:pPr>
    </w:p>
    <w:p>
      <w:pPr>
        <w:ind w:left="3160" w:hanging="741"/>
        <w:spacing w:after="0"/>
        <w:tabs>
          <w:tab w:leader="none" w:pos="31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Participant;</w:t>
      </w:r>
    </w:p>
    <w:p>
      <w:pPr>
        <w:spacing w:after="0" w:line="193" w:lineRule="exact"/>
        <w:rPr>
          <w:sz w:val="20"/>
          <w:szCs w:val="20"/>
          <w:color w:val="auto"/>
        </w:rPr>
      </w:pPr>
    </w:p>
    <w:p>
      <w:pPr>
        <w:jc w:val="both"/>
        <w:ind w:left="180" w:firstLine="2246"/>
        <w:spacing w:after="0" w:line="246" w:lineRule="auto"/>
        <w:rPr>
          <w:sz w:val="20"/>
          <w:szCs w:val="20"/>
          <w:color w:val="auto"/>
        </w:rPr>
      </w:pPr>
      <w:r>
        <w:rPr>
          <w:rFonts w:ascii="Times New Roman" w:cs="Times New Roman" w:eastAsia="Times New Roman" w:hAnsi="Times New Roman"/>
          <w:sz w:val="20"/>
          <w:szCs w:val="20"/>
          <w:color w:val="auto"/>
        </w:rPr>
        <w:t>(iii)with respect to any withholding taxes arising in connection with the exercise of the Option, with the consent of the Administrator, by requesting that the Company withhold a net number of shares of Stock issuable upon the exercise of the Option having a then current Fair Market Value not exceeding the amount necessary to satisfy the withholding obligation of the Company and its Subsidiaries based on the applicable statutory withholding rates for federal, state, local and foreign income tax and payroll tax purposes;</w:t>
      </w:r>
    </w:p>
    <w:p>
      <w:pPr>
        <w:spacing w:after="0" w:line="210" w:lineRule="exact"/>
        <w:rPr>
          <w:sz w:val="20"/>
          <w:szCs w:val="20"/>
          <w:color w:val="auto"/>
        </w:rPr>
      </w:pPr>
    </w:p>
    <w:p>
      <w:pPr>
        <w:jc w:val="both"/>
        <w:ind w:left="180" w:right="80" w:firstLine="2246"/>
        <w:spacing w:after="0" w:line="249" w:lineRule="auto"/>
        <w:rPr>
          <w:sz w:val="20"/>
          <w:szCs w:val="20"/>
          <w:color w:val="auto"/>
        </w:rPr>
      </w:pPr>
      <w:r>
        <w:rPr>
          <w:rFonts w:ascii="Times New Roman" w:cs="Times New Roman" w:eastAsia="Times New Roman" w:hAnsi="Times New Roman"/>
          <w:sz w:val="20"/>
          <w:szCs w:val="20"/>
          <w:color w:val="auto"/>
        </w:rPr>
        <w:t>(iv)with respect to any withholding taxes arising in connection with the exercise of the Option, with the consent of the Administrator, by tendering to the Company shares of Stock having a then current Fair Market Value not exceeding the amount necessary to satisfy the withholding obligation of the Company and its Subsidiaries based on the applicable statutory withholding rates for federal, state, local and foreign income tax and payroll tax purposes;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|US-DOCS\149143964.3||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0" w:right="359" w:bottom="1440" w:gutter="0" w:footer="0" w:header="0"/>
        </w:sectPr>
      </w:pPr>
    </w:p>
    <w:bookmarkStart w:id="58" w:name="page59"/>
    <w:bookmarkEnd w:id="58"/>
    <w:p>
      <w:pPr>
        <w:jc w:val="both"/>
        <w:ind w:left="180" w:right="20" w:firstLine="2246"/>
        <w:spacing w:after="0" w:line="245" w:lineRule="auto"/>
        <w:rPr>
          <w:sz w:val="20"/>
          <w:szCs w:val="20"/>
          <w:color w:val="auto"/>
        </w:rPr>
      </w:pPr>
      <w:r>
        <w:rPr>
          <w:rFonts w:ascii="Times New Roman" w:cs="Times New Roman" w:eastAsia="Times New Roman" w:hAnsi="Times New Roman"/>
          <w:sz w:val="20"/>
          <w:szCs w:val="20"/>
          <w:color w:val="auto"/>
        </w:rPr>
        <w:t xml:space="preserve">(v)with respect to any withholding taxes arising in connection with the exercise of the Option, through the delivery of a notice that Participant has placed a market sell order with a broker acceptable to the Company with respect to shares of Stock then issuable upon exercise of the Option, and that the broker has been directed to pay a sufficient portion of the net proceeds of the sale to the Company or the Subsidiary with respect to which the withholding obligation arises in satisfaction of such withholding taxes;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payment of such proceeds is then made to the Company or the applicable Subsidiary at such time as may be required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Administrator, but in any event not later than the settlement of such sale; or</w:t>
      </w:r>
    </w:p>
    <w:p>
      <w:pPr>
        <w:spacing w:after="0" w:line="209" w:lineRule="exact"/>
        <w:rPr>
          <w:sz w:val="20"/>
          <w:szCs w:val="20"/>
          <w:color w:val="auto"/>
        </w:rPr>
      </w:pPr>
    </w:p>
    <w:p>
      <w:pPr>
        <w:ind w:left="3160" w:hanging="741"/>
        <w:spacing w:after="0"/>
        <w:tabs>
          <w:tab w:leader="none" w:pos="316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241" w:lineRule="exact"/>
        <w:rPr>
          <w:rFonts w:ascii="Times New Roman" w:cs="Times New Roman" w:eastAsia="Times New Roman" w:hAnsi="Times New Roman"/>
          <w:sz w:val="20"/>
          <w:szCs w:val="20"/>
          <w:color w:val="auto"/>
        </w:rPr>
      </w:pPr>
    </w:p>
    <w:p>
      <w:pPr>
        <w:jc w:val="both"/>
        <w:ind w:left="180" w:firstLine="1490"/>
        <w:spacing w:after="0" w:line="243" w:lineRule="auto"/>
        <w:tabs>
          <w:tab w:leader="none" w:pos="20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Option, in the event Participant fails to provide timely payment of all sums required pursuant to Section 3.4(a), the Company shall have the right and option, but not the obligation, to treat such failure as an election by Participant to satisfy all or any portion of Participant’s required payment obligation pursuant to Section 3.4(a)(ii) or Section 3.4(a)(iii) above, or any combination of the foregoing as the Company may determine to be appropriate. The Company shall not be obligated to deliver any certificate representing shares of Stock issuable with respect to the exercise of the Option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exercise of the Option or any other taxable event related to the Option.</w:t>
      </w:r>
    </w:p>
    <w:p>
      <w:pPr>
        <w:spacing w:after="0" w:line="200" w:lineRule="exact"/>
        <w:rPr>
          <w:rFonts w:ascii="Times New Roman" w:cs="Times New Roman" w:eastAsia="Times New Roman" w:hAnsi="Times New Roman"/>
          <w:sz w:val="20"/>
          <w:szCs w:val="20"/>
          <w:color w:val="auto"/>
        </w:rPr>
      </w:pPr>
    </w:p>
    <w:p>
      <w:pPr>
        <w:jc w:val="both"/>
        <w:ind w:left="180" w:firstLine="1490"/>
        <w:spacing w:after="0" w:line="243" w:lineRule="auto"/>
        <w:tabs>
          <w:tab w:leader="none" w:pos="20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tax withholding obligation arising in connection with the Option will be satisfied under Section 3.4(a)(iii) above, then the Company may elect to instruct any brokerage firm determined acceptable to the Company for such purpose to sell on Participant’s behalf a whole number of shares from those shares of Stock that are issuable upon exercise of the Option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3.4(c), including the transactions described in the previous sentence, as applicable. The Company may refuse to issue any shares of Stock to Participant until the foregoing tax withholding obligations are satisfied.</w:t>
      </w:r>
    </w:p>
    <w:p>
      <w:pPr>
        <w:spacing w:after="0" w:line="281" w:lineRule="exact"/>
        <w:rPr>
          <w:rFonts w:ascii="Times New Roman" w:cs="Times New Roman" w:eastAsia="Times New Roman" w:hAnsi="Times New Roman"/>
          <w:sz w:val="20"/>
          <w:szCs w:val="20"/>
          <w:color w:val="auto"/>
        </w:rPr>
      </w:pPr>
    </w:p>
    <w:p>
      <w:pPr>
        <w:jc w:val="both"/>
        <w:ind w:left="180" w:firstLine="1490"/>
        <w:spacing w:after="0" w:line="246" w:lineRule="auto"/>
        <w:tabs>
          <w:tab w:leader="none" w:pos="20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Stock. The Company and the Subsidiaries do not commit and are under no obligation to structure the Option to reduce or eliminate Participant’s tax liability.</w:t>
      </w:r>
    </w:p>
    <w:p>
      <w:pPr>
        <w:spacing w:after="0" w:line="1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EXERCISE OF OPTION</w:t>
      </w:r>
    </w:p>
    <w:p>
      <w:pPr>
        <w:spacing w:after="0" w:line="232" w:lineRule="exact"/>
        <w:rPr>
          <w:sz w:val="20"/>
          <w:szCs w:val="20"/>
          <w:color w:val="auto"/>
        </w:rPr>
      </w:pPr>
    </w:p>
    <w:p>
      <w:pPr>
        <w:jc w:val="both"/>
        <w:ind w:left="180" w:firstLine="749"/>
        <w:spacing w:after="0" w:line="244" w:lineRule="auto"/>
        <w:rPr>
          <w:sz w:val="20"/>
          <w:szCs w:val="20"/>
          <w:color w:val="auto"/>
        </w:rPr>
      </w:pPr>
      <w:r>
        <w:rPr>
          <w:rFonts w:ascii="Times New Roman" w:cs="Times New Roman" w:eastAsia="Times New Roman" w:hAnsi="Times New Roman"/>
          <w:sz w:val="20"/>
          <w:szCs w:val="20"/>
          <w:u w:val="single" w:color="auto"/>
          <w:color w:val="auto"/>
        </w:rPr>
        <w:t>4.1Person Eligible to Exercise</w:t>
      </w:r>
      <w:r>
        <w:rPr>
          <w:rFonts w:ascii="Times New Roman" w:cs="Times New Roman" w:eastAsia="Times New Roman" w:hAnsi="Times New Roman"/>
          <w:sz w:val="20"/>
          <w:szCs w:val="20"/>
          <w:color w:val="auto"/>
        </w:rPr>
        <w:t>. During the lifetime of Participant, only Participant may exercise the Option or any portion thereof. After the death of Participant, any exercisable portion of the Option may, prior to the time when the Option becomes unexercisable under Section 3.3 hereof, be exercised by Participant’s personal representative or by any person empowered to do so under the deceased Participant’s</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A-4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|US-DOCS\149143964.3||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0" w:right="459" w:bottom="1440" w:gutter="0" w:footer="0" w:header="0"/>
        </w:sectPr>
      </w:pPr>
    </w:p>
    <w:bookmarkStart w:id="59" w:name="page60"/>
    <w:bookmarkEnd w:id="59"/>
    <w:p>
      <w:pPr>
        <w:ind w:left="180"/>
        <w:spacing w:after="0"/>
        <w:rPr>
          <w:sz w:val="20"/>
          <w:szCs w:val="20"/>
          <w:color w:val="auto"/>
        </w:rPr>
      </w:pPr>
      <w:r>
        <w:rPr>
          <w:rFonts w:ascii="Times New Roman" w:cs="Times New Roman" w:eastAsia="Times New Roman" w:hAnsi="Times New Roman"/>
          <w:sz w:val="20"/>
          <w:szCs w:val="20"/>
          <w:color w:val="auto"/>
        </w:rPr>
        <w:t>will or under the then applicable laws of descent and distribution.</w:t>
      </w:r>
    </w:p>
    <w:p>
      <w:pPr>
        <w:spacing w:after="0" w:line="242" w:lineRule="exact"/>
        <w:rPr>
          <w:sz w:val="20"/>
          <w:szCs w:val="20"/>
          <w:color w:val="auto"/>
        </w:rPr>
      </w:pPr>
    </w:p>
    <w:p>
      <w:pPr>
        <w:jc w:val="both"/>
        <w:ind w:left="180" w:firstLine="749"/>
        <w:spacing w:after="0" w:line="253" w:lineRule="auto"/>
        <w:rPr>
          <w:sz w:val="20"/>
          <w:szCs w:val="20"/>
          <w:color w:val="auto"/>
        </w:rPr>
      </w:pPr>
      <w:r>
        <w:rPr>
          <w:rFonts w:ascii="Times New Roman" w:cs="Times New Roman" w:eastAsia="Times New Roman" w:hAnsi="Times New Roman"/>
          <w:sz w:val="20"/>
          <w:szCs w:val="20"/>
          <w:u w:val="single" w:color="auto"/>
          <w:color w:val="auto"/>
        </w:rPr>
        <w:t>4.2Partial Exercise</w:t>
      </w:r>
      <w:r>
        <w:rPr>
          <w:rFonts w:ascii="Times New Roman" w:cs="Times New Roman" w:eastAsia="Times New Roman" w:hAnsi="Times New Roman"/>
          <w:sz w:val="20"/>
          <w:szCs w:val="20"/>
          <w:color w:val="auto"/>
        </w:rPr>
        <w:t>. Subject to Section 5.2, any exercisable portion of the Option or the entire Option, if then wholly exercisable, may be exercised in whole or in part at any time prior to the time when the Option or portion thereof becomes unexercisable under Section 3.3 hereof.</w:t>
      </w:r>
    </w:p>
    <w:p>
      <w:pPr>
        <w:spacing w:after="0" w:line="203" w:lineRule="exact"/>
        <w:rPr>
          <w:sz w:val="20"/>
          <w:szCs w:val="20"/>
          <w:color w:val="auto"/>
        </w:rPr>
      </w:pPr>
    </w:p>
    <w:p>
      <w:pPr>
        <w:jc w:val="both"/>
        <w:ind w:left="180"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4.3Manner of Exercise</w:t>
      </w:r>
      <w:r>
        <w:rPr>
          <w:rFonts w:ascii="Times New Roman" w:cs="Times New Roman" w:eastAsia="Times New Roman" w:hAnsi="Times New Roman"/>
          <w:sz w:val="20"/>
          <w:szCs w:val="20"/>
          <w:color w:val="auto"/>
        </w:rPr>
        <w:t>. Subject to Section 5.8 of the Plan, the Option, or any exercisable portion thereof, may be exercised solely by delivery to the Secretary of the Company (or any third party administrator or other person or entity designated by the Company), during regular business hours, of all of the following prior to the time when the Option or such portion thereof becomes unexercisable under Section 3.3 hereof:</w:t>
      </w:r>
    </w:p>
    <w:p>
      <w:pPr>
        <w:spacing w:after="0" w:line="192" w:lineRule="exact"/>
        <w:rPr>
          <w:sz w:val="20"/>
          <w:szCs w:val="20"/>
          <w:color w:val="auto"/>
        </w:rPr>
      </w:pPr>
    </w:p>
    <w:p>
      <w:pPr>
        <w:ind w:left="180" w:firstLine="1490"/>
        <w:spacing w:after="0" w:line="268" w:lineRule="auto"/>
        <w:tabs>
          <w:tab w:leader="none" w:pos="20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exercise notice in a form specified by the Administrator, stating that the Option or portion thereof is thereby exercised, such notice complying with all applicable rules established by the Administrator;</w:t>
      </w:r>
    </w:p>
    <w:p>
      <w:pPr>
        <w:spacing w:after="0" w:line="187" w:lineRule="exact"/>
        <w:rPr>
          <w:rFonts w:ascii="Times New Roman" w:cs="Times New Roman" w:eastAsia="Times New Roman" w:hAnsi="Times New Roman"/>
          <w:sz w:val="20"/>
          <w:szCs w:val="20"/>
          <w:color w:val="auto"/>
        </w:rPr>
      </w:pPr>
    </w:p>
    <w:p>
      <w:pPr>
        <w:ind w:left="180" w:firstLine="1490"/>
        <w:spacing w:after="0" w:line="268" w:lineRule="auto"/>
        <w:tabs>
          <w:tab w:leader="none" w:pos="20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the Company of full payment for the shares of Stock with respect to which the Option or portion thereof is exercised, in such form of consideration permitted under Section 4.4 hereof that is acceptable to the Administrator;</w:t>
      </w:r>
    </w:p>
    <w:p>
      <w:pPr>
        <w:spacing w:after="0" w:line="187" w:lineRule="exact"/>
        <w:rPr>
          <w:rFonts w:ascii="Times New Roman" w:cs="Times New Roman" w:eastAsia="Times New Roman" w:hAnsi="Times New Roman"/>
          <w:sz w:val="20"/>
          <w:szCs w:val="20"/>
          <w:color w:val="auto"/>
        </w:rPr>
      </w:pPr>
    </w:p>
    <w:p>
      <w:pPr>
        <w:ind w:left="2420" w:hanging="750"/>
        <w:spacing w:after="0"/>
        <w:tabs>
          <w:tab w:leader="none" w:pos="24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any applicable withholding tax in accordance with Section 3.4;</w:t>
      </w:r>
    </w:p>
    <w:p>
      <w:pPr>
        <w:spacing w:after="0" w:line="228" w:lineRule="exact"/>
        <w:rPr>
          <w:rFonts w:ascii="Times New Roman" w:cs="Times New Roman" w:eastAsia="Times New Roman" w:hAnsi="Times New Roman"/>
          <w:sz w:val="20"/>
          <w:szCs w:val="20"/>
          <w:color w:val="auto"/>
        </w:rPr>
      </w:pPr>
    </w:p>
    <w:p>
      <w:pPr>
        <w:ind w:left="180" w:firstLine="1490"/>
        <w:spacing w:after="0" w:line="268" w:lineRule="auto"/>
        <w:tabs>
          <w:tab w:leader="none" w:pos="20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written representations or documents as may be required in the Administrator’s sole discretion to effect compliance with Applicable Law; and</w:t>
      </w:r>
    </w:p>
    <w:p>
      <w:pPr>
        <w:spacing w:after="0" w:line="187" w:lineRule="exact"/>
        <w:rPr>
          <w:rFonts w:ascii="Times New Roman" w:cs="Times New Roman" w:eastAsia="Times New Roman" w:hAnsi="Times New Roman"/>
          <w:sz w:val="20"/>
          <w:szCs w:val="20"/>
          <w:color w:val="auto"/>
        </w:rPr>
      </w:pPr>
    </w:p>
    <w:p>
      <w:pPr>
        <w:ind w:left="180" w:firstLine="1490"/>
        <w:spacing w:after="0" w:line="268" w:lineRule="auto"/>
        <w:tabs>
          <w:tab w:leader="none" w:pos="20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Option or portion thereof shall be exercised pursuant to Section 4.1 hereof by any person or persons other than Participant, appropriate proof of the right of such person or persons to exercise the Option.</w:t>
      </w:r>
    </w:p>
    <w:p>
      <w:pPr>
        <w:spacing w:after="0" w:line="174" w:lineRule="exact"/>
        <w:rPr>
          <w:sz w:val="20"/>
          <w:szCs w:val="20"/>
          <w:color w:val="auto"/>
        </w:rPr>
      </w:pPr>
    </w:p>
    <w:p>
      <w:pPr>
        <w:ind w:left="180"/>
        <w:spacing w:after="0" w:line="268" w:lineRule="auto"/>
        <w:rPr>
          <w:sz w:val="20"/>
          <w:szCs w:val="20"/>
          <w:color w:val="auto"/>
        </w:rPr>
      </w:pPr>
      <w:r>
        <w:rPr>
          <w:rFonts w:ascii="Times New Roman" w:cs="Times New Roman" w:eastAsia="Times New Roman" w:hAnsi="Times New Roman"/>
          <w:sz w:val="20"/>
          <w:szCs w:val="20"/>
          <w:color w:val="auto"/>
        </w:rPr>
        <w:t>Notwithstanding any of the foregoing, the Administrator shall have the right to specify all conditions of the manner of exercise, which conditions may vary by country and which may be subject to change from time to time.</w:t>
      </w:r>
    </w:p>
    <w:p>
      <w:pPr>
        <w:spacing w:after="0" w:line="188" w:lineRule="exact"/>
        <w:rPr>
          <w:sz w:val="20"/>
          <w:szCs w:val="20"/>
          <w:color w:val="auto"/>
        </w:rPr>
      </w:pPr>
    </w:p>
    <w:p>
      <w:pPr>
        <w:ind w:left="180" w:firstLine="749"/>
        <w:spacing w:after="0" w:line="268" w:lineRule="auto"/>
        <w:rPr>
          <w:sz w:val="20"/>
          <w:szCs w:val="20"/>
          <w:color w:val="auto"/>
        </w:rPr>
      </w:pPr>
      <w:r>
        <w:rPr>
          <w:rFonts w:ascii="Times New Roman" w:cs="Times New Roman" w:eastAsia="Times New Roman" w:hAnsi="Times New Roman"/>
          <w:sz w:val="20"/>
          <w:szCs w:val="20"/>
          <w:u w:val="single" w:color="auto"/>
          <w:color w:val="auto"/>
        </w:rPr>
        <w:t>4.4Method of Payment</w:t>
      </w:r>
      <w:r>
        <w:rPr>
          <w:rFonts w:ascii="Times New Roman" w:cs="Times New Roman" w:eastAsia="Times New Roman" w:hAnsi="Times New Roman"/>
          <w:sz w:val="20"/>
          <w:szCs w:val="20"/>
          <w:color w:val="auto"/>
        </w:rPr>
        <w:t>. Payment of the exercise price shall be by any of the following, or a combination thereof, at the election of Participant:</w:t>
      </w:r>
    </w:p>
    <w:p>
      <w:pPr>
        <w:spacing w:after="0" w:line="12" w:lineRule="exact"/>
        <w:rPr>
          <w:sz w:val="20"/>
          <w:szCs w:val="20"/>
          <w:color w:val="auto"/>
        </w:rPr>
      </w:pPr>
    </w:p>
    <w:p>
      <w:pPr>
        <w:ind w:left="2420" w:hanging="750"/>
        <w:spacing w:after="0"/>
        <w:tabs>
          <w:tab w:leader="none" w:pos="24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or check;</w:t>
      </w:r>
    </w:p>
    <w:p>
      <w:pPr>
        <w:spacing w:after="0" w:line="241" w:lineRule="exact"/>
        <w:rPr>
          <w:rFonts w:ascii="Times New Roman" w:cs="Times New Roman" w:eastAsia="Times New Roman" w:hAnsi="Times New Roman"/>
          <w:sz w:val="20"/>
          <w:szCs w:val="20"/>
          <w:color w:val="auto"/>
        </w:rPr>
      </w:pPr>
    </w:p>
    <w:p>
      <w:pPr>
        <w:jc w:val="both"/>
        <w:ind w:left="180" w:firstLine="1490"/>
        <w:spacing w:after="0" w:line="249" w:lineRule="auto"/>
        <w:tabs>
          <w:tab w:leader="none" w:pos="20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determined by the Administrator, surrender of shares of Stock (including, without limitation, shares of Stock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w:t>
      </w:r>
    </w:p>
    <w:p>
      <w:pPr>
        <w:spacing w:after="0" w:line="205" w:lineRule="exact"/>
        <w:rPr>
          <w:rFonts w:ascii="Times New Roman" w:cs="Times New Roman" w:eastAsia="Times New Roman" w:hAnsi="Times New Roman"/>
          <w:sz w:val="20"/>
          <w:szCs w:val="20"/>
          <w:color w:val="auto"/>
        </w:rPr>
      </w:pPr>
    </w:p>
    <w:p>
      <w:pPr>
        <w:jc w:val="both"/>
        <w:ind w:left="180" w:firstLine="1490"/>
        <w:spacing w:after="0" w:line="243" w:lineRule="auto"/>
        <w:tabs>
          <w:tab w:leader="none" w:pos="20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Through the delivery of a notice that Participant has placed a market sell order with a broker acceptable to the Company with respect to shares of Stock then issuable upon exercise of the Option, and that the broker has been directed to pay a sufficient portion of the net proceeds of the sale to the Company in satisfaction of the Option exercise price;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of such proceeds is then made to the Company at such time as may be required by the Administrator, but in any event not later than the settlement of such sale; or</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A-5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|US-DOCS\149143964.3||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0" w:right="459" w:bottom="1440" w:gutter="0" w:footer="0" w:header="0"/>
        </w:sectPr>
      </w:pPr>
    </w:p>
    <w:bookmarkStart w:id="60" w:name="page61"/>
    <w:bookmarkEnd w:id="60"/>
    <w:p>
      <w:pPr>
        <w:spacing w:after="0" w:line="134" w:lineRule="exact"/>
        <w:rPr>
          <w:sz w:val="20"/>
          <w:szCs w:val="20"/>
          <w:color w:val="auto"/>
        </w:rPr>
      </w:pPr>
    </w:p>
    <w:p>
      <w:pPr>
        <w:ind w:left="2420" w:hanging="750"/>
        <w:spacing w:after="0"/>
        <w:tabs>
          <w:tab w:leader="none" w:pos="24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form of legal consideration acceptable to the Administrator.</w:t>
      </w:r>
    </w:p>
    <w:p>
      <w:pPr>
        <w:spacing w:after="0" w:line="242" w:lineRule="exact"/>
        <w:rPr>
          <w:sz w:val="20"/>
          <w:szCs w:val="20"/>
          <w:color w:val="auto"/>
        </w:rPr>
      </w:pPr>
    </w:p>
    <w:p>
      <w:pPr>
        <w:jc w:val="both"/>
        <w:ind w:left="180" w:firstLine="749"/>
        <w:spacing w:after="0" w:line="257" w:lineRule="auto"/>
        <w:rPr>
          <w:sz w:val="20"/>
          <w:szCs w:val="20"/>
          <w:color w:val="auto"/>
        </w:rPr>
      </w:pPr>
      <w:r>
        <w:rPr>
          <w:rFonts w:ascii="Times New Roman" w:cs="Times New Roman" w:eastAsia="Times New Roman" w:hAnsi="Times New Roman"/>
          <w:sz w:val="19"/>
          <w:szCs w:val="19"/>
          <w:u w:val="single" w:color="auto"/>
          <w:color w:val="auto"/>
        </w:rPr>
        <w:t>4.5 Conditions to Issuance of Stock</w:t>
      </w:r>
      <w:r>
        <w:rPr>
          <w:rFonts w:ascii="Times New Roman" w:cs="Times New Roman" w:eastAsia="Times New Roman" w:hAnsi="Times New Roman"/>
          <w:sz w:val="19"/>
          <w:szCs w:val="19"/>
          <w:color w:val="auto"/>
        </w:rPr>
        <w:t>. The Company shall not be required to issue or deliver any shares of Stock purchased upon the exercise of the Option or portion thereof prior to fulfillment of all of the following conditions: (A) the admission of such shares of Stock to listing on all stock exchanges on which such Stock is then listed, (B) the completion of any registration or other qualification of such shares of Stock under any state or federal law or under rulings or regulations of the Securities and Exchange Commission or other governmental regulatory body, which the Administrator shall, in its absolute discretion, deem necessary or advisable, (C) the obtaining of any approval or other clearance from any state or federal governmental agency which the Administrator shall, in its absolute discretion, determine to be necessary or advisable, (D) the receipt by the Company of full payment for such shares of Stock, which may be in one or more of the forms of consideration permitted under Section 4.4 hereof, and (E) the receipt of full payment of any applicable withholding tax in accordance with Section 3.4 by the Company or its Subsidiary with respect to which the applicable withholding obligation arises.</w:t>
      </w:r>
    </w:p>
    <w:p>
      <w:pPr>
        <w:spacing w:after="0" w:line="187" w:lineRule="exact"/>
        <w:rPr>
          <w:sz w:val="20"/>
          <w:szCs w:val="20"/>
          <w:color w:val="auto"/>
        </w:rPr>
      </w:pPr>
    </w:p>
    <w:p>
      <w:pPr>
        <w:jc w:val="both"/>
        <w:ind w:left="180" w:firstLine="749"/>
        <w:spacing w:after="0" w:line="243" w:lineRule="auto"/>
        <w:rPr>
          <w:sz w:val="20"/>
          <w:szCs w:val="20"/>
          <w:color w:val="auto"/>
        </w:rPr>
      </w:pPr>
      <w:r>
        <w:rPr>
          <w:rFonts w:ascii="Times New Roman" w:cs="Times New Roman" w:eastAsia="Times New Roman" w:hAnsi="Times New Roman"/>
          <w:sz w:val="20"/>
          <w:szCs w:val="20"/>
          <w:u w:val="single" w:color="auto"/>
          <w:color w:val="auto"/>
        </w:rPr>
        <w:t>4.6Rights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of Stock purchasable upon the exercise of any part of the Option unless and until certificates representing such shares of Stock (which may be in book-entry form) will have been issued and recorded on the records of the Company or its transfer agents or registrars and delivered to Participant (including through electronic delivery to a brokerage account). No adjustment will be made for a dividend or other right for which the record date is prior to the date of such issuance, recordation and delivery, except as provided in Section 12.2 of the Plan. Except as otherwise provided herein, after such issuance, recordation and delivery, Participant will have all the rights of a stockholder of the Company with respect to such shares of Stock, including, without limitation, the right to receipt of dividends and distributions on such shares.</w:t>
      </w:r>
    </w:p>
    <w:p>
      <w:pPr>
        <w:spacing w:after="0" w:line="2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232" w:lineRule="exact"/>
        <w:rPr>
          <w:sz w:val="20"/>
          <w:szCs w:val="20"/>
          <w:color w:val="auto"/>
        </w:rPr>
      </w:pPr>
    </w:p>
    <w:p>
      <w:pPr>
        <w:jc w:val="both"/>
        <w:ind w:left="180"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5.1Administration</w:t>
      </w:r>
      <w:r>
        <w:rPr>
          <w:rFonts w:ascii="Times New Roman" w:cs="Times New Roman" w:eastAsia="Times New Roman" w:hAnsi="Times New Roman"/>
          <w:sz w:val="20"/>
          <w:szCs w:val="20"/>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209" w:lineRule="exact"/>
        <w:rPr>
          <w:sz w:val="20"/>
          <w:szCs w:val="20"/>
          <w:color w:val="auto"/>
        </w:rPr>
      </w:pPr>
    </w:p>
    <w:p>
      <w:pPr>
        <w:ind w:left="920"/>
        <w:spacing w:after="0"/>
        <w:tabs>
          <w:tab w:leader="none" w:pos="1640" w:val="left"/>
        </w:tabs>
        <w:rPr>
          <w:sz w:val="20"/>
          <w:szCs w:val="20"/>
          <w:color w:val="auto"/>
        </w:rPr>
      </w:pPr>
      <w:r>
        <w:rPr>
          <w:rFonts w:ascii="Times New Roman" w:cs="Times New Roman" w:eastAsia="Times New Roman" w:hAnsi="Times New Roman"/>
          <w:sz w:val="20"/>
          <w:szCs w:val="20"/>
          <w:u w:val="single" w:color="auto"/>
          <w:color w:val="auto"/>
        </w:rPr>
        <w:t>5.2</w:t>
      </w:r>
      <w:r>
        <w:rPr>
          <w:sz w:val="20"/>
          <w:szCs w:val="20"/>
          <w:color w:val="auto"/>
        </w:rPr>
        <w:tab/>
      </w:r>
      <w:r>
        <w:rPr>
          <w:rFonts w:ascii="Times New Roman" w:cs="Times New Roman" w:eastAsia="Times New Roman" w:hAnsi="Times New Roman"/>
          <w:sz w:val="19"/>
          <w:szCs w:val="19"/>
          <w:u w:val="single" w:color="auto"/>
          <w:color w:val="auto"/>
        </w:rPr>
        <w:t>Whole Shares</w:t>
      </w:r>
      <w:r>
        <w:rPr>
          <w:rFonts w:ascii="Times New Roman" w:cs="Times New Roman" w:eastAsia="Times New Roman" w:hAnsi="Times New Roman"/>
          <w:sz w:val="19"/>
          <w:szCs w:val="19"/>
          <w:color w:val="auto"/>
        </w:rPr>
        <w:t>. The Option may only be exercised for whole shares of Stock.</w:t>
      </w:r>
    </w:p>
    <w:p>
      <w:pPr>
        <w:spacing w:after="0" w:line="202" w:lineRule="exact"/>
        <w:rPr>
          <w:sz w:val="20"/>
          <w:szCs w:val="20"/>
          <w:color w:val="auto"/>
        </w:rPr>
      </w:pPr>
    </w:p>
    <w:p>
      <w:pPr>
        <w:jc w:val="both"/>
        <w:ind w:left="180" w:firstLine="749"/>
        <w:spacing w:after="0" w:line="242" w:lineRule="auto"/>
        <w:rPr>
          <w:sz w:val="20"/>
          <w:szCs w:val="20"/>
          <w:color w:val="auto"/>
        </w:rPr>
      </w:pPr>
      <w:r>
        <w:rPr>
          <w:rFonts w:ascii="Times New Roman" w:cs="Times New Roman" w:eastAsia="Times New Roman" w:hAnsi="Times New Roman"/>
          <w:sz w:val="20"/>
          <w:szCs w:val="20"/>
          <w:u w:val="single" w:color="auto"/>
          <w:color w:val="auto"/>
        </w:rPr>
        <w:t>5.3Option Not Transferable</w:t>
      </w:r>
      <w:r>
        <w:rPr>
          <w:rFonts w:ascii="Times New Roman" w:cs="Times New Roman" w:eastAsia="Times New Roman" w:hAnsi="Times New Roman"/>
          <w:sz w:val="20"/>
          <w:szCs w:val="20"/>
          <w:color w:val="auto"/>
        </w:rPr>
        <w:t>. Subject to Section 4.1 hereof, the Option may not be sold, pledged, assigned or transferred in any manner other than by will or the laws of descent and distribution, unless and until the shares of Stock underlying the Option have been issued, and all restrictions applicable to such shares of Stock have lapsed. Neither the Option nor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w:t>
      </w:r>
    </w:p>
    <w:p>
      <w:pPr>
        <w:spacing w:after="0" w:line="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A-6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|US-DOCS\149143964.3||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1" w:name="page62"/>
    <w:bookmarkEnd w:id="61"/>
    <w:p>
      <w:pPr>
        <w:jc w:val="both"/>
        <w:ind w:left="180"/>
        <w:spacing w:after="0" w:line="268" w:lineRule="auto"/>
        <w:rPr>
          <w:sz w:val="20"/>
          <w:szCs w:val="20"/>
          <w:color w:val="auto"/>
        </w:rPr>
      </w:pPr>
      <w:r>
        <w:rPr>
          <w:rFonts w:ascii="Times New Roman" w:cs="Times New Roman" w:eastAsia="Times New Roman" w:hAnsi="Times New Roman"/>
          <w:sz w:val="20"/>
          <w:szCs w:val="20"/>
          <w:color w:val="auto"/>
        </w:rPr>
        <w:t>attempted disposition thereof shall be null and void and of no effect, except to the extent that such disposition is permitted by the preceding sentence.</w:t>
      </w:r>
    </w:p>
    <w:p>
      <w:pPr>
        <w:spacing w:after="0" w:line="188" w:lineRule="exact"/>
        <w:rPr>
          <w:sz w:val="20"/>
          <w:szCs w:val="20"/>
          <w:color w:val="auto"/>
        </w:rPr>
      </w:pPr>
    </w:p>
    <w:p>
      <w:pPr>
        <w:jc w:val="both"/>
        <w:ind w:left="180"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5.4Adjustments</w:t>
      </w:r>
      <w:r>
        <w:rPr>
          <w:rFonts w:ascii="Times New Roman" w:cs="Times New Roman" w:eastAsia="Times New Roman" w:hAnsi="Times New Roman"/>
          <w:sz w:val="20"/>
          <w:szCs w:val="20"/>
          <w:color w:val="auto"/>
        </w:rPr>
        <w:t>. The Administrator may accelerate the vesting of all or a portion of the Option in such circumstances as it, in its sole discretion, may determine. In addition, upon the occurrence of certain events relating to the Stock contemplated by Section 12.2 of the Plan (including, without limitation, an extraordinary cash dividend on such Stock), the Administrator shall make such adjustments as the Administrator deems appropriate in the number of shares of Stock subject to the Option, the exercise price of the Option and the kind of securities that may be issued upon exercise of the Option. Participant acknowledges that the Option is subject to adjustment, modification and termination in certain events as provided in this Agreement and Section 12.2 of the Plan.</w:t>
      </w:r>
    </w:p>
    <w:p>
      <w:pPr>
        <w:spacing w:after="0" w:line="209" w:lineRule="exact"/>
        <w:rPr>
          <w:sz w:val="20"/>
          <w:szCs w:val="20"/>
          <w:color w:val="auto"/>
        </w:rPr>
      </w:pPr>
    </w:p>
    <w:p>
      <w:pPr>
        <w:jc w:val="both"/>
        <w:ind w:left="180" w:firstLine="749"/>
        <w:spacing w:after="0" w:line="243" w:lineRule="auto"/>
        <w:rPr>
          <w:sz w:val="20"/>
          <w:szCs w:val="20"/>
          <w:color w:val="auto"/>
        </w:rPr>
      </w:pPr>
      <w:r>
        <w:rPr>
          <w:rFonts w:ascii="Times New Roman" w:cs="Times New Roman" w:eastAsia="Times New Roman" w:hAnsi="Times New Roman"/>
          <w:sz w:val="20"/>
          <w:szCs w:val="20"/>
          <w:u w:val="single" w:color="auto"/>
          <w:color w:val="auto"/>
        </w:rPr>
        <w:t>5.5Notices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5.5, either party may hereafter designate a different address for notices to be given to that party. Any notice which is required to be given to Participant shall, if Participant is then deceased, be given to the person entitled to exercise the Option pursuant to Section 4.1 hereof by written notice under this Section 5.5.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200" w:lineRule="exact"/>
        <w:rPr>
          <w:sz w:val="20"/>
          <w:szCs w:val="20"/>
          <w:color w:val="auto"/>
        </w:rPr>
      </w:pPr>
    </w:p>
    <w:p>
      <w:pPr>
        <w:jc w:val="both"/>
        <w:ind w:left="180" w:firstLine="749"/>
        <w:spacing w:after="0" w:line="268" w:lineRule="auto"/>
        <w:rPr>
          <w:sz w:val="20"/>
          <w:szCs w:val="20"/>
          <w:color w:val="auto"/>
        </w:rPr>
      </w:pPr>
      <w:r>
        <w:rPr>
          <w:rFonts w:ascii="Times New Roman" w:cs="Times New Roman" w:eastAsia="Times New Roman" w:hAnsi="Times New Roman"/>
          <w:sz w:val="20"/>
          <w:szCs w:val="20"/>
          <w:u w:val="single" w:color="auto"/>
          <w:color w:val="auto"/>
        </w:rPr>
        <w:t>5.6Titles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88" w:lineRule="exact"/>
        <w:rPr>
          <w:sz w:val="20"/>
          <w:szCs w:val="20"/>
          <w:color w:val="auto"/>
        </w:rPr>
      </w:pPr>
    </w:p>
    <w:p>
      <w:pPr>
        <w:jc w:val="both"/>
        <w:ind w:left="180" w:firstLine="749"/>
        <w:spacing w:after="0" w:line="268" w:lineRule="auto"/>
        <w:rPr>
          <w:sz w:val="20"/>
          <w:szCs w:val="20"/>
          <w:color w:val="auto"/>
        </w:rPr>
      </w:pPr>
      <w:r>
        <w:rPr>
          <w:rFonts w:ascii="Times New Roman" w:cs="Times New Roman" w:eastAsia="Times New Roman" w:hAnsi="Times New Roman"/>
          <w:sz w:val="20"/>
          <w:szCs w:val="20"/>
          <w:u w:val="single" w:color="auto"/>
          <w:color w:val="auto"/>
        </w:rPr>
        <w:t>5.7Governing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88" w:lineRule="exact"/>
        <w:rPr>
          <w:sz w:val="20"/>
          <w:szCs w:val="20"/>
          <w:color w:val="auto"/>
        </w:rPr>
      </w:pPr>
    </w:p>
    <w:p>
      <w:pPr>
        <w:jc w:val="both"/>
        <w:ind w:left="180"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5.8Conformity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Option is granted and may be exercised, only in such a manner as to conform to Applicable Law. To the extent permitted by Applicable Law, the Plan and this Agreement shall be deemed amended to the extent necessary to conform to Applicable Law.</w:t>
      </w:r>
    </w:p>
    <w:p>
      <w:pPr>
        <w:spacing w:after="0" w:line="196" w:lineRule="exact"/>
        <w:rPr>
          <w:sz w:val="20"/>
          <w:szCs w:val="20"/>
          <w:color w:val="auto"/>
        </w:rPr>
      </w:pPr>
    </w:p>
    <w:p>
      <w:pPr>
        <w:jc w:val="both"/>
        <w:ind w:left="180"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5.9Amendment, Suspension and Termination</w:t>
      </w:r>
      <w:r>
        <w:rPr>
          <w:rFonts w:ascii="Times New Roman" w:cs="Times New Roman" w:eastAsia="Times New Roman" w:hAnsi="Times New Roman"/>
          <w:sz w:val="20"/>
          <w:szCs w:val="20"/>
          <w:color w:val="auto"/>
        </w:rPr>
        <w:t xml:space="preserve">.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except as may otherwise be provided by the Plan, no amendment, modification, suspension or termination of this Agreement shall adversely affect the Option in any material way without the prior written consent of Participant.</w:t>
      </w:r>
    </w:p>
    <w:p>
      <w:pPr>
        <w:spacing w:after="0" w:line="205" w:lineRule="exact"/>
        <w:rPr>
          <w:sz w:val="20"/>
          <w:szCs w:val="20"/>
          <w:color w:val="auto"/>
        </w:rPr>
      </w:pPr>
    </w:p>
    <w:p>
      <w:pPr>
        <w:jc w:val="both"/>
        <w:ind w:left="180" w:firstLine="749"/>
        <w:spacing w:after="0" w:line="244" w:lineRule="auto"/>
        <w:rPr>
          <w:sz w:val="20"/>
          <w:szCs w:val="20"/>
          <w:color w:val="auto"/>
        </w:rPr>
      </w:pPr>
      <w:r>
        <w:rPr>
          <w:rFonts w:ascii="Times New Roman" w:cs="Times New Roman" w:eastAsia="Times New Roman" w:hAnsi="Times New Roman"/>
          <w:sz w:val="20"/>
          <w:szCs w:val="20"/>
          <w:u w:val="single" w:color="auto"/>
          <w:color w:val="auto"/>
        </w:rPr>
        <w:t>5.10Successors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5.3 and the Plan, this Agreement shall be binding upon and inure to the benefit of the heirs, legatees, legal representatives, successors and</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A-7</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|US-DOCS\149143964.3||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1" w:right="459" w:bottom="1440" w:gutter="0" w:footer="0" w:header="0"/>
        </w:sectPr>
      </w:pPr>
    </w:p>
    <w:bookmarkStart w:id="62" w:name="page63"/>
    <w:bookmarkEnd w:id="62"/>
    <w:p>
      <w:pPr>
        <w:ind w:left="180"/>
        <w:spacing w:after="0"/>
        <w:rPr>
          <w:sz w:val="20"/>
          <w:szCs w:val="20"/>
          <w:color w:val="auto"/>
        </w:rPr>
      </w:pPr>
      <w:r>
        <w:rPr>
          <w:rFonts w:ascii="Times New Roman" w:cs="Times New Roman" w:eastAsia="Times New Roman" w:hAnsi="Times New Roman"/>
          <w:sz w:val="20"/>
          <w:szCs w:val="20"/>
          <w:color w:val="auto"/>
        </w:rPr>
        <w:t>assigns of the parties hereto.</w:t>
      </w:r>
    </w:p>
    <w:p>
      <w:pPr>
        <w:spacing w:after="0" w:line="242" w:lineRule="exact"/>
        <w:rPr>
          <w:sz w:val="20"/>
          <w:szCs w:val="20"/>
          <w:color w:val="auto"/>
        </w:rPr>
      </w:pPr>
    </w:p>
    <w:p>
      <w:pPr>
        <w:jc w:val="both"/>
        <w:ind w:left="180"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5.11 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Option,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210" w:lineRule="exact"/>
        <w:rPr>
          <w:sz w:val="20"/>
          <w:szCs w:val="20"/>
          <w:color w:val="auto"/>
        </w:rPr>
      </w:pPr>
    </w:p>
    <w:p>
      <w:pPr>
        <w:jc w:val="both"/>
        <w:ind w:left="180"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5.12 Not a Contract of Employment</w:t>
      </w:r>
      <w:r>
        <w:rPr>
          <w:rFonts w:ascii="Times New Roman" w:cs="Times New Roman" w:eastAsia="Times New Roman" w:hAnsi="Times New Roman"/>
          <w:sz w:val="20"/>
          <w:szCs w:val="20"/>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7" w:lineRule="exact"/>
        <w:rPr>
          <w:sz w:val="20"/>
          <w:szCs w:val="20"/>
          <w:color w:val="auto"/>
        </w:rPr>
      </w:pPr>
    </w:p>
    <w:p>
      <w:pPr>
        <w:jc w:val="both"/>
        <w:ind w:left="180" w:firstLine="749"/>
        <w:spacing w:after="0" w:line="253" w:lineRule="auto"/>
        <w:rPr>
          <w:sz w:val="20"/>
          <w:szCs w:val="20"/>
          <w:color w:val="auto"/>
        </w:rPr>
      </w:pPr>
      <w:r>
        <w:rPr>
          <w:rFonts w:ascii="Times New Roman" w:cs="Times New Roman" w:eastAsia="Times New Roman" w:hAnsi="Times New Roman"/>
          <w:sz w:val="20"/>
          <w:szCs w:val="20"/>
          <w:u w:val="single" w:color="auto"/>
          <w:color w:val="auto"/>
        </w:rPr>
        <w:t>5.13Entire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203" w:lineRule="exact"/>
        <w:rPr>
          <w:sz w:val="20"/>
          <w:szCs w:val="20"/>
          <w:color w:val="auto"/>
        </w:rPr>
      </w:pPr>
    </w:p>
    <w:p>
      <w:pPr>
        <w:jc w:val="both"/>
        <w:ind w:left="180" w:firstLine="749"/>
        <w:spacing w:after="0" w:line="242" w:lineRule="auto"/>
        <w:rPr>
          <w:sz w:val="20"/>
          <w:szCs w:val="20"/>
          <w:color w:val="auto"/>
        </w:rPr>
      </w:pPr>
      <w:r>
        <w:rPr>
          <w:rFonts w:ascii="Times New Roman" w:cs="Times New Roman" w:eastAsia="Times New Roman" w:hAnsi="Times New Roman"/>
          <w:sz w:val="20"/>
          <w:szCs w:val="20"/>
          <w:u w:val="single" w:color="auto"/>
          <w:color w:val="auto"/>
        </w:rPr>
        <w:t>5.14Section 409A</w:t>
      </w:r>
      <w:r>
        <w:rPr>
          <w:rFonts w:ascii="Times New Roman" w:cs="Times New Roman" w:eastAsia="Times New Roman" w:hAnsi="Times New Roman"/>
          <w:sz w:val="20"/>
          <w:szCs w:val="20"/>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219" w:lineRule="exact"/>
        <w:rPr>
          <w:sz w:val="20"/>
          <w:szCs w:val="20"/>
          <w:color w:val="auto"/>
        </w:rPr>
      </w:pPr>
    </w:p>
    <w:p>
      <w:pPr>
        <w:jc w:val="both"/>
        <w:ind w:left="180" w:firstLine="749"/>
        <w:spacing w:after="0" w:line="253" w:lineRule="auto"/>
        <w:rPr>
          <w:sz w:val="20"/>
          <w:szCs w:val="20"/>
          <w:color w:val="auto"/>
        </w:rPr>
      </w:pPr>
      <w:r>
        <w:rPr>
          <w:rFonts w:ascii="Times New Roman" w:cs="Times New Roman" w:eastAsia="Times New Roman" w:hAnsi="Times New Roman"/>
          <w:sz w:val="20"/>
          <w:szCs w:val="20"/>
          <w:u w:val="single" w:color="auto"/>
          <w:color w:val="auto"/>
        </w:rPr>
        <w:t>5.15Agreement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257" w:lineRule="exact"/>
        <w:rPr>
          <w:sz w:val="20"/>
          <w:szCs w:val="20"/>
          <w:color w:val="auto"/>
        </w:rPr>
      </w:pPr>
    </w:p>
    <w:p>
      <w:pPr>
        <w:jc w:val="both"/>
        <w:ind w:left="180"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5.16Limitation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Option, and rights no greater than the right to receive the Stock as a general unsecured creditor with respect to options, as and when exercised pursuant to the terms hereof.</w:t>
      </w:r>
    </w:p>
    <w:p>
      <w:pPr>
        <w:spacing w:after="0" w:line="209" w:lineRule="exact"/>
        <w:rPr>
          <w:sz w:val="20"/>
          <w:szCs w:val="20"/>
          <w:color w:val="auto"/>
        </w:rPr>
      </w:pPr>
    </w:p>
    <w:p>
      <w:pPr>
        <w:jc w:val="both"/>
        <w:ind w:left="180" w:firstLine="749"/>
        <w:spacing w:after="0" w:line="250" w:lineRule="auto"/>
        <w:rPr>
          <w:sz w:val="20"/>
          <w:szCs w:val="20"/>
          <w:color w:val="auto"/>
        </w:rPr>
      </w:pPr>
      <w:r>
        <w:rPr>
          <w:rFonts w:ascii="Times New Roman" w:cs="Times New Roman" w:eastAsia="Times New Roman" w:hAnsi="Times New Roman"/>
          <w:sz w:val="20"/>
          <w:szCs w:val="20"/>
          <w:u w:val="single" w:color="auto"/>
          <w:color w:val="auto"/>
        </w:rPr>
        <w:t>5.17Counterparts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A-8</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|US-DOCS\149143964.3||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0" w:right="459" w:bottom="1440" w:gutter="0" w:footer="0" w:header="0"/>
        </w:sectPr>
      </w:pPr>
    </w:p>
    <w:bookmarkStart w:id="63" w:name="page64"/>
    <w:bookmarkEnd w:id="63"/>
    <w:p>
      <w:pPr>
        <w:ind w:left="180"/>
        <w:spacing w:after="0"/>
        <w:rPr>
          <w:sz w:val="20"/>
          <w:szCs w:val="20"/>
          <w:color w:val="auto"/>
        </w:rPr>
      </w:pPr>
      <w:r>
        <w:rPr>
          <w:rFonts w:ascii="Times New Roman" w:cs="Times New Roman" w:eastAsia="Times New Roman" w:hAnsi="Times New Roman"/>
          <w:sz w:val="20"/>
          <w:szCs w:val="20"/>
          <w:color w:val="auto"/>
        </w:rPr>
        <w:t>all of which together shall constitute one instrument.</w:t>
      </w:r>
    </w:p>
    <w:p>
      <w:pPr>
        <w:spacing w:after="0" w:line="242" w:lineRule="exact"/>
        <w:rPr>
          <w:sz w:val="20"/>
          <w:szCs w:val="20"/>
          <w:color w:val="auto"/>
        </w:rPr>
      </w:pPr>
    </w:p>
    <w:p>
      <w:pPr>
        <w:jc w:val="both"/>
        <w:ind w:left="180" w:firstLine="749"/>
        <w:spacing w:after="0" w:line="241" w:lineRule="auto"/>
        <w:rPr>
          <w:sz w:val="20"/>
          <w:szCs w:val="20"/>
          <w:color w:val="auto"/>
        </w:rPr>
      </w:pPr>
      <w:r>
        <w:rPr>
          <w:rFonts w:ascii="Times New Roman" w:cs="Times New Roman" w:eastAsia="Times New Roman" w:hAnsi="Times New Roman"/>
          <w:sz w:val="20"/>
          <w:szCs w:val="20"/>
          <w:u w:val="single" w:color="auto"/>
          <w:color w:val="auto"/>
        </w:rPr>
        <w:t>5.18Broker-Assisted Sales</w:t>
      </w:r>
      <w:r>
        <w:rPr>
          <w:rFonts w:ascii="Times New Roman" w:cs="Times New Roman" w:eastAsia="Times New Roman" w:hAnsi="Times New Roman"/>
          <w:sz w:val="20"/>
          <w:szCs w:val="20"/>
          <w:color w:val="auto"/>
        </w:rPr>
        <w:t>. In the event of any broker-assisted sale of shares of Stock in connection with the payment of withholding taxes as provided in Section 3.4(a)(v) or Section 3.4(c) or the payment of the exercise price as provided in Section 4.4(c): (A) any shares of Stock to be sold through a broker-assisted sale will be sold on the day the tax withholding obligation or exercise of the Option, as applicable, occurs or arises, or as soon thereafter as practicable; (B) such shares of Stock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or exercise price,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or exercise price; and (F) in the event the proceeds of such sale are insufficient to satisfy the applicable tax withholding obligation, Participant agrees to pay immediately upon demand to the Company or its Subsidiary with respect to which the withholding obligation arises, an amount sufficient to satisfy any remaining portion of the Company’s or the applicable Subsidiary’s withholding obligation.</w:t>
      </w:r>
    </w:p>
    <w:p>
      <w:pPr>
        <w:spacing w:after="0" w:line="221" w:lineRule="exact"/>
        <w:rPr>
          <w:sz w:val="20"/>
          <w:szCs w:val="20"/>
          <w:color w:val="auto"/>
        </w:rPr>
      </w:pPr>
    </w:p>
    <w:p>
      <w:pPr>
        <w:ind w:left="5200"/>
        <w:spacing w:after="0"/>
        <w:tabs>
          <w:tab w:leader="none" w:pos="5580" w:val="left"/>
          <w:tab w:leader="none" w:pos="59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A-9</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|US-DOCS\149143964.3||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0" w:right="4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ALLISON TRANSMISSION HOLDINGS, INC. 2024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 AWARD PLAN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GRANT NOTICE</w:t>
      </w:r>
    </w:p>
    <w:p>
      <w:pPr>
        <w:spacing w:after="0" w:line="219" w:lineRule="exact"/>
        <w:rPr>
          <w:sz w:val="20"/>
          <w:szCs w:val="20"/>
          <w:color w:val="auto"/>
        </w:rPr>
      </w:pPr>
    </w:p>
    <w:p>
      <w:pPr>
        <w:jc w:val="both"/>
        <w:ind w:left="180" w:right="180" w:firstLine="749"/>
        <w:spacing w:after="0" w:line="245" w:lineRule="auto"/>
        <w:rPr>
          <w:sz w:val="20"/>
          <w:szCs w:val="20"/>
          <w:color w:val="auto"/>
        </w:rPr>
      </w:pPr>
      <w:r>
        <w:rPr>
          <w:rFonts w:ascii="Times New Roman" w:cs="Times New Roman" w:eastAsia="Times New Roman" w:hAnsi="Times New Roman"/>
          <w:sz w:val="20"/>
          <w:szCs w:val="20"/>
          <w:color w:val="auto"/>
        </w:rPr>
        <w:t>Allison Transmission Holdings,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2024 Equity Incentive Award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the number of performance stock units (the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set forth below. The PSUs are subject to the terms and conditions set forth in this Performance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and the Performance Stock Unit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Plan, which are incorporated herein by reference. Unless otherwise defined herein, the terms defined in the Plan shall have the same defined meanings in the Grant Notice and the Agreement.</w:t>
      </w:r>
    </w:p>
    <w:p>
      <w:pPr>
        <w:spacing w:after="0" w:line="2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Target Number of PSUs (the</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Target PSUs</w:t>
      </w:r>
      <w:r>
        <w:rPr>
          <w:rFonts w:ascii="Times New Roman" w:cs="Times New Roman" w:eastAsia="Times New Roman" w:hAnsi="Times New Roman"/>
          <w:sz w:val="20"/>
          <w:szCs w:val="20"/>
          <w:b w:val="1"/>
          <w:bCs w:val="1"/>
          <w:color w:val="auto"/>
        </w:rPr>
        <w:t>”):</w:t>
      </w:r>
    </w:p>
    <w:p>
      <w:pPr>
        <w:spacing w:after="0" w:line="81" w:lineRule="exact"/>
        <w:rPr>
          <w:sz w:val="20"/>
          <w:szCs w:val="20"/>
          <w:color w:val="auto"/>
        </w:rPr>
      </w:pPr>
    </w:p>
    <w:p>
      <w:pPr>
        <w:ind w:left="200"/>
        <w:spacing w:after="0"/>
        <w:tabs>
          <w:tab w:leader="none" w:pos="3300" w:val="left"/>
        </w:tabs>
        <w:rPr>
          <w:sz w:val="20"/>
          <w:szCs w:val="20"/>
          <w:color w:val="auto"/>
        </w:rPr>
      </w:pPr>
      <w:r>
        <w:rPr>
          <w:rFonts w:ascii="Times New Roman" w:cs="Times New Roman" w:eastAsia="Times New Roman" w:hAnsi="Times New Roman"/>
          <w:sz w:val="20"/>
          <w:szCs w:val="20"/>
          <w:b w:val="1"/>
          <w:bCs w:val="1"/>
          <w:color w:val="auto"/>
        </w:rPr>
        <w:t>Type of Shares Issuable:</w:t>
      </w:r>
      <w:r>
        <w:rPr>
          <w:sz w:val="20"/>
          <w:szCs w:val="20"/>
          <w:color w:val="auto"/>
        </w:rPr>
        <w:tab/>
      </w:r>
      <w:r>
        <w:rPr>
          <w:rFonts w:ascii="Times New Roman" w:cs="Times New Roman" w:eastAsia="Times New Roman" w:hAnsi="Times New Roman"/>
          <w:sz w:val="19"/>
          <w:szCs w:val="19"/>
          <w:color w:val="auto"/>
        </w:rPr>
        <w:t>Common Stock of Allison Transmission Holdings, Inc.</w:t>
      </w:r>
    </w:p>
    <w:p>
      <w:pPr>
        <w:spacing w:after="0" w:line="98" w:lineRule="exact"/>
        <w:rPr>
          <w:sz w:val="20"/>
          <w:szCs w:val="20"/>
          <w:color w:val="auto"/>
        </w:rPr>
      </w:pPr>
    </w:p>
    <w:p>
      <w:pPr>
        <w:ind w:left="200"/>
        <w:spacing w:after="0"/>
        <w:tabs>
          <w:tab w:leader="none" w:pos="330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19"/>
          <w:szCs w:val="19"/>
          <w:color w:val="auto"/>
        </w:rPr>
        <w:t xml:space="preserve">The award will vest in accordance with the vesting schedule set forth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85" w:lineRule="exact"/>
        <w:rPr>
          <w:sz w:val="20"/>
          <w:szCs w:val="20"/>
          <w:color w:val="auto"/>
        </w:rPr>
      </w:pPr>
    </w:p>
    <w:p>
      <w:pPr>
        <w:jc w:val="both"/>
        <w:ind w:left="180" w:right="180" w:firstLine="749"/>
        <w:spacing w:after="0" w:line="246" w:lineRule="auto"/>
        <w:rPr>
          <w:sz w:val="20"/>
          <w:szCs w:val="20"/>
          <w:color w:val="auto"/>
        </w:rPr>
      </w:pPr>
      <w:r>
        <w:rPr>
          <w:rFonts w:ascii="Times New Roman" w:cs="Times New Roman" w:eastAsia="Times New Roman" w:hAnsi="Times New Roman"/>
          <w:sz w:val="20"/>
          <w:szCs w:val="20"/>
          <w:color w:val="auto"/>
        </w:rPr>
        <w:t>By his or her signature, and the Company’s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98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ALLISON TRANSMISSION HOLDINGS, INC.</w:t>
            </w:r>
          </w:p>
        </w:tc>
        <w:tc>
          <w:tcPr>
            <w:tcW w:w="626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0" w:type="dxa"/>
            <w:vAlign w:val="bottom"/>
          </w:tcPr>
          <w:p>
            <w:pPr>
              <w:spacing w:after="0"/>
              <w:rPr>
                <w:sz w:val="1"/>
                <w:szCs w:val="1"/>
                <w:color w:val="auto"/>
              </w:rPr>
            </w:pPr>
          </w:p>
        </w:tc>
      </w:tr>
      <w:tr>
        <w:trPr>
          <w:trHeight w:val="807"/>
        </w:trPr>
        <w:tc>
          <w:tcPr>
            <w:tcW w:w="49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By:</w:t>
            </w:r>
          </w:p>
        </w:tc>
        <w:tc>
          <w:tcPr>
            <w:tcW w:w="6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256"/>
        </w:trPr>
        <w:tc>
          <w:tcPr>
            <w:tcW w:w="49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Print Name:</w:t>
            </w:r>
          </w:p>
        </w:tc>
        <w:tc>
          <w:tcPr>
            <w:tcW w:w="6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Print Name:</w:t>
            </w:r>
          </w:p>
        </w:tc>
        <w:tc>
          <w:tcPr>
            <w:tcW w:w="0" w:type="dxa"/>
            <w:vAlign w:val="bottom"/>
          </w:tcPr>
          <w:p>
            <w:pPr>
              <w:spacing w:after="0"/>
              <w:rPr>
                <w:sz w:val="1"/>
                <w:szCs w:val="1"/>
                <w:color w:val="auto"/>
              </w:rPr>
            </w:pPr>
          </w:p>
        </w:tc>
      </w:tr>
      <w:tr>
        <w:trPr>
          <w:trHeight w:val="258"/>
        </w:trPr>
        <w:tc>
          <w:tcPr>
            <w:tcW w:w="49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Title:</w:t>
            </w:r>
          </w:p>
        </w:tc>
        <w:tc>
          <w:tcPr>
            <w:tcW w:w="626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6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16"/>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|US-DOCS\149144522.1||</w:t>
            </w:r>
          </w:p>
        </w:tc>
        <w:tc>
          <w:tcPr>
            <w:tcW w:w="6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7"/>
        </w:trPr>
        <w:tc>
          <w:tcPr>
            <w:tcW w:w="498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5" w:name="page66"/>
    <w:bookmarkEnd w:id="65"/>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TO PERFORMANCE STOCK UNIT GRANT NOTICE PERFORMANCE</w:t>
      </w: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STOCK UNIT AGREEMENT</w:t>
      </w:r>
    </w:p>
    <w:p>
      <w:pPr>
        <w:ind w:left="180" w:right="200" w:firstLine="749"/>
        <w:spacing w:after="0" w:line="245" w:lineRule="auto"/>
        <w:rPr>
          <w:sz w:val="20"/>
          <w:szCs w:val="20"/>
          <w:color w:val="auto"/>
        </w:rPr>
      </w:pPr>
      <w:r>
        <w:rPr>
          <w:rFonts w:ascii="Times New Roman" w:cs="Times New Roman" w:eastAsia="Times New Roman" w:hAnsi="Times New Roman"/>
          <w:sz w:val="20"/>
          <w:szCs w:val="20"/>
          <w:color w:val="auto"/>
        </w:rPr>
        <w:t>Pursuant to the Grant Notice to which this Agreement is attached, the Company has granted to Participant the Target PSUs set forth in the Grant Notice.</w:t>
      </w:r>
    </w:p>
    <w:p>
      <w:pPr>
        <w:spacing w:after="0" w:line="20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ARTICLE I. GENERAL</w:t>
      </w:r>
    </w:p>
    <w:p>
      <w:pPr>
        <w:spacing w:after="0" w:line="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u w:val="single" w:color="auto"/>
          <w:color w:val="auto"/>
        </w:rPr>
        <w:t>1.1Defined Terms</w:t>
      </w:r>
      <w:r>
        <w:rPr>
          <w:rFonts w:ascii="Times New Roman" w:cs="Times New Roman" w:eastAsia="Times New Roman" w:hAnsi="Times New Roman"/>
          <w:sz w:val="20"/>
          <w:szCs w:val="20"/>
          <w:color w:val="auto"/>
        </w:rPr>
        <w:t>. Capitalized terms not specifically defined herein shall have the meanings specified in the Plan or the Grant</w:t>
      </w:r>
    </w:p>
    <w:p>
      <w:pPr>
        <w:ind w:left="180"/>
        <w:spacing w:after="0"/>
        <w:rPr>
          <w:sz w:val="20"/>
          <w:szCs w:val="20"/>
          <w:color w:val="auto"/>
        </w:rPr>
      </w:pPr>
      <w:r>
        <w:rPr>
          <w:rFonts w:ascii="Times New Roman" w:cs="Times New Roman" w:eastAsia="Times New Roman" w:hAnsi="Times New Roman"/>
          <w:sz w:val="20"/>
          <w:szCs w:val="20"/>
          <w:color w:val="auto"/>
        </w:rPr>
        <w:t>Notice.</w:t>
      </w:r>
    </w:p>
    <w:p>
      <w:pPr>
        <w:spacing w:after="0" w:line="193" w:lineRule="exact"/>
        <w:rPr>
          <w:sz w:val="20"/>
          <w:szCs w:val="20"/>
          <w:color w:val="auto"/>
        </w:rPr>
      </w:pPr>
    </w:p>
    <w:p>
      <w:pPr>
        <w:jc w:val="both"/>
        <w:ind w:left="180" w:right="20" w:firstLine="749"/>
        <w:spacing w:after="0" w:line="253" w:lineRule="auto"/>
        <w:rPr>
          <w:sz w:val="20"/>
          <w:szCs w:val="20"/>
          <w:color w:val="auto"/>
        </w:rPr>
      </w:pPr>
      <w:r>
        <w:rPr>
          <w:rFonts w:ascii="Times New Roman" w:cs="Times New Roman" w:eastAsia="Times New Roman" w:hAnsi="Times New Roman"/>
          <w:sz w:val="20"/>
          <w:szCs w:val="20"/>
          <w:u w:val="single" w:color="auto"/>
          <w:color w:val="auto"/>
        </w:rPr>
        <w:t>1.2Incorporation of Terms of Plan</w:t>
      </w:r>
      <w:r>
        <w:rPr>
          <w:rFonts w:ascii="Times New Roman" w:cs="Times New Roman" w:eastAsia="Times New Roman" w:hAnsi="Times New Roman"/>
          <w:sz w:val="20"/>
          <w:szCs w:val="20"/>
          <w:color w:val="auto"/>
        </w:rPr>
        <w:t>. The PSUs and the shares of Common Stock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issued to Participant hereunder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are subject to the terms and conditions set forth in this Agreement and the Plan, which is incorporated herein by reference. In the event of any inconsistency between the Plan and this Agreement, the terms of the Plan shall control.</w:t>
      </w:r>
    </w:p>
    <w:p>
      <w:pPr>
        <w:spacing w:after="0" w:line="1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b w:val="1"/>
          <w:bCs w:val="1"/>
          <w:color w:val="auto"/>
        </w:rPr>
        <w:t>AWARD OF PERFORMANCE STOCK UNITS AND DIVIDEND EQUIVALENTS</w:t>
      </w:r>
    </w:p>
    <w:p>
      <w:pPr>
        <w:spacing w:after="0" w:line="219" w:lineRule="exact"/>
        <w:rPr>
          <w:sz w:val="20"/>
          <w:szCs w:val="20"/>
          <w:color w:val="auto"/>
        </w:rPr>
      </w:pPr>
    </w:p>
    <w:p>
      <w:pPr>
        <w:ind w:left="920"/>
        <w:spacing w:after="0"/>
        <w:tabs>
          <w:tab w:leader="none" w:pos="1640" w:val="left"/>
        </w:tabs>
        <w:rPr>
          <w:sz w:val="20"/>
          <w:szCs w:val="20"/>
          <w:color w:val="auto"/>
        </w:rPr>
      </w:pPr>
      <w:r>
        <w:rPr>
          <w:rFonts w:ascii="Times New Roman" w:cs="Times New Roman" w:eastAsia="Times New Roman" w:hAnsi="Times New Roman"/>
          <w:sz w:val="20"/>
          <w:szCs w:val="20"/>
          <w:u w:val="single" w:color="auto"/>
          <w:color w:val="auto"/>
        </w:rPr>
        <w:t>2.1</w:t>
      </w:r>
      <w:r>
        <w:rPr>
          <w:sz w:val="20"/>
          <w:szCs w:val="20"/>
          <w:color w:val="auto"/>
        </w:rPr>
        <w:tab/>
      </w:r>
      <w:r>
        <w:rPr>
          <w:rFonts w:ascii="Times New Roman" w:cs="Times New Roman" w:eastAsia="Times New Roman" w:hAnsi="Times New Roman"/>
          <w:sz w:val="19"/>
          <w:szCs w:val="19"/>
          <w:u w:val="single" w:color="auto"/>
          <w:color w:val="auto"/>
        </w:rPr>
        <w:t>Award of PSUs and Dividend Equivalents</w:t>
      </w:r>
      <w:r>
        <w:rPr>
          <w:rFonts w:ascii="Times New Roman" w:cs="Times New Roman" w:eastAsia="Times New Roman" w:hAnsi="Times New Roman"/>
          <w:sz w:val="19"/>
          <w:szCs w:val="19"/>
          <w:color w:val="auto"/>
        </w:rPr>
        <w:t>.</w:t>
      </w:r>
    </w:p>
    <w:p>
      <w:pPr>
        <w:spacing w:after="0" w:line="242" w:lineRule="exact"/>
        <w:rPr>
          <w:sz w:val="20"/>
          <w:szCs w:val="20"/>
          <w:color w:val="auto"/>
        </w:rPr>
      </w:pPr>
    </w:p>
    <w:p>
      <w:pPr>
        <w:jc w:val="both"/>
        <w:ind w:left="180" w:firstLine="1467"/>
        <w:spacing w:after="0" w:line="243" w:lineRule="auto"/>
        <w:tabs>
          <w:tab w:leader="none" w:pos="202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Participant’s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Participant the Target PSUs upon the terms and conditions set forth in the Grant Notice, the Plan and this Agreement, subject to adjustments as provided in Section 12.2 of the Plan. Each PSU represents the right to receive one Share or, at the option of the Company, an amount of cash as set forth in Section 2.3(b), in either case, at the times and subject to the conditions set forth herein. However, unless and until the PSUs have vested, Participant will have no right to the payment of any Shares subject thereto. Prior to the actual delivery of any Shares, the PSUs will represent an unsecured obligation of the Company, payable only from the general assets of the Company.</w:t>
      </w:r>
    </w:p>
    <w:p>
      <w:pPr>
        <w:spacing w:after="0" w:line="186" w:lineRule="exact"/>
        <w:rPr>
          <w:rFonts w:ascii="Times New Roman" w:cs="Times New Roman" w:eastAsia="Times New Roman" w:hAnsi="Times New Roman"/>
          <w:sz w:val="20"/>
          <w:szCs w:val="20"/>
          <w:color w:val="auto"/>
        </w:rPr>
      </w:pPr>
    </w:p>
    <w:p>
      <w:pPr>
        <w:jc w:val="both"/>
        <w:ind w:left="180" w:right="20" w:firstLine="1490"/>
        <w:spacing w:after="0" w:line="244" w:lineRule="auto"/>
        <w:tabs>
          <w:tab w:leader="none" w:pos="204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hereby grants to Participant an Award of Dividend Equivalents with respect to each PSU granted pursuant to the Grant Notice for all ordinary cash dividends which are paid to all or substantially all holders of the outstanding shares of Stock between the Grant Date and the date when the applicable PSU is distributed or paid to Participant or is forfeited or expires. The Dividend Equivalents for each PSU shall be equal to the amount of cash which is paid as a dividend on one share of Stock. All such Dividend Equivalents shall be credited to Participant and paid in cash at the same time as the distribution or payment is made on the PSUs to which such Dividend Equivalent relates in accordance with Section 2.3 below. Any Dividend Equivalents that relate to PSUs that are forfeited shall likewise be forfeited without consideration.</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|US-DOCS\149144522.1||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94" w:right="499" w:bottom="1440" w:gutter="0" w:footer="0" w:header="0"/>
        </w:sectPr>
      </w:pPr>
    </w:p>
    <w:bookmarkStart w:id="66" w:name="page67"/>
    <w:bookmarkEnd w:id="66"/>
    <w:p>
      <w:pPr>
        <w:ind w:left="920"/>
        <w:spacing w:after="0"/>
        <w:tabs>
          <w:tab w:leader="none" w:pos="1640" w:val="left"/>
        </w:tabs>
        <w:rPr>
          <w:sz w:val="20"/>
          <w:szCs w:val="20"/>
          <w:color w:val="auto"/>
        </w:rPr>
      </w:pPr>
      <w:r>
        <w:rPr>
          <w:rFonts w:ascii="Times New Roman" w:cs="Times New Roman" w:eastAsia="Times New Roman" w:hAnsi="Times New Roman"/>
          <w:sz w:val="20"/>
          <w:szCs w:val="20"/>
          <w:u w:val="single" w:color="auto"/>
          <w:color w:val="auto"/>
        </w:rPr>
        <w:t>2.2</w:t>
      </w:r>
      <w:r>
        <w:rPr>
          <w:sz w:val="20"/>
          <w:szCs w:val="20"/>
          <w:color w:val="auto"/>
        </w:rPr>
        <w:tab/>
      </w:r>
      <w:r>
        <w:rPr>
          <w:rFonts w:ascii="Times New Roman" w:cs="Times New Roman" w:eastAsia="Times New Roman" w:hAnsi="Times New Roman"/>
          <w:sz w:val="19"/>
          <w:szCs w:val="19"/>
          <w:u w:val="single" w:color="auto"/>
          <w:color w:val="auto"/>
        </w:rPr>
        <w:t>Vesting of PSUs</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jc w:val="both"/>
        <w:ind w:left="180" w:firstLine="1490"/>
        <w:spacing w:after="0" w:line="255" w:lineRule="auto"/>
        <w:tabs>
          <w:tab w:leader="none" w:pos="204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TSR Vesting Schedule</w:t>
      </w:r>
      <w:r>
        <w:rPr>
          <w:rFonts w:ascii="Times New Roman" w:cs="Times New Roman" w:eastAsia="Times New Roman" w:hAnsi="Times New Roman"/>
          <w:sz w:val="20"/>
          <w:szCs w:val="20"/>
          <w:color w:val="auto"/>
        </w:rPr>
        <w:t>. Subject to Sections 2.2(b) and (c) below, the PSUs shall vest, if at all, in amounts up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200% of the Target PSUs (the “</w:t>
      </w:r>
      <w:r>
        <w:rPr>
          <w:rFonts w:ascii="Times New Roman" w:cs="Times New Roman" w:eastAsia="Times New Roman" w:hAnsi="Times New Roman"/>
          <w:sz w:val="20"/>
          <w:szCs w:val="20"/>
          <w:u w:val="single" w:color="auto"/>
          <w:color w:val="auto"/>
        </w:rPr>
        <w:t>Maximum PSUs</w:t>
      </w:r>
      <w:r>
        <w:rPr>
          <w:rFonts w:ascii="Times New Roman" w:cs="Times New Roman" w:eastAsia="Times New Roman" w:hAnsi="Times New Roman"/>
          <w:sz w:val="20"/>
          <w:szCs w:val="20"/>
          <w:color w:val="auto"/>
        </w:rPr>
        <w:t>”) on the Determination Date (or such earlier date specified in Section 2.2(b)(ii) or (c) below), as follows:</w:t>
      </w:r>
    </w:p>
    <w:p>
      <w:pPr>
        <w:spacing w:after="0" w:line="188" w:lineRule="exact"/>
        <w:rPr>
          <w:sz w:val="20"/>
          <w:szCs w:val="20"/>
          <w:color w:val="auto"/>
        </w:rPr>
      </w:pPr>
    </w:p>
    <w:p>
      <w:pPr>
        <w:jc w:val="both"/>
        <w:ind w:left="180" w:firstLine="2246"/>
        <w:spacing w:after="0" w:line="268" w:lineRule="auto"/>
        <w:rPr>
          <w:sz w:val="20"/>
          <w:szCs w:val="20"/>
          <w:color w:val="auto"/>
        </w:rPr>
      </w:pPr>
      <w:r>
        <w:rPr>
          <w:rFonts w:ascii="Times New Roman" w:cs="Times New Roman" w:eastAsia="Times New Roman" w:hAnsi="Times New Roman"/>
          <w:sz w:val="20"/>
          <w:szCs w:val="20"/>
          <w:color w:val="auto"/>
        </w:rPr>
        <w:t>(i)If the Company achieves a TSR over the Performance Period that is below the 25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of the TSRs of the component members of the Company’s Peer Group over the Performance Period, none of the PSUs shall vest;</w:t>
      </w:r>
    </w:p>
    <w:p>
      <w:pPr>
        <w:spacing w:after="0" w:line="161" w:lineRule="exact"/>
        <w:rPr>
          <w:sz w:val="20"/>
          <w:szCs w:val="20"/>
          <w:color w:val="auto"/>
        </w:rPr>
      </w:pPr>
    </w:p>
    <w:p>
      <w:pPr>
        <w:jc w:val="both"/>
        <w:ind w:left="180" w:firstLine="2246"/>
        <w:spacing w:after="0" w:line="253" w:lineRule="auto"/>
        <w:rPr>
          <w:sz w:val="20"/>
          <w:szCs w:val="20"/>
          <w:color w:val="auto"/>
        </w:rPr>
      </w:pPr>
      <w:r>
        <w:rPr>
          <w:rFonts w:ascii="Times New Roman" w:cs="Times New Roman" w:eastAsia="Times New Roman" w:hAnsi="Times New Roman"/>
          <w:sz w:val="20"/>
          <w:szCs w:val="20"/>
          <w:color w:val="auto"/>
        </w:rPr>
        <w:t>(ii)If the Company achieves a TSR over the Performance Period that is at the 25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of the TSRs of the component members of the Company’s Peer Group over the Performance Period, a number of PSUs equal to 50% (rounded up to the nearest whole Share) of the Target PSUs shall vest;</w:t>
      </w:r>
    </w:p>
    <w:p>
      <w:pPr>
        <w:spacing w:after="0" w:line="176" w:lineRule="exact"/>
        <w:rPr>
          <w:sz w:val="20"/>
          <w:szCs w:val="20"/>
          <w:color w:val="auto"/>
        </w:rPr>
      </w:pPr>
    </w:p>
    <w:p>
      <w:pPr>
        <w:jc w:val="both"/>
        <w:ind w:left="180" w:firstLine="2246"/>
        <w:spacing w:after="0" w:line="253" w:lineRule="auto"/>
        <w:rPr>
          <w:sz w:val="20"/>
          <w:szCs w:val="20"/>
          <w:color w:val="auto"/>
        </w:rPr>
      </w:pPr>
      <w:r>
        <w:rPr>
          <w:rFonts w:ascii="Times New Roman" w:cs="Times New Roman" w:eastAsia="Times New Roman" w:hAnsi="Times New Roman"/>
          <w:sz w:val="20"/>
          <w:szCs w:val="20"/>
          <w:color w:val="auto"/>
        </w:rPr>
        <w:t>(iii)If the Company achieves a TSR over the Performance Period that is at the 50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of the TSRs of the component members of the Company’s Peer Group over the Performance Period, a number of PSUs equal to 100% (rounded up to the nearest whole Share) of the Target PSUs shall vest; or</w:t>
      </w:r>
    </w:p>
    <w:p>
      <w:pPr>
        <w:spacing w:after="0" w:line="176" w:lineRule="exact"/>
        <w:rPr>
          <w:sz w:val="20"/>
          <w:szCs w:val="20"/>
          <w:color w:val="auto"/>
        </w:rPr>
      </w:pPr>
    </w:p>
    <w:p>
      <w:pPr>
        <w:jc w:val="both"/>
        <w:ind w:left="180" w:firstLine="2246"/>
        <w:spacing w:after="0" w:line="253" w:lineRule="auto"/>
        <w:rPr>
          <w:sz w:val="20"/>
          <w:szCs w:val="20"/>
          <w:color w:val="auto"/>
        </w:rPr>
      </w:pPr>
      <w:r>
        <w:rPr>
          <w:rFonts w:ascii="Times New Roman" w:cs="Times New Roman" w:eastAsia="Times New Roman" w:hAnsi="Times New Roman"/>
          <w:sz w:val="20"/>
          <w:szCs w:val="20"/>
          <w:color w:val="auto"/>
        </w:rPr>
        <w:t>(iv)If the Company achieves a TSR over the Performance Period that is at or above the 75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of the TSRs of the component members of the Company’s Peer Group over the Performance Period, a number of PSUs equal to the Maximum PSUs shall vest.</w:t>
      </w:r>
    </w:p>
    <w:p>
      <w:pPr>
        <w:spacing w:after="0" w:line="190" w:lineRule="exact"/>
        <w:rPr>
          <w:sz w:val="20"/>
          <w:szCs w:val="20"/>
          <w:color w:val="auto"/>
        </w:rPr>
      </w:pPr>
    </w:p>
    <w:p>
      <w:pPr>
        <w:jc w:val="both"/>
        <w:ind w:left="180" w:firstLine="2246"/>
        <w:spacing w:after="0" w:line="253" w:lineRule="auto"/>
        <w:rPr>
          <w:sz w:val="20"/>
          <w:szCs w:val="20"/>
          <w:color w:val="auto"/>
        </w:rPr>
      </w:pPr>
      <w:r>
        <w:rPr>
          <w:rFonts w:ascii="Times New Roman" w:cs="Times New Roman" w:eastAsia="Times New Roman" w:hAnsi="Times New Roman"/>
          <w:sz w:val="20"/>
          <w:szCs w:val="20"/>
          <w:color w:val="auto"/>
        </w:rPr>
        <w:t>(v)To the extent that the Company achieves a TSR over the Performance Period that is between two thresholds specified in this Section 2.2(a), the percentage of the PSUs that vest shall be determined by the use of straight-line interpolation and the remaining PSUs shall thereupon be forfeited.</w:t>
      </w:r>
    </w:p>
    <w:p>
      <w:pPr>
        <w:spacing w:after="0" w:line="172" w:lineRule="exact"/>
        <w:rPr>
          <w:sz w:val="20"/>
          <w:szCs w:val="20"/>
          <w:color w:val="auto"/>
        </w:rPr>
      </w:pPr>
    </w:p>
    <w:p>
      <w:pPr>
        <w:ind w:left="2040" w:hanging="370"/>
        <w:spacing w:after="0"/>
        <w:tabs>
          <w:tab w:leader="none" w:pos="20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Effect of Termination of Service</w:t>
      </w:r>
      <w:r>
        <w:rPr>
          <w:rFonts w:ascii="Times New Roman" w:cs="Times New Roman" w:eastAsia="Times New Roman" w:hAnsi="Times New Roman"/>
          <w:sz w:val="20"/>
          <w:szCs w:val="20"/>
          <w:color w:val="auto"/>
        </w:rPr>
        <w:t>.</w:t>
      </w:r>
    </w:p>
    <w:p>
      <w:pPr>
        <w:spacing w:after="0" w:line="327" w:lineRule="exact"/>
        <w:rPr>
          <w:sz w:val="20"/>
          <w:szCs w:val="20"/>
          <w:color w:val="auto"/>
        </w:rPr>
      </w:pPr>
    </w:p>
    <w:p>
      <w:pPr>
        <w:jc w:val="both"/>
        <w:ind w:left="180" w:firstLine="2246"/>
        <w:spacing w:after="0" w:line="249" w:lineRule="auto"/>
        <w:rPr>
          <w:sz w:val="20"/>
          <w:szCs w:val="20"/>
          <w:color w:val="auto"/>
        </w:rPr>
      </w:pPr>
      <w:r>
        <w:rPr>
          <w:rFonts w:ascii="Times New Roman" w:cs="Times New Roman" w:eastAsia="Times New Roman" w:hAnsi="Times New Roman"/>
          <w:sz w:val="20"/>
          <w:szCs w:val="20"/>
          <w:color w:val="auto"/>
        </w:rPr>
        <w:t>(i)Notwithstanding any contrary provision of this Agreement, upon Participant’s Termination of Service for any reason (other than due to Participant’s death, Disability or Retirement) prior to the Determination Date or the Change in Control Determination Date, as applicable, any and all PSUs and Dividend Equivalents shall immediately be forfeited and Participant’s rights with respect thereto shall lapse and expire.</w:t>
      </w:r>
    </w:p>
    <w:p>
      <w:pPr>
        <w:spacing w:after="0" w:line="192" w:lineRule="exact"/>
        <w:rPr>
          <w:sz w:val="20"/>
          <w:szCs w:val="20"/>
          <w:color w:val="auto"/>
        </w:rPr>
      </w:pPr>
    </w:p>
    <w:p>
      <w:pPr>
        <w:jc w:val="both"/>
        <w:ind w:left="180" w:firstLine="2246"/>
        <w:spacing w:after="0" w:line="257" w:lineRule="auto"/>
        <w:rPr>
          <w:sz w:val="20"/>
          <w:szCs w:val="20"/>
          <w:color w:val="auto"/>
        </w:rPr>
      </w:pPr>
      <w:r>
        <w:rPr>
          <w:rFonts w:ascii="Times New Roman" w:cs="Times New Roman" w:eastAsia="Times New Roman" w:hAnsi="Times New Roman"/>
          <w:sz w:val="19"/>
          <w:szCs w:val="19"/>
          <w:color w:val="auto"/>
        </w:rPr>
        <w:t>(ii)In the event of Participant’s Termination of Service due to Participant’s death or Disability at any time prior to December 31, 20__ or a Change in Control, Participant shall vest in a pro rata portion of the number of PSUs determined to vest in accordance with Section 2.2(a), which pro rata portion will be calculated by multiplying the total number of PSUs that vest based on actual performance for the period beginning on January 1, 20__ and ending on the date of Participant’s Termination of Service, as determined by the Administrator, by a fraction, the numerator of which equals the number of days Participant was employed with or provided service to the Company or any Subsidiary during the Performance Period and the denominator of which is 1,096, effective as of the date of such Participant’s Termination of Service. In the event of Participant’s Termination of Service due to Participant’s death or Disability on or after December 31, 20__ and prior to the Determination Date, Participant shall vest in the total number of PSUs that vest based on actual performance for the Performance Period, as determined by the Administrator in accordance with Section 2.2(a).</w:t>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|US-DOCS\149144522.1||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98" w:right="519" w:bottom="1440" w:gutter="0" w:footer="0" w:header="0"/>
        </w:sectPr>
      </w:pPr>
    </w:p>
    <w:bookmarkStart w:id="67" w:name="page68"/>
    <w:bookmarkEnd w:id="67"/>
    <w:p>
      <w:pPr>
        <w:jc w:val="both"/>
        <w:ind w:left="180" w:right="60" w:firstLine="2246"/>
        <w:spacing w:after="0" w:line="245" w:lineRule="auto"/>
        <w:rPr>
          <w:sz w:val="20"/>
          <w:szCs w:val="20"/>
          <w:color w:val="auto"/>
        </w:rPr>
      </w:pPr>
      <w:r>
        <w:rPr>
          <w:rFonts w:ascii="Times New Roman" w:cs="Times New Roman" w:eastAsia="Times New Roman" w:hAnsi="Times New Roman"/>
          <w:sz w:val="20"/>
          <w:szCs w:val="20"/>
          <w:color w:val="auto"/>
        </w:rPr>
        <w:t>(iii)In the event of Participant’s Retirement at any time prior to December 31, 20__ or a Change in Control, Participant shall vest on the Determination Date in a pro rata portion of the number of PSUs determined to vest in accordance with Section 2.2(a), which pro rata portion will be calculated by multiplying the total number of PSUs that vest based on actual performance for the Performance Period, as determined by the Administrator, by a fraction, the numerator of which equals the number of days Participant was employed with or provided service to the Company or any Subsidiary during the Performance Period and the denominator of which is 1,096.</w:t>
      </w:r>
    </w:p>
    <w:p>
      <w:pPr>
        <w:spacing w:after="0" w:line="179" w:lineRule="exact"/>
        <w:rPr>
          <w:sz w:val="20"/>
          <w:szCs w:val="20"/>
          <w:color w:val="auto"/>
        </w:rPr>
      </w:pPr>
    </w:p>
    <w:p>
      <w:pPr>
        <w:jc w:val="both"/>
        <w:ind w:left="180" w:firstLine="1490"/>
        <w:spacing w:after="0" w:line="243" w:lineRule="auto"/>
        <w:tabs>
          <w:tab w:leader="none" w:pos="20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 Notwithstanding any contrary provision of this Agreement, in the event of a Change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Control at any time prior to December 31, 20__, the number of PSUs determined to vest pursuant to Section 2.2(a) hereof for the period beginning on January 1, 20__ and ending on the Change in Control Determination Date shall vest on December 31, 20__, subject to the Participant not incurring a Termination of Service prior to December 31, 20__; provided, that, such unvested PSUs shall immediately vest and no longer represent unvested PSUs (i) on the date of Participant’s Termination of Service, in the event of Participant’s Termination of Service by the Company without Cause, by Participant for Good Reason or due to Participant’s death or Disability, in each case, after the Change in Control and (ii) immediately prior to (and subject to the consummation of) the Change in Control in the event the successor corporation (or any of its parent entities) does not assume or substitute the PSUs for equivalent rights in connection with such Change in Control.</w:t>
      </w:r>
    </w:p>
    <w:p>
      <w:pPr>
        <w:spacing w:after="0" w:line="183" w:lineRule="exact"/>
        <w:rPr>
          <w:rFonts w:ascii="Times New Roman" w:cs="Times New Roman" w:eastAsia="Times New Roman" w:hAnsi="Times New Roman"/>
          <w:sz w:val="20"/>
          <w:szCs w:val="20"/>
          <w:color w:val="auto"/>
        </w:rPr>
      </w:pPr>
    </w:p>
    <w:p>
      <w:pPr>
        <w:ind w:left="2420" w:hanging="750"/>
        <w:spacing w:after="0"/>
        <w:tabs>
          <w:tab w:leader="none" w:pos="24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 For purposes of this Agreement, the following definitions shall</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apply:</w:t>
      </w:r>
    </w:p>
    <w:p>
      <w:pPr>
        <w:spacing w:after="0" w:line="206" w:lineRule="exact"/>
        <w:rPr>
          <w:sz w:val="20"/>
          <w:szCs w:val="20"/>
          <w:color w:val="auto"/>
        </w:rPr>
      </w:pPr>
    </w:p>
    <w:p>
      <w:pPr>
        <w:jc w:val="both"/>
        <w:ind w:left="180" w:right="60" w:firstLine="2213"/>
        <w:spacing w:after="0" w:line="24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20"/>
          <w:szCs w:val="20"/>
          <w:u w:val="single" w:color="auto"/>
          <w:color w:val="auto"/>
        </w:rPr>
        <w:t>Average Market Value</w:t>
      </w:r>
      <w:r>
        <w:rPr>
          <w:rFonts w:ascii="Times New Roman" w:cs="Times New Roman" w:eastAsia="Times New Roman" w:hAnsi="Times New Roman"/>
          <w:sz w:val="20"/>
          <w:szCs w:val="20"/>
          <w:color w:val="auto"/>
        </w:rPr>
        <w:t>” of the Company or a member of the Peer Group, as applicable, means, as of any day, the average closing price per share of Common Stock (or per share of common stock of a member of the Peer Group, as applicable) over the 20-consecutive-trading days ending with and including that day (or, if there is no closing price on that day, the last trading day before that day).</w:t>
      </w:r>
    </w:p>
    <w:p>
      <w:pPr>
        <w:spacing w:after="0" w:line="21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20"/>
          <w:szCs w:val="20"/>
          <w:u w:val="single" w:color="auto"/>
          <w:color w:val="auto"/>
        </w:rPr>
        <w:t>Beginning Average Market Value</w:t>
      </w:r>
      <w:r>
        <w:rPr>
          <w:rFonts w:ascii="Times New Roman" w:cs="Times New Roman" w:eastAsia="Times New Roman" w:hAnsi="Times New Roman"/>
          <w:sz w:val="20"/>
          <w:szCs w:val="20"/>
          <w:color w:val="auto"/>
        </w:rPr>
        <w:t>” means the Average Market Value as of January 1, 20__.</w:t>
      </w:r>
    </w:p>
    <w:p>
      <w:pPr>
        <w:spacing w:after="0" w:line="242" w:lineRule="exact"/>
        <w:rPr>
          <w:sz w:val="20"/>
          <w:szCs w:val="20"/>
          <w:color w:val="auto"/>
        </w:rPr>
      </w:pPr>
    </w:p>
    <w:p>
      <w:pPr>
        <w:jc w:val="both"/>
        <w:ind w:left="180" w:right="60" w:firstLine="2246"/>
        <w:spacing w:after="0" w:line="242"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(a) the Board’s determination that Participant failed to substantially perform his or her duties (other than any such failure resulting from Participant’s Disability); (b) the Board’s determination that Participant failed to carry out, or comply with any lawful and reasonable directive of the Board or Participant’s immediate supervisor; (c) Participant’s conviction, plea of no contest, plea of nolo contendere, or imposition of unadjudicated probation for any felony, indictable offense or crime involving moral turpitude; (d) Participant’s unlawful use (including being under the influence) or possession of illegal drugs on the Company’s (or any of its Subsidiaries’) premises or while performing Participant’s duties and responsibilities; or (e) Participant’s commission of an act of fraud, embezzlement, misappropriation, misconduct, or breach of fiduciary duty against the Company or any of its Subsidiaries. Notwithstanding the foregoing, if Participant is a party to a written employment or change in control severance agreement with the Company (or its Subsidiary) that contains a definition of Cause, then “Cause” shall be as such term is defined in the applicable written employment or change in control severance agreement.</w:t>
      </w:r>
    </w:p>
    <w:p>
      <w:pPr>
        <w:spacing w:after="0" w:line="189" w:lineRule="exact"/>
        <w:rPr>
          <w:sz w:val="20"/>
          <w:szCs w:val="20"/>
          <w:color w:val="auto"/>
        </w:rPr>
      </w:pPr>
    </w:p>
    <w:p>
      <w:pPr>
        <w:jc w:val="both"/>
        <w:ind w:left="180" w:right="60" w:firstLine="2246"/>
        <w:spacing w:after="0" w:line="268"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20"/>
          <w:szCs w:val="20"/>
          <w:u w:val="single" w:color="auto"/>
          <w:color w:val="auto"/>
        </w:rPr>
        <w:t>Change in Control Determination Date</w:t>
      </w:r>
      <w:r>
        <w:rPr>
          <w:rFonts w:ascii="Times New Roman" w:cs="Times New Roman" w:eastAsia="Times New Roman" w:hAnsi="Times New Roman"/>
          <w:sz w:val="20"/>
          <w:szCs w:val="20"/>
          <w:color w:val="auto"/>
        </w:rPr>
        <w:t>” means any date within thirty days prior to the date of a Change in Control, as determined by the Administrator.</w:t>
      </w:r>
    </w:p>
    <w:p>
      <w:pPr>
        <w:spacing w:after="0" w:line="17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 means the date the Administrator determines the</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|US-DOCS\149144522.1||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0" w:right="459" w:bottom="1440" w:gutter="0" w:footer="0" w:header="0"/>
        </w:sectPr>
      </w:pPr>
    </w:p>
    <w:bookmarkStart w:id="68" w:name="page69"/>
    <w:bookmarkEnd w:id="68"/>
    <w:p>
      <w:pPr>
        <w:jc w:val="both"/>
        <w:ind w:left="180"/>
        <w:spacing w:after="0" w:line="268" w:lineRule="auto"/>
        <w:rPr>
          <w:sz w:val="20"/>
          <w:szCs w:val="20"/>
          <w:color w:val="auto"/>
        </w:rPr>
      </w:pPr>
      <w:r>
        <w:rPr>
          <w:rFonts w:ascii="Times New Roman" w:cs="Times New Roman" w:eastAsia="Times New Roman" w:hAnsi="Times New Roman"/>
          <w:sz w:val="20"/>
          <w:szCs w:val="20"/>
          <w:color w:val="auto"/>
        </w:rPr>
        <w:t>number of PSUs that shall vest pursuant to Section 2.2(a) based on the TSR of the Company and the Peer Group, which date shall be no later than February 28, 20__.</w:t>
      </w:r>
    </w:p>
    <w:p>
      <w:pPr>
        <w:spacing w:after="0" w:line="188" w:lineRule="exact"/>
        <w:rPr>
          <w:sz w:val="20"/>
          <w:szCs w:val="20"/>
          <w:color w:val="auto"/>
        </w:rPr>
      </w:pPr>
    </w:p>
    <w:p>
      <w:pPr>
        <w:jc w:val="both"/>
        <w:ind w:left="180" w:firstLine="2246"/>
        <w:spacing w:after="0" w:line="253" w:lineRule="auto"/>
        <w:rPr>
          <w:sz w:val="20"/>
          <w:szCs w:val="20"/>
          <w:color w:val="auto"/>
        </w:rPr>
      </w:pPr>
      <w:r>
        <w:rPr>
          <w:rFonts w:ascii="Times New Roman" w:cs="Times New Roman" w:eastAsia="Times New Roman" w:hAnsi="Times New Roman"/>
          <w:sz w:val="20"/>
          <w:szCs w:val="20"/>
          <w:color w:val="auto"/>
        </w:rPr>
        <w:t>(vi)“</w:t>
      </w:r>
      <w:r>
        <w:rPr>
          <w:rFonts w:ascii="Times New Roman" w:cs="Times New Roman" w:eastAsia="Times New Roman" w:hAnsi="Times New Roman"/>
          <w:sz w:val="20"/>
          <w:szCs w:val="20"/>
          <w:u w:val="single" w:color="auto"/>
          <w:color w:val="auto"/>
        </w:rPr>
        <w:t>Ending Average Market Value</w:t>
      </w:r>
      <w:r>
        <w:rPr>
          <w:rFonts w:ascii="Times New Roman" w:cs="Times New Roman" w:eastAsia="Times New Roman" w:hAnsi="Times New Roman"/>
          <w:sz w:val="20"/>
          <w:szCs w:val="20"/>
          <w:color w:val="auto"/>
        </w:rPr>
        <w:t>” means the Average Market Value as of December 31, 20__; provided, that, in the event a Change in Control occurs after calendar year 20__ and prior to December 31, 20__, “Ending Average Market Value” means the Average Market Value as of the Change in Control Determination Date.</w:t>
      </w:r>
    </w:p>
    <w:p>
      <w:pPr>
        <w:spacing w:after="0" w:line="203" w:lineRule="exact"/>
        <w:rPr>
          <w:sz w:val="20"/>
          <w:szCs w:val="20"/>
          <w:color w:val="auto"/>
        </w:rPr>
      </w:pPr>
    </w:p>
    <w:p>
      <w:pPr>
        <w:jc w:val="both"/>
        <w:ind w:left="180" w:right="60" w:firstLine="2246"/>
        <w:spacing w:after="0" w:line="254" w:lineRule="auto"/>
        <w:rPr>
          <w:sz w:val="20"/>
          <w:szCs w:val="20"/>
          <w:color w:val="auto"/>
        </w:rPr>
      </w:pPr>
      <w:r>
        <w:rPr>
          <w:rFonts w:ascii="Times New Roman" w:cs="Times New Roman" w:eastAsia="Times New Roman" w:hAnsi="Times New Roman"/>
          <w:sz w:val="19"/>
          <w:szCs w:val="19"/>
          <w:color w:val="auto"/>
        </w:rPr>
        <w:t>(vii)“</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means the occurrence of any of the following events or conditions without Participant’s written consent (a) a material diminution in Participant’s authority, duties or responsibilities, other than as a result of a Change in Control where Participant remains in a position with the Company or its successor (or any other entity that owns substantially all of the Company’s business after such sale) that is substantially equivalent in duties, rank, reporting structure and authority with Participant’s position prior to such sale, solely as such duties, rank, reporting structure and authority relate to the Company’s business; (b) a material diminution in Participant’s base salary or target annual bonus level; or (c) a material change in the geographic location at which Participant must perform his or her duties, which shall not include a relocation of Participant’s principal place of employment to any location within a fifty (50) mile radius of the location from which Participant served the Company immediately prior to the relocation. Participant must provide written notice to the Company of the occurrence of any of the foregoing events or conditions without Participant’s written consent within ninety (90) days of the occurrence of such event or the date upon which Participant reasonably became aware that such an event or condition had occurred. The Company or any successor or affiliate shall have a period of thirty (30) days to cure such event or condition after receipt of written notice of such event from Participant. Any voluntary termination for “Good Reason” following such thirty (30) day cure period must occur no later than the date that is six (6) months following the date notice was provided by Participant. Notwithstanding the foregoing, if Participant is a party to a written employment agreement or change in control severance agreement with the Company (or its Subsidiary) that contains a definition of Good Reason, then “Good Reason” shall be as such term is defined in the applicable written employment or change in control severance agreement.</w:t>
      </w:r>
    </w:p>
    <w:p>
      <w:pPr>
        <w:spacing w:after="0" w:line="180" w:lineRule="exact"/>
        <w:rPr>
          <w:sz w:val="20"/>
          <w:szCs w:val="20"/>
          <w:color w:val="auto"/>
        </w:rPr>
      </w:pPr>
    </w:p>
    <w:p>
      <w:pPr>
        <w:jc w:val="both"/>
        <w:ind w:left="180" w:right="40" w:firstLine="2213"/>
        <w:spacing w:after="0" w:line="247" w:lineRule="auto"/>
        <w:rPr>
          <w:sz w:val="20"/>
          <w:szCs w:val="20"/>
          <w:color w:val="auto"/>
        </w:rPr>
      </w:pPr>
      <w:r>
        <w:rPr>
          <w:rFonts w:ascii="Times New Roman" w:cs="Times New Roman" w:eastAsia="Times New Roman" w:hAnsi="Times New Roman"/>
          <w:sz w:val="20"/>
          <w:szCs w:val="20"/>
          <w:color w:val="auto"/>
        </w:rPr>
        <w:t>(viii)“</w:t>
      </w:r>
      <w:r>
        <w:rPr>
          <w:rFonts w:ascii="Times New Roman" w:cs="Times New Roman" w:eastAsia="Times New Roman" w:hAnsi="Times New Roman"/>
          <w:sz w:val="20"/>
          <w:szCs w:val="20"/>
          <w:u w:val="single" w:color="auto"/>
          <w:color w:val="auto"/>
        </w:rPr>
        <w:t>Peer Group</w:t>
      </w:r>
      <w:r>
        <w:rPr>
          <w:rFonts w:ascii="Times New Roman" w:cs="Times New Roman" w:eastAsia="Times New Roman" w:hAnsi="Times New Roman"/>
          <w:sz w:val="20"/>
          <w:szCs w:val="20"/>
          <w:color w:val="auto"/>
        </w:rPr>
        <w:t xml:space="preserve">” shall consist of the companies listed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if a member of the Peer Group ceases to be a Publicly Traded Company for any reason during the Performance Period or is acquired by another Publicly Traded Company (other than a transaction the principal purpose of which is to change the name, corporate form or jurisdiction of incorporation or formation of the Peer Group member), the member shall be automatically removed from and treated as never having been included in the Peer Group.</w:t>
      </w:r>
    </w:p>
    <w:p>
      <w:pPr>
        <w:spacing w:after="0" w:line="19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(ix)“</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means the period beginning on January 1, 20__ and ending on December 31,</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20__.</w:t>
      </w:r>
    </w:p>
    <w:p>
      <w:pPr>
        <w:spacing w:after="0" w:line="220" w:lineRule="exact"/>
        <w:rPr>
          <w:sz w:val="20"/>
          <w:szCs w:val="20"/>
          <w:color w:val="auto"/>
        </w:rPr>
      </w:pPr>
    </w:p>
    <w:p>
      <w:pPr>
        <w:jc w:val="both"/>
        <w:ind w:left="180" w:right="60" w:firstLine="2213"/>
        <w:spacing w:after="0" w:line="268" w:lineRule="auto"/>
        <w:rPr>
          <w:sz w:val="20"/>
          <w:szCs w:val="20"/>
          <w:color w:val="auto"/>
        </w:rPr>
      </w:pPr>
      <w:r>
        <w:rPr>
          <w:rFonts w:ascii="Times New Roman" w:cs="Times New Roman" w:eastAsia="Times New Roman" w:hAnsi="Times New Roman"/>
          <w:sz w:val="20"/>
          <w:szCs w:val="20"/>
          <w:color w:val="auto"/>
        </w:rPr>
        <w:t>(x)“</w:t>
      </w:r>
      <w:r>
        <w:rPr>
          <w:rFonts w:ascii="Times New Roman" w:cs="Times New Roman" w:eastAsia="Times New Roman" w:hAnsi="Times New Roman"/>
          <w:sz w:val="20"/>
          <w:szCs w:val="20"/>
          <w:u w:val="single" w:color="auto"/>
          <w:color w:val="auto"/>
        </w:rPr>
        <w:t>Publicly Traded Company</w:t>
      </w:r>
      <w:r>
        <w:rPr>
          <w:rFonts w:ascii="Times New Roman" w:cs="Times New Roman" w:eastAsia="Times New Roman" w:hAnsi="Times New Roman"/>
          <w:sz w:val="20"/>
          <w:szCs w:val="20"/>
          <w:color w:val="auto"/>
        </w:rPr>
        <w:t>” means a company whose shares are regularly quoted or traded on an active securities exchange, over-the-counter market or inter-dealer quotation system.</w:t>
      </w:r>
    </w:p>
    <w:p>
      <w:pPr>
        <w:spacing w:after="0" w:line="174" w:lineRule="exact"/>
        <w:rPr>
          <w:sz w:val="20"/>
          <w:szCs w:val="20"/>
          <w:color w:val="auto"/>
        </w:rPr>
      </w:pPr>
    </w:p>
    <w:p>
      <w:pPr>
        <w:jc w:val="both"/>
        <w:ind w:left="180" w:right="60" w:firstLine="2213"/>
        <w:spacing w:after="0" w:line="268" w:lineRule="auto"/>
        <w:rPr>
          <w:sz w:val="20"/>
          <w:szCs w:val="20"/>
          <w:color w:val="auto"/>
        </w:rPr>
      </w:pPr>
      <w:r>
        <w:rPr>
          <w:rFonts w:ascii="Times New Roman" w:cs="Times New Roman" w:eastAsia="Times New Roman" w:hAnsi="Times New Roman"/>
          <w:sz w:val="20"/>
          <w:szCs w:val="20"/>
          <w:color w:val="auto"/>
        </w:rPr>
        <w:t>(xi)“</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Participant’s voluntary Termination of Service on or after the date on which Participant satisfies the definition of “Retirement” in the Company’s Retirement Policy applicable to Participant.</w:t>
      </w:r>
    </w:p>
    <w:p>
      <w:pPr>
        <w:spacing w:after="0" w:line="26" w:lineRule="exact"/>
        <w:rPr>
          <w:sz w:val="20"/>
          <w:szCs w:val="20"/>
          <w:color w:val="auto"/>
        </w:rPr>
      </w:pPr>
    </w:p>
    <w:p>
      <w:pPr>
        <w:jc w:val="both"/>
        <w:ind w:left="180" w:right="60" w:firstLine="2246"/>
        <w:spacing w:after="0" w:line="253" w:lineRule="auto"/>
        <w:rPr>
          <w:sz w:val="20"/>
          <w:szCs w:val="20"/>
          <w:color w:val="auto"/>
        </w:rPr>
      </w:pPr>
      <w:r>
        <w:rPr>
          <w:rFonts w:ascii="Times New Roman" w:cs="Times New Roman" w:eastAsia="Times New Roman" w:hAnsi="Times New Roman"/>
          <w:sz w:val="20"/>
          <w:szCs w:val="20"/>
          <w:color w:val="auto"/>
        </w:rPr>
        <w:t>(xii)“</w:t>
      </w:r>
      <w:r>
        <w:rPr>
          <w:rFonts w:ascii="Times New Roman" w:cs="Times New Roman" w:eastAsia="Times New Roman" w:hAnsi="Times New Roman"/>
          <w:sz w:val="20"/>
          <w:szCs w:val="20"/>
          <w:u w:val="single" w:color="auto"/>
          <w:color w:val="auto"/>
        </w:rPr>
        <w:t>TSR</w:t>
      </w:r>
      <w:r>
        <w:rPr>
          <w:rFonts w:ascii="Times New Roman" w:cs="Times New Roman" w:eastAsia="Times New Roman" w:hAnsi="Times New Roman"/>
          <w:sz w:val="20"/>
          <w:szCs w:val="20"/>
          <w:color w:val="auto"/>
        </w:rPr>
        <w:t>” means the percentage appreciation (positive or negative) in the Common Stock price (or common stock price of a member of the Peer Group, as applicable) over the Performance Period, determined by dividing (i) the difference obtained by subtracting (A) the Beginning</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|US-DOCS\149144522.1||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0" w:right="459" w:bottom="1440" w:gutter="0" w:footer="0" w:header="0"/>
        </w:sectPr>
      </w:pPr>
    </w:p>
    <w:bookmarkStart w:id="69" w:name="page70"/>
    <w:bookmarkEnd w:id="69"/>
    <w:p>
      <w:pPr>
        <w:jc w:val="both"/>
        <w:ind w:left="180" w:right="20"/>
        <w:spacing w:after="0" w:line="249" w:lineRule="auto"/>
        <w:rPr>
          <w:sz w:val="20"/>
          <w:szCs w:val="20"/>
          <w:color w:val="auto"/>
        </w:rPr>
      </w:pPr>
      <w:r>
        <w:rPr>
          <w:rFonts w:ascii="Times New Roman" w:cs="Times New Roman" w:eastAsia="Times New Roman" w:hAnsi="Times New Roman"/>
          <w:sz w:val="20"/>
          <w:szCs w:val="20"/>
          <w:color w:val="auto"/>
        </w:rPr>
        <w:t>Average Market Value, from (B) the Ending Average Market Value plus all cash dividends for the Performance Period, assuming same-day reinvestment into Common Stock (or common stock of the applicable member of the Peer Group) on the applicable ex-dividend date, by (ii) the Beginning Average Market Value. TSR shall be equitably adjusted to reflect stock dividends, stock-splits, spin-offs, and other corporate changes having similar effect.</w:t>
      </w:r>
    </w:p>
    <w:p>
      <w:pPr>
        <w:spacing w:after="0" w:line="188" w:lineRule="exact"/>
        <w:rPr>
          <w:sz w:val="20"/>
          <w:szCs w:val="20"/>
          <w:color w:val="auto"/>
        </w:rPr>
      </w:pPr>
    </w:p>
    <w:p>
      <w:pPr>
        <w:ind w:left="2420" w:hanging="750"/>
        <w:spacing w:after="0"/>
        <w:tabs>
          <w:tab w:leader="none" w:pos="24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Lapse of PSUs</w:t>
      </w:r>
      <w:r>
        <w:rPr>
          <w:rFonts w:ascii="Times New Roman" w:cs="Times New Roman" w:eastAsia="Times New Roman" w:hAnsi="Times New Roman"/>
          <w:sz w:val="20"/>
          <w:szCs w:val="20"/>
          <w:color w:val="auto"/>
        </w:rPr>
        <w:t>.</w:t>
      </w:r>
    </w:p>
    <w:p>
      <w:pPr>
        <w:spacing w:after="0" w:line="232" w:lineRule="exact"/>
        <w:rPr>
          <w:sz w:val="20"/>
          <w:szCs w:val="20"/>
          <w:color w:val="auto"/>
        </w:rPr>
      </w:pPr>
    </w:p>
    <w:p>
      <w:pPr>
        <w:jc w:val="both"/>
        <w:ind w:left="180" w:right="20" w:firstLine="2246"/>
        <w:spacing w:after="0" w:line="246" w:lineRule="auto"/>
        <w:rPr>
          <w:sz w:val="20"/>
          <w:szCs w:val="20"/>
          <w:color w:val="auto"/>
        </w:rPr>
      </w:pPr>
      <w:r>
        <w:rPr>
          <w:rFonts w:ascii="Times New Roman" w:cs="Times New Roman" w:eastAsia="Times New Roman" w:hAnsi="Times New Roman"/>
          <w:sz w:val="20"/>
          <w:szCs w:val="20"/>
          <w:color w:val="auto"/>
        </w:rPr>
        <w:t>(i)In the event of Participant’s Termination of Service, except as may be otherwise provided under Section 2.2(b)(ii), 2.2(b)(iii) or 2.2(c) above, by the Administrator or as set forth in a written agreement between Participant and the Company, Participant shall immediately forfeit any and all PSUs and Dividend Equivalents granted under this Agreement which have not vested or do not vest on or prior to the date on which such Termination of Service occurs, and Participant’s rights in any such PSUs and Dividend Equivalents which are not so vested shall lapse and expire.</w:t>
      </w:r>
    </w:p>
    <w:p>
      <w:pPr>
        <w:spacing w:after="0" w:line="210" w:lineRule="exact"/>
        <w:rPr>
          <w:sz w:val="20"/>
          <w:szCs w:val="20"/>
          <w:color w:val="auto"/>
        </w:rPr>
      </w:pPr>
    </w:p>
    <w:p>
      <w:pPr>
        <w:jc w:val="both"/>
        <w:ind w:left="180" w:firstLine="2213"/>
        <w:spacing w:after="0" w:line="253" w:lineRule="auto"/>
        <w:rPr>
          <w:sz w:val="20"/>
          <w:szCs w:val="20"/>
          <w:color w:val="auto"/>
        </w:rPr>
      </w:pPr>
      <w:r>
        <w:rPr>
          <w:rFonts w:ascii="Times New Roman" w:cs="Times New Roman" w:eastAsia="Times New Roman" w:hAnsi="Times New Roman"/>
          <w:sz w:val="20"/>
          <w:szCs w:val="20"/>
          <w:color w:val="auto"/>
        </w:rPr>
        <w:t>(ii)Subject to Sections 2.2(b)(ii), 2.2(b)(iii) and 2.2(c), in the event the PSUs do not vest at the maximum level in accordance with the provisions of Section 2.2(a), such PSUs that do not vest in accordance with the provisions of Section 2.2(a) shall be forfeited and Participant’s rights in any such PSUs and related Dividend Equivalents shall lapse and expire.</w:t>
      </w:r>
    </w:p>
    <w:p>
      <w:pPr>
        <w:spacing w:after="0" w:line="176" w:lineRule="exact"/>
        <w:rPr>
          <w:sz w:val="20"/>
          <w:szCs w:val="20"/>
          <w:color w:val="auto"/>
        </w:rPr>
      </w:pPr>
    </w:p>
    <w:p>
      <w:pPr>
        <w:ind w:left="920"/>
        <w:spacing w:after="0"/>
        <w:tabs>
          <w:tab w:leader="none" w:pos="1640" w:val="left"/>
        </w:tabs>
        <w:rPr>
          <w:sz w:val="20"/>
          <w:szCs w:val="20"/>
          <w:color w:val="auto"/>
        </w:rPr>
      </w:pPr>
      <w:r>
        <w:rPr>
          <w:rFonts w:ascii="Times New Roman" w:cs="Times New Roman" w:eastAsia="Times New Roman" w:hAnsi="Times New Roman"/>
          <w:sz w:val="20"/>
          <w:szCs w:val="20"/>
          <w:u w:val="single" w:color="auto"/>
          <w:color w:val="auto"/>
        </w:rPr>
        <w:t>2.3</w:t>
      </w:r>
      <w:r>
        <w:rPr>
          <w:sz w:val="20"/>
          <w:szCs w:val="20"/>
          <w:color w:val="auto"/>
        </w:rPr>
        <w:tab/>
      </w:r>
      <w:r>
        <w:rPr>
          <w:rFonts w:ascii="Times New Roman" w:cs="Times New Roman" w:eastAsia="Times New Roman" w:hAnsi="Times New Roman"/>
          <w:sz w:val="19"/>
          <w:szCs w:val="19"/>
          <w:u w:val="single" w:color="auto"/>
          <w:color w:val="auto"/>
        </w:rPr>
        <w:t>Distribution or Payment of PSUs</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both"/>
        <w:ind w:left="180" w:right="20" w:firstLine="1490"/>
        <w:spacing w:after="0" w:line="242" w:lineRule="auto"/>
        <w:tabs>
          <w:tab w:leader="none" w:pos="204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Participant’s PSUs shall be distributed in Shares (either in book-entry form or otherwise) or, at the option of the Company, paid in an amount of cash as set forth in Section 2.3(b), in either case, as soon as administratively practicable following the vesting of the applicable PSU pursuant to Section 2.2(a), and, in any event, within sixty (60) days following such vesting and no later than March 15 of the calendar year following the calendar year in which the Performance Period ends. Notwithstanding the foregoing, the Company may delay a distribution or payment in settlement of PSUs if it reasonably determines that such payment or distribution will violate Federal securities laws or any other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no payment or distribution shall be delayed under this Section 2.3(a) if such delay will result in a violation of Section 409A of the Code.</w:t>
      </w:r>
    </w:p>
    <w:p>
      <w:pPr>
        <w:spacing w:after="0" w:line="191" w:lineRule="exact"/>
        <w:rPr>
          <w:rFonts w:ascii="Times New Roman" w:cs="Times New Roman" w:eastAsia="Times New Roman" w:hAnsi="Times New Roman"/>
          <w:sz w:val="20"/>
          <w:szCs w:val="20"/>
          <w:color w:val="auto"/>
        </w:rPr>
      </w:pPr>
    </w:p>
    <w:p>
      <w:pPr>
        <w:jc w:val="both"/>
        <w:ind w:left="180" w:right="20" w:firstLine="1490"/>
        <w:spacing w:after="0" w:line="246" w:lineRule="auto"/>
        <w:tabs>
          <w:tab w:leader="none" w:pos="204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 elects to make payment of Participant’s PSUs in cash, the amount of cash payable with respect to each PSU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97" w:lineRule="exact"/>
        <w:rPr>
          <w:sz w:val="20"/>
          <w:szCs w:val="20"/>
          <w:color w:val="auto"/>
        </w:rPr>
      </w:pPr>
    </w:p>
    <w:p>
      <w:pPr>
        <w:jc w:val="both"/>
        <w:ind w:left="180" w:right="20"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2.4Conditions to Issuance of Certificates</w:t>
      </w:r>
      <w:r>
        <w:rPr>
          <w:rFonts w:ascii="Times New Roman" w:cs="Times New Roman" w:eastAsia="Times New Roman" w:hAnsi="Times New Roman"/>
          <w:sz w:val="20"/>
          <w:szCs w:val="20"/>
          <w:color w:val="auto"/>
        </w:rPr>
        <w:t>. The Company shall not be required to issue or deliver any certificate or certificates for any Shares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|US-DOCS\149144522.1||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1" w:right="499" w:bottom="1440" w:gutter="0" w:footer="0" w:header="0"/>
        </w:sectPr>
      </w:pPr>
    </w:p>
    <w:bookmarkStart w:id="70" w:name="page71"/>
    <w:bookmarkEnd w:id="70"/>
    <w:p>
      <w:pPr>
        <w:ind w:left="180"/>
        <w:spacing w:after="0"/>
        <w:rPr>
          <w:sz w:val="20"/>
          <w:szCs w:val="20"/>
          <w:color w:val="auto"/>
        </w:rPr>
      </w:pPr>
      <w:r>
        <w:rPr>
          <w:rFonts w:ascii="Times New Roman" w:cs="Times New Roman" w:eastAsia="Times New Roman" w:hAnsi="Times New Roman"/>
          <w:sz w:val="20"/>
          <w:szCs w:val="20"/>
          <w:color w:val="auto"/>
        </w:rPr>
        <w:t>shall, in its absolute discretion, determine to be necessary or advisable.</w:t>
      </w:r>
    </w:p>
    <w:p>
      <w:pPr>
        <w:spacing w:after="0" w:line="242" w:lineRule="exact"/>
        <w:rPr>
          <w:sz w:val="20"/>
          <w:szCs w:val="20"/>
          <w:color w:val="auto"/>
        </w:rPr>
      </w:pPr>
    </w:p>
    <w:p>
      <w:pPr>
        <w:ind w:left="920"/>
        <w:spacing w:after="0"/>
        <w:tabs>
          <w:tab w:leader="none" w:pos="1640" w:val="left"/>
        </w:tabs>
        <w:rPr>
          <w:sz w:val="20"/>
          <w:szCs w:val="20"/>
          <w:color w:val="auto"/>
        </w:rPr>
      </w:pPr>
      <w:r>
        <w:rPr>
          <w:rFonts w:ascii="Times New Roman" w:cs="Times New Roman" w:eastAsia="Times New Roman" w:hAnsi="Times New Roman"/>
          <w:sz w:val="20"/>
          <w:szCs w:val="20"/>
          <w:u w:val="single" w:color="auto"/>
          <w:color w:val="auto"/>
        </w:rPr>
        <w:t>2.5</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215" w:lineRule="exact"/>
        <w:rPr>
          <w:sz w:val="20"/>
          <w:szCs w:val="20"/>
          <w:color w:val="auto"/>
        </w:rPr>
      </w:pPr>
    </w:p>
    <w:p>
      <w:pPr>
        <w:jc w:val="both"/>
        <w:ind w:left="180" w:firstLine="1467"/>
        <w:spacing w:after="0" w:line="246" w:lineRule="auto"/>
        <w:tabs>
          <w:tab w:leader="none" w:pos="202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the authority to deduct or withhold, or require Participant to remit to the Company or the applicable Subsidiary, an amount sufficient to satisfy applicable federal, state, local and foreign taxes (including the employee portion of any FICA obligation) required by law to be withheld with respect to any taxable event arising pursuant to this Agreement. The Company and its Subsidiaries may withhold or the Participant may make such payment in one or more of the forms specified below:</w:t>
      </w:r>
    </w:p>
    <w:p>
      <w:pPr>
        <w:spacing w:after="0" w:line="21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(i)by cash or check made payable to the Company or the Subsidiary with respect to which the withholding</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obligation arises;</w:t>
      </w:r>
    </w:p>
    <w:p>
      <w:pPr>
        <w:spacing w:after="0" w:line="206" w:lineRule="exact"/>
        <w:rPr>
          <w:sz w:val="20"/>
          <w:szCs w:val="20"/>
          <w:color w:val="auto"/>
        </w:rPr>
      </w:pPr>
    </w:p>
    <w:p>
      <w:pPr>
        <w:ind w:left="3160" w:hanging="741"/>
        <w:spacing w:after="0"/>
        <w:tabs>
          <w:tab w:leader="none" w:pos="31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Participant;</w:t>
      </w:r>
    </w:p>
    <w:p>
      <w:pPr>
        <w:spacing w:after="0" w:line="193" w:lineRule="exact"/>
        <w:rPr>
          <w:sz w:val="20"/>
          <w:szCs w:val="20"/>
          <w:color w:val="auto"/>
        </w:rPr>
      </w:pPr>
    </w:p>
    <w:p>
      <w:pPr>
        <w:jc w:val="both"/>
        <w:ind w:left="180" w:firstLine="2213"/>
        <w:spacing w:after="0" w:line="246" w:lineRule="auto"/>
        <w:rPr>
          <w:sz w:val="20"/>
          <w:szCs w:val="20"/>
          <w:color w:val="auto"/>
        </w:rPr>
      </w:pPr>
      <w:r>
        <w:rPr>
          <w:rFonts w:ascii="Times New Roman" w:cs="Times New Roman" w:eastAsia="Times New Roman" w:hAnsi="Times New Roman"/>
          <w:sz w:val="20"/>
          <w:szCs w:val="20"/>
          <w:color w:val="auto"/>
        </w:rPr>
        <w:t>(iii)with respect to any withholding taxes arising in connection with the distribution of the PSUs, with the consent of the Administrator, by requesting that the Company and its Subsidiaries withhold a net number of vested Shares otherwise issuable pursuant to the PSUs having a then current Fair Market Value not exceeding the amount necessary to satisfy the withholding obligation of the Company and its Subsidiaries based on the applicable statutory withholding rates for federal, state, local and foreign income tax and payroll tax purposes;</w:t>
      </w:r>
    </w:p>
    <w:p>
      <w:pPr>
        <w:spacing w:after="0" w:line="183" w:lineRule="exact"/>
        <w:rPr>
          <w:sz w:val="20"/>
          <w:szCs w:val="20"/>
          <w:color w:val="auto"/>
        </w:rPr>
      </w:pPr>
    </w:p>
    <w:p>
      <w:pPr>
        <w:jc w:val="both"/>
        <w:ind w:left="180" w:right="20" w:firstLine="2246"/>
        <w:spacing w:after="0" w:line="249" w:lineRule="auto"/>
        <w:rPr>
          <w:sz w:val="20"/>
          <w:szCs w:val="20"/>
          <w:color w:val="auto"/>
        </w:rPr>
      </w:pPr>
      <w:r>
        <w:rPr>
          <w:rFonts w:ascii="Times New Roman" w:cs="Times New Roman" w:eastAsia="Times New Roman" w:hAnsi="Times New Roman"/>
          <w:sz w:val="20"/>
          <w:szCs w:val="20"/>
          <w:color w:val="auto"/>
        </w:rPr>
        <w:t>(iv)with respect to any withholding taxes arising in connection with the distribution of the PSUs, with the consent of the Administrator, by tendering to the Company vested Shares having a then current Fair Market Value not exceeding the amount necessary to satisfy the withholding obligation of the Company and its Subsidiaries based on the applicable statutory withholding rates for federal, state, local and foreign income tax and payroll tax purposes;</w:t>
      </w:r>
    </w:p>
    <w:p>
      <w:pPr>
        <w:spacing w:after="0" w:line="205" w:lineRule="exact"/>
        <w:rPr>
          <w:sz w:val="20"/>
          <w:szCs w:val="20"/>
          <w:color w:val="auto"/>
        </w:rPr>
      </w:pPr>
    </w:p>
    <w:p>
      <w:pPr>
        <w:jc w:val="both"/>
        <w:ind w:left="180" w:right="20" w:firstLine="2246"/>
        <w:spacing w:after="0" w:line="245" w:lineRule="auto"/>
        <w:rPr>
          <w:sz w:val="20"/>
          <w:szCs w:val="20"/>
          <w:color w:val="auto"/>
        </w:rPr>
      </w:pPr>
      <w:r>
        <w:rPr>
          <w:rFonts w:ascii="Times New Roman" w:cs="Times New Roman" w:eastAsia="Times New Roman" w:hAnsi="Times New Roman"/>
          <w:sz w:val="20"/>
          <w:szCs w:val="20"/>
          <w:color w:val="auto"/>
        </w:rPr>
        <w:t xml:space="preserve">(v)with respect to any withholding taxes arising in connection with the distribution of the PSUs, through the delivery of a notice that Participant has placed a market sell order with a broker acceptable to the Company with respect to Shares then issuable to Participant pursuant to the PSUs, and that the broker has been directed to pay a sufficient portion of the net proceeds of the sale to the Company or the Subsidiary with respect to which the withholding obligation arises in satisfaction of such withholding taxes;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payment of such proceeds is then made to the Company or the applicable Subsidiary at such time as may be required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Administrator, but in any event not later than the settlement of such sale; or</w:t>
      </w:r>
    </w:p>
    <w:p>
      <w:pPr>
        <w:spacing w:after="0" w:line="196" w:lineRule="exact"/>
        <w:rPr>
          <w:sz w:val="20"/>
          <w:szCs w:val="20"/>
          <w:color w:val="auto"/>
        </w:rPr>
      </w:pPr>
    </w:p>
    <w:p>
      <w:pPr>
        <w:ind w:left="3160" w:hanging="741"/>
        <w:spacing w:after="0"/>
        <w:tabs>
          <w:tab w:leader="none" w:pos="316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228" w:lineRule="exact"/>
        <w:rPr>
          <w:rFonts w:ascii="Times New Roman" w:cs="Times New Roman" w:eastAsia="Times New Roman" w:hAnsi="Times New Roman"/>
          <w:sz w:val="20"/>
          <w:szCs w:val="20"/>
          <w:color w:val="auto"/>
        </w:rPr>
      </w:pPr>
    </w:p>
    <w:p>
      <w:pPr>
        <w:jc w:val="both"/>
        <w:ind w:left="180" w:firstLine="1467"/>
        <w:spacing w:after="0" w:line="244" w:lineRule="auto"/>
        <w:tabs>
          <w:tab w:leader="none" w:pos="202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PSUs,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 The Company shall not be obligated to deliver any certificate representing Shares issuable with respect to the PSUs to Participant or his or her legal representative unless and until Participant or his or her legal representative shall have paid or otherwise satisfied in full the amount of all federal, state, local</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|US-DOCS\149144522.1||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30" w:right="499" w:bottom="1440" w:gutter="0" w:footer="0" w:header="0"/>
        </w:sectPr>
      </w:pPr>
    </w:p>
    <w:bookmarkStart w:id="71" w:name="page72"/>
    <w:bookmarkEnd w:id="71"/>
    <w:p>
      <w:pPr>
        <w:ind w:left="180" w:right="20"/>
        <w:spacing w:after="0" w:line="268" w:lineRule="auto"/>
        <w:rPr>
          <w:sz w:val="20"/>
          <w:szCs w:val="20"/>
          <w:color w:val="auto"/>
        </w:rPr>
      </w:pPr>
      <w:r>
        <w:rPr>
          <w:rFonts w:ascii="Times New Roman" w:cs="Times New Roman" w:eastAsia="Times New Roman" w:hAnsi="Times New Roman"/>
          <w:sz w:val="20"/>
          <w:szCs w:val="20"/>
          <w:color w:val="auto"/>
        </w:rPr>
        <w:t>and foreign taxes applicable with respect to the taxable income of Participant resulting from the vesting or settlement of the PSUs or any other taxable event related to the PSUs.</w:t>
      </w:r>
    </w:p>
    <w:p>
      <w:pPr>
        <w:spacing w:after="0" w:line="188" w:lineRule="exact"/>
        <w:rPr>
          <w:sz w:val="20"/>
          <w:szCs w:val="20"/>
          <w:color w:val="auto"/>
        </w:rPr>
      </w:pPr>
    </w:p>
    <w:p>
      <w:pPr>
        <w:jc w:val="both"/>
        <w:ind w:left="180" w:firstLine="1467"/>
        <w:spacing w:after="0" w:line="242" w:lineRule="auto"/>
        <w:tabs>
          <w:tab w:leader="none" w:pos="202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any tax withholding obligation arising in connection with the PSUs will be satisfied under Section 2.5(a)(iii), then the Company may elect to instruct any brokerage firm determined acceptable to the Company for such purpose to sell on Participant’s behalf a whole number of shares from those Shares then issuable to Participant pursuant to the PSUs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2.5(c), including the transactions described in the previous sentence, as applicable. The Company may refuse to issue any Shares in settlement of the PSUs to Participant until the foregoing tax withholding obligations are satisfied,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payment shall be delayed under this Section 2.5(c) if such delay will result in a violation of Section 409A of the Code.</w:t>
      </w:r>
    </w:p>
    <w:p>
      <w:pPr>
        <w:spacing w:after="0" w:line="191" w:lineRule="exact"/>
        <w:rPr>
          <w:rFonts w:ascii="Times New Roman" w:cs="Times New Roman" w:eastAsia="Times New Roman" w:hAnsi="Times New Roman"/>
          <w:sz w:val="20"/>
          <w:szCs w:val="20"/>
          <w:color w:val="auto"/>
        </w:rPr>
      </w:pPr>
    </w:p>
    <w:p>
      <w:pPr>
        <w:jc w:val="both"/>
        <w:ind w:left="180" w:right="20" w:firstLine="1490"/>
        <w:spacing w:after="0" w:line="246" w:lineRule="auto"/>
        <w:tabs>
          <w:tab w:leader="none" w:pos="2046"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or undertaking regarding the treatment of any tax withholding in connection with the awarding, vesting or payment of the PSUs or the subsequent sale of Shares. The Company and the Subsidiaries do not commit and are under no obligation to structure the PSUs to reduce or eliminate Participant’s tax liability.</w:t>
      </w:r>
    </w:p>
    <w:p>
      <w:pPr>
        <w:spacing w:after="0" w:line="183" w:lineRule="exact"/>
        <w:rPr>
          <w:sz w:val="20"/>
          <w:szCs w:val="20"/>
          <w:color w:val="auto"/>
        </w:rPr>
      </w:pPr>
    </w:p>
    <w:p>
      <w:pPr>
        <w:jc w:val="both"/>
        <w:ind w:left="180" w:right="20"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2.6Rights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ARTICLE III. OTHER PROVISIONS</w:t>
      </w:r>
    </w:p>
    <w:p>
      <w:pPr>
        <w:spacing w:after="0" w:line="25" w:lineRule="exact"/>
        <w:rPr>
          <w:sz w:val="20"/>
          <w:szCs w:val="20"/>
          <w:color w:val="auto"/>
        </w:rPr>
      </w:pPr>
    </w:p>
    <w:p>
      <w:pPr>
        <w:jc w:val="both"/>
        <w:ind w:left="180" w:right="20" w:firstLine="749"/>
        <w:spacing w:after="0"/>
        <w:rPr>
          <w:sz w:val="20"/>
          <w:szCs w:val="20"/>
          <w:color w:val="auto"/>
        </w:rPr>
      </w:pPr>
      <w:r>
        <w:rPr>
          <w:rFonts w:ascii="Times New Roman" w:cs="Times New Roman" w:eastAsia="Times New Roman" w:hAnsi="Times New Roman"/>
          <w:sz w:val="20"/>
          <w:szCs w:val="20"/>
          <w:u w:val="single" w:color="auto"/>
          <w:color w:val="auto"/>
        </w:rPr>
        <w:t>3.1Administration</w:t>
      </w:r>
      <w:r>
        <w:rPr>
          <w:rFonts w:ascii="Times New Roman" w:cs="Times New Roman" w:eastAsia="Times New Roman" w:hAnsi="Times New Roman"/>
          <w:sz w:val="20"/>
          <w:szCs w:val="20"/>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203" w:lineRule="exact"/>
        <w:rPr>
          <w:sz w:val="20"/>
          <w:szCs w:val="20"/>
          <w:color w:val="auto"/>
        </w:rPr>
      </w:pPr>
    </w:p>
    <w:p>
      <w:pPr>
        <w:jc w:val="both"/>
        <w:ind w:left="180" w:right="20"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3.2PSUs Not Transferable</w:t>
      </w:r>
      <w:r>
        <w:rPr>
          <w:rFonts w:ascii="Times New Roman" w:cs="Times New Roman" w:eastAsia="Times New Roman" w:hAnsi="Times New Roman"/>
          <w:sz w:val="20"/>
          <w:szCs w:val="20"/>
          <w:color w:val="auto"/>
        </w:rPr>
        <w:t>. The PSUs may not be sold, pledged, assigned or transferred in any manner other than by will or the laws of descent and distribution, unless and until the Shares underlying the PSUs have been issued, and all restrictions applicable to such Shares have lapsed. No PSUs or any interest or right therein or part thereof shall be liable for the debts, contracts or engagements of Participant</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|US-DOCS\149144522.1||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30" w:right="499" w:bottom="1440" w:gutter="0" w:footer="0" w:header="0"/>
        </w:sectPr>
      </w:pPr>
    </w:p>
    <w:bookmarkStart w:id="72" w:name="page73"/>
    <w:bookmarkEnd w:id="72"/>
    <w:p>
      <w:pPr>
        <w:jc w:val="both"/>
        <w:ind w:left="180" w:right="20"/>
        <w:spacing w:after="0" w:line="249" w:lineRule="auto"/>
        <w:rPr>
          <w:sz w:val="20"/>
          <w:szCs w:val="20"/>
          <w:color w:val="auto"/>
        </w:rPr>
      </w:pPr>
      <w:r>
        <w:rPr>
          <w:rFonts w:ascii="Times New Roman" w:cs="Times New Roman" w:eastAsia="Times New Roman" w:hAnsi="Times New Roman"/>
          <w:sz w:val="20"/>
          <w:szCs w:val="20"/>
          <w:color w:val="auto"/>
        </w:rPr>
        <w:t>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205" w:lineRule="exact"/>
        <w:rPr>
          <w:sz w:val="20"/>
          <w:szCs w:val="20"/>
          <w:color w:val="auto"/>
        </w:rPr>
      </w:pPr>
    </w:p>
    <w:p>
      <w:pPr>
        <w:ind w:left="180" w:right="40" w:firstLine="749"/>
        <w:spacing w:after="0" w:line="268" w:lineRule="auto"/>
        <w:rPr>
          <w:sz w:val="20"/>
          <w:szCs w:val="20"/>
          <w:color w:val="auto"/>
        </w:rPr>
      </w:pPr>
      <w:r>
        <w:rPr>
          <w:rFonts w:ascii="Times New Roman" w:cs="Times New Roman" w:eastAsia="Times New Roman" w:hAnsi="Times New Roman"/>
          <w:sz w:val="20"/>
          <w:szCs w:val="20"/>
          <w:u w:val="single" w:color="auto"/>
          <w:color w:val="auto"/>
        </w:rPr>
        <w:t>3.3Adjustments</w:t>
      </w:r>
      <w:r>
        <w:rPr>
          <w:rFonts w:ascii="Times New Roman" w:cs="Times New Roman" w:eastAsia="Times New Roman" w:hAnsi="Times New Roman"/>
          <w:sz w:val="20"/>
          <w:szCs w:val="20"/>
          <w:color w:val="auto"/>
        </w:rPr>
        <w:t>. Participant acknowledges that the PSUs and the Shares subject to the PSUs are subject to adjustment, modification and termination in certain events as provided in this Agreement and Section 12.2 of the Plan.</w:t>
      </w:r>
    </w:p>
    <w:p>
      <w:pPr>
        <w:spacing w:after="0" w:line="174" w:lineRule="exact"/>
        <w:rPr>
          <w:sz w:val="20"/>
          <w:szCs w:val="20"/>
          <w:color w:val="auto"/>
        </w:rPr>
      </w:pPr>
    </w:p>
    <w:p>
      <w:pPr>
        <w:jc w:val="both"/>
        <w:ind w:left="180" w:right="20"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3.4Notices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3" w:lineRule="exact"/>
        <w:rPr>
          <w:sz w:val="20"/>
          <w:szCs w:val="20"/>
          <w:color w:val="auto"/>
        </w:rPr>
      </w:pPr>
    </w:p>
    <w:p>
      <w:pPr>
        <w:jc w:val="both"/>
        <w:ind w:left="180" w:right="20" w:firstLine="749"/>
        <w:spacing w:after="0" w:line="268" w:lineRule="auto"/>
        <w:rPr>
          <w:sz w:val="20"/>
          <w:szCs w:val="20"/>
          <w:color w:val="auto"/>
        </w:rPr>
      </w:pPr>
      <w:r>
        <w:rPr>
          <w:rFonts w:ascii="Times New Roman" w:cs="Times New Roman" w:eastAsia="Times New Roman" w:hAnsi="Times New Roman"/>
          <w:sz w:val="20"/>
          <w:szCs w:val="20"/>
          <w:u w:val="single" w:color="auto"/>
          <w:color w:val="auto"/>
        </w:rPr>
        <w:t>3.5Titles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241" w:lineRule="exact"/>
        <w:rPr>
          <w:sz w:val="20"/>
          <w:szCs w:val="20"/>
          <w:color w:val="auto"/>
        </w:rPr>
      </w:pPr>
    </w:p>
    <w:p>
      <w:pPr>
        <w:jc w:val="both"/>
        <w:ind w:left="180" w:right="20" w:firstLine="749"/>
        <w:spacing w:after="0" w:line="268" w:lineRule="auto"/>
        <w:rPr>
          <w:sz w:val="20"/>
          <w:szCs w:val="20"/>
          <w:color w:val="auto"/>
        </w:rPr>
      </w:pPr>
      <w:r>
        <w:rPr>
          <w:rFonts w:ascii="Times New Roman" w:cs="Times New Roman" w:eastAsia="Times New Roman" w:hAnsi="Times New Roman"/>
          <w:sz w:val="20"/>
          <w:szCs w:val="20"/>
          <w:u w:val="single" w:color="auto"/>
          <w:color w:val="auto"/>
        </w:rPr>
        <w:t>3.6Governing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61" w:lineRule="exact"/>
        <w:rPr>
          <w:sz w:val="20"/>
          <w:szCs w:val="20"/>
          <w:color w:val="auto"/>
        </w:rPr>
      </w:pPr>
    </w:p>
    <w:p>
      <w:pPr>
        <w:jc w:val="both"/>
        <w:ind w:left="180" w:firstLine="738"/>
        <w:spacing w:after="0" w:line="245" w:lineRule="auto"/>
        <w:rPr>
          <w:sz w:val="20"/>
          <w:szCs w:val="20"/>
          <w:color w:val="auto"/>
        </w:rPr>
      </w:pPr>
      <w:r>
        <w:rPr>
          <w:rFonts w:ascii="Times New Roman" w:cs="Times New Roman" w:eastAsia="Times New Roman" w:hAnsi="Times New Roman"/>
          <w:sz w:val="20"/>
          <w:szCs w:val="20"/>
          <w:u w:val="single" w:color="auto"/>
          <w:color w:val="auto"/>
        </w:rPr>
        <w:t>3.7Conformity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PSUs are granted, only in such a manner as to conform to Applicable Law. To the extent permitted by Applicable Law, the Plan and this Agreement shall be deemed amended to the extent necessary to conform to Applicable Law.</w:t>
      </w:r>
    </w:p>
    <w:p>
      <w:pPr>
        <w:spacing w:after="0" w:line="209" w:lineRule="exact"/>
        <w:rPr>
          <w:sz w:val="20"/>
          <w:szCs w:val="20"/>
          <w:color w:val="auto"/>
        </w:rPr>
      </w:pPr>
    </w:p>
    <w:p>
      <w:pPr>
        <w:jc w:val="both"/>
        <w:ind w:left="180" w:right="20"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3.8Amendment, Suspension and Termination</w:t>
      </w:r>
      <w:r>
        <w:rPr>
          <w:rFonts w:ascii="Times New Roman" w:cs="Times New Roman" w:eastAsia="Times New Roman" w:hAnsi="Times New Roman"/>
          <w:sz w:val="20"/>
          <w:szCs w:val="20"/>
          <w:color w:val="auto"/>
        </w:rPr>
        <w:t>. To the extent permitted by the Plan, this Agreement may be wholly or partially amended or otherwise modified, suspended or terminated at any time or from time to time by the Administrator or the Board</w:t>
      </w:r>
      <w:r>
        <w:rPr>
          <w:rFonts w:ascii="Times New Roman" w:cs="Times New Roman" w:eastAsia="Times New Roman" w:hAnsi="Times New Roman"/>
          <w:sz w:val="20"/>
          <w:szCs w:val="20"/>
          <w:i w:val="1"/>
          <w:iCs w:val="1"/>
          <w:color w:val="auto"/>
        </w:rPr>
        <w:t>, provided</w:t>
      </w:r>
      <w:r>
        <w:rPr>
          <w:rFonts w:ascii="Times New Roman" w:cs="Times New Roman" w:eastAsia="Times New Roman" w:hAnsi="Times New Roman"/>
          <w:sz w:val="20"/>
          <w:szCs w:val="20"/>
          <w:color w:val="auto"/>
        </w:rPr>
        <w:t xml:space="preserve"> that, except as may otherwise be provided by the Plan, no amendment, modification, suspension or termination of this Agreement shall adversely affect the PSUs in any material way without the prior written consent of Participant.</w:t>
      </w:r>
    </w:p>
    <w:p>
      <w:pPr>
        <w:spacing w:after="0" w:line="205" w:lineRule="exact"/>
        <w:rPr>
          <w:sz w:val="20"/>
          <w:szCs w:val="20"/>
          <w:color w:val="auto"/>
        </w:rPr>
      </w:pPr>
    </w:p>
    <w:p>
      <w:pPr>
        <w:jc w:val="both"/>
        <w:ind w:left="180" w:right="20"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3.9Successors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Plan, this Agreement shall be binding upon and inure to the benefit of the heirs, legatees, legal representatives, successors and assigns of the parties hereto.</w:t>
      </w:r>
    </w:p>
    <w:p>
      <w:pPr>
        <w:spacing w:after="0" w:line="192" w:lineRule="exact"/>
        <w:rPr>
          <w:sz w:val="20"/>
          <w:szCs w:val="20"/>
          <w:color w:val="auto"/>
        </w:rPr>
      </w:pPr>
    </w:p>
    <w:p>
      <w:pPr>
        <w:jc w:val="both"/>
        <w:ind w:left="180" w:right="20" w:firstLine="749"/>
        <w:spacing w:after="0" w:line="253" w:lineRule="auto"/>
        <w:rPr>
          <w:sz w:val="20"/>
          <w:szCs w:val="20"/>
          <w:color w:val="auto"/>
        </w:rPr>
      </w:pPr>
      <w:r>
        <w:rPr>
          <w:rFonts w:ascii="Times New Roman" w:cs="Times New Roman" w:eastAsia="Times New Roman" w:hAnsi="Times New Roman"/>
          <w:sz w:val="20"/>
          <w:szCs w:val="20"/>
          <w:u w:val="single" w:color="auto"/>
          <w:color w:val="auto"/>
        </w:rPr>
        <w:t>3.10 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PSUs, the Dividend Equivalents, the Grant Notice and this Agreement shall be subject to any additional limitations</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9</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|US-DOCS\149144522.1||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30" w:right="499" w:bottom="1440" w:gutter="0" w:footer="0" w:header="0"/>
        </w:sectPr>
      </w:pPr>
    </w:p>
    <w:bookmarkStart w:id="73" w:name="page74"/>
    <w:bookmarkEnd w:id="73"/>
    <w:p>
      <w:pPr>
        <w:jc w:val="both"/>
        <w:ind w:left="180" w:right="20"/>
        <w:spacing w:after="0" w:line="253" w:lineRule="auto"/>
        <w:rPr>
          <w:sz w:val="20"/>
          <w:szCs w:val="20"/>
          <w:color w:val="auto"/>
        </w:rPr>
      </w:pPr>
      <w:r>
        <w:rPr>
          <w:rFonts w:ascii="Times New Roman" w:cs="Times New Roman" w:eastAsia="Times New Roman" w:hAnsi="Times New Roman"/>
          <w:sz w:val="20"/>
          <w:szCs w:val="20"/>
          <w:color w:val="auto"/>
        </w:rPr>
        <w:t>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203" w:lineRule="exact"/>
        <w:rPr>
          <w:sz w:val="20"/>
          <w:szCs w:val="20"/>
          <w:color w:val="auto"/>
        </w:rPr>
      </w:pPr>
    </w:p>
    <w:p>
      <w:pPr>
        <w:jc w:val="both"/>
        <w:ind w:left="180"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3.11Not a Contract of Employment</w:t>
      </w:r>
      <w:r>
        <w:rPr>
          <w:rFonts w:ascii="Times New Roman" w:cs="Times New Roman" w:eastAsia="Times New Roman" w:hAnsi="Times New Roman"/>
          <w:sz w:val="20"/>
          <w:szCs w:val="20"/>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3" w:lineRule="exact"/>
        <w:rPr>
          <w:sz w:val="20"/>
          <w:szCs w:val="20"/>
          <w:color w:val="auto"/>
        </w:rPr>
      </w:pPr>
    </w:p>
    <w:p>
      <w:pPr>
        <w:jc w:val="both"/>
        <w:ind w:left="180" w:firstLine="749"/>
        <w:spacing w:after="0" w:line="253" w:lineRule="auto"/>
        <w:rPr>
          <w:sz w:val="20"/>
          <w:szCs w:val="20"/>
          <w:color w:val="auto"/>
        </w:rPr>
      </w:pPr>
      <w:r>
        <w:rPr>
          <w:rFonts w:ascii="Times New Roman" w:cs="Times New Roman" w:eastAsia="Times New Roman" w:hAnsi="Times New Roman"/>
          <w:sz w:val="20"/>
          <w:szCs w:val="20"/>
          <w:u w:val="single" w:color="auto"/>
          <w:color w:val="auto"/>
        </w:rPr>
        <w:t>3.12 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271" w:lineRule="exact"/>
        <w:rPr>
          <w:sz w:val="20"/>
          <w:szCs w:val="20"/>
          <w:color w:val="auto"/>
        </w:rPr>
      </w:pPr>
    </w:p>
    <w:p>
      <w:pPr>
        <w:jc w:val="both"/>
        <w:ind w:left="180" w:firstLine="749"/>
        <w:spacing w:after="0" w:line="242" w:lineRule="auto"/>
        <w:rPr>
          <w:sz w:val="20"/>
          <w:szCs w:val="20"/>
          <w:color w:val="auto"/>
        </w:rPr>
      </w:pPr>
      <w:r>
        <w:rPr>
          <w:rFonts w:ascii="Times New Roman" w:cs="Times New Roman" w:eastAsia="Times New Roman" w:hAnsi="Times New Roman"/>
          <w:sz w:val="20"/>
          <w:szCs w:val="20"/>
          <w:u w:val="single" w:color="auto"/>
          <w:color w:val="auto"/>
        </w:rPr>
        <w:t>3.13Section 409A</w:t>
      </w:r>
      <w:r>
        <w:rPr>
          <w:rFonts w:ascii="Times New Roman" w:cs="Times New Roman" w:eastAsia="Times New Roman" w:hAnsi="Times New Roman"/>
          <w:sz w:val="20"/>
          <w:szCs w:val="20"/>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205" w:lineRule="exact"/>
        <w:rPr>
          <w:sz w:val="20"/>
          <w:szCs w:val="20"/>
          <w:color w:val="auto"/>
        </w:rPr>
      </w:pPr>
    </w:p>
    <w:p>
      <w:pPr>
        <w:jc w:val="both"/>
        <w:ind w:left="180" w:firstLine="749"/>
        <w:spacing w:after="0" w:line="253" w:lineRule="auto"/>
        <w:rPr>
          <w:sz w:val="20"/>
          <w:szCs w:val="20"/>
          <w:color w:val="auto"/>
        </w:rPr>
      </w:pPr>
      <w:r>
        <w:rPr>
          <w:rFonts w:ascii="Times New Roman" w:cs="Times New Roman" w:eastAsia="Times New Roman" w:hAnsi="Times New Roman"/>
          <w:sz w:val="20"/>
          <w:szCs w:val="20"/>
          <w:u w:val="single" w:color="auto"/>
          <w:color w:val="auto"/>
        </w:rPr>
        <w:t>3.14Agreement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76" w:lineRule="exact"/>
        <w:rPr>
          <w:sz w:val="20"/>
          <w:szCs w:val="20"/>
          <w:color w:val="auto"/>
        </w:rPr>
      </w:pPr>
    </w:p>
    <w:p>
      <w:pPr>
        <w:jc w:val="both"/>
        <w:ind w:left="180"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3.15Limitation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PSUs and Dividend Equivalents.</w:t>
      </w:r>
    </w:p>
    <w:p>
      <w:pPr>
        <w:spacing w:after="0" w:line="210" w:lineRule="exact"/>
        <w:rPr>
          <w:sz w:val="20"/>
          <w:szCs w:val="20"/>
          <w:color w:val="auto"/>
        </w:rPr>
      </w:pPr>
    </w:p>
    <w:p>
      <w:pPr>
        <w:jc w:val="both"/>
        <w:ind w:left="180" w:firstLine="738"/>
        <w:spacing w:after="0" w:line="295" w:lineRule="auto"/>
        <w:rPr>
          <w:sz w:val="20"/>
          <w:szCs w:val="20"/>
          <w:color w:val="auto"/>
        </w:rPr>
      </w:pPr>
      <w:r>
        <w:rPr>
          <w:rFonts w:ascii="Times New Roman" w:cs="Times New Roman" w:eastAsia="Times New Roman" w:hAnsi="Times New Roman"/>
          <w:sz w:val="19"/>
          <w:szCs w:val="19"/>
          <w:u w:val="single" w:color="auto"/>
          <w:color w:val="auto"/>
        </w:rPr>
        <w:t>3.16Counterparts</w:t>
      </w:r>
      <w:r>
        <w:rPr>
          <w:rFonts w:ascii="Times New Roman" w:cs="Times New Roman" w:eastAsia="Times New Roman" w:hAnsi="Times New Roman"/>
          <w:sz w:val="19"/>
          <w:szCs w:val="19"/>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37" w:lineRule="exact"/>
        <w:rPr>
          <w:sz w:val="20"/>
          <w:szCs w:val="20"/>
          <w:color w:val="auto"/>
        </w:rPr>
      </w:pPr>
    </w:p>
    <w:p>
      <w:pPr>
        <w:jc w:val="both"/>
        <w:ind w:left="180"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3.17Broker-Assisted Sales</w:t>
      </w:r>
      <w:r>
        <w:rPr>
          <w:rFonts w:ascii="Times New Roman" w:cs="Times New Roman" w:eastAsia="Times New Roman" w:hAnsi="Times New Roman"/>
          <w:sz w:val="20"/>
          <w:szCs w:val="20"/>
          <w:color w:val="auto"/>
        </w:rPr>
        <w:t>. In the event of any broker-assisted sale of Shares in connection with the payment of withholding taxes as provided in Section 2.5(a)(iii) or Section 2.5(a)(v): (A) any Shares to be sold through a broker-assisted sale will be sold on the day the tax withholding obligation arises or as soon thereafter as practicable; (B) such Shares may be sold as part of a block trade with other participants</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10</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|US-DOCS\149144522.1||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30" w:right="519" w:bottom="1440" w:gutter="0" w:footer="0" w:header="0"/>
        </w:sectPr>
      </w:pPr>
    </w:p>
    <w:bookmarkStart w:id="74" w:name="page75"/>
    <w:bookmarkEnd w:id="74"/>
    <w:p>
      <w:pPr>
        <w:jc w:val="both"/>
        <w:ind w:left="180"/>
        <w:spacing w:after="0" w:line="242" w:lineRule="auto"/>
        <w:rPr>
          <w:sz w:val="20"/>
          <w:szCs w:val="20"/>
          <w:color w:val="auto"/>
        </w:rPr>
      </w:pPr>
      <w:r>
        <w:rPr>
          <w:rFonts w:ascii="Times New Roman" w:cs="Times New Roman" w:eastAsia="Times New Roman" w:hAnsi="Times New Roman"/>
          <w:sz w:val="20"/>
          <w:szCs w:val="20"/>
          <w:color w:val="auto"/>
        </w:rPr>
        <w:t>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219" w:lineRule="exact"/>
        <w:rPr>
          <w:sz w:val="20"/>
          <w:szCs w:val="20"/>
          <w:color w:val="auto"/>
        </w:rPr>
      </w:pPr>
    </w:p>
    <w:p>
      <w:pPr>
        <w:jc w:val="center"/>
        <w:ind w:right="-179"/>
        <w:spacing w:after="0"/>
        <w:tabs>
          <w:tab w:leader="none" w:pos="260" w:val="left"/>
          <w:tab w:leader="none" w:pos="280" w:val="left"/>
        </w:tabs>
        <w:rPr>
          <w:sz w:val="20"/>
          <w:szCs w:val="20"/>
          <w:color w:val="auto"/>
        </w:rPr>
      </w:pPr>
      <w:r>
        <w:rPr>
          <w:rFonts w:ascii="Times New Roman" w:cs="Times New Roman" w:eastAsia="Times New Roman" w:hAnsi="Times New Roman"/>
          <w:sz w:val="20"/>
          <w:szCs w:val="20"/>
          <w:color w:val="auto"/>
        </w:rPr>
        <w:t>*</w:t>
        <w:tab/>
        <w:t>*</w:t>
      </w:r>
      <w:r>
        <w:rPr>
          <w:sz w:val="20"/>
          <w:szCs w:val="20"/>
          <w:color w:val="auto"/>
        </w:rPr>
        <w:tab/>
      </w:r>
      <w:r>
        <w:rPr>
          <w:rFonts w:ascii="Times New Roman" w:cs="Times New Roman" w:eastAsia="Times New Roman" w:hAnsi="Times New Roman"/>
          <w:sz w:val="20"/>
          <w:szCs w:val="20"/>
          <w:color w:val="auto"/>
        </w:rPr>
        <w:t>*</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|US-DOCS\149144522.1||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30" w:right="519" w:bottom="1440" w:gutter="0" w:footer="0" w:header="0"/>
        </w:sectPr>
      </w:pPr>
    </w:p>
    <w:bookmarkStart w:id="75" w:name="page76"/>
    <w:bookmarkEnd w:id="75"/>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9"/>
          <w:szCs w:val="19"/>
          <w:b w:val="1"/>
          <w:bCs w:val="1"/>
          <w:color w:val="auto"/>
        </w:rPr>
        <w:t>TO PERFORMANCE STOCK UNIT AGREEMENT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|US-DOCS\149144522.1||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94" w:right="1440"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225" w:lineRule="exact"/>
        <w:rPr>
          <w:sz w:val="20"/>
          <w:szCs w:val="20"/>
          <w:color w:val="auto"/>
        </w:rPr>
      </w:pPr>
    </w:p>
    <w:p>
      <w:pPr>
        <w:ind w:left="760" w:hanging="752"/>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224" w:lineRule="exact"/>
        <w:rPr>
          <w:rFonts w:ascii="Times New Roman" w:cs="Times New Roman" w:eastAsia="Times New Roman" w:hAnsi="Times New Roman"/>
          <w:sz w:val="18"/>
          <w:szCs w:val="18"/>
          <w:color w:val="auto"/>
        </w:rPr>
      </w:pPr>
    </w:p>
    <w:p>
      <w:pPr>
        <w:jc w:val="both"/>
        <w:ind w:left="760" w:right="20" w:hanging="752"/>
        <w:spacing w:after="0" w:line="265"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760" w:right="260" w:hanging="752"/>
        <w:spacing w:after="0" w:line="281"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right="20" w:hanging="752"/>
        <w:spacing w:after="0" w:line="265"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500" w:right="160" w:hanging="743"/>
        <w:spacing w:after="0" w:line="265" w:lineRule="auto"/>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500" w:right="260" w:hanging="743"/>
        <w:spacing w:after="0" w:line="265" w:lineRule="auto"/>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500" w:right="20" w:hanging="743"/>
        <w:spacing w:after="0" w:line="312" w:lineRule="auto"/>
        <w:tabs>
          <w:tab w:leader="none" w:pos="150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500" w:right="60" w:hanging="743"/>
        <w:spacing w:after="0" w:line="265" w:lineRule="auto"/>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760" w:right="180" w:hanging="752"/>
        <w:spacing w:after="0" w:line="281"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320" w:hanging="743"/>
        <w:spacing w:after="0" w:line="281" w:lineRule="auto"/>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hanging="743"/>
        <w:spacing w:after="0" w:line="281" w:lineRule="auto"/>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July 26,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3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 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732155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Frederick Bohley, certify that:</w:t>
      </w:r>
    </w:p>
    <w:p>
      <w:pPr>
        <w:spacing w:after="0" w:line="225" w:lineRule="exact"/>
        <w:rPr>
          <w:sz w:val="20"/>
          <w:szCs w:val="20"/>
          <w:color w:val="auto"/>
        </w:rPr>
      </w:pPr>
    </w:p>
    <w:p>
      <w:pPr>
        <w:ind w:left="760" w:hanging="752"/>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224" w:lineRule="exact"/>
        <w:rPr>
          <w:rFonts w:ascii="Times New Roman" w:cs="Times New Roman" w:eastAsia="Times New Roman" w:hAnsi="Times New Roman"/>
          <w:sz w:val="18"/>
          <w:szCs w:val="18"/>
          <w:color w:val="auto"/>
        </w:rPr>
      </w:pPr>
    </w:p>
    <w:p>
      <w:pPr>
        <w:jc w:val="both"/>
        <w:ind w:left="760" w:right="20" w:hanging="752"/>
        <w:spacing w:after="0" w:line="265"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760" w:right="260" w:hanging="752"/>
        <w:spacing w:after="0" w:line="281"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right="20" w:hanging="752"/>
        <w:spacing w:after="0" w:line="265"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500" w:right="160" w:hanging="743"/>
        <w:spacing w:after="0" w:line="265" w:lineRule="auto"/>
        <w:tabs>
          <w:tab w:leader="none" w:pos="15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500" w:right="260" w:hanging="743"/>
        <w:spacing w:after="0" w:line="265" w:lineRule="auto"/>
        <w:tabs>
          <w:tab w:leader="none" w:pos="15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500" w:right="20" w:hanging="743"/>
        <w:spacing w:after="0" w:line="312" w:lineRule="auto"/>
        <w:tabs>
          <w:tab w:leader="none" w:pos="150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500" w:right="60" w:hanging="743"/>
        <w:spacing w:after="0" w:line="265" w:lineRule="auto"/>
        <w:tabs>
          <w:tab w:leader="none" w:pos="15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760" w:right="180" w:hanging="752"/>
        <w:spacing w:after="0" w:line="281"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320" w:hanging="743"/>
        <w:spacing w:after="0" w:line="281" w:lineRule="auto"/>
        <w:tabs>
          <w:tab w:leader="none" w:pos="15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hanging="743"/>
        <w:spacing w:after="0" w:line="281" w:lineRule="auto"/>
        <w:tabs>
          <w:tab w:leader="none" w:pos="15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July 26,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53148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553148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G. Frederick Bohley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Operating Officer, Chief Financial Officer and Treasurer</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1160145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78" w:name="page79"/>
    <w:bookmarkEnd w:id="78"/>
    <w:p>
      <w:pPr>
        <w:ind w:left="92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08"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Allison Transmission Holdings, Inc. (the “Company”) on Form 10-Q for the quarter ending June 30, 2024, as filed with the Securities and Exchange Commission on the date hereof (the “Report”), we, David S. Graziosi, Chair, President and Chief Executive Officer of the Company, and G. Frederick Bohley, Chief Operating Officer, Chief Financial Officer and Treasurer of the Company, certify, pursuant to 18 U.S.C. § 1350 as adopted pursuant to § 906 of the Sarbanes-Oxley Act of 2002, that:</w:t>
      </w:r>
    </w:p>
    <w:p>
      <w:pPr>
        <w:spacing w:after="0" w:line="182" w:lineRule="exact"/>
        <w:rPr>
          <w:sz w:val="20"/>
          <w:szCs w:val="20"/>
          <w:color w:val="auto"/>
        </w:rPr>
      </w:pPr>
    </w:p>
    <w:p>
      <w:pPr>
        <w:ind w:left="760" w:hanging="752"/>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July 26, 2024</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6199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S. Graziosi</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 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July 26, 2024</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6199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 Frederick Bohley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Operating Officer, Chief Financial Officer and Treasurer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04"/>
    </w:lvl>
  </w:abstractNum>
  <w:abstractNum w:abstractNumId="6">
    <w:nsid w:val="189A769B"/>
    <w:multiLevelType w:val="hybridMultilevel"/>
    <w:lvl w:ilvl="0">
      <w:lvlJc w:val="left"/>
      <w:lvlText w:val="%1."/>
      <w:numFmt w:val="decimal"/>
      <w:start w:val="1"/>
    </w:lvl>
    <w:lvl w:ilvl="1">
      <w:lvlJc w:val="left"/>
      <w:lvlText w:val="%2."/>
      <w:numFmt w:val="lowerLetter"/>
      <w:start w:val="1"/>
    </w:lvl>
  </w:abstractNum>
  <w:abstractNum w:abstractNumId="7">
    <w:nsid w:val="54E49EB4"/>
    <w:multiLevelType w:val="hybridMultilevel"/>
    <w:lvl w:ilvl="0">
      <w:lvlJc w:val="left"/>
      <w:lvlText w:val="%1."/>
      <w:numFmt w:val="lowerLetter"/>
      <w:start w:val="4"/>
    </w:lvl>
  </w:abstractNum>
  <w:abstractNum w:abstractNumId="8">
    <w:nsid w:val="71F32454"/>
    <w:multiLevelType w:val="hybridMultilevel"/>
    <w:lvl w:ilvl="0">
      <w:lvlJc w:val="left"/>
      <w:lvlText w:val="%1."/>
      <w:numFmt w:val="lowerLetter"/>
      <w:start w:val="8"/>
    </w:lvl>
  </w:abstractNum>
  <w:abstractNum w:abstractNumId="9">
    <w:nsid w:val="2CA88611"/>
    <w:multiLevelType w:val="hybridMultilevel"/>
    <w:lvl w:ilvl="0">
      <w:lvlJc w:val="left"/>
      <w:lvlText w:val="%1"/>
      <w:numFmt w:val="lowerLetter"/>
      <w:start w:val="1"/>
    </w:lvl>
    <w:lvl w:ilvl="1">
      <w:lvlJc w:val="left"/>
      <w:lvlText w:val="%2."/>
      <w:numFmt w:val="decimal"/>
      <w:start w:val="3"/>
    </w:lvl>
  </w:abstractNum>
  <w:abstractNum w:abstractNumId="10">
    <w:nsid w:val="836C40E"/>
    <w:multiLevelType w:val="hybridMultilevel"/>
    <w:lvl w:ilvl="0">
      <w:lvlJc w:val="left"/>
      <w:lvlText w:val="(%1)"/>
      <w:numFmt w:val="lowerLetter"/>
      <w:start w:val="1"/>
    </w:lvl>
    <w:lvl w:ilvl="1">
      <w:lvlJc w:val="left"/>
      <w:lvlText w:val="%2"/>
      <w:numFmt w:val="decimal"/>
      <w:start w:val="1"/>
    </w:lvl>
  </w:abstractNum>
  <w:abstractNum w:abstractNumId="11">
    <w:nsid w:val="2901D82"/>
    <w:multiLevelType w:val="hybridMultilevel"/>
    <w:lvl w:ilvl="0">
      <w:lvlJc w:val="left"/>
      <w:lvlText w:val="%1."/>
      <w:numFmt w:val="decimal"/>
      <w:start w:val="6"/>
    </w:lvl>
    <w:lvl w:ilvl="1">
      <w:lvlJc w:val="left"/>
      <w:lvlText w:val="*"/>
      <w:numFmt w:val="bullet"/>
      <w:start w:val="1"/>
    </w:lvl>
  </w:abstractNum>
  <w:abstractNum w:abstractNumId="12">
    <w:nsid w:val="3A95F874"/>
    <w:multiLevelType w:val="hybridMultilevel"/>
    <w:lvl w:ilvl="0">
      <w:lvlJc w:val="left"/>
      <w:lvlText w:val="(%1)"/>
      <w:numFmt w:val="lowerLetter"/>
      <w:start w:val="1"/>
    </w:lvl>
  </w:abstractNum>
  <w:abstractNum w:abstractNumId="13">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4">
    <w:nsid w:val="1E7FF521"/>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lowerRoman"/>
      <w:start w:val="2"/>
    </w:lvl>
  </w:abstractNum>
  <w:abstractNum w:abstractNumId="18">
    <w:nsid w:val="22221A70"/>
    <w:multiLevelType w:val="hybridMultilevel"/>
    <w:lvl w:ilvl="0">
      <w:lvlJc w:val="left"/>
      <w:lvlText w:val="%1"/>
      <w:numFmt w:val="lowerLetter"/>
      <w:start w:val="1"/>
    </w:lvl>
    <w:lvl w:ilvl="1">
      <w:lvlJc w:val="left"/>
      <w:lvlText w:val="(%2)"/>
      <w:numFmt w:val="lowerRoman"/>
      <w:start w:val="6"/>
    </w:lvl>
  </w:abstractNum>
  <w:abstractNum w:abstractNumId="19">
    <w:nsid w:val="4516DDE9"/>
    <w:multiLevelType w:val="hybridMultilevel"/>
    <w:lvl w:ilvl="0">
      <w:lvlJc w:val="left"/>
      <w:lvlText w:val="(%1)"/>
      <w:numFmt w:val="lowerLetter"/>
      <w:start w:val="2"/>
    </w:lvl>
    <w:lvl w:ilvl="1">
      <w:lvlJc w:val="left"/>
      <w:lvlText w:val="%2"/>
      <w:numFmt w:val="lowerRoman"/>
      <w:start w:val="1"/>
    </w:lvl>
  </w:abstractNum>
  <w:abstractNum w:abstractNumId="20">
    <w:nsid w:val="3006C83E"/>
    <w:multiLevelType w:val="hybridMultilevel"/>
    <w:lvl w:ilvl="0">
      <w:lvlJc w:val="left"/>
      <w:lvlText w:val="(%1)"/>
      <w:numFmt w:val="upperLetter"/>
      <w:start w:val="1"/>
    </w:lvl>
    <w:lvl w:ilvl="1">
      <w:lvlJc w:val="left"/>
      <w:lvlText w:val="*"/>
      <w:numFmt w:val="bullet"/>
      <w:start w:val="1"/>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lowerLetter"/>
      <w:start w:val="1"/>
    </w:lvl>
  </w:abstractNum>
  <w:abstractNum w:abstractNumId="23">
    <w:nsid w:val="5577F8E1"/>
    <w:multiLevelType w:val="hybridMultilevel"/>
    <w:lvl w:ilvl="0">
      <w:lvlJc w:val="left"/>
      <w:lvlText w:val="(%1)"/>
      <w:numFmt w:val="lowerLetter"/>
      <w:start w:val="3"/>
    </w:lvl>
  </w:abstractNum>
  <w:abstractNum w:abstractNumId="24">
    <w:nsid w:val="440BADFC"/>
    <w:multiLevelType w:val="hybridMultilevel"/>
    <w:lvl w:ilvl="0">
      <w:lvlJc w:val="left"/>
      <w:lvlText w:val="(%1)"/>
      <w:numFmt w:val="lowerLetter"/>
      <w:start w:val="2"/>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1)"/>
      <w:numFmt w:val="lowerRoman"/>
      <w:start w:val="2"/>
    </w:lvl>
  </w:abstractNum>
  <w:abstractNum w:abstractNumId="27">
    <w:nsid w:val="77465F01"/>
    <w:multiLevelType w:val="hybridMultilevel"/>
    <w:lvl w:ilvl="0">
      <w:lvlJc w:val="left"/>
      <w:lvlText w:val="%1"/>
      <w:numFmt w:val="lowerLetter"/>
      <w:start w:val="1"/>
    </w:lvl>
    <w:lvl w:ilvl="1">
      <w:lvlJc w:val="left"/>
      <w:lvlText w:val="(%2)"/>
      <w:numFmt w:val="lowerRoman"/>
      <w:start w:val="6"/>
    </w:lvl>
  </w:abstractNum>
  <w:abstractNum w:abstractNumId="28">
    <w:nsid w:val="7724C67E"/>
    <w:multiLevelType w:val="hybridMultilevel"/>
    <w:lvl w:ilvl="0">
      <w:lvlJc w:val="left"/>
      <w:lvlText w:val="(%1)"/>
      <w:numFmt w:val="lowerLetter"/>
      <w:start w:val="2"/>
    </w:lvl>
    <w:lvl w:ilvl="1">
      <w:lvlJc w:val="left"/>
      <w:lvlText w:val="%2"/>
      <w:numFmt w:val="lowerRoman"/>
      <w:start w:val="1"/>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lowerLetter"/>
      <w:start w:val="4"/>
    </w:lvl>
  </w:abstractNum>
  <w:abstractNum w:abstractNumId="32">
    <w:nsid w:val="51EAD36B"/>
    <w:multiLevelType w:val="hybridMultilevel"/>
    <w:lvl w:ilvl="0">
      <w:lvlJc w:val="left"/>
      <w:lvlText w:val="(%1)"/>
      <w:numFmt w:val="lowerLetter"/>
      <w:start w:val="1"/>
    </w:lvl>
    <w:lvl w:ilvl="1">
      <w:lvlJc w:val="left"/>
      <w:lvlText w:val="(%2)"/>
      <w:numFmt w:val="lowerLetter"/>
      <w:start w:val="2"/>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1)"/>
      <w:numFmt w:val="lowerLetter"/>
      <w:start w:val="2"/>
    </w:lvl>
  </w:abstractNum>
  <w:abstractNum w:abstractNumId="35">
    <w:nsid w:val="153EA438"/>
    <w:multiLevelType w:val="hybridMultilevel"/>
    <w:lvl w:ilvl="0">
      <w:lvlJc w:val="left"/>
      <w:lvlText w:val="(%1)"/>
      <w:numFmt w:val="lowerLetter"/>
      <w:start w:val="3"/>
    </w:lvl>
  </w:abstractNum>
  <w:abstractNum w:abstractNumId="36">
    <w:nsid w:val="3855585C"/>
    <w:multiLevelType w:val="hybridMultilevel"/>
    <w:lvl w:ilvl="0">
      <w:lvlJc w:val="left"/>
      <w:lvlText w:val="(%1)"/>
      <w:numFmt w:val="lowerLetter"/>
      <w:start w:val="5"/>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Roman"/>
      <w:start w:val="2"/>
    </w:lvl>
  </w:abstractNum>
  <w:abstractNum w:abstractNumId="40">
    <w:nsid w:val="1D4ED43B"/>
    <w:multiLevelType w:val="hybridMultilevel"/>
    <w:lvl w:ilvl="0">
      <w:lvlJc w:val="left"/>
      <w:lvlText w:val="%1"/>
      <w:numFmt w:val="lowerLetter"/>
      <w:start w:val="1"/>
    </w:lvl>
    <w:lvl w:ilvl="1">
      <w:lvlJc w:val="left"/>
      <w:lvlText w:val="(%2)"/>
      <w:numFmt w:val="lowerRoman"/>
      <w:start w:val="6"/>
    </w:lvl>
  </w:abstractNum>
  <w:abstractNum w:abstractNumId="41">
    <w:nsid w:val="725A06FB"/>
    <w:multiLevelType w:val="hybridMultilevel"/>
    <w:lvl w:ilvl="0">
      <w:lvlJc w:val="left"/>
      <w:lvlText w:val="(%1)"/>
      <w:numFmt w:val="lowerLetter"/>
      <w:start w:val="2"/>
    </w:lvl>
    <w:lvl w:ilvl="1">
      <w:lvlJc w:val="left"/>
      <w:lvlText w:val="%2"/>
      <w:numFmt w:val="lowerRoman"/>
      <w:start w:val="1"/>
    </w:lvl>
  </w:abstractNum>
  <w:abstractNum w:abstractNumId="42">
    <w:nsid w:val="2CD89A32"/>
    <w:multiLevelType w:val="hybridMultilevel"/>
    <w:lvl w:ilvl="0">
      <w:lvlJc w:val="left"/>
      <w:lvlText w:val="(%1)"/>
      <w:numFmt w:val="lowerLetter"/>
      <w:start w:val="3"/>
    </w:lvl>
    <w:lvl w:ilvl="1">
      <w:lvlJc w:val="left"/>
      <w:lvlText w:val="(%2)"/>
      <w:numFmt w:val="lowerLetter"/>
      <w:start w:val="4"/>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275" Type="http://schemas.openxmlformats.org/officeDocument/2006/relationships/hyperlink" Target="https://www.sec.gov/ix?doc=/Archives/edgar/data/1411207/000119312524136188/d80986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2024-07-26T08:04:28Z</dcterms:created>
  <dcterms:modified xsi:type="dcterms:W3CDTF">2024-07-26T08:04:28Z</dcterms:modified>
</cp:coreProperties>
</file>