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spacing w:after="0"/>
              <w:rPr>
                <w:sz w:val="24"/>
                <w:szCs w:val="24"/>
                <w:color w:val="auto"/>
              </w:rPr>
            </w:pPr>
          </w:p>
        </w:tc>
      </w:t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r>
    </w:tbl>
    <w:p>
      <w:pPr>
        <w:spacing w:after="0" w:line="1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16" w:lineRule="exact"/>
        <w:rPr>
          <w:sz w:val="24"/>
          <w:szCs w:val="24"/>
          <w:color w:val="auto"/>
        </w:rPr>
      </w:pPr>
    </w:p>
    <w:p>
      <w:pPr>
        <w:ind w:left="460"/>
        <w:spacing w:after="0" w:line="196" w:lineRule="exact"/>
        <w:tabs>
          <w:tab w:leader="none" w:pos="88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9320" w:space="180"/>
            <w:col w:w="1920"/>
          </w:cols>
          <w:pgMar w:left="240" w:top="230" w:right="239" w:bottom="1440" w:gutter="0" w:footer="0" w:header="0"/>
          <w:type w:val="continuous"/>
        </w:sectPr>
      </w:pPr>
    </w:p>
    <w:p>
      <w:pPr>
        <w:spacing w:after="0" w:line="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July 14, 2016, there were 167,539,470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r>
      <w:tr>
        <w:trPr>
          <w:trHeight w:val="26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tcPr>
          <w:p>
            <w:pPr>
              <w:spacing w:after="0"/>
              <w:rPr>
                <w:sz w:val="22"/>
                <w:szCs w:val="22"/>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640" w:type="dxa"/>
            <w:vAlign w:val="bottom"/>
            <w:gridSpan w:val="10"/>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6-18</w:t>
            </w: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19-29</w:t>
            </w: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28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30-31</w:t>
            </w: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8"/>
          </w:tcPr>
          <w:p>
            <w:pPr>
              <w:ind w:left="26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tcPr>
          <w:p>
            <w:pPr>
              <w:spacing w:after="0"/>
              <w:rPr>
                <w:sz w:val="24"/>
                <w:szCs w:val="24"/>
                <w:color w:val="auto"/>
              </w:rPr>
            </w:pPr>
          </w:p>
        </w:tc>
        <w:tc>
          <w:tcPr>
            <w:tcW w:w="3540" w:type="dxa"/>
            <w:vAlign w:val="bottom"/>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76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4"/>
          </w:tcPr>
          <w:p>
            <w:pPr>
              <w:ind w:left="48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Allison Transmission Holdings, Inc.</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(unaudited, dollars in millions, except per share data)</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Accounts receivable — net of allowance for doubtful accounts of $0.5 and $0.4, respectively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744.1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460.1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1,288.5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1,941.0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4,463.1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138.6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Product warranty liability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28.4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340.8</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3,300.4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$0.01 par value, 1,880,000,000 shares authorized, 168,058,218 shares issued and outstanding and</w:t>
            </w:r>
          </w:p>
        </w:tc>
        <w:tc>
          <w:tcPr>
            <w:tcW w:w="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171,157,004 shares issued and outstanding, respectively</w:t>
            </w:r>
          </w:p>
        </w:tc>
        <w:tc>
          <w:tcPr>
            <w:tcW w:w="8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Paid in capital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1,696.9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(57.3)</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1,162.7</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4,463.1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9"/>
              </w:rPr>
              <w:t>2015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right"/>
              <w:ind w:right="5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937.0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248.2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274.7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495.2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226.7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441.8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160.4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237.8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(62.3)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Premiums and expenses on tender offer and redemption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175.6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(66.5)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109.1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0.64</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110.6</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Premiums and expenses on tender offer and redemption of 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derivatives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of long-lived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and redemption of 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(491.0)</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Issuance of long-term debt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(114.7)</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(104.6)</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Debt financing fees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(153.0)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(272.4)</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112.8</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81% of revenues were generated in North America in 2015, the Company has a global presence by serving customers in Europe, Asia, South America and Africa. The Company serves customers through a network of approximately 1,400 independent distributor and dealer locations worldwide.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Regulations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2015 as filed with the Securities and Exchange Commission (“SEC”) on February 19, 2016. The Company revised its condensed consolidated statements of cash flows for the prior period due to changes in how foreign currency exchange rate movements on cash were calculated. The revision resulted in a decrease to the “Effect of exchange rate changes on cash” with a corresponding increase to “Net cash provided by operating activities” for the six months ended June 30, 2015. Management believes the revision is immaterial to the condensed consolidated financial statements. The revision had no impact on previously reported net income, total stockholders’ equity or cash. The interim period financial results for the three and six month periods presented are not necessarily indicative of results to be expected for any other interim period or for the entire year.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March 2016, the Financial Accounting Standards Board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will be effective for the Company in fiscal year 2017, but early adoption is permitted.</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but early adoption is permitted. Management is currently evaluating the impact of this guidance on the Company’s consolidated financial statements.</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will be effective prospectively for the Company in fiscal year 2018 and early adoption is limited to certain provisions. Upon adoption, a cumulative-effect adjustment to retained earnings in the statement of financial position will be reclassified to beginning retained earnings in the year of adoption. Management is currently evaluating the impact of this guidance on the Company’s consolidated financial statements.</w:t>
      </w:r>
    </w:p>
    <w:p>
      <w:pPr>
        <w:spacing w:after="0" w:line="158"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will be effective for the Company in fiscal year 2017, but can be early-adopted. Management is assessing the potential impact of the adoption of this guidance on the Company’s consolidated financial statements.</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became effective prospectively for the Company as of January 1, 2016. The adoption of this guidance did not have an effect on the Company’s condensed consolidated financial statements.</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will be effective for the Company for the annual and interim periods beginning January 1, 2018. Management is currently evaluating the impact this guidance will have on the Company’s revenue sources including assessing the impact of both methods of adoption on the Company’s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580" w:type="dxa"/>
            <w:vAlign w:val="bottom"/>
            <w:gridSpan w:val="3"/>
          </w:tcPr>
          <w:p>
            <w:pPr>
              <w:ind w:left="2060"/>
              <w:spacing w:after="0"/>
              <w:rPr>
                <w:sz w:val="20"/>
                <w:szCs w:val="20"/>
                <w:color w:val="auto"/>
              </w:rPr>
            </w:pPr>
            <w:r>
              <w:rPr>
                <w:rFonts w:ascii="Arial" w:cs="Arial" w:eastAsia="Arial" w:hAnsi="Arial"/>
                <w:sz w:val="14"/>
                <w:szCs w:val="14"/>
                <w:b w:val="1"/>
                <w:bCs w:val="1"/>
                <w:color w:val="auto"/>
                <w:w w:val="89"/>
              </w:rPr>
              <w:t>June 30,</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Work in progress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Finished goods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160" w:type="dxa"/>
            <w:vAlign w:val="bottom"/>
            <w:gridSpan w:val="2"/>
            <w:shd w:val="clear" w:color="auto" w:fill="CCEEFF"/>
          </w:tcPr>
          <w:p>
            <w:pPr>
              <w:ind w:left="2060"/>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June 30, 2016 and December 31, 2015, the carrying amount of the Company’s Goodwill was $1,941.0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20" w:type="dxa"/>
            <w:vAlign w:val="bottom"/>
          </w:tcPr>
          <w:p>
            <w:pPr>
              <w:spacing w:after="0"/>
              <w:rPr>
                <w:sz w:val="10"/>
                <w:szCs w:val="10"/>
                <w:color w:val="auto"/>
              </w:rPr>
            </w:pPr>
          </w:p>
        </w:tc>
        <w:tc>
          <w:tcPr>
            <w:tcW w:w="8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18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30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3"/>
              </w:rPr>
              <w:t>assets, gross</w:t>
            </w:r>
          </w:p>
        </w:tc>
        <w:tc>
          <w:tcPr>
            <w:tcW w:w="1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6"/>
              </w:rPr>
              <w:t>assets, net</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790.0</w:t>
            </w:r>
          </w:p>
        </w:tc>
        <w:tc>
          <w:tcPr>
            <w:tcW w:w="4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790.0</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330.1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7"/>
        </w:trPr>
        <w:tc>
          <w:tcPr>
            <w:tcW w:w="5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2,210.4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(921.9)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1,288.5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2,210.4</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1,334.8</w:t>
            </w:r>
          </w:p>
        </w:tc>
        <w:tc>
          <w:tcPr>
            <w:tcW w:w="10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June 30, 2016 and December 31, 2015, the net carrying value of our Goodwill and other intangibles was $3,229.5 million and $3,275.8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as follows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40" w:type="dxa"/>
            <w:vAlign w:val="bottom"/>
            <w:vMerge w:val="restart"/>
          </w:tcPr>
          <w:p>
            <w:pPr>
              <w:jc w:val="right"/>
              <w:ind w:right="1239"/>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2016 and December 31, 2015, the Company did not have any Level 3 financial assets or liabilities.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commodity swaps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swaps, and as a result, unrealized fair value adjustments and realized gains and losses are recorded in Other expense, net in the Condensed Consolidated Statements of Comprehensive Income.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June 30, 2016 and December 31, 2015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Fair Value Measurements Using</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96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Significant Other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9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Observable Inputs (Level 2)</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9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60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June 30,</w:t>
            </w: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(43.8)</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153.0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(43.4)</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109.6</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40" w:type="dxa"/>
            <w:vAlign w:val="bottom"/>
          </w:tcPr>
          <w:p>
            <w:pPr>
              <w:spacing w:after="0"/>
              <w:rPr>
                <w:sz w:val="14"/>
                <w:szCs w:val="14"/>
                <w:color w:val="auto"/>
              </w:rPr>
            </w:pPr>
          </w:p>
        </w:tc>
        <w:tc>
          <w:tcPr>
            <w:tcW w:w="15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$2,390.6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2,402.8</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ind w:left="400"/>
              <w:spacing w:after="0"/>
              <w:rPr>
                <w:sz w:val="20"/>
                <w:szCs w:val="20"/>
                <w:color w:val="auto"/>
              </w:rPr>
            </w:pPr>
            <w:r>
              <w:rPr>
                <w:rFonts w:ascii="Arial" w:cs="Arial" w:eastAsia="Arial" w:hAnsi="Arial"/>
                <w:sz w:val="18"/>
                <w:szCs w:val="18"/>
                <w:color w:val="auto"/>
              </w:rPr>
              <w:t>deferred financing costs, net</w:t>
            </w:r>
          </w:p>
        </w:tc>
        <w:tc>
          <w:tcPr>
            <w:tcW w:w="8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net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2,343.9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June 30, 2016, the Company had $2,390.6 million of indebtedness associated with Allison Transmission, Inc.’s (“ATI”), the Company’s wholly-owned subsidiary, Senior Secured Credit Facility Term B-3 Loan due 2019 (“Term B-3 Loan”, and together with the revolving credit facility, defined as the “Senior Secured Credit Facility”).</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fair value of the Company’s long-term debt obligations as of June 30, 2016 was $2,387.6 million. The fair value is based on quoted Level 2 market prices of the Company’s debt as of June 30, 2016.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June 30, 2016, is either (a) 2.50% over the LIBOR (which may not be less than 1.00%) or (b) 1.50% over the greater of the prime lending rate provided by the British Banking Association or the federal funds effective rate published by the Federal Reserve Bank of New York. As of June 30, 2016, the interest rate was approximately 3.50%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is $6.1 million and remains through its maturity date of August 2019. As of June 30, 2016, there had been no payments required for certain net cash proceeds of non-ordinary course asset sales and casualty and condemnation events. The remaining principal balance is due upon maturity.</w:t>
      </w:r>
    </w:p>
    <w:p>
      <w:pPr>
        <w:spacing w:after="0" w:line="16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Senior Secured Credit Facility also provides for a revolving credit borrowing. As of June 30, 2016, the Company had $462.4 million available under the revolving credit facility, net of $2.6 million in letters of credit. Revolving credit borrowings bear interest at a variable base rate plus an applicable margin based on the Company’s total leverage ratio. In addition, there is an annual commitment fee, based on the Company’s total leverage ratio, on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revolving portion of the Senior Secured Credit Facility requires the Company to maintain a specified maximum total senior secured leverage ratio of 5.50x when revolving loan commitments remain outstanding at the end of a fiscal quarter. As of June 30, 2016, the Company had no revolving loans outstanding; however, the Company would have been in compliance with the maximum total senior secured leverage ratio, achieving a 2.98x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ATI’s Term B-3 Loan. These reductions would remain in effect as long as the Company achieves a total leverage ratio at or below the related threshold. As of June 30, 2016, the total leverage ratio was 2.98x.</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June 30, 2016, the Company is in compliance with all covenants under the Senior Secured Credit Facility.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June 30, 2016 and December 31, 2015 is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7"/>
              </w:rPr>
              <w:t>June 30, 2016</w:t>
            </w: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8"/>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380" w:type="dxa"/>
            <w:vAlign w:val="bottom"/>
          </w:tcPr>
          <w:p>
            <w:pPr>
              <w:spacing w:after="0"/>
              <w:rPr>
                <w:sz w:val="10"/>
                <w:szCs w:val="10"/>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3.44%</w:t>
            </w:r>
          </w:p>
        </w:tc>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100.0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720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(43.2</w:t>
            </w:r>
          </w:p>
        </w:tc>
        <w:tc>
          <w:tcPr>
            <w:tcW w:w="420" w:type="dxa"/>
            <w:vAlign w:val="bottom"/>
          </w:tcPr>
          <w:p>
            <w:pPr>
              <w:jc w:val="right"/>
              <w:ind w:right="2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800.0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swaps,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June 30, 2016 and December 31, 2015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9"/>
              </w:rPr>
              <w:t>December 31, 2015</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3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Quantity</w:t>
            </w:r>
          </w:p>
        </w:tc>
        <w:tc>
          <w:tcPr>
            <w:tcW w:w="300" w:type="dxa"/>
            <w:vAlign w:val="bottom"/>
            <w:vMerge w:val="restart"/>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Quantity</w:t>
            </w:r>
          </w:p>
        </w:tc>
        <w:tc>
          <w:tcPr>
            <w:tcW w:w="1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11.0</w:t>
            </w:r>
          </w:p>
        </w:tc>
        <w:tc>
          <w:tcPr>
            <w:tcW w:w="30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6,450 metric tons</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(0.3)</w:t>
            </w: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8,150 metric tons</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0.7</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231,200 MMBtu</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70,000 MMBtu</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vMerge w:val="restart"/>
          </w:tcPr>
          <w:p>
            <w:pPr>
              <w:jc w:val="right"/>
              <w:ind w:right="1077"/>
              <w:spacing w:after="0"/>
              <w:rPr>
                <w:sz w:val="20"/>
                <w:szCs w:val="20"/>
                <w:color w:val="auto"/>
              </w:rPr>
            </w:pPr>
            <w:r>
              <w:rPr>
                <w:rFonts w:ascii="Arial" w:cs="Arial" w:eastAsia="Arial" w:hAnsi="Arial"/>
                <w:sz w:val="18"/>
                <w:szCs w:val="18"/>
                <w:color w:val="auto"/>
                <w:w w:val="99"/>
              </w:rPr>
              <w:t>12</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9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3"/>
              </w:rPr>
              <w:t>December 31, 2015</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92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2"/>
              </w:rPr>
              <w:t>Fair 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Balance Sheet Location</w:t>
            </w:r>
          </w:p>
        </w:tc>
        <w:tc>
          <w:tcPr>
            <w:tcW w:w="60" w:type="dxa"/>
            <w:vAlign w:val="bottom"/>
          </w:tcPr>
          <w:p>
            <w:pPr>
              <w:spacing w:after="0"/>
              <w:rPr>
                <w:sz w:val="13"/>
                <w:szCs w:val="13"/>
                <w:color w:val="auto"/>
              </w:rPr>
            </w:pPr>
          </w:p>
        </w:tc>
        <w:tc>
          <w:tcPr>
            <w:tcW w:w="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920" w:type="dxa"/>
            <w:vAlign w:val="bottom"/>
          </w:tcPr>
          <w:p>
            <w:pPr>
              <w:spacing w:after="0" w:line="198" w:lineRule="exact"/>
              <w:rPr>
                <w:sz w:val="20"/>
                <w:szCs w:val="20"/>
                <w:color w:val="auto"/>
              </w:rPr>
            </w:pPr>
            <w:r>
              <w:rPr>
                <w:rFonts w:ascii="Arial" w:cs="Arial" w:eastAsia="Arial" w:hAnsi="Arial"/>
                <w:sz w:val="18"/>
                <w:szCs w:val="18"/>
                <w:b w:val="1"/>
                <w:bCs w:val="1"/>
                <w:color w:val="auto"/>
              </w:rPr>
              <w:t>Other current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Commodity swaps</w:t>
            </w: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current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ind w:left="120"/>
              <w:spacing w:after="0" w:line="198" w:lineRule="exact"/>
              <w:rPr>
                <w:sz w:val="20"/>
                <w:szCs w:val="20"/>
                <w:color w:val="auto"/>
              </w:rPr>
            </w:pPr>
            <w:r>
              <w:rPr>
                <w:rFonts w:ascii="Arial" w:cs="Arial" w:eastAsia="Arial" w:hAnsi="Arial"/>
                <w:sz w:val="18"/>
                <w:szCs w:val="18"/>
                <w:color w:val="auto"/>
              </w:rPr>
              <w:t>Other current and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non-current liabilities</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ind w:left="340"/>
              <w:spacing w:after="0" w:line="198" w:lineRule="exact"/>
              <w:rPr>
                <w:sz w:val="20"/>
                <w:szCs w:val="20"/>
                <w:color w:val="auto"/>
              </w:rPr>
            </w:pPr>
            <w:r>
              <w:rPr>
                <w:rFonts w:ascii="Arial" w:cs="Arial" w:eastAsia="Arial" w:hAnsi="Arial"/>
                <w:sz w:val="18"/>
                <w:szCs w:val="18"/>
                <w:color w:val="auto"/>
              </w:rPr>
              <w:t>Interest rate swaps</w:t>
            </w:r>
          </w:p>
        </w:tc>
        <w:tc>
          <w:tcPr>
            <w:tcW w:w="1920" w:type="dxa"/>
            <w:vAlign w:val="bottom"/>
          </w:tcPr>
          <w:p>
            <w:pPr>
              <w:spacing w:after="0" w:line="198" w:lineRule="exact"/>
              <w:rPr>
                <w:sz w:val="20"/>
                <w:szCs w:val="20"/>
                <w:color w:val="auto"/>
              </w:rPr>
            </w:pPr>
            <w:r>
              <w:rPr>
                <w:rFonts w:ascii="Arial" w:cs="Arial" w:eastAsia="Arial" w:hAnsi="Arial"/>
                <w:sz w:val="18"/>
                <w:szCs w:val="18"/>
                <w:b w:val="1"/>
                <w:bCs w:val="1"/>
                <w:color w:val="auto"/>
              </w:rPr>
              <w:t>Other current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Other current and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(43.4)</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Condensed Consolidated Balance Sheets. As of June 30, 2016, the amounts recorded to Other current and non-current assets for commodity swaps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$0.1 million, respectively. The amounts recorded to Other current and non-current liabilities for commodity swaps were ($0.5)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respectively. The amounts recorded to Other current and non-current liabilities for interest rate swaps were ($13.2) million and ($30.0)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As of December 31, 2015, the amounts recorded to Other current and non-current liabilities for commodity swaps were ($1.1) million and ($0.6) million, respectively. The amounts recorded to Other current and non-current liabilities for interest rate swaps were ($3.9) million and ($24.5) million, respectively.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tabular disclosure describes the location and impact on the Company’s results of operations related to unrealized (loss) gain on interest rate derivatives (dollars in millions):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6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3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2015</w:t>
            </w:r>
          </w:p>
        </w:tc>
        <w:tc>
          <w:tcPr>
            <w:tcW w:w="114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Interest Expense</w:t>
            </w:r>
          </w:p>
        </w:tc>
        <w:tc>
          <w:tcPr>
            <w:tcW w:w="1860" w:type="dxa"/>
            <w:vAlign w:val="bottom"/>
            <w:gridSpan w:val="3"/>
          </w:tcPr>
          <w:p>
            <w:pPr>
              <w:jc w:val="right"/>
              <w:ind w:right="428"/>
              <w:spacing w:after="0"/>
              <w:rPr>
                <w:sz w:val="20"/>
                <w:szCs w:val="20"/>
                <w:color w:val="auto"/>
              </w:rPr>
            </w:pPr>
            <w:r>
              <w:rPr>
                <w:rFonts w:ascii="Arial" w:cs="Arial" w:eastAsia="Arial" w:hAnsi="Arial"/>
                <w:sz w:val="18"/>
                <w:szCs w:val="18"/>
                <w:b w:val="1"/>
                <w:bCs w:val="1"/>
                <w:color w:val="auto"/>
              </w:rPr>
              <w:t>$  (4.2)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700" w:type="dxa"/>
            <w:vAlign w:val="bottom"/>
            <w:gridSpan w:val="3"/>
          </w:tcPr>
          <w:p>
            <w:pPr>
              <w:jc w:val="right"/>
              <w:ind w:right="428"/>
              <w:spacing w:after="0"/>
              <w:rPr>
                <w:sz w:val="20"/>
                <w:szCs w:val="20"/>
                <w:color w:val="auto"/>
              </w:rPr>
            </w:pPr>
            <w:r>
              <w:rPr>
                <w:rFonts w:ascii="Arial" w:cs="Arial" w:eastAsia="Arial" w:hAnsi="Arial"/>
                <w:sz w:val="18"/>
                <w:szCs w:val="18"/>
                <w:b w:val="1"/>
                <w:bCs w:val="1"/>
                <w:color w:val="auto"/>
              </w:rPr>
              <w:t>$ (14.8)</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   (7.2)</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June 30, 2016, the current and non-current product warranty liabilities were $28.4 million and $42.0 million, respectively. As of June 30, 2015, the current and non-current product warranty liabilities were $21.0 million and $52.7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4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40" w:type="dxa"/>
            <w:vAlign w:val="bottom"/>
            <w:tcBorders>
              <w:bottom w:val="single" w:sz="8" w:color="CCEEFF"/>
            </w:tcBorders>
          </w:tcPr>
          <w:p>
            <w:pPr>
              <w:spacing w:after="0"/>
              <w:rPr>
                <w:sz w:val="11"/>
                <w:szCs w:val="11"/>
                <w:color w:val="auto"/>
              </w:rPr>
            </w:pPr>
          </w:p>
        </w:tc>
        <w:tc>
          <w:tcPr>
            <w:tcW w:w="19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Payments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2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2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Ending balance</w:t>
            </w:r>
          </w:p>
        </w:tc>
        <w:tc>
          <w:tcPr>
            <w:tcW w:w="19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60" w:type="dxa"/>
            <w:vAlign w:val="bottom"/>
            <w:vMerge w:val="restart"/>
          </w:tcPr>
          <w:p>
            <w:pPr>
              <w:jc w:val="right"/>
              <w:ind w:right="9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of June 30, 2016, the current and non-current deferred revenue for Extended Transmission Coverage (“ETC”) were $24.0 million and $60.3 million, respectively. As of June 30, 2015, the current and non-current deferred revenue for ETC were $21.9 million and $52.8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6"/>
                <w:szCs w:val="16"/>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c>
          <w:tcPr>
            <w:tcW w:w="960" w:type="dxa"/>
            <w:vAlign w:val="bottom"/>
            <w:gridSpan w:val="4"/>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66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Increases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140" w:type="dxa"/>
            <w:vAlign w:val="bottom"/>
            <w:gridSpan w:val="5"/>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520" w:type="dxa"/>
            <w:vAlign w:val="bottom"/>
            <w:gridSpan w:val="2"/>
          </w:tcPr>
          <w:p>
            <w:pPr>
              <w:ind w:left="1380"/>
              <w:spacing w:after="0"/>
              <w:rPr>
                <w:sz w:val="20"/>
                <w:szCs w:val="20"/>
                <w:color w:val="auto"/>
              </w:rPr>
            </w:pPr>
            <w:r>
              <w:rPr>
                <w:rFonts w:ascii="Arial" w:cs="Arial" w:eastAsia="Arial" w:hAnsi="Arial"/>
                <w:sz w:val="18"/>
                <w:szCs w:val="18"/>
                <w:color w:val="auto"/>
              </w:rPr>
              <w:t>Ending balance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84.3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J. OTHER CURRENT LIABILITIES</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gridSpan w:val="2"/>
          </w:tcPr>
          <w:p>
            <w:pPr>
              <w:ind w:left="460"/>
              <w:spacing w:after="0"/>
              <w:rPr>
                <w:sz w:val="20"/>
                <w:szCs w:val="20"/>
                <w:color w:val="auto"/>
              </w:rPr>
            </w:pPr>
            <w:r>
              <w:rPr>
                <w:rFonts w:ascii="Arial" w:cs="Arial" w:eastAsia="Arial" w:hAnsi="Arial"/>
                <w:sz w:val="18"/>
                <w:szCs w:val="18"/>
                <w:color w:val="auto"/>
                <w:w w:val="96"/>
              </w:rPr>
              <w:t>Other current liabilities consist of the following (dollars 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ind w:left="40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$ 32.2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Sales allowances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13.7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9.1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0.5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125.3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vMerge w:val="restart"/>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EMPLOYEE BENEFIT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Post-retirement Benefits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tcPr>
          <w:p>
            <w:pPr>
              <w:spacing w:after="0"/>
              <w:rPr>
                <w:sz w:val="18"/>
                <w:szCs w:val="18"/>
                <w:color w:val="auto"/>
              </w:rPr>
            </w:pPr>
          </w:p>
        </w:tc>
        <w:tc>
          <w:tcPr>
            <w:tcW w:w="10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Gain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Post-retirement Benefits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center"/>
              <w:ind w:right="13"/>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gridSpan w:val="5"/>
          </w:tcPr>
          <w:p>
            <w:pPr>
              <w:jc w:val="center"/>
              <w:ind w:right="53"/>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7.2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tcPr>
          <w:p>
            <w:pPr>
              <w:spacing w:after="0"/>
              <w:rPr>
                <w:sz w:val="18"/>
                <w:szCs w:val="18"/>
                <w:color w:val="auto"/>
              </w:rPr>
            </w:pPr>
          </w:p>
        </w:tc>
        <w:tc>
          <w:tcPr>
            <w:tcW w:w="10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Gain</w:t>
            </w:r>
          </w:p>
        </w:tc>
        <w:tc>
          <w:tcPr>
            <w:tcW w:w="100" w:type="dxa"/>
            <w:vAlign w:val="bottom"/>
          </w:tcPr>
          <w:p>
            <w:pPr>
              <w:spacing w:after="0"/>
              <w:rPr>
                <w:sz w:val="18"/>
                <w:szCs w:val="18"/>
                <w:color w:val="auto"/>
              </w:rPr>
            </w:pPr>
          </w:p>
        </w:tc>
        <w:tc>
          <w:tcPr>
            <w:tcW w:w="10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and six months ended June 30, 2016, the Company recorded total tax expense of $38.3 million and $66.5 million, respectively. The effective tax rate for the three and six months ended June 30, 2016 and 2015 was 38.6% and 37.9%, respectively. For the three and six months ended June 30, 2015, the Company recorded total tax expense of $32.7 million and $72.5 million, respectively. The effective tax rate for the three and six months ended June 30, 2015 was 37.5% and 37.1%, respectively.</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June 30, 2016 and December 31, 2015. The accounting guidance prescribes a recognition threshold and measurement attributes for the financial statement recognition and measurement of a tax position taken or expected to be taken in a tax return.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reconcile changes in Accumulated other comprehensive loss (“AOCL”) by component (net of tax, dollars in millions):</w:t>
      </w:r>
    </w:p>
    <w:p>
      <w:pPr>
        <w:sectPr>
          <w:pgSz w:w="11900" w:h="16838" w:orient="portrait"/>
          <w:cols w:equalWidth="0" w:num="1">
            <w:col w:w="10960"/>
          </w:cols>
          <w:pgMar w:left="24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March 31, 2015</w:t>
      </w:r>
    </w:p>
    <w:p>
      <w:pPr>
        <w:spacing w:after="0" w:line="50" w:lineRule="exact"/>
        <w:rPr>
          <w:sz w:val="20"/>
          <w:szCs w:val="20"/>
          <w:color w:val="auto"/>
        </w:rPr>
      </w:pPr>
    </w:p>
    <w:p>
      <w:pPr>
        <w:ind w:left="820"/>
        <w:spacing w:after="0" w:line="263" w:lineRule="auto"/>
        <w:rPr>
          <w:sz w:val="20"/>
          <w:szCs w:val="20"/>
          <w:color w:val="auto"/>
        </w:rPr>
      </w:pPr>
      <w:r>
        <w:rPr>
          <w:rFonts w:ascii="Arial" w:cs="Arial" w:eastAsia="Arial" w:hAnsi="Arial"/>
          <w:sz w:val="18"/>
          <w:szCs w:val="18"/>
          <w:color w:val="auto"/>
        </w:rPr>
        <w:t>Other comprehensive (loss) income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100" w:space="680"/>
            <w:col w:w="518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 income</w:t>
            </w:r>
          </w:p>
        </w:tc>
        <w:tc>
          <w:tcPr>
            <w:tcW w:w="340" w:type="dxa"/>
            <w:vAlign w:val="bottom"/>
            <w:gridSpan w:val="2"/>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(0.5)</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1.9</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June 30, 2015</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AOCL as of March 31, 2016</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(0.5)</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June 30, 2016</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(57.3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5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2014</w:t>
      </w:r>
    </w:p>
    <w:p>
      <w:pPr>
        <w:spacing w:after="0" w:line="50" w:lineRule="exact"/>
        <w:rPr>
          <w:sz w:val="20"/>
          <w:szCs w:val="20"/>
          <w:color w:val="auto"/>
        </w:rPr>
      </w:pPr>
    </w:p>
    <w:p>
      <w:pPr>
        <w:ind w:left="820" w:right="66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Six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30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060" w:space="720"/>
            <w:col w:w="518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340" w:type="dxa"/>
            <w:vAlign w:val="bottom"/>
            <w:gridSpan w:val="2"/>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(2.9)</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(7.0)</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(11.0)</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June 30, 2015</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2015</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income before reclassifications</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(1.9)</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(0.1)</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June 30, 2016</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(57.3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5"/>
              </w:rPr>
              <w:t>Amounts reclassified from AOCL</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380"/>
              <w:spacing w:after="0" w:line="115" w:lineRule="exact"/>
              <w:rPr>
                <w:sz w:val="20"/>
                <w:szCs w:val="20"/>
                <w:color w:val="auto"/>
              </w:rPr>
            </w:pPr>
            <w:r>
              <w:rPr>
                <w:rFonts w:ascii="Arial" w:cs="Arial" w:eastAsia="Arial" w:hAnsi="Arial"/>
                <w:sz w:val="13"/>
                <w:szCs w:val="13"/>
                <w:b w:val="1"/>
                <w:bCs w:val="1"/>
                <w:color w:val="auto"/>
                <w:w w:val="99"/>
              </w:rPr>
              <w:t>Three months</w:t>
            </w: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b w:val="1"/>
                <w:bCs w:val="1"/>
                <w:color w:val="auto"/>
                <w:w w:val="99"/>
              </w:rPr>
              <w:t>Three months</w:t>
            </w:r>
          </w:p>
        </w:tc>
        <w:tc>
          <w:tcPr>
            <w:tcW w:w="66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ended</w:t>
            </w: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6"/>
        </w:trPr>
        <w:tc>
          <w:tcPr>
            <w:tcW w:w="4500" w:type="dxa"/>
            <w:vAlign w:val="bottom"/>
            <w:gridSpan w:val="3"/>
            <w:vMerge w:val="continue"/>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June 30, 2016</w:t>
            </w:r>
          </w:p>
        </w:tc>
        <w:tc>
          <w:tcPr>
            <w:tcW w:w="300" w:type="dxa"/>
            <w:vAlign w:val="bottom"/>
          </w:tcPr>
          <w:p>
            <w:pPr>
              <w:spacing w:after="0"/>
              <w:rPr>
                <w:sz w:val="15"/>
                <w:szCs w:val="15"/>
                <w:color w:val="auto"/>
              </w:rPr>
            </w:pPr>
          </w:p>
        </w:tc>
        <w:tc>
          <w:tcPr>
            <w:tcW w:w="16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June 30, 2015</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Amortization of</w:t>
            </w: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defined benefit pension items:</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3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0.8</w:t>
            </w:r>
          </w:p>
        </w:tc>
        <w:tc>
          <w:tcPr>
            <w:tcW w:w="4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34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2820" w:type="dxa"/>
            <w:vAlign w:val="bottom"/>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0.5</w:t>
            </w:r>
          </w:p>
        </w:tc>
        <w:tc>
          <w:tcPr>
            <w:tcW w:w="4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8"/>
              </w:rPr>
              <w:t>Amounts reclassified from AOCL</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780"/>
              <w:spacing w:after="0" w:line="115" w:lineRule="exact"/>
              <w:rPr>
                <w:sz w:val="20"/>
                <w:szCs w:val="20"/>
                <w:color w:val="auto"/>
              </w:rPr>
            </w:pPr>
            <w:r>
              <w:rPr>
                <w:rFonts w:ascii="Arial" w:cs="Arial" w:eastAsia="Arial" w:hAnsi="Arial"/>
                <w:sz w:val="13"/>
                <w:szCs w:val="13"/>
                <w:b w:val="1"/>
                <w:bCs w:val="1"/>
                <w:color w:val="auto"/>
                <w:w w:val="96"/>
              </w:rPr>
              <w:t>Six months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15" w:lineRule="exact"/>
              <w:rPr>
                <w:sz w:val="20"/>
                <w:szCs w:val="20"/>
                <w:color w:val="auto"/>
              </w:rPr>
            </w:pPr>
            <w:r>
              <w:rPr>
                <w:rFonts w:ascii="Arial" w:cs="Arial" w:eastAsia="Arial" w:hAnsi="Arial"/>
                <w:sz w:val="13"/>
                <w:szCs w:val="13"/>
                <w:b w:val="1"/>
                <w:bCs w:val="1"/>
                <w:color w:val="auto"/>
                <w:w w:val="96"/>
              </w:rPr>
              <w:t>Six months</w:t>
            </w:r>
          </w:p>
        </w:tc>
        <w:tc>
          <w:tcPr>
            <w:tcW w:w="66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00" w:type="dxa"/>
            <w:vAlign w:val="bottom"/>
          </w:tcPr>
          <w:p>
            <w:pPr>
              <w:spacing w:after="0"/>
              <w:rPr>
                <w:sz w:val="12"/>
                <w:szCs w:val="12"/>
                <w:color w:val="auto"/>
              </w:rPr>
            </w:pPr>
          </w:p>
        </w:tc>
        <w:tc>
          <w:tcPr>
            <w:tcW w:w="14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ended</w:t>
            </w:r>
          </w:p>
        </w:tc>
        <w:tc>
          <w:tcPr>
            <w:tcW w:w="2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6"/>
        </w:trPr>
        <w:tc>
          <w:tcPr>
            <w:tcW w:w="4500" w:type="dxa"/>
            <w:vAlign w:val="bottom"/>
            <w:gridSpan w:val="3"/>
            <w:vMerge w:val="continue"/>
          </w:tcPr>
          <w:p>
            <w:pPr>
              <w:spacing w:after="0"/>
              <w:rPr>
                <w:sz w:val="15"/>
                <w:szCs w:val="15"/>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June 30, 2016</w:t>
            </w:r>
          </w:p>
        </w:tc>
        <w:tc>
          <w:tcPr>
            <w:tcW w:w="16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June 30, 2015</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Amortization of</w:t>
            </w: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defined benefit pension items: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3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340"/>
              <w:spacing w:after="0"/>
              <w:rPr>
                <w:sz w:val="20"/>
                <w:szCs w:val="20"/>
                <w:color w:val="auto"/>
              </w:rPr>
            </w:pPr>
            <w:r>
              <w:rPr>
                <w:rFonts w:ascii="Arial" w:cs="Arial" w:eastAsia="Arial" w:hAnsi="Arial"/>
                <w:sz w:val="18"/>
                <w:szCs w:val="18"/>
                <w:color w:val="auto"/>
              </w:rPr>
              <w:t>Actuarial loss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19"/>
                <w:szCs w:val="19"/>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2820" w:type="dxa"/>
            <w:vAlign w:val="bottom"/>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K for additional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accordance with the asset purchase agreement with Old GM, General Motors Company (“GM”), as successor to Old GM’s obligations, performed remediation activities relating to historical soil and groundwater contamination at the Company’s Indianapolis, Indiana manufacturing facilities (the “Corrective Action”) under a voluntary corrective action agreement with the U.S. Environmental Protection Agency (“EPA”). Pursuant to the asset purchase agreement, once the EPA issued a final decision on GM’s remediation plan for the Corrective Action, the Company would assume all responsibility for operating, monitoring and maintaining the Corrective Action.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During the third quarter of 2015, the Company recorded approximately $14.0 million for the estimated undiscounted environmental liabilities related to the Corrective Action, to be paid out over the next 30 years, including approximately $0.5 million recorded to Other current liabilities and approximately $13.5 million to Other non-current liabilities. The Company expects to fund the expenditures for these activities from operating cash flow.</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quarter of 2016, EPA issued a final decision and the Company assumed all responsibility for the Corrective Action. The EPA also asked the Company to enter into an administrative order of consent that requires the Company to provide financial assurance to complete the operation, monitoring and maintenance in the event the Company fails to do so. This financial assurance can take a variety of forms including, but not limited to meeting certain financial metrics, providing a letter of credit, or securing a bond or an insurance policy. The amount and method by which the Company will be required to provide financial assurance is expected to be determined in 2016.</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EARNINGS PER SHARE</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and six months ended June 30, 2016 and 2015, 0.6 million outstanding anti-dilutive stock options were not included in the diluted EPS calculation because they were anti-dilutive. For the three months and six months ended June 30, 2015, 0.2 million outstanding anti-dilutive stock options were not included in the diluted EPS calculation because they were anti-dilutive.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109.1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169.8</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170.8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COMMON STOCK</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Company’s discretion. During the three and six months ended June 30, 2016, the Company repurchased approximately $59.0 million and $92.3 million of its common stock under the repurchase program,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81% of revenues were generated in North America in 2015, we have a global presence by serving customers in Europe, Asia, South America and Africa. We serve customers through a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The 2016 reductions in global Off-Highway, North America On-Highway and Service Parts, Support Equipment and Other end markets net sales are consistent with the previously contemplated impact of low energy and commodity prices and tempering demand conditions in the North America On-Highway end market. We anticipate no meaningful relief from the global Off-Highway end markets challenges and further weakening in North America On-Highway demand.</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 Quarter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Q2 2016</w:t>
            </w: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Q2 2015</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58"/>
        </w:trPr>
        <w:tc>
          <w:tcPr>
            <w:tcW w:w="6200" w:type="dxa"/>
            <w:vAlign w:val="bottom"/>
            <w:gridSpan w:val="2"/>
            <w:vMerge w:val="continue"/>
          </w:tcPr>
          <w:p>
            <w:pPr>
              <w:spacing w:after="0"/>
              <w:rPr>
                <w:sz w:val="13"/>
                <w:szCs w:val="13"/>
                <w:color w:val="auto"/>
              </w:rPr>
            </w:pPr>
          </w:p>
        </w:tc>
        <w:tc>
          <w:tcPr>
            <w:tcW w:w="12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264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6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North America On-Highway end market net sales were down 5% for the second quarter 2016 compared to the second quarter 2015, principally driven by lower demand for Highway Series and Rugged Duty Series models, partially offset by higher demand for Pupil Transport/Shuttle Series models.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North America Hybrid-Propulsion Systems for Transit Bus end market net sales were down 20% for the second quarter 2016 compared to the second quarter 2015, principally driven by lower demand due to engine emissions improvements and non-hybrid alternatives.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North America Off-Highway end market net sales were down 90% for the second quarter 2016 compared to the second quarter of 2015, principally driven by lower demand from hydraulic fracturing applications.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Defense end market net sales were down 3% for the second quarter 2016 compared to the second quarter 2015, principally driven by lower demand for Tracked Defense, partially offset by higher demand for Wheeled Defense.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up 1% for the second quarter 2016 compared to the second quarter 2015, principally driven by higher demand in Europe, partially offset by lower demand in China and India.</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63% for the second quarter 2016 compared to the second quarter 2015, principally driven by lower demand in the energy and mining sectors.</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down 5% for the second quarter 2016 compared to the second quarter 2015, principally driven by lower demand for global Off-Highway service parts and North America support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generate our net sales primarily from the sale of transmissions, transmission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six months ended June 30, 2016, direct material costs were approximately 68%, overhead costs were approximately 25%,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Adjusted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U.S. generally accepted accounting principles (“GAAP”) measure to Adjusted EBITDA is Net income. Adjusted EBITDA is calculated as the earnings before interest expense, income tax expense, amortization of intangible assets, depreciation of property, plant and equipment and other adjustments as defined by our debt agreement. Adjusted EBITDA margin is calculated as Adjusted EBITDA divided by net sales.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can be used for repayment of debt, shareholder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is a reconciliation of Net income to Adjusted EBITDA and Adjusted EBITDA margin, and a reconciliation of Net cash provided by operating activities to Adjusted free cash flow: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w:t>
            </w:r>
          </w:p>
        </w:tc>
        <w:tc>
          <w:tcPr>
            <w:tcW w:w="2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(unaudited, in millions)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2016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6"/>
                <w:szCs w:val="16"/>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6"/>
                <w:szCs w:val="16"/>
                <w:color w:val="auto"/>
              </w:rPr>
            </w:pPr>
          </w:p>
        </w:tc>
        <w:tc>
          <w:tcPr>
            <w:tcW w:w="7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1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$109.1</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27.8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32.7</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Stockholder activism expenses (b)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(gain) on foreign exchange (c)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Dual power inverter module units extended coverage (d)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commodity hedge contracts (e)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w w:val="94"/>
              </w:rPr>
              <w:t>Premiums and expenses on tender offer and redemption of long-term debt (f)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 (g)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Loss on repayments of long-term debt (h)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w w:val="84"/>
              </w:rPr>
              <w:t>173.3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185.5</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 (GAAP)</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474.9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$937.0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1,014.6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 (Non-GAAP)</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1280" w:type="dxa"/>
            <w:vAlign w:val="bottom"/>
            <w:gridSpan w:val="4"/>
            <w:shd w:val="clear" w:color="auto" w:fill="CCEEFF"/>
          </w:tcPr>
          <w:p>
            <w:pPr>
              <w:jc w:val="right"/>
              <w:ind w:right="314"/>
              <w:spacing w:after="0"/>
              <w:rPr>
                <w:sz w:val="20"/>
                <w:szCs w:val="20"/>
                <w:color w:val="auto"/>
              </w:rPr>
            </w:pPr>
            <w:r>
              <w:rPr>
                <w:rFonts w:ascii="Arial" w:cs="Arial" w:eastAsia="Arial" w:hAnsi="Arial"/>
                <w:sz w:val="18"/>
                <w:szCs w:val="18"/>
                <w:b w:val="1"/>
                <w:bCs w:val="1"/>
                <w:color w:val="auto"/>
              </w:rPr>
              <w:t>35.8%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32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w w:val="84"/>
              </w:rPr>
              <w:t>170.0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151.7</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$287.9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w w:val="93"/>
              </w:rPr>
              <w:t>(16.2)</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(13.6)</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Stockholder activism expenses (b)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Excess tax benefit from stock-based compensation (i)</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 (Non-GAAP)</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w w:val="84"/>
              </w:rPr>
              <w:t>156.7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138.3</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right="200" w:hanging="565"/>
        <w:spacing w:after="0" w:line="25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expenses, and Engineering — research and development).</w:t>
      </w:r>
    </w:p>
    <w:p>
      <w:pPr>
        <w:spacing w:after="0" w:line="1" w:lineRule="exact"/>
        <w:rPr>
          <w:rFonts w:ascii="Arial" w:cs="Arial" w:eastAsia="Arial" w:hAnsi="Arial"/>
          <w:sz w:val="18"/>
          <w:szCs w:val="18"/>
          <w:color w:val="auto"/>
        </w:rPr>
      </w:pPr>
    </w:p>
    <w:p>
      <w:pPr>
        <w:ind w:left="1140" w:right="4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expenses of $0.1 million and $3.7 million (recorded in Selling, general and administrative expenses) for the three months and six months ended June 30, 2016, respectively, and payments of $2.6 million and $3.6 million for the three months and six months ended June 30, 2016, respectively, directly associated with stockholder activism activity including the notice, and subsequent withdrawal, of director nomination and governance proposals by Ashe Capital Management, LP.</w:t>
      </w:r>
    </w:p>
    <w:p>
      <w:pPr>
        <w:spacing w:after="0" w:line="1" w:lineRule="exact"/>
        <w:rPr>
          <w:rFonts w:ascii="Arial" w:cs="Arial" w:eastAsia="Arial" w:hAnsi="Arial"/>
          <w:sz w:val="18"/>
          <w:szCs w:val="18"/>
          <w:color w:val="auto"/>
        </w:rPr>
      </w:pPr>
    </w:p>
    <w:p>
      <w:pPr>
        <w:ind w:left="1140" w:right="280" w:hanging="565"/>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on the mark-to-market of our foreign currency hedge contracts and on intercompany financing transactions related to investments in plant assets for our India facility.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180" w:hanging="565"/>
        <w:spacing w:after="0" w:line="25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unrealized (gains) losses (recorded in Other (expense) income, net) on the mark-to-market of our commodity hedge contracts.</w:t>
      </w:r>
    </w:p>
    <w:p>
      <w:pPr>
        <w:spacing w:after="0" w:line="32" w:lineRule="exact"/>
        <w:rPr>
          <w:rFonts w:ascii="Arial" w:cs="Arial" w:eastAsia="Arial" w:hAnsi="Arial"/>
          <w:sz w:val="16"/>
          <w:szCs w:val="16"/>
          <w:color w:val="auto"/>
        </w:rPr>
      </w:pPr>
    </w:p>
    <w:p>
      <w:pPr>
        <w:ind w:left="1140" w:right="30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premiums and expenses related to the tender offer and redemption of Allison Transmission, Inc.’s (“ATI”), our wholly owned subsidiary, 7.125% Senior Notes due 2019.</w:t>
      </w:r>
    </w:p>
    <w:p>
      <w:pPr>
        <w:ind w:left="114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H3000 and H4000 hybrid-propulsion systems.</w:t>
      </w: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realized on the repayments of ATI’s long-term debt.</w:t>
      </w:r>
    </w:p>
    <w:p>
      <w:pPr>
        <w:spacing w:after="0" w:line="9" w:lineRule="exact"/>
        <w:rPr>
          <w:rFonts w:ascii="Arial" w:cs="Arial" w:eastAsia="Arial" w:hAnsi="Arial"/>
          <w:sz w:val="18"/>
          <w:szCs w:val="18"/>
          <w:color w:val="auto"/>
        </w:rPr>
      </w:pPr>
    </w:p>
    <w:p>
      <w:pPr>
        <w:ind w:left="1140" w:right="160" w:hanging="565"/>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June 30, 2016 and 2015</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June 30, 2016 and 2015.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540" w:type="dxa"/>
            <w:vAlign w:val="bottom"/>
          </w:tcPr>
          <w:p>
            <w:pPr>
              <w:spacing w:after="0"/>
              <w:rPr>
                <w:sz w:val="10"/>
                <w:szCs w:val="10"/>
                <w:color w:val="auto"/>
              </w:rPr>
            </w:pPr>
          </w:p>
        </w:tc>
        <w:tc>
          <w:tcPr>
            <w:tcW w:w="66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474.9</w:t>
            </w:r>
          </w:p>
        </w:tc>
        <w:tc>
          <w:tcPr>
            <w:tcW w:w="5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511.0</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248.2</w:t>
            </w:r>
          </w:p>
        </w:tc>
        <w:tc>
          <w:tcPr>
            <w:tcW w:w="5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274.7</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226.7</w:t>
            </w:r>
          </w:p>
        </w:tc>
        <w:tc>
          <w:tcPr>
            <w:tcW w:w="5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5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5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23.2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5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127.1</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(27.8)</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(23.1)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w w:val="99"/>
              </w:rPr>
              <w:t>Premiums and expenses on tender offer and redemption of long-term debt</w:t>
            </w:r>
          </w:p>
        </w:tc>
        <w:tc>
          <w:tcPr>
            <w:tcW w:w="8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(25.1)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99.1</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(38.3)</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(32.7)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540" w:type="dxa"/>
            <w:vAlign w:val="bottom"/>
            <w:vMerge w:val="continue"/>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54.4</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Net sales for the quarter ended June 30, 2016 were $474.9 million compared to $511.0 million for the quarter ended June 30, 2015, a decrease of 7%. The decrease was principally driven by a $13.0 million, or 5%, decrease in net sales of North America On-Highway commercial products driven by lower demand for Highway Series and Rugged Duty Series models partially offset by higher demand for Pupil Transport/Shuttle Series models, a $9.0 million, or 90%, decrease in net sales of North America Off-Highway products driven by lower demand from hydraulic fracturing applications, a $5 million, or 63%, decrease in net sales of Outside North America Off-Highway products driven by lower demand in the energy and mining sectors, a $5.0 million, or 5%, decrease in net sales of parts and other products driven by lower demand for global Off-Highway service parts and North America support equipment, a $4.0 million, or 20%, decrease in net sales of North America hybrid-propulsion systems for transit buses driven by lower demand due to engine emissions improvements and non-hybrid alternatives and a $1.0 million, or 3%, decrease in net sales of defense products principally driven by lower demand for Tracked Defense partially offset by higher demand for Wheeled Defense, partially offset by a $1.0 million, or 1%, increase in net sales of Outside North America On-Highway products driven by higher demand in Europe partially offset by lower demand in China and India.</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Cost of sales for the quarter ended June 30, 2016 was $248.2 million compared to $274.7 million for the quarter ended June 30, 2015, a decrease of 10%. The decrease was principally driven by decreased direct material costs commensurate with decreased net sales, $6.0 million of lower manufacturing expense commensurate with decreased net sales, $2.0 million of favorable direct material costs and consistent with historical trends and management’s expectations given the respective change in sales volume.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Gross profit for the quarter ended June 30, 2016 was $226.7 million compared to $236.3 million for the quarter ended June 30, 2015, a decrease of 4%. The decrease was principally driven by $20.0 million related to decreased net sales, partially offset by $6.0 million of lower manufacturing expense commensurate with decreased net sales, $2.0 million of favorable direct material costs and $2.0 million of price increases on certain products. Gross profit as a percent of net sales for the quarter was higher than for the same period in 2015 principally driven by favorable direct material costs and price increases on certain products.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Selling, general and administrative expenses for the quarter ended June 30, 2016 were $77.8 million compared to $75.6 million for the quarter ended June 30, 2015, an increase of 3%. The increase was principally driven by $3.4 million of favorable 2015 product warranty adjustments, partially offset by $1.3 million of lower intangible asset amortization.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Engineering expenses for the quarter ended June 30, 2016 were $21.8 million compared to $23.2 million for the quarter ended June 30, 2015, a decrease of 6%. The decrease was principally driven by decreased product initiatives spending.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net for the quarter ended June 30, 2016 was $27.8 million compared to $23.1 million for the quarter ended June 30, 2015, an increase of 20%. The increase was principally driven by $5.3 million of unfavorable mark-to-market adjustments for our interest rate derivatives, $1.4 million of higher interest expense as a result of the addition of $470.0 million to ATI’s Senior Secured Credit Facility Term B-3 Loan due 2019 (the “Term B-3 Loan”, and together with the revolving credit facility, defined as the “Senior Secured Credit Facility”) during the second quarter of 2015, partially offset by $0.9 million of lower interest expense as a result of the repurchase and redemption of ATI’s 7.125% senior cash pay notes due May 2019 (“7.125% Senior Notes”) during the second quarter of 2015, $1.0 million of lower interest expense as a result of debt repayments and $0.1 million of lower amortization of deferred financing charges.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and redemption of long-term debt</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2015, we completed a cash tender offer to purchase any and all of the outstanding 7.125% Senior Notes. The tender offer resulted in the repurchase of $420.9 million of the 7.125% Senior Notes in April 2015. In May 2015, we redeemed the remaining $50.4 million of the outstanding 7.125% Senior Notes, resulting in premiums and expenses totaling $25.1 million for the second quarter of 2015.</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expense, net for the quarter ended June 30, 2016 was $0.2 million compared to $2.2 million for the quarter ended June 30, 2015. The decrease in other expense, net was principally driven by $1.0 million of unrealized gains on derivative contracts, $0.2 million of lower realized losses on derivative contracts, $0.2 million of unfavorable 2015 foreign exchange and lower miscellaneous expenses.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Income tax expense for the quarter ended June 30, 2016 was $38.3 million resulting in an effective tax rate of 38.6% versus an effective tax rate of 37.5% for the quarter ended June 30, 2015. The increase in income tax expense was principally driven by an increase in estimated taxable income for certain foreign entities.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six months ended June 30, 2016 and 2015</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six months ended June 30, 2016 and 2015.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0"/>
                <w:szCs w:val="10"/>
                <w:color w:val="auto"/>
              </w:rPr>
            </w:pPr>
          </w:p>
        </w:tc>
        <w:tc>
          <w:tcPr>
            <w:tcW w:w="6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$937.0</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1,014.6</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495.2</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441.8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43.6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237.8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279.8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(61.9)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Premiums and expenses on tender offer and redemption of long-term debt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 (expense) income, net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(66.5)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(72.5)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109.1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Net sales for the six months ended June 30, 2016 were $937.0 million compared to $1,014.6 million for the six months ended June 30, 2015, a decrease of 8%. The decrease was principally driven by a $26.0 million, or 81%, decrease in net sales of North American Off-Highway products driven by lower demand from hydraulic fracturing applications, a $24.0 million, or 4%, decrease in net sales of North America On-Highway commercial products driven by lower demand from Rugged Duty Series and Highway Series models partially offset by higher demand for Pupil Transport/Shuttle Series models, an $18.0 million, or 75%, decrease in net sales of Outside North America Off-Highway products driven by lower demand from the energy and mining sectors, an $18.0 million, or 9%, decrease in net sales of parts and other products driven by lower demand for global Off-Highway service parts partially offset by higher demand for global On-Highway service parts, a $5.0 million, or 13%, decrease in net sales of North America hybrid-propulsion systems for transit buses driven by lower demand due to engine emissions improvements and non-hybrid alternatives and a $1.0 million, or 2%, decrease in net sales of defense products principally driven by lower demand for Tracked Defense partially offset by higher demand for Wheeled Defense, partially offset by a $14.0 million, or 11%, increase in net sales of Outside North America On-Highway products driven by higher demand in Europe and Japan partially offset by lower demand in China and India.</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 of sales for six months ended June 30, 2016 was $495.2 million compared to $539.1 million for six months ended June 30, 2015, a decrease of 8%. The decrease was principally driven by decreased direct material costs commensurate with decreased sales, $10.0 million of lower manufacturing cost commensurate with decreased sales, $7.0 million of favorable direct material costs and consistent with historical trends and management’s expectations given the respective change in sales volume.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Gross profit for the six months ended June 30, 2016 was $441.8 million compared to $475.5 million for the six months ended June 30, 2015, a decrease of 7%. The decrease was principally driven by $53.0 million related to decreased net sales, partially offset by $10.0 million of lower manufacturing expense commensurate with decreased net sales, $7.0 million of favorable direct material costs and $2.0 million of price increases on certain products. Gross profit as a percent of net sales for the six months was higher than for the same period in 2015 principally driven by favorable direct material costs and price increases on certain products.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Selling, general and administrative expenses for the six months ended June 30, 2016 were $160.4 million compared to $149.0 million for the six months ended June 30, 2015, an increase of 8%. The increase was principally driven by $6.4 million of favorable 2015 product warranty adjustments, $3.6 million of stockholder activism expenses and $3.3 million of unfavorable adjustments related to the DPIM extended coverage program, partially offset by $2.2 million of lower intangible asset amortization and reduced global commercial spending activities.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Engineering expenses for the six months ended June 30, 2016 were $43.6 million compared to $45.4 million for the six months ended June 30, 2015, a decrease of 4%. The decrease was principally driven by decreased product initiatives spending.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During the first quarter of 2015, we recorded an approximately $1.3 million impairment loss associated with the production of the H3000 and H4000 hybrid-propulsion systems. The loss included $1.0 million of accrued expenses and a $0.3 million impairment of long-lived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Interest expense, net for the six months ended June 30, 2016 was $61.9 million compared to $60.0 million for the six months ended June 30, 2015, an increase of 3%. The increase was principally driven by $7.6 million of unfavorable mark-to-market adjustments for our interest rate derivatives, $5.5 million of higher interest expense as a result of the addition of $470.0 million to ATI’s Term B-3 Loan during the second quarter of 2015, partially offset by $9.3 million of lower interest expense as a result of the repurchase and redemption of our 7.125% Senior Notes in the second quarter of 2015, $1.5 million of lower interest expense as a result of debt repayments and $0.3 million of lower amortization of deferred financing charges.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and redemption of long-term debt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April 2015, we completed a cash tender offer to purchase any and all of the outstanding 7.125% Senior Notes. The tender offer resulted in the repurchase of $420.9 million of the 7.125% Senior Notes in April 2015. In May 2015, we redeemed the remaining $50.4 million of the outstanding 7.125% Senior Notes, resulting in premiums and expenses totaling $25.1 million for the second quarter of 2015.</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 income, net for the six months ended June 30, 2016 was ($0.3) million compared to $0.6 million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The change in other (expense) income, net was principally driven by $2.7 million of higher foreign exchange losses on intercompany financing and</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$0.5 million of lower favorable foreign exchange, partially offset by $1.2 million of unrealized gains on derivative contracts, a $0.2 million loss on 2015 debt repayments and lower miscellaneous expenses.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Income tax expense for the six months ended June 30, 2016 was $66.5 million resulting in an effective tax rate of 37.9% versus an effective tax rate of 37.1% for the six months ended June 30, 2015. The increase in income tax expense was principally driven by an increase in estimated taxable income for certain foreign entities.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$364.4 million and $251.6 million as of June 30, 2016 and December 31, 2015, respectively. Of the available cash and cash equivalents, approximately $214.3 million and $151.6 million were deposited in operating accounts while approximately $150.1 million and $100.0 million were invested in U.S. government backed securities as of June 30, 2016 and December 31, 2015, respectively.</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June 30, 2016, the total of cash and cash equivalents held by foreign subsidiaries was $45.5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Our liquidity requirements are significant, primarily due to our debt service requirements. As of June 30, 2016, we had $2,390.6 million of indebtedness associated with ATI’s Term B-3 Loan.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$6.1 million and $12.2 million on the Senior Secured Credit Facility for the three and six months ended June 30, 2016, respectively. We made principal payments of $52.9 million and $104.6 million on the Senior Secured Credit Facility for the three months and six months ended June 30, 2015, respectively.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Senior Secured Credit Facility also provides for $465.0 million in revolving credit borrowings, net of an allowance for up to $75.0 million in outstanding letters of credit commitments. As of June 30, 2016, we had $462.4 million available under the revolving credit facility, net of $2.6 million in letters of credit.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ATI’s Term B-3 Loan. These reductions would remain in effect as long as we achieve a total leverage ratio at or below the related threshold. As of June 30, 2016, the total leverage ratio was 2.98x.</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maximum total senior secured leverage ratio for the revolving portion of the Senior Secured Credit Facility, the Senior Secured Credit Facility includes, among other things, customary restrictions (subject to certain exceptions) on our ability to incur certain indebtedness or liens, make certain investments, declare or pay certain dividends, or repurchase shares of our common stock. As of June 30, 2016, we are in compliance with all covenants under the Senior Secured Credit Facility.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credit ratings are reviewed regularly by major debt ratings agencies such as Standard and Poor’s, Moody’s Investors Service and Fitch Ratings. In March 2015, Standard and Poor’s raised our corporate rating to ‘BB’ from ‘BB-’ and assigned ‘BB+’ to the incremental Term B-3 Loan. Also in March 2015, Moody’s raised our corporate rating to ‘Ba2’ from ‘Ba3’ and assigned ‘Ba2’ to the incremental Term B-3 Loan. In August 2015, Fitch ratings assigned ‘BB’ to the incremental Term B-3 Loan and raised our corporate rating to ‘BB+’ from ‘BB’.</w:t>
      </w:r>
    </w:p>
    <w:p>
      <w:pPr>
        <w:spacing w:after="0" w:line="18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October 30, 2014, our Board of Directors authorized us to purchase up to $500.0 million of our common stock under a stock repurchase program. For the three and six months ended June 30, 2016, we repurchased approximately $59.0 million and $92.3 million, respectively, of our common stock under the repurchase program.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six months ended June 30, 2016 and 2015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8"/>
              </w:rPr>
              <w:t>June,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20" w:type="dxa"/>
            <w:vAlign w:val="bottom"/>
            <w:tcBorders>
              <w:bottom w:val="single" w:sz="8" w:color="CCEEFF"/>
            </w:tcBorders>
            <w:vMerge w:val="continue"/>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287.9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w w:val="87"/>
              </w:rPr>
              <w:t>(153.0)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continue to utilize net operating loss carryforwards for U.S. federal income tax purposes. If we continue to generate taxable income, we expect to utilize the remaining U.S. federal net operating loss carryforwards by as early as the end of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Operating activities for the six months ended June 30, 2016 generated $287.9 million of cash compared to $242.7 million for the six months ended June 30, 2015. The increase was principally driven by higher accounts payable, lower accounts receivable commensurate with decreased net sales, lower inventories, lower incentive compensation payments, decreased excess tax benefit from stock-based compensation, lower interest expense as a result of debt repayments and refinancing, favorable direct material costs and higher other liabilities, net, partially offset by decreased net sales.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Investing activities for the six months ended June 30, 2016 used $22.5 million of cash compared to $14.7 million for the six months ended June 30,</w:t>
      </w:r>
    </w:p>
    <w:p>
      <w:pPr>
        <w:spacing w:after="0" w:line="46" w:lineRule="exact"/>
        <w:rPr>
          <w:sz w:val="20"/>
          <w:szCs w:val="20"/>
          <w:color w:val="auto"/>
        </w:rPr>
      </w:pPr>
    </w:p>
    <w:p>
      <w:pPr>
        <w:jc w:val="both"/>
        <w:ind w:right="180"/>
        <w:spacing w:after="0" w:line="323" w:lineRule="auto"/>
        <w:rPr>
          <w:sz w:val="20"/>
          <w:szCs w:val="20"/>
          <w:color w:val="auto"/>
        </w:rPr>
      </w:pPr>
      <w:r>
        <w:rPr>
          <w:rFonts w:ascii="Arial" w:cs="Arial" w:eastAsia="Arial" w:hAnsi="Arial"/>
          <w:sz w:val="16"/>
          <w:szCs w:val="16"/>
          <w:color w:val="auto"/>
        </w:rPr>
        <w:t>2015. The increase was principally driven by an increase of $7.7 million in capital expenditures. The increase in capital expenditures was principally driven by higher product initiatives spending and intra-year movement in the timing of spending related to investments in productivity and replacement programs.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Financing activities for the six months ended June 30, 2016 used $153.0 million of cash compared to $272.4 million for the six months ended June 30, 2015. The decrease was principally driven by $113.4 million of decreased payments on long-term debt, $22.4 million of lower stock repurchases, $7.5 million of decreased debt financing fees associated with our amendment to our Senior Secured Credit Facility in the second quarter of 2015 and $2.9 million of decreased dividend payments, partially offset by $19.3 million of decreased proceeds from the exercise of stock options and $7.7 million of decreased excess tax benefit from stock-based compensation.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of our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discussion of our critical accounting policies and significant accounting estimates are described in Part II, Item 7 “Management’s Discussion and Analysis” section in our Annual Report on Form 10-K for the year ended December 31, 2015 as filed with the Securities and Exchange Commission on February 19, 2016.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six months ended June 30,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the highly cyclical industries in which certain of our end users operate; general economic and industry conditions; the failure of markets outside North America to increase adoption of fully-automatic transmissions; the concentration of our net sales in our top five customers and the loss of any one of these; future reductions or changes in government subsidies and other external factors impacting demand for hybrid vehicles; U.S. defense spending; the discovery of defects in our products, resulting in delays in new model launches, recall campaigns and/or increased warranty costs and reduction in future sales or damage to our brand and reputation; brand and reputational risks; our ability to prepare for, respond to and successfully achieve our objectives relating to technological and market developments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2015 as filed with the Securities and Exchange Commission on February 19, 2016.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interest rate market risk in connection with our long-term debt. Our principal interest rate exposure relates to outstanding amounts under our Senior Secured Credit Facility. As of June 30, 2016, our Senior Secured Credit Facility provides for variable rate borrowings of up to $2,853.0 million including $462.4 million under our revolving credit facility, net of $2.6 million of letters of credit. A one-eighth percent change in assumed interest rates for the Senior Secured Credit Facility, if fully drawn, as of June 30, 2016 would have an impact of approximately $0.6 million on interest expense with the 1.00% LIBOR floor in effect on our Term B-3 Loan. Should LIBOR exceed 1.00%, a one-eighth percent change in assumed interest rates for the Senior Secured Credit Facility, if fully drawn, as of June 30, 2016 would have an impact of approximately $3.6 million on interest expense. As of June 30, 2016, we had no outstanding borrowings against the revolving credit facility.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Notional</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360" w:type="dxa"/>
            <w:vAlign w:val="bottom"/>
            <w:vMerge w:val="restart"/>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3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Fixed Rate</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3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w:t>
            </w:r>
          </w:p>
        </w:tc>
        <w:tc>
          <w:tcPr>
            <w:tcW w:w="360" w:type="dxa"/>
            <w:vAlign w:val="bottom"/>
            <w:vMerge w:val="continue"/>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 2016 - Aug 2019</w:t>
            </w: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M*</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JP Morgan</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Bank of America</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O*</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Barclays</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Q*</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Barclays</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Deutsche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Bank of America</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U*</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Fifth Third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Fifth Third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Rate Swap W*</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Fifth Third Bank</w:t>
            </w: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Huntington Bank</w:t>
            </w:r>
          </w:p>
        </w:tc>
        <w:tc>
          <w:tcPr>
            <w:tcW w:w="2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Aug 2016 - 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net of tax, by an estimated $1 million per year. All other exposure to foreign currencies is considered immaterial.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2016 and 2017, as of June 30, 2016, the hedge contracts cover approximately 33% and 24%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Assuming current levels of commodity purchases, a 10% increase or decrease in the price of aluminum and steel would correspondingly change our earnings, net of tax, by approximately $1 million and $2 million per year, respectively. This includes the partial offset of our hedging contracts described above.</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2015 as filed with the Securities and Exchange Commission on February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June 30, 2016:</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Total 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as Part of</w:t>
            </w:r>
          </w:p>
        </w:tc>
        <w:tc>
          <w:tcPr>
            <w:tcW w:w="26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Publicly</w:t>
            </w:r>
          </w:p>
        </w:tc>
        <w:tc>
          <w:tcPr>
            <w:tcW w:w="26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of Shares</w:t>
            </w:r>
          </w:p>
        </w:tc>
        <w:tc>
          <w:tcPr>
            <w:tcW w:w="5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Purchased</w:t>
            </w:r>
          </w:p>
        </w:tc>
        <w:tc>
          <w:tcPr>
            <w:tcW w:w="5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April 30, 2016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156,552,453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May 1 – May 31, 2016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938,362</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27.79</w:t>
            </w:r>
          </w:p>
        </w:tc>
        <w:tc>
          <w:tcPr>
            <w:tcW w:w="1100" w:type="dxa"/>
            <w:vAlign w:val="bottom"/>
          </w:tcPr>
          <w:p>
            <w:pPr>
              <w:jc w:val="right"/>
              <w:spacing w:after="0"/>
              <w:rPr>
                <w:sz w:val="20"/>
                <w:szCs w:val="20"/>
                <w:color w:val="auto"/>
              </w:rPr>
            </w:pPr>
            <w:r>
              <w:rPr>
                <w:rFonts w:ascii="Arial" w:cs="Arial" w:eastAsia="Arial" w:hAnsi="Arial"/>
                <w:sz w:val="18"/>
                <w:szCs w:val="18"/>
                <w:color w:val="auto"/>
              </w:rPr>
              <w:t>938,362</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130,472,094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2016</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1,011,142</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102,160,199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2,121,668</w:t>
            </w:r>
          </w:p>
        </w:tc>
        <w:tc>
          <w:tcPr>
            <w:tcW w:w="20" w:type="dxa"/>
            <w:vAlign w:val="bottom"/>
            <w:tcBorders>
              <w:bottom w:val="single" w:sz="8" w:color="auto"/>
            </w:tcBorders>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27.77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2,121,668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our Board of Directors on October 30, 2014 authorizing $500 million of repurchases through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spacing w:after="0"/>
              <w:rPr>
                <w:sz w:val="11"/>
                <w:szCs w:val="11"/>
                <w:color w:val="auto"/>
              </w:rPr>
            </w:pPr>
          </w:p>
        </w:tc>
        <w:tc>
          <w:tcPr>
            <w:tcW w:w="542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1420" w:type="dxa"/>
            <w:vAlign w:val="bottom"/>
            <w:gridSpan w:val="5"/>
          </w:tcPr>
          <w:p>
            <w:pPr>
              <w:ind w:left="46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6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ind w:left="10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1"/>
              </w:rPr>
              <w:t>Amendment to Second Amended and Restated Certificate of Incorporation of Allison Transmission Holdings, Inc. (incorporated by reference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to Exhibit 3.1 to the Registrant’s Current Report on Form 8-K filed May 18, 2016)</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5"/>
              </w:rPr>
              <w:t>Fifth Amended and Restated Bylaws of Allison Transmission Holdings, Inc. (incorporated by reference to Exhibit 3.2 to the Registrant’s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filed May 18, 2016)</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Amendment to Employment Agreement between Allison Transmission, Inc. and Lawrence E. Dewey dated May 11, 2016 (filed herewith)</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6"/>
              </w:rPr>
              <w:t>Amendment to Employment Agreement between Allison Transmission, Inc. and David S. Graziosi dated May 11, 2016 (filed herewith)</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6"/>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pursuant to Section 906 of the Sarbanes-Oxley Act of 2002 (filed herewith)</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476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p>
      <w:pPr>
        <w:spacing w:after="0"/>
        <w:tabs>
          <w:tab w:leader="none" w:pos="5440" w:val="left"/>
          <w:tab w:leader="none" w:pos="60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of the Board and Chief Executive Officer (Principal</w:t>
      </w:r>
    </w:p>
    <w:p>
      <w:pPr>
        <w:spacing w:after="0" w:line="9"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Title:</w:t>
        <w:tab/>
        <w:t>Executive Officer)</w:t>
      </w:r>
    </w:p>
    <w:p>
      <w:pPr>
        <w:spacing w:after="0" w:line="211" w:lineRule="exact"/>
        <w:rPr>
          <w:sz w:val="20"/>
          <w:szCs w:val="20"/>
          <w:color w:val="auto"/>
        </w:rPr>
      </w:pPr>
    </w:p>
    <w:p>
      <w:pPr>
        <w:spacing w:after="0"/>
        <w:tabs>
          <w:tab w:leader="none" w:pos="5440" w:val="left"/>
          <w:tab w:leader="none" w:pos="602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7"/>
          <w:szCs w:val="17"/>
          <w:color w:val="auto"/>
        </w:rPr>
        <w:t>Title:</w:t>
        <w:tab/>
        <w:t>President, Chief Financial Officer and Treasurer (Principal</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Financial Officer and Principal Accounting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240" w:top="459" w:right="5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Employment Agreement between Allison Transmission, Inc., a Delaware corporation (together with any successor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Lawrence E. Dewey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April 15, 2014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is made as of May 11, 2016 (the “</w:t>
      </w:r>
      <w:r>
        <w:rPr>
          <w:rFonts w:ascii="Arial" w:cs="Arial" w:eastAsia="Arial" w:hAnsi="Arial"/>
          <w:sz w:val="18"/>
          <w:szCs w:val="18"/>
          <w:u w:val="single" w:color="auto"/>
          <w:color w:val="auto"/>
        </w:rPr>
        <w:t>Amendment Date</w:t>
      </w:r>
      <w:r>
        <w:rPr>
          <w:rFonts w:ascii="Arial" w:cs="Arial" w:eastAsia="Arial" w:hAnsi="Arial"/>
          <w:sz w:val="18"/>
          <w:szCs w:val="18"/>
          <w:color w:val="auto"/>
        </w:rPr>
        <w:t>”) by and among the Company and the Executive. Except as set forth in this Amendment, capitalized terms used but not defined herein shall have the meanings ascribed to them in the Employment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Executive mutually desire to amend the terms of the Employment Agreement as set forth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25" w:lineRule="exact"/>
        <w:rPr>
          <w:sz w:val="20"/>
          <w:szCs w:val="20"/>
          <w:color w:val="auto"/>
        </w:rPr>
      </w:pPr>
    </w:p>
    <w:p>
      <w:pPr>
        <w:ind w:right="80" w:firstLine="464"/>
        <w:spacing w:after="0" w:line="308" w:lineRule="auto"/>
        <w:tabs>
          <w:tab w:leader="none" w:pos="81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Amendment to the Employment Agreement</w:t>
      </w:r>
      <w:r>
        <w:rPr>
          <w:rFonts w:ascii="Arial" w:cs="Arial" w:eastAsia="Arial" w:hAnsi="Arial"/>
          <w:sz w:val="17"/>
          <w:szCs w:val="17"/>
          <w:color w:val="auto"/>
        </w:rPr>
        <w:t>. Effective as of the Amendment Date, Section 1(c) of the Employment Agreement is hereby amended by deleting “Chairman of the Board, President, and Chief Executive Officer” and replacing it with “Chairman and Chief Executive Officer.”</w:t>
      </w:r>
    </w:p>
    <w:p>
      <w:pPr>
        <w:spacing w:after="0" w:line="146" w:lineRule="exact"/>
        <w:rPr>
          <w:rFonts w:ascii="Arial" w:cs="Arial" w:eastAsia="Arial" w:hAnsi="Arial"/>
          <w:sz w:val="17"/>
          <w:szCs w:val="17"/>
          <w:color w:val="auto"/>
        </w:rPr>
      </w:pPr>
    </w:p>
    <w:p>
      <w:pPr>
        <w:ind w:right="180" w:firstLine="464"/>
        <w:spacing w:after="0" w:line="277"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as expressly set forth in this Amendment, the Employment Agreement shall remain unchanged and shall continue in full force and effect according to its terms.</w:t>
      </w:r>
    </w:p>
    <w:p>
      <w:pPr>
        <w:spacing w:after="0" w:line="170" w:lineRule="exact"/>
        <w:rPr>
          <w:rFonts w:ascii="Arial" w:cs="Arial" w:eastAsia="Arial" w:hAnsi="Arial"/>
          <w:sz w:val="18"/>
          <w:szCs w:val="18"/>
          <w:color w:val="auto"/>
        </w:rPr>
      </w:pPr>
    </w:p>
    <w:p>
      <w:pPr>
        <w:ind w:right="80" w:firstLine="464"/>
        <w:spacing w:after="0" w:line="264"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Employment Agreement (to the extent not amended hereby), represents the entire agreement of the parties with respect to the subject matter hereof and shall supersede any and all previous contracts, arrangements or understandings between the parties.</w:t>
      </w:r>
    </w:p>
    <w:p>
      <w:pPr>
        <w:spacing w:after="0" w:line="181" w:lineRule="exact"/>
        <w:rPr>
          <w:rFonts w:ascii="Arial" w:cs="Arial" w:eastAsia="Arial" w:hAnsi="Arial"/>
          <w:sz w:val="18"/>
          <w:szCs w:val="18"/>
          <w:color w:val="auto"/>
        </w:rPr>
      </w:pPr>
    </w:p>
    <w:p>
      <w:pPr>
        <w:ind w:right="240" w:firstLine="464"/>
        <w:spacing w:after="0" w:line="264"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construed, interpreted and enforced in accordance with its express terms, and otherwise in accordance with the substantive laws of the State of Indiana, without reference to the principles of conflicts of law of the State of Indiana or any other jurisdiction, and where applicable, the laws of the United States.</w:t>
      </w:r>
    </w:p>
    <w:p>
      <w:pPr>
        <w:spacing w:after="0" w:line="181" w:lineRule="exact"/>
        <w:rPr>
          <w:rFonts w:ascii="Arial" w:cs="Arial" w:eastAsia="Arial" w:hAnsi="Arial"/>
          <w:sz w:val="18"/>
          <w:szCs w:val="18"/>
          <w:color w:val="auto"/>
        </w:rPr>
      </w:pPr>
    </w:p>
    <w:p>
      <w:pPr>
        <w:ind w:firstLine="464"/>
        <w:spacing w:after="0" w:line="277" w:lineRule="auto"/>
        <w:tabs>
          <w:tab w:leader="none" w:pos="81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several counterparts, each of which shall be deemed to be an original, but all of which together will constitute one and the same document.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 follows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Amendment on the date and year first written above.</w:t>
      </w:r>
    </w:p>
    <w:p>
      <w:pPr>
        <w:spacing w:after="0" w:line="37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Eric C. Scroggins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Eric C. Scroggins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General Counsel &amp; Secretary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Lawrence E. Dewey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[Signature Page to Dewey Employment Agreement Amendment]</w:t>
      </w:r>
    </w:p>
    <w:p>
      <w:pPr>
        <w:sectPr>
          <w:pgSz w:w="11900" w:h="16838" w:orient="portrait"/>
          <w:cols w:equalWidth="0" w:num="1">
            <w:col w:w="10960"/>
          </w:cols>
          <w:pgMar w:left="700" w:top="27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This Amendment (the “</w:t>
      </w:r>
      <w:r>
        <w:rPr>
          <w:rFonts w:ascii="Arial" w:cs="Arial" w:eastAsia="Arial" w:hAnsi="Arial"/>
          <w:sz w:val="17"/>
          <w:szCs w:val="17"/>
          <w:u w:val="single" w:color="auto"/>
          <w:color w:val="auto"/>
        </w:rPr>
        <w:t>Amendment</w:t>
      </w:r>
      <w:r>
        <w:rPr>
          <w:rFonts w:ascii="Arial" w:cs="Arial" w:eastAsia="Arial" w:hAnsi="Arial"/>
          <w:sz w:val="17"/>
          <w:szCs w:val="17"/>
          <w:color w:val="auto"/>
        </w:rPr>
        <w:t>”) to that certain Employment Agreement between Allison Transmission, Inc., a Delaware corporation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David S. Graziosi (the “</w:t>
      </w:r>
      <w:r>
        <w:rPr>
          <w:rFonts w:ascii="Arial" w:cs="Arial" w:eastAsia="Arial" w:hAnsi="Arial"/>
          <w:sz w:val="17"/>
          <w:szCs w:val="17"/>
          <w:u w:val="single" w:color="auto"/>
          <w:color w:val="auto"/>
        </w:rPr>
        <w:t>Executive</w:t>
      </w:r>
      <w:r>
        <w:rPr>
          <w:rFonts w:ascii="Arial" w:cs="Arial" w:eastAsia="Arial" w:hAnsi="Arial"/>
          <w:sz w:val="17"/>
          <w:szCs w:val="17"/>
          <w:color w:val="auto"/>
        </w:rPr>
        <w:t>”) dated as of April 15, 2014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is made as of May 11, 2016 (the “</w:t>
      </w:r>
      <w:r>
        <w:rPr>
          <w:rFonts w:ascii="Arial" w:cs="Arial" w:eastAsia="Arial" w:hAnsi="Arial"/>
          <w:sz w:val="17"/>
          <w:szCs w:val="17"/>
          <w:u w:val="single" w:color="auto"/>
          <w:color w:val="auto"/>
        </w:rPr>
        <w:t>Amendment Date</w:t>
      </w:r>
      <w:r>
        <w:rPr>
          <w:rFonts w:ascii="Arial" w:cs="Arial" w:eastAsia="Arial" w:hAnsi="Arial"/>
          <w:sz w:val="17"/>
          <w:szCs w:val="17"/>
          <w:color w:val="auto"/>
        </w:rPr>
        <w:t>”) by and among the Company and the Executive. Except as set forth in this Amendment, capitalized terms used but not defined herein shall have the meanings ascribed to them in the Employment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Executive mutually desire to amend the terms of the Employment Agreement as set forth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117" w:lineRule="exact"/>
        <w:rPr>
          <w:sz w:val="20"/>
          <w:szCs w:val="20"/>
          <w:color w:val="auto"/>
        </w:rPr>
      </w:pPr>
    </w:p>
    <w:p>
      <w:pPr>
        <w:ind w:left="820" w:hanging="35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Amendment to the Employment Agreement</w:t>
      </w:r>
      <w:r>
        <w:rPr>
          <w:rFonts w:ascii="Arial" w:cs="Arial" w:eastAsia="Arial" w:hAnsi="Arial"/>
          <w:sz w:val="16"/>
          <w:szCs w:val="16"/>
          <w:color w:val="auto"/>
        </w:rPr>
        <w:t>. Effective as of the Amendment Date, the Employment Agreement is hereby amended as follows:</w:t>
      </w:r>
    </w:p>
    <w:p>
      <w:pPr>
        <w:spacing w:after="0" w:line="248" w:lineRule="exact"/>
        <w:rPr>
          <w:sz w:val="20"/>
          <w:szCs w:val="20"/>
          <w:color w:val="auto"/>
        </w:rPr>
      </w:pPr>
    </w:p>
    <w:p>
      <w:pPr>
        <w:ind w:right="140" w:firstLine="464"/>
        <w:spacing w:after="0" w:line="277" w:lineRule="auto"/>
        <w:tabs>
          <w:tab w:leader="none" w:pos="881"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Section 1(c) is amended by deleting “Executive Vice President, Chief Financial Officer, Treasurer and Assistant Secretary” and replacing it with “President, Chief Financial Officer, Treasurer and Assistant Secretary.”</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2(a) is amended by deleting the reference to “$575,000” and replacing it with “650,000.”</w:t>
      </w:r>
    </w:p>
    <w:p>
      <w:pPr>
        <w:spacing w:after="0" w:line="225" w:lineRule="exact"/>
        <w:rPr>
          <w:sz w:val="20"/>
          <w:szCs w:val="20"/>
          <w:color w:val="auto"/>
        </w:rPr>
      </w:pPr>
    </w:p>
    <w:p>
      <w:pPr>
        <w:ind w:right="180" w:firstLine="464"/>
        <w:spacing w:after="0" w:line="277" w:lineRule="auto"/>
        <w:tabs>
          <w:tab w:leader="none" w:pos="81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as expressly set forth in this Amendment, the Employment Agreement shall remain unchanged and shall continue in full force and effect according to its terms.</w:t>
      </w:r>
    </w:p>
    <w:p>
      <w:pPr>
        <w:spacing w:after="0" w:line="170" w:lineRule="exact"/>
        <w:rPr>
          <w:rFonts w:ascii="Arial" w:cs="Arial" w:eastAsia="Arial" w:hAnsi="Arial"/>
          <w:sz w:val="18"/>
          <w:szCs w:val="18"/>
          <w:color w:val="auto"/>
        </w:rPr>
      </w:pPr>
    </w:p>
    <w:p>
      <w:pPr>
        <w:ind w:right="80" w:firstLine="464"/>
        <w:spacing w:after="0" w:line="264" w:lineRule="auto"/>
        <w:tabs>
          <w:tab w:leader="none" w:pos="81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Employment Agreement (to the extent not amended hereby), represents the entire agreement of the parties with respect to the subject matter hereof and shall supersede any and all previous contracts, arrangements or understandings between the parties.</w:t>
      </w:r>
    </w:p>
    <w:p>
      <w:pPr>
        <w:spacing w:after="0" w:line="181" w:lineRule="exact"/>
        <w:rPr>
          <w:rFonts w:ascii="Arial" w:cs="Arial" w:eastAsia="Arial" w:hAnsi="Arial"/>
          <w:sz w:val="18"/>
          <w:szCs w:val="18"/>
          <w:color w:val="auto"/>
        </w:rPr>
      </w:pPr>
    </w:p>
    <w:p>
      <w:pPr>
        <w:ind w:right="240" w:firstLine="464"/>
        <w:spacing w:after="0" w:line="264" w:lineRule="auto"/>
        <w:tabs>
          <w:tab w:leader="none" w:pos="81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construed, interpreted and enforced in accordance with its express terms, and otherwise in accordance with the substantive laws of the State of Indiana, without reference to the principles of conflicts of law of the State of Indiana or any other jurisdiction, and where applicable, the laws of the United States.</w:t>
      </w:r>
    </w:p>
    <w:p>
      <w:pPr>
        <w:spacing w:after="0" w:line="181" w:lineRule="exact"/>
        <w:rPr>
          <w:rFonts w:ascii="Arial" w:cs="Arial" w:eastAsia="Arial" w:hAnsi="Arial"/>
          <w:sz w:val="18"/>
          <w:szCs w:val="18"/>
          <w:color w:val="auto"/>
        </w:rPr>
      </w:pPr>
    </w:p>
    <w:p>
      <w:pPr>
        <w:ind w:firstLine="464"/>
        <w:spacing w:after="0" w:line="277" w:lineRule="auto"/>
        <w:tabs>
          <w:tab w:leader="none" w:pos="81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several counterparts, each of which shall be deemed to be an original, but all of which together will constitute one and the same document.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 follows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on the date and year first written above.</w:t>
      </w:r>
    </w:p>
    <w:p>
      <w:pPr>
        <w:spacing w:after="0" w:line="37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Eric C. Scroggins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Eric C. Scroggins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General Counsel &amp; Secretary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[Signature Page to Graziosi Employment Agreement Amendment]</w:t>
      </w:r>
    </w:p>
    <w:p>
      <w:pPr>
        <w:sectPr>
          <w:pgSz w:w="11900" w:h="16838" w:orient="portrait"/>
          <w:cols w:equalWidth="0" w:num="1">
            <w:col w:w="10960"/>
          </w:cols>
          <w:pgMar w:left="70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020" w:right="220" w:hanging="445"/>
        <w:spacing w:after="0" w:line="264"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20" w:right="500" w:hanging="445"/>
        <w:spacing w:after="0" w:line="264"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20" w:right="680" w:hanging="445"/>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220" w:hanging="445"/>
        <w:spacing w:after="0" w:line="264"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020" w:right="140" w:hanging="445"/>
        <w:spacing w:after="0" w:line="308" w:lineRule="auto"/>
        <w:tabs>
          <w:tab w:leader="none" w:pos="10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20" w:right="100" w:hanging="445"/>
        <w:spacing w:after="0" w:line="277"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25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020" w:right="220" w:hanging="445"/>
        <w:spacing w:after="0" w:line="26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20" w:right="500" w:hanging="445"/>
        <w:spacing w:after="0" w:line="26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20" w:right="680" w:hanging="445"/>
        <w:spacing w:after="0" w:line="342"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220" w:hanging="445"/>
        <w:spacing w:after="0" w:line="264"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020" w:right="140" w:hanging="445"/>
        <w:spacing w:after="0" w:line="308" w:lineRule="auto"/>
        <w:tabs>
          <w:tab w:leader="none" w:pos="10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20" w:right="100" w:hanging="445"/>
        <w:spacing w:after="0" w:line="277"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June 30, 2016 as filed with the Securities and Exchange Commission on the date hereof (the “Report”), we, Lawrence E. Dewey, Chairman and Chief Executive Officer of the Company, and David S. Graziosi,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lvl w:ilvl="1">
      <w:lvlJc w:val="left"/>
      <w:lvlText w:val="(%2)"/>
      <w:numFmt w:val="lowerLetter"/>
      <w:start w:val="1"/>
    </w:lvl>
  </w:abstractNum>
  <w:abstractNum w:abstractNumId="8">
    <w:nsid w:val="1F16E9E8"/>
    <w:multiLevelType w:val="hybridMultilevel"/>
    <w:lvl w:ilvl="0">
      <w:lvlJc w:val="left"/>
      <w:lvlText w:val="(%1)"/>
      <w:numFmt w:val="lowerLetter"/>
      <w:start w:val="2"/>
    </w:lvl>
    <w:lvl w:ilvl="1">
      <w:lvlJc w:val="left"/>
      <w:lvlText w:val="%2"/>
      <w:numFmt w:val="lowerLetter"/>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2019-12-29T11:59:45Z</dcterms:created>
  <dcterms:modified xsi:type="dcterms:W3CDTF">2019-12-29T11:59:45Z</dcterms:modified>
</cp:coreProperties>
</file>