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131445</wp:posOffset>
            </wp:positionV>
            <wp:extent cx="3353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41275</wp:posOffset>
            </wp:positionV>
            <wp:extent cx="3353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7"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34290</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ALLISON TRANSMISSION HOLDINGS, INC.</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6000" w:type="dxa"/>
            <w:vAlign w:val="bottom"/>
            <w:gridSpan w:val="2"/>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26-0414014</w:t>
            </w:r>
          </w:p>
        </w:tc>
      </w:tr>
      <w:tr>
        <w:trPr>
          <w:trHeight w:val="180"/>
        </w:trPr>
        <w:tc>
          <w:tcPr>
            <w:tcW w:w="6000" w:type="dxa"/>
            <w:vAlign w:val="bottom"/>
            <w:gridSpan w:val="2"/>
          </w:tcPr>
          <w:p>
            <w:pPr>
              <w:jc w:val="center"/>
              <w:ind w:right="3468"/>
              <w:spacing w:after="0"/>
              <w:rPr>
                <w:sz w:val="20"/>
                <w:szCs w:val="20"/>
                <w:color w:val="auto"/>
              </w:rPr>
            </w:pPr>
            <w:r>
              <w:rPr>
                <w:rFonts w:ascii="Arial" w:cs="Arial" w:eastAsia="Arial" w:hAnsi="Arial"/>
                <w:sz w:val="14"/>
                <w:szCs w:val="14"/>
                <w:b w:val="1"/>
                <w:bCs w:val="1"/>
                <w:color w:val="auto"/>
                <w:w w:val="94"/>
              </w:rPr>
              <w:t>(State of Incorporation)</w:t>
            </w:r>
          </w:p>
        </w:tc>
        <w:tc>
          <w:tcPr>
            <w:tcW w:w="164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4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5"/>
              </w:rPr>
              <w:t>Identification Number)</w:t>
            </w:r>
          </w:p>
        </w:tc>
      </w:tr>
      <w:tr>
        <w:trPr>
          <w:trHeight w:val="237"/>
        </w:trPr>
        <w:tc>
          <w:tcPr>
            <w:tcW w:w="6000" w:type="dxa"/>
            <w:vAlign w:val="bottom"/>
            <w:gridSpan w:val="2"/>
          </w:tcPr>
          <w:p>
            <w:pPr>
              <w:jc w:val="center"/>
              <w:ind w:right="3468"/>
              <w:spacing w:after="0"/>
              <w:rPr>
                <w:sz w:val="20"/>
                <w:szCs w:val="20"/>
                <w:color w:val="auto"/>
              </w:rPr>
            </w:pPr>
            <w:r>
              <w:rPr>
                <w:rFonts w:ascii="Arial" w:cs="Arial" w:eastAsia="Arial" w:hAnsi="Arial"/>
                <w:sz w:val="18"/>
                <w:szCs w:val="18"/>
                <w:b w:val="1"/>
                <w:bCs w:val="1"/>
                <w:color w:val="auto"/>
                <w:w w:val="91"/>
              </w:rPr>
              <w:t>One Allison Way</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6000" w:type="dxa"/>
            <w:vAlign w:val="bottom"/>
            <w:gridSpan w:val="2"/>
          </w:tcPr>
          <w:p>
            <w:pPr>
              <w:jc w:val="center"/>
              <w:ind w:right="3488"/>
              <w:spacing w:after="0"/>
              <w:rPr>
                <w:sz w:val="20"/>
                <w:szCs w:val="20"/>
                <w:color w:val="auto"/>
              </w:rPr>
            </w:pPr>
            <w:r>
              <w:rPr>
                <w:rFonts w:ascii="Arial" w:cs="Arial" w:eastAsia="Arial" w:hAnsi="Arial"/>
                <w:sz w:val="18"/>
                <w:szCs w:val="18"/>
                <w:b w:val="1"/>
                <w:bCs w:val="1"/>
                <w:color w:val="auto"/>
                <w:w w:val="93"/>
              </w:rPr>
              <w:t>Indianapolis, IN</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46222</w:t>
            </w:r>
          </w:p>
        </w:tc>
      </w:tr>
      <w:tr>
        <w:trPr>
          <w:trHeight w:val="218"/>
        </w:trPr>
        <w:tc>
          <w:tcPr>
            <w:tcW w:w="6000" w:type="dxa"/>
            <w:vAlign w:val="bottom"/>
            <w:gridSpan w:val="2"/>
          </w:tcPr>
          <w:p>
            <w:pPr>
              <w:jc w:val="center"/>
              <w:ind w:right="34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4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5"/>
              </w:rPr>
              <w:t>(Zip Code)</w:t>
            </w:r>
          </w:p>
        </w:tc>
      </w:tr>
      <w:tr>
        <w:trPr>
          <w:trHeight w:val="498"/>
        </w:trPr>
        <w:tc>
          <w:tcPr>
            <w:tcW w:w="6000" w:type="dxa"/>
            <w:vAlign w:val="bottom"/>
            <w:gridSpan w:val="2"/>
          </w:tcPr>
          <w:p>
            <w:pPr>
              <w:jc w:val="right"/>
              <w:ind w:right="1288"/>
              <w:spacing w:after="0"/>
              <w:rPr>
                <w:sz w:val="20"/>
                <w:szCs w:val="20"/>
                <w:color w:val="auto"/>
              </w:rPr>
            </w:pPr>
            <w:r>
              <w:rPr>
                <w:rFonts w:ascii="Arial" w:cs="Arial" w:eastAsia="Arial" w:hAnsi="Arial"/>
                <w:sz w:val="18"/>
                <w:szCs w:val="18"/>
                <w:b w:val="1"/>
                <w:bCs w:val="1"/>
                <w:color w:val="auto"/>
              </w:rPr>
              <w:t>(317) 242-5000</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8"/>
        </w:trPr>
        <w:tc>
          <w:tcPr>
            <w:tcW w:w="1440" w:type="dxa"/>
            <w:vAlign w:val="bottom"/>
          </w:tcPr>
          <w:p>
            <w:pPr>
              <w:spacing w:after="0"/>
              <w:rPr>
                <w:sz w:val="24"/>
                <w:szCs w:val="24"/>
                <w:color w:val="auto"/>
              </w:rPr>
            </w:pPr>
          </w:p>
        </w:tc>
        <w:tc>
          <w:tcPr>
            <w:tcW w:w="456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7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bl>
    <w:p>
      <w:pPr>
        <w:spacing w:after="0" w:line="40"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6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620" w:val="left"/>
          <w:tab w:leader="none" w:pos="1240" w:val="left"/>
        </w:tabs>
        <w:rPr>
          <w:sz w:val="20"/>
          <w:szCs w:val="20"/>
          <w:color w:val="auto"/>
        </w:rPr>
      </w:pPr>
      <w:r>
        <w:rPr>
          <w:rFonts w:ascii="Arial" w:cs="Arial" w:eastAsia="Arial" w:hAnsi="Arial"/>
          <w:sz w:val="18"/>
          <w:szCs w:val="18"/>
          <w:color w:val="auto"/>
        </w:rPr>
        <w:t>files).</w:t>
        <w:tab/>
        <w:t>Yes x</w:t>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760"/>
              <w:spacing w:after="0"/>
              <w:rPr>
                <w:sz w:val="20"/>
                <w:szCs w:val="20"/>
                <w:color w:val="auto"/>
              </w:rPr>
            </w:pPr>
            <w:r>
              <w:rPr>
                <w:rFonts w:ascii="Arial" w:cs="Arial" w:eastAsia="Arial" w:hAnsi="Arial"/>
                <w:sz w:val="18"/>
                <w:szCs w:val="18"/>
                <w:color w:val="auto"/>
              </w:rPr>
              <w:t>x</w:t>
            </w:r>
          </w:p>
        </w:tc>
        <w:tc>
          <w:tcPr>
            <w:tcW w:w="48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40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October 15, 2018, there were 129,638,240 shares of Common Stock outstanding.</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5"/>
          </w:tcPr>
          <w:p>
            <w:pPr>
              <w:ind w:left="1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40" w:type="dxa"/>
            <w:vAlign w:val="bottom"/>
            <w:gridSpan w:val="10"/>
            <w:vMerge w:val="restart"/>
          </w:tcPr>
          <w:p>
            <w:pPr>
              <w:jc w:val="center"/>
              <w:ind w:right="33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gridSpan w:val="10"/>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840" w:type="dxa"/>
            <w:vAlign w:val="bottom"/>
            <w:gridSpan w:val="3"/>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338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4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21-30</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42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352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46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3740" w:type="dxa"/>
            <w:vAlign w:val="bottom"/>
            <w:tcBorders>
              <w:top w:val="single" w:sz="8" w:color="0000EE"/>
            </w:tcBorders>
            <w:gridSpan w:val="11"/>
          </w:tcPr>
          <w:p>
            <w:pPr>
              <w:spacing w:after="0"/>
              <w:rPr>
                <w:sz w:val="24"/>
                <w:szCs w:val="24"/>
                <w:color w:val="auto"/>
              </w:rPr>
            </w:pPr>
          </w:p>
        </w:tc>
        <w:tc>
          <w:tcPr>
            <w:tcW w:w="544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902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 net of allowance for doubtful accounts of $1 and $0, respectively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warranty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Product warranty liability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2,522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(see NOTE O)</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89"/>
              </w:rPr>
              <w:t>Common stock, $0.01 par value, 1,880,000,000 shares authorized, 129,638,240 shares issued and outstanding</w:t>
            </w:r>
          </w:p>
        </w:tc>
        <w:tc>
          <w:tcPr>
            <w:tcW w:w="140" w:type="dxa"/>
            <w:vAlign w:val="bottom"/>
          </w:tcPr>
          <w:p>
            <w:pPr>
              <w:spacing w:after="0"/>
              <w:rPr>
                <w:sz w:val="19"/>
                <w:szCs w:val="19"/>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and 139,990,865 shares issued and outstanding, respectively</w:t>
            </w:r>
          </w:p>
        </w:tc>
        <w:tc>
          <w:tcPr>
            <w:tcW w:w="1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Non-voting common stock, $0.01 par value, 20,000,000 shares authorized, none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 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76"/>
        </w:trPr>
        <w:tc>
          <w:tcPr>
            <w:tcW w:w="5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Engineering — research and development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5"/>
              </w:rPr>
              <w:t>Basic earnings per share attributable to common stockholders</w:t>
            </w: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0.75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Diluted earnings per share attributable to common stockholders</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0.15</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0.15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net of tax</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of long-lived assets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technology-related initiatives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(778)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on long-term debt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 of equity awards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financing fees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Borrowings on revolving credit facility</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Repayments on revolving credit facility</w:t>
            </w:r>
          </w:p>
        </w:tc>
        <w:tc>
          <w:tcPr>
            <w:tcW w:w="9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 of long-term debt</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paid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paid</w:t>
            </w: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79% of revenues were generated in North America in 2017, the Company has a global presence by serving customers in Europe, Asia, South America and Africa. The Company serves customers through an independent network of approximately 1,400 independent distributor and dealer locations worldwide.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8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2017 as filed with the Securities and Exchange Commission (“SEC”) on February 15, 2018. The interim period financial results for the three and nine month periods presented are not necessarily indicative of results to be expected for any other interim period or for the entire year.</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August 2017, the Financial Accounting Standards Board (“FASB”) issued authoritative accounting guidance on accounting for derivative and hedge instruments. Among other things, the guidance allows the initial hedge effectiveness assessment to be performed by the end of the quarter in which the hedge is designated, permits a qualitative assessment for certain hedges if an expectation of high effectiveness can be supported throughout the term of the hedge, and removes the requirement to record ineffectiveness on cash flow hedges immediately through earnings when the hedge is highly effective. The guidance was early adopted by the Company effective April 1, 2018 and applied upon entering into interest rate swaps designated as cash flow hedges during the second quarter of 2018. When adopted in an interim period, the guidance is required to be reflected as of the beginning of the year of adoption. The Company has not previously designated any derivative instruments as hedging instruments, and thus, the adoption of this guidance did not have a material impact on the Company’s consolidated financial statements.</w:t>
      </w:r>
    </w:p>
    <w:p>
      <w:pPr>
        <w:spacing w:after="0" w:line="7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was adopted by the Company effective January 1, 2018 and did not have a material impact on the Company’s consolidated financial statements.</w:t>
      </w:r>
    </w:p>
    <w:p>
      <w:pPr>
        <w:spacing w:after="0" w:line="3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was adopted by the Company effective January 1, 2018 and did not have a material impact on the Company’s consolidated financial statements.</w:t>
      </w:r>
    </w:p>
    <w:p>
      <w:pPr>
        <w:spacing w:after="0" w:line="7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was adopted by the Company effective January 1, 2018 and did not have a material impact on the Company’s consolidated financial statements.</w:t>
      </w:r>
    </w:p>
    <w:p>
      <w:pPr>
        <w:spacing w:after="0" w:line="39" w:lineRule="exact"/>
        <w:rPr>
          <w:sz w:val="20"/>
          <w:szCs w:val="20"/>
          <w:color w:val="auto"/>
        </w:rPr>
      </w:pPr>
    </w:p>
    <w:p>
      <w:pPr>
        <w:ind w:right="500" w:firstLine="432"/>
        <w:spacing w:after="0" w:line="293"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which guidance was subsequently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was adopted by the Company effective January 1, 2018 on a modified retrospective basis. See Note C, “Revenue” for information regarding the impact of the adoption of this guidance.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guidance will be effective for the Company in fiscal year 2020, but early adoption is permitted. Management is currently evaluating the impact of this guidance on the Company's consolidated financial statements.</w:t>
      </w:r>
    </w:p>
    <w:p>
      <w:pPr>
        <w:spacing w:after="0" w:line="8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the Company's defined benefit pension plans and other postretirement benefit plan. The guidance will be effective for the Company in fiscal year 2021, but early adoption is permitted. Management is currently evaluating the impact of this guidance on the Company's consolidated financial statements.</w:t>
      </w:r>
    </w:p>
    <w:p>
      <w:pPr>
        <w:spacing w:after="0" w:line="7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guidance will be effective for the Company in fiscal year 2020, but early adoption is permitted. Management is currently evaluating the impact of this guidance on the Company's consolidated financial statements.</w:t>
      </w:r>
    </w:p>
    <w:p>
      <w:pPr>
        <w:spacing w:after="0" w:line="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June 2018, the FASB issued authoritative accounting guidance on accounting for nonemployee awards for goods or services received by a company. The guidance will be effective for the Company in fiscal year 2019, and the Company does not plan to early adopt. Management is currently evaluating the impact of this guidance on the Company’s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February 2018, the FASB issued authoritative accounting guidance on transfers of stranded balances in accumulated other comprehensive loss to retained earnings. The passage of the U.S. Tax Cuts and Jobs Act by the U.S. federal government in December 2017 and existing GAAP requirements to adjust deferred tax assets and liabilities for changes in tax laws or rates created stranded balances in accumulated other comprehensive loss on deferred tax assets and liabilities previously recorded as a component to accumulated other comprehensive loss. The guidance applies to companies affected by these stranded balances and allows a reclassification of these balances to retained earnings. The guidance will be effective for the Company in fiscal year 2019, but early adoption is permitted. The guidance can be applied either in the period of adoption or retrospectively to each period in which the effect of the change in the U.S. federal corporate income tax rate in the U.S. Tax Cuts and Jobs Act is recognized. Management is currently evaluating the adoption method the Company will implement; however, Management does not expect the adoption of this guidance to have a material impact on the Company's consolidated financial statements under either adoption method.</w:t>
      </w:r>
    </w:p>
    <w:p>
      <w:pPr>
        <w:spacing w:after="0" w:line="7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The guidance will be effective for the Company in fiscal year 2019 and the Company does not plan to early adopt. In July 2018, the FASB issued additional authoritative guidance on this topic giving lessees an optional adoption approach under which the impact of the adoption of the guidance would be shown as of the date of adoption. Management has elected to adopt the guidance using this modified retrospective approach. Management is currently evaluating the Company’s lease contracts, assessing the impact of the adoption of policy elections and practical expedients prescribed by the guidance and evaluating qualitative information relevant to new disclosure requirements. Management does not expect the adoption of this guidance to have a material impact on the Company’s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Revenue Guidance</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authoritative accounting guidance for revenue was adopted by the Company effective January 1, 2018 using the modified retrospective approach. Current period results are presented in conformity with the new authoritative accounting guidance, while prior period results are presented in conformity with prior accounting guidance.</w:t>
      </w:r>
    </w:p>
    <w:p>
      <w:pPr>
        <w:spacing w:after="0" w:line="73"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In accordance with the modified retrospective approach, the Company recorded a one-time adjustment related to sales of Extended Transmission Coverage (“ETC”) contracts open as of the date of adoption, which increased opening retained earnings by $5 million, net of tax, and decreased current deferred revenue by $2 million and non-current deferred revenue by $4 million as of January 1, 2018.</w:t>
      </w:r>
    </w:p>
    <w:p>
      <w:pPr>
        <w:spacing w:after="0" w:line="7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three months ended September 30, 2018, neither net sales nor deferred revenue were impacted by the application of this guidance. During the nine months ended September 30, 2018, the Company increased net sales by $1 million, and decreased non-current deferred revenue by $1 million, compared to prior accounting guidance, as a result of how the Company allocates revenue to the ETC performance obligation in certain contracts under the new authoritative accounting guidance for revenue.</w:t>
      </w:r>
    </w:p>
    <w:p>
      <w:pPr>
        <w:spacing w:after="0" w:line="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Under the new authoritative accounting guidance, revenue is recognized as each distinct performance obligation within a contract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5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Many of the Company’s contracts have a single performance obligation, as the promise to transfer the individual good or service is not separately identifiable from other promises in the contracts and is, therefore, not distinct. Some of our contracts have multiple performance obligations, most commonly the sale of both a transmission and ETC. For contracts with multiple performance obligations, the Company allocates the contract’s transaction price to each performance obligation using a ratable allocation based on the standalone selling price of each distinct good or service in the contract.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Due to the typically short duration of purchase orders and minimal number of open contracts with variable consideration at any point in time, the impact of variable consideration is immaterial. If it were to become material, the Company would explain the methods, assumptions and estimates used to determine the consideration allocated to each performance obligation. The Company estimates the impact of all other incentives based on the related sales and market conditions in the end market vocation.</w:t>
      </w:r>
    </w:p>
    <w:p>
      <w:pPr>
        <w:spacing w:after="0" w:line="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2018 and December 31, 2017. See Note J, “Deferred Revenue” for more information including the amount of revenue earned during the three and nine months ended September 30, 2018 that had been previously deferred. The Company does not have contract assets.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fully automatic transmissions. The following presents disaggregated revenue by categories that best depict how the nature, amount, timing and uncertainty of revenue and cash flows are affected by economic factors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months</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Nine months ended</w:t>
            </w:r>
          </w:p>
        </w:tc>
      </w:tr>
      <w:tr>
        <w:trPr>
          <w:trHeight w:val="149"/>
        </w:trPr>
        <w:tc>
          <w:tcPr>
            <w:tcW w:w="88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60" w:type="dxa"/>
            <w:vAlign w:val="bottom"/>
          </w:tcPr>
          <w:p>
            <w:pPr>
              <w:spacing w:after="0"/>
              <w:rPr>
                <w:sz w:val="12"/>
                <w:szCs w:val="12"/>
                <w:color w:val="auto"/>
              </w:rPr>
            </w:pP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30, 2018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76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288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484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2,066</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North America On-Highway</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Revenue from the North America On-Highway end market is driven by the sale of transmissions to original equipment manufacturers (“OEMs”), distributors and dealers that install the transmission into Class 4-5, Class 6-7 and Class 8 straight trucks and metro tractors, conventional transit, shuttle and coach buses, school buses and motorhome applications. Revenue from the North America On-Highway end market also includes the sale of electric hybrid-propulsion systems for transit bus. Revenue is recognized at the point in time when control passes to the customer, which is based on shipping terms when the order is fulfilled by the Company.</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North America Off-Highway</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Defense</w:t>
      </w:r>
    </w:p>
    <w:p>
      <w:pPr>
        <w:spacing w:after="0" w:line="117" w:lineRule="exact"/>
        <w:rPr>
          <w:sz w:val="20"/>
          <w:szCs w:val="20"/>
          <w:color w:val="auto"/>
        </w:rPr>
      </w:pPr>
    </w:p>
    <w:p>
      <w:pPr>
        <w:jc w:val="both"/>
        <w:ind w:right="360" w:firstLine="432"/>
        <w:spacing w:after="0" w:line="286" w:lineRule="auto"/>
        <w:rPr>
          <w:sz w:val="20"/>
          <w:szCs w:val="20"/>
          <w:color w:val="auto"/>
        </w:rPr>
      </w:pPr>
      <w:r>
        <w:rPr>
          <w:rFonts w:ascii="Arial" w:cs="Arial" w:eastAsia="Arial" w:hAnsi="Arial"/>
          <w:sz w:val="17"/>
          <w:szCs w:val="17"/>
          <w:color w:val="auto"/>
        </w:rPr>
        <w:t>Revenue from the Defense end market is driven by sales of transmissions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5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Outside North America On-Highway</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the Outside North America On-Highway end market is driven by the sale of transmissions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Outside North America Off-Highway</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and the sale of ETC contracts which extend the warranty coverages of transmissions beyond the standard warranty period.</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Revenue is recognized on sales of service parts and support equipment at the point in time when control passes to the customer, which is based on shipping terms when the order is fulfilled by the Company.</w:t>
      </w:r>
    </w:p>
    <w:p>
      <w:pPr>
        <w:spacing w:after="0" w:line="6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parts and raw materials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parts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both September 30, 2018 and December 31, 2017, the carrying amount of the Company’s Goodwill was $1,941 million.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Intangible</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Intangible</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Intangible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0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Intangible</w:t>
            </w: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 gross</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net</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 gross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assets, net</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790</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 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Proprietary technology</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 defense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Patented technology — defense</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Tooling rights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September 30, 2018 and December 31, 2017, the net carrying value of the Company’s Goodwill and Other intangible assets, net was $3,028 million and $3,094 million,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7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7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2018 and December 31, 2017, the Company did not have any Level 3 financial assets or liabilities.</w:t>
      </w:r>
    </w:p>
    <w:p>
      <w:pPr>
        <w:spacing w:after="0" w:line="63"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4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7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2018 and December 31, 2017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180" w:type="dxa"/>
            <w:vAlign w:val="bottom"/>
            <w:gridSpan w:val="4"/>
          </w:tcPr>
          <w:p>
            <w:pPr>
              <w:jc w:val="center"/>
              <w:ind w:left="382"/>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3"/>
            <w:vMerge w:val="restart"/>
          </w:tcPr>
          <w:p>
            <w:pPr>
              <w:jc w:val="center"/>
              <w:ind w:left="99"/>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18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0"/>
              </w:rPr>
              <w:t>Assets (Level 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94"/>
              </w:rPr>
              <w:t>Observable Inputs (Level 2)</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36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Rabbi trust assets</w:t>
            </w:r>
          </w:p>
        </w:tc>
        <w:tc>
          <w:tcPr>
            <w:tcW w:w="80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obligation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8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Secured Credit Facility Term B-3 Loan, variable, due 2022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1,148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fixed 5.0%,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fixed 4.75%, due 2027</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financing costs,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September 30, 2018, the Company had $2,522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fair value of the Company’s long-term debt obligations as of September 30, 2018 was $2,526 million. The fair value is based on quoted Level 2 market prices of the Company’s debt as of September 30, 2018. It is not expected that the Company would be able to repurchase all of its debt at these levels. The difference between the fair value and carrying value of the long-term debt is driven primarily by trends in the financial markets.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w:t>
      </w:r>
    </w:p>
    <w:p>
      <w:pPr>
        <w:ind w:right="300"/>
        <w:spacing w:after="0" w:line="261" w:lineRule="auto"/>
        <w:rPr>
          <w:sz w:val="20"/>
          <w:szCs w:val="20"/>
          <w:color w:val="auto"/>
        </w:rPr>
      </w:pPr>
      <w:r>
        <w:rPr>
          <w:rFonts w:ascii="Arial" w:cs="Arial" w:eastAsia="Arial" w:hAnsi="Arial"/>
          <w:sz w:val="18"/>
          <w:szCs w:val="18"/>
          <w:color w:val="auto"/>
        </w:rPr>
        <w:t>1.75% to 1.00% on the Term B-3 Loan. The March 2017 amendment was treated as a modification to the Senior Secured Credit Facility under GAAP, and thus the Company recorded $1 million as new deferred financing fees.</w:t>
      </w:r>
    </w:p>
    <w:p>
      <w:pPr>
        <w:spacing w:after="0" w:line="7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7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March 2018, ATI entered into an amendment with the term loan lenders under its Senior Secured Credit Facility to lower the applicable margins on the Term B-3 Loan by 0.25%. The March 2018 amendment was treated as a modification to the Senior Secured Credit Facility under GAAP, and thus the Company recorded $1 million as new deferred financing fees.</w:t>
      </w:r>
    </w:p>
    <w:p>
      <w:pPr>
        <w:spacing w:after="0" w:line="7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September 30, 2018, is either (a) 1.75% over the LIBOR or (b) 0.75% over the greater of the prime lending rate as quoted by the administrative agent and the federal funds effective rate published by the Federal Reserve Bank of New York plus 0.5%, provided that neither is below 1.00%. As of September 30, 2018, the Company elected to pay the lowest all-in rate of LIBOR plus the applicable margin, or 3.97%,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however, the Company made voluntary prepayments of the required quarterly principal payments of $25 million in May 2018. As of September 30, 2018, there were no payments required for certain net cash proceeds of non-ordinary course asset sales and casualty and condemnation events. The remaining principal balance is due upon maturity.</w:t>
      </w:r>
    </w:p>
    <w:p>
      <w:pPr>
        <w:spacing w:after="0" w:line="6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As of September 30, 2018, the Company had $533 million available under the Revolving Credit Facility, net of $17 million in letters of credit. Revolving Credit Facility borrowings bear interest at a variable base rate plus an applicable margin based on the Company’s total leverage ratio. Interest on the Revolving Credit Facility is either (a) 1.75% over the LIBOR or (b) 0.75% over the greater of the prime lending rate in effect on such day and the federal funds effective rate published by the Federal Reserve Bank of New York plus 0.5%, provided that neither is below 1.75%. In addition, there is an annual commitment fee, based on the Company’s total leverage ratio, on the average unused revolving credit borrowings available under the Revolving Credit Facility. Revolving Credit Facility borrowings are payable at the option of the Company throughout the term of the Senior Secured Credit Facility with the balance due in September 2021.</w:t>
      </w:r>
    </w:p>
    <w:p>
      <w:pPr>
        <w:spacing w:after="0" w:line="8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Senior Secured Credit Facility requires the Company to maintain a specified maximum total senior secured leverage ratio of 5.50x when revolving loan commitments remain outstanding on the Revolving Credit Facility at the end of a fiscal quarter. As of September 30, 2018, the Company had no amounts outstanding under the Revolving Credit Facility; however, the Company would have been in compliance with the maximum total senior secured leverage ratio, achieving a 0.86x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remain in effect as long as the Company achieves a total leverage ratio at or below the related threshold. As of September 30, 2018, the Company’s total leverage ratio was 2.16x.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September 30, 2018, the Company was in compliance with all covenants under the Senior Secured Credit Facility.</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2018, the Company was in compliance with all covenants under the indenture governing the 5.0% Senior Notes.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2018, the Company was in compliance with all covenants under the indenture governing the 4.75% Senior Notes.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the LIBOR to manage a portion of this exposure. The Company is also exposed to financial risk from volatility in commodity prices and manages this risk through the use of commodity swaps, when appropriate. The derivative instruments are not for speculative purposes and are designated either as cash flow hedges or economic hedges.</w:t>
      </w:r>
    </w:p>
    <w:p>
      <w:pPr>
        <w:spacing w:after="0" w:line="7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holds interest rate swaps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other comprehensive income when transactions related to the underlying risk are settled. As of September 30, 2018, the Company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 See NOTE F “Fair Value of Financial Instruments” for information regarding the fair value of the Company’s interest rate swaps.</w:t>
      </w:r>
    </w:p>
    <w:p>
      <w:pPr>
        <w:spacing w:after="0" w:line="5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460" w:type="dxa"/>
            <w:vAlign w:val="bottom"/>
            <w:tcBorders>
              <w:bottom w:val="single" w:sz="8" w:color="auto"/>
            </w:tcBorders>
            <w:gridSpan w:val="2"/>
          </w:tcPr>
          <w:p>
            <w:pPr>
              <w:ind w:left="1800"/>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400" w:type="dxa"/>
            <w:vAlign w:val="bottom"/>
          </w:tcPr>
          <w:p>
            <w:pPr>
              <w:spacing w:after="0"/>
              <w:rPr>
                <w:sz w:val="22"/>
                <w:szCs w:val="22"/>
                <w:color w:val="auto"/>
              </w:rPr>
            </w:pPr>
          </w:p>
        </w:tc>
        <w:tc>
          <w:tcPr>
            <w:tcW w:w="3460" w:type="dxa"/>
            <w:vAlign w:val="bottom"/>
            <w:gridSpan w:val="2"/>
          </w:tcPr>
          <w:p>
            <w:pPr>
              <w:ind w:left="96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1100" w:type="dxa"/>
            <w:vAlign w:val="bottom"/>
          </w:tcPr>
          <w:p>
            <w:pPr>
              <w:jc w:val="right"/>
              <w:ind w:right="256"/>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7"/>
        </w:trPr>
        <w:tc>
          <w:tcPr>
            <w:tcW w:w="5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5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balance of derivative gains recorded in AOCL as of September 30, 2018 was $2 million. See NOTE N “Accumulated Other Comprehensive Loss” for information regarding activity recorded as a component of AOCL during the three and nine months ended September 30, 2018. The Company had no derivative gains recorded in AOCL expected to be reclassified to other comprehensive income within the next twelve months as of September 30,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7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September 30, 2018, current and non-current product warranty liabilities were $26 million and $41 million, respectively. As of September 30, 2017, current and non-current product warranty liabilities were $22 million and $27 million,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6"/>
                <w:szCs w:val="16"/>
                <w:color w:val="auto"/>
              </w:rPr>
            </w:pPr>
          </w:p>
        </w:tc>
      </w:tr>
      <w:tr>
        <w:trPr>
          <w:trHeight w:val="276"/>
        </w:trPr>
        <w:tc>
          <w:tcPr>
            <w:tcW w:w="5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liability (warranty issued during period)</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adjustments to liability</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7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September 30, 2018, current and non-current deferred revenue was $35 million and $89 million, respectively. As of September 30, 2017, current and non-current deferred revenue was $33 million and $75 million,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76"/>
        </w:trPr>
        <w:tc>
          <w:tcPr>
            <w:tcW w:w="5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earned</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Deferred revenue recorded in current and non-current liabilities related to ETC contracts as of September 30, 2018 was $30 million and $73 million, respectively. Deferred revenue recorded in current and non-current liabilities related to ETC contracts as of September 30, 2017 was $29 million and $70 million,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costs</w:t>
            </w:r>
          </w:p>
        </w:tc>
        <w:tc>
          <w:tcPr>
            <w:tcW w:w="4560" w:type="dxa"/>
            <w:vAlign w:val="bottom"/>
            <w:tcBorders>
              <w:bottom w:val="single" w:sz="8" w:color="CCEEFF"/>
            </w:tcBorders>
            <w:gridSpan w:val="2"/>
            <w:shd w:val="clear" w:color="auto" w:fill="CCEEFF"/>
          </w:tcPr>
          <w:p>
            <w:pPr>
              <w:ind w:left="42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4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Vendor buyback obligation</w:t>
            </w:r>
          </w:p>
        </w:tc>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Defense price reduction reserve</w:t>
            </w:r>
          </w:p>
        </w:tc>
        <w:tc>
          <w:tcPr>
            <w:tcW w:w="4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UAW Local 933 retirement incentive</w:t>
            </w:r>
          </w:p>
        </w:tc>
        <w:tc>
          <w:tcPr>
            <w:tcW w:w="4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Non-trade payables</w:t>
            </w:r>
          </w:p>
        </w:tc>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4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240" w:type="dxa"/>
            <w:vAlign w:val="bottom"/>
            <w:vMerge w:val="restart"/>
          </w:tcPr>
          <w:p>
            <w:pPr>
              <w:jc w:val="right"/>
              <w:ind w:right="251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EMPLOYEE BENEFIT PLANS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w w:val="87"/>
              </w:rPr>
              <w:t>Pension Plans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Post-retirement Benefits</w:t>
            </w:r>
          </w:p>
        </w:tc>
      </w:tr>
      <w:tr>
        <w:trPr>
          <w:trHeight w:val="244"/>
        </w:trPr>
        <w:tc>
          <w:tcPr>
            <w:tcW w:w="5160" w:type="dxa"/>
            <w:vAlign w:val="bottom"/>
          </w:tcPr>
          <w:p>
            <w:pPr>
              <w:spacing w:after="0"/>
              <w:rPr>
                <w:sz w:val="21"/>
                <w:szCs w:val="21"/>
                <w:color w:val="auto"/>
              </w:rPr>
            </w:pPr>
          </w:p>
        </w:tc>
        <w:tc>
          <w:tcPr>
            <w:tcW w:w="272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1"/>
              </w:rPr>
              <w:t>Three months ended September 30,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1"/>
              </w:rPr>
              <w:t>Three months ended September 30,</w:t>
            </w:r>
          </w:p>
        </w:tc>
      </w:tr>
      <w:tr>
        <w:trPr>
          <w:trHeight w:val="276"/>
        </w:trPr>
        <w:tc>
          <w:tcPr>
            <w:tcW w:w="5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 (credit)</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88"/>
        </w:trPr>
        <w:tc>
          <w:tcPr>
            <w:tcW w:w="51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w w:val="87"/>
              </w:rPr>
              <w:t>Pension Plans</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Post-retirement Benefits</w:t>
            </w:r>
          </w:p>
        </w:tc>
      </w:tr>
      <w:tr>
        <w:trPr>
          <w:trHeight w:val="244"/>
        </w:trPr>
        <w:tc>
          <w:tcPr>
            <w:tcW w:w="5160" w:type="dxa"/>
            <w:vAlign w:val="bottom"/>
          </w:tcPr>
          <w:p>
            <w:pPr>
              <w:spacing w:after="0"/>
              <w:rPr>
                <w:sz w:val="21"/>
                <w:szCs w:val="21"/>
                <w:color w:val="auto"/>
              </w:rPr>
            </w:pPr>
          </w:p>
        </w:tc>
        <w:tc>
          <w:tcPr>
            <w:tcW w:w="272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0"/>
              </w:rPr>
              <w:t>Nine months ended September 30,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76"/>
        </w:trPr>
        <w:tc>
          <w:tcPr>
            <w:tcW w:w="5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33"/>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 (credit)</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income (expense), net in the Condensed Consolidated Statements of Comprehensive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and nine months ended September 30, 2018, the Company recorded total tax expense of $51 million and $139 million,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effective tax rate for the three and nine months ended September 30, 2018 was 23% and 22%, respectively.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Company recorded total tax expense of $59 million and $154 million, respectively. The effective tax rate for both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was 35%. The decrease in the effective tax rate was principally driven by the U.S. Tax Cuts and Jobs Act enacted into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2017.</w:t>
      </w:r>
    </w:p>
    <w:p>
      <w:pPr>
        <w:spacing w:after="0" w:line="10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2017, the SEC issued Staff Accounting Bulletin No. 118 (“SAB 118”), which provides guidance on accounting for the tax effects of the U.S. Tax Cuts and Jobs Act. The Company recognized the income tax effects of the U.S. Tax Cuts and Jobs Act for the year ended December 31, 2017, the reporting period in which the U.S. Tax Cuts and Jobs Act was signed into law, in accordance with SAB 118. As such, the Company’s financial results reflect the income tax effects of the U.S. Tax Cuts and Jobs Act and provisional amounts for those specific income tax effects of the U.S. Tax Cuts and Jobs Act that could be reasonably estimated. During both the three and nine months ended September 30, 2018, there were no changes made to the provisional amounts recognized in 2017. The Company will continue to analyze the effects of the U.S. Tax Cuts and Jobs Act and any impact on its financial statements will be recorded in the period identified.</w:t>
      </w:r>
    </w:p>
    <w:p>
      <w:pPr>
        <w:spacing w:after="0" w:line="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7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September 30, 2018 and December 31, 2017.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Three months ended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Available-for-</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designated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sale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benefit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for hedge</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pension items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accounting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items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AOCL as of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1"/>
              </w:rPr>
              <w:t>Other comprehensive (loss) income before reclassifications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AOCL as of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AOCL as of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AOCL as of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Available-for-</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designated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sale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benefit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for hedge</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pension items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accounting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items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AOCL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1"/>
              </w:rPr>
              <w:t>Other comprehensive (loss) income before reclassifications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AOCL as of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AOCL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AOCL as of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Amounts reclassified from AOCL</w:t>
            </w:r>
          </w:p>
        </w:tc>
        <w:tc>
          <w:tcPr>
            <w:tcW w:w="35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52"/>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AOCL Components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3"/>
                <w:szCs w:val="13"/>
                <w:color w:val="auto"/>
              </w:rPr>
            </w:pPr>
          </w:p>
        </w:tc>
        <w:tc>
          <w:tcPr>
            <w:tcW w:w="16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3520" w:type="dxa"/>
            <w:vAlign w:val="bottom"/>
            <w:gridSpan w:val="2"/>
          </w:tcPr>
          <w:p>
            <w:pPr>
              <w:jc w:val="center"/>
              <w:ind w:left="20"/>
              <w:spacing w:after="0" w:line="153" w:lineRule="exact"/>
              <w:rPr>
                <w:sz w:val="20"/>
                <w:szCs w:val="20"/>
                <w:color w:val="auto"/>
              </w:rPr>
            </w:pPr>
            <w:r>
              <w:rPr>
                <w:rFonts w:ascii="Arial" w:cs="Arial" w:eastAsia="Arial" w:hAnsi="Arial"/>
                <w:sz w:val="14"/>
                <w:szCs w:val="14"/>
                <w:b w:val="1"/>
                <w:bCs w:val="1"/>
                <w:color w:val="auto"/>
                <w:w w:val="90"/>
              </w:rPr>
              <w:t>Consolidated Statements of Comprehensive</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6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 2017</w:t>
            </w:r>
          </w:p>
        </w:tc>
        <w:tc>
          <w:tcPr>
            <w:tcW w:w="35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benefit items: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1320"/>
              <w:spacing w:after="0"/>
              <w:rPr>
                <w:sz w:val="20"/>
                <w:szCs w:val="20"/>
                <w:color w:val="auto"/>
              </w:rPr>
            </w:pPr>
            <w:r>
              <w:rPr>
                <w:rFonts w:ascii="Arial" w:cs="Arial" w:eastAsia="Arial" w:hAnsi="Arial"/>
                <w:sz w:val="18"/>
                <w:szCs w:val="18"/>
                <w:color w:val="auto"/>
              </w:rPr>
              <w:t>—   Selling, general and administrative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140" w:type="dxa"/>
            <w:vAlign w:val="bottom"/>
            <w:gridSpan w:val="3"/>
          </w:tcPr>
          <w:p>
            <w:pPr>
              <w:ind w:left="1420"/>
              <w:spacing w:after="0"/>
              <w:rPr>
                <w:sz w:val="20"/>
                <w:szCs w:val="20"/>
                <w:color w:val="auto"/>
              </w:rPr>
            </w:pPr>
            <w:r>
              <w:rPr>
                <w:rFonts w:ascii="Arial" w:cs="Arial" w:eastAsia="Arial" w:hAnsi="Arial"/>
                <w:sz w:val="18"/>
                <w:szCs w:val="18"/>
                <w:color w:val="auto"/>
              </w:rPr>
              <w:t>1   Income before income taxes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Amounts reclassified from AOCL</w:t>
            </w:r>
          </w:p>
        </w:tc>
        <w:tc>
          <w:tcPr>
            <w:tcW w:w="3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AOCL Components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3"/>
                <w:szCs w:val="13"/>
                <w:color w:val="auto"/>
              </w:rPr>
            </w:pPr>
          </w:p>
        </w:tc>
        <w:tc>
          <w:tcPr>
            <w:tcW w:w="16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0"/>
              </w:rPr>
              <w:t>Nine months ended</w:t>
            </w:r>
          </w:p>
        </w:tc>
        <w:tc>
          <w:tcPr>
            <w:tcW w:w="35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Consolidated Statements of Comprehensive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6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 2017</w:t>
            </w:r>
          </w:p>
        </w:tc>
        <w:tc>
          <w:tcPr>
            <w:tcW w:w="3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benefit items: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7"/>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3520" w:type="dxa"/>
            <w:vAlign w:val="bottom"/>
            <w:gridSpan w:val="2"/>
          </w:tcPr>
          <w:p>
            <w:pPr>
              <w:ind w:left="1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   Selling, general and administrative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w:t>
            </w:r>
          </w:p>
        </w:tc>
        <w:tc>
          <w:tcPr>
            <w:tcW w:w="352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60" w:firstLine="432"/>
        <w:spacing w:after="0" w:line="277" w:lineRule="auto"/>
        <w:rPr>
          <w:sz w:val="20"/>
          <w:szCs w:val="20"/>
          <w:color w:val="auto"/>
        </w:rPr>
      </w:pPr>
      <w:r>
        <w:rPr>
          <w:rFonts w:ascii="Arial" w:cs="Arial" w:eastAsia="Arial" w:hAnsi="Arial"/>
          <w:sz w:val="18"/>
          <w:szCs w:val="18"/>
          <w:color w:val="auto"/>
        </w:rPr>
        <w:t>Prior service cost is included in the computation of the Company’s net periodic benefit cost. See NOTE L, “Employee Benefit Plans” for additional details.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September 30, 2018, the Company had a liability recorded in the amount of $13 million.</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EARNINGS PER SHARE</w:t>
      </w:r>
    </w:p>
    <w:p>
      <w:pPr>
        <w:spacing w:after="0" w:line="175"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and nine months ended both September 30, 2018 and September 30, 2017, there were no outstanding stock options excluded from the diluted EPS calculation because they were anti-dilutive.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of common stock outstanding</w:t>
            </w:r>
          </w:p>
        </w:tc>
        <w:tc>
          <w:tcPr>
            <w:tcW w:w="9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stock-based awards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w w:val="94"/>
              </w:rPr>
              <w:t>Diluted weighted average shares of common stock outstanding</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80"/>
              <w:spacing w:after="0"/>
              <w:rPr>
                <w:sz w:val="20"/>
                <w:szCs w:val="20"/>
                <w:color w:val="auto"/>
              </w:rPr>
            </w:pPr>
            <w:r>
              <w:rPr>
                <w:rFonts w:ascii="Arial" w:cs="Arial" w:eastAsia="Arial" w:hAnsi="Arial"/>
                <w:sz w:val="18"/>
                <w:szCs w:val="18"/>
                <w:color w:val="auto"/>
                <w:w w:val="94"/>
              </w:rPr>
              <w:t>Diluted earnings per share attributable to common stockholders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980" w:type="dxa"/>
            <w:vAlign w:val="bottom"/>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0"/>
                <w:szCs w:val="20"/>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COMMON STOCK</w:t>
      </w:r>
    </w:p>
    <w:p>
      <w:pPr>
        <w:spacing w:after="0" w:line="175"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The Company’s current stock repurchase program was announced on November 14, 2016 when the Board of Directors authorized the Company to repurchase up to $1,000 million of its common stock on the open market or through privately negotiated transactions through December 31, 2019. On November 8, 2017, the Board of Directors authorized the Company to repurchase an additional $500 million of its common stock, and on July 30, 2018, the Board of Directors authorized the Company to repurchase an additional $500 million of its common stock, bringing the total amount authorized under the current stock repurchase program to $2,000 million. Also on July 30, 2018, the Board of Directors removed the termination date of the stock repurchase program. The timing and amount of stock purchases are subject to market conditions and corporate needs. This stock repurchase program may be modified, suspended or discontinued at any time at the Company’s discretion. During the three and nine months ended September 30, 2018, the Company repurchased $86 million and $456 million, respectively, of its common stock under the repurchase program, leaving $598 million of authorized repurchases remaining under the current stock repurchase program as of September 30, 2018.</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CERTAIN RELATIONSHIPS AND RELATED PARTY TRANSACTIONS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Repurchase of Common Stock held by ValueAct Capital Master Fund</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125" w:right="4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20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Allison Transmission Holdings, Inc. and its subsidiaries (“Allison”, “our” or “we”)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79% of revenues were generated in North America in 2017, we have a global presence by serving customers in Europe, Asia, South America and Africa. We serve customers through a network of approximately 1,400 independent distributor and dealer locations worldwide.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75"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Our net sales are driven by commercial vehicle production, which tends to be highly correlated to macroeconomic conditions. In 2018, we expect increased demand for global on-highway products and global off-highway products and price increases on certain products.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Third Quarter Net Sales by End Market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End Market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Q3 2018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Q3 2017</w:t>
            </w:r>
          </w:p>
        </w:tc>
        <w:tc>
          <w:tcPr>
            <w:tcW w:w="120" w:type="dxa"/>
            <w:vAlign w:val="bottom"/>
          </w:tcPr>
          <w:p>
            <w:pPr>
              <w:spacing w:after="0"/>
              <w:rPr>
                <w:sz w:val="14"/>
                <w:szCs w:val="14"/>
                <w:color w:val="auto"/>
              </w:rPr>
            </w:pPr>
          </w:p>
        </w:tc>
        <w:tc>
          <w:tcPr>
            <w:tcW w:w="16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92"/>
        </w:trPr>
        <w:tc>
          <w:tcPr>
            <w:tcW w:w="66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692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North America On-Highway end market net sales are inclusive of net sales for North America Electric Hybrid-Propulsion Systems for Transit 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-98425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9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North America On-Highway end market net sales were up 10% for the third quarter 2018 compared to the third quarter 2017, principally driven by higher demand for Rugged Duty Series models.</w:t>
      </w:r>
    </w:p>
    <w:p>
      <w:pPr>
        <w:spacing w:after="0" w:line="6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North America Off-Highway end market net sales were down $5 million for the third quarter 2018 compared to the third quarter 2017, principally driven by lower demand from hydraulic fracturing applications.</w:t>
      </w:r>
    </w:p>
    <w:p>
      <w:pPr>
        <w:spacing w:after="0" w:line="6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Defense end market net sales were up 20% for the third quarter 2018 compared to the third quarter 2017, principally driven by higher Tracked and Wheeled demand.</w:t>
      </w:r>
    </w:p>
    <w:p>
      <w:pPr>
        <w:spacing w:after="0" w:line="6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Outside North America On-Highway end market net sales were up 8% for the third quarter 2018 compared to the third quarter 2017, principally driven by higher demand in Asia.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Outside North America Off-Highway end market net sales were up $32 million for the third quarter 2018 compared to the third quarter 2017, principally driven by higher demand in the energy, mining and construction sectors.</w:t>
      </w:r>
    </w:p>
    <w:p>
      <w:pPr>
        <w:spacing w:after="0" w:line="62"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Service Parts, Support Equipment and Other end market net sales were up 18% for the third quarter 2018 compared to the third quarter 2017, principally driven by higher demand for North America service parts and global support equipment.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and foreign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2018, direct material costs were approximately 71%, overhead costs were approximately 23%, and direct labor costs were approximately 6% of total cost of sales. We are subject to changes in our cost of sales caused by movements in underlying commodity prices. We seek to hedge against this risk by using long-term supply agreements (“LTSAs”), as appropriate. See Part I, Item 3 “Quantitative and Qualitative Disclosures about Market Risk—Commodity Price Risk” included below.</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the earnings before interest expense, income tax expense, amortization of intangible assets, depreciation of property, plant and equipment and other adjustments as defined by Allison Transmission, Inc.’s (“ATI”), our wholly-owned subsidiary, Term B-3 Loan due 2022 (“Term B-3 Loan”, and together with the revolving portion of ATI’s senior secured credit facility (“Revolving Credit Facility”), defined as the “Senior Secured Credit Facility”). Adjusted EBITDA as a percent of net sales is calculated as Adjusted EBITDA divided by net sales.</w:t>
      </w:r>
    </w:p>
    <w:p>
      <w:pPr>
        <w:spacing w:after="0" w:line="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 dollars in millions)</w:t>
            </w: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78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1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 (a)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UAW Local 933 retirement incentive (b)</w:t>
            </w:r>
          </w:p>
        </w:tc>
        <w:tc>
          <w:tcPr>
            <w:tcW w:w="14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foreign exchange (c)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Technology-related investment expense (d)</w:t>
            </w:r>
          </w:p>
        </w:tc>
        <w:tc>
          <w:tcPr>
            <w:tcW w:w="14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Dual power inverter module units extended coverage (e)</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295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867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658</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as a percent of net sales (GAAP)</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492</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 to reconcile to Adjusted free cash flow:</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Additions of long-lived assets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free cash flow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452</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420" w:hanging="316"/>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Cost of sales) related to a retirement incentive program for certain employees represented by the International Union, United Automobile, Aerospace and Agricultural Implementation Workers of America ("UAW") pursuant to the UAW Local 933 collective bargaining agreement effective through November 2023.</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related to investments in plant assets for our India facility.</w:t>
      </w:r>
    </w:p>
    <w:p>
      <w:pPr>
        <w:ind w:left="540" w:right="1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Other income (expense), net) for investments in co-development agreements to expand our position in transmission technologies.</w:t>
      </w:r>
    </w:p>
    <w:p>
      <w:pPr>
        <w:ind w:left="540" w:right="480" w:hanging="316"/>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three months ended September 30, 2018 and 2017</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2018 and 2017. The following table and discussion should be read in conjunction with the information contained in our condensed consolidated financial statements and the notes thereto included in Part I, Item 1 of this Quarterly Report on Form 10-Q.</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600" w:type="dxa"/>
            <w:vAlign w:val="bottom"/>
          </w:tcPr>
          <w:p>
            <w:pPr>
              <w:jc w:val="right"/>
              <w:ind w:right="65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580" w:type="dxa"/>
            <w:vAlign w:val="bottom"/>
          </w:tcPr>
          <w:p>
            <w:pPr>
              <w:jc w:val="right"/>
              <w:ind w:right="63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of net sales</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of net sales</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Net sales for the quarter ended September 30, 2018 were $692 million compared to $595 million for the quarter ended September 30, 2017, an increase of 16%. The increase was principally driven by a $32 million increase in net sales in the Outside North America Off-Highway end market principally driven by higher demand in the energy, mining and construction sectors; a $31 million, or 10%, increase in net sales in the North America On-Highway end market principally driven by higher demand for Rugged Duty Series models; a $25 million, or 18%, increase in net sales in the Service Parts, Support Equipment and Other end market principally driven by higher demand for North America service parts and Global support equipment; a $7 million, or 8%, increase in net sales in the Outside North America On-Highway end market principally driven by higher demand in Asia; and a $7 million, or 20%, increase in net sales in the Defense end market principally driven by higher Tracked and Wheeled demand, partially offset by a $5 million, or 29%, decrease in net sales in the North America Off-Highway end market principally driven by lower demand from hydraulic fracturing applications.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Cost of sales for the quarter ended September 30, 2018 was $324 million compared to $293 million for the quarter ended September 30, 2017, an increase of 11%. The increase was principally driven by increased direct material costs and manufacturing expenses commensurate with increased net sales, partially offset by favorable material costs.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40" w:firstLine="432"/>
        <w:spacing w:after="0" w:line="291" w:lineRule="auto"/>
        <w:rPr>
          <w:sz w:val="20"/>
          <w:szCs w:val="20"/>
          <w:color w:val="auto"/>
        </w:rPr>
      </w:pPr>
      <w:r>
        <w:rPr>
          <w:rFonts w:ascii="Arial" w:cs="Arial" w:eastAsia="Arial" w:hAnsi="Arial"/>
          <w:sz w:val="16"/>
          <w:szCs w:val="16"/>
          <w:color w:val="auto"/>
        </w:rPr>
        <w:t>Gross profit for the quarter ended September 30, 2018 was $368 million compared to $302 million for the quarter ended September 30, 2017, an increase of 22%. The increase was principally driven by $56 million related to increased net sales, $11 million of price increases on certain products and</w:t>
      </w:r>
    </w:p>
    <w:p>
      <w:pPr>
        <w:ind w:right="60"/>
        <w:spacing w:after="0" w:line="255" w:lineRule="auto"/>
        <w:rPr>
          <w:sz w:val="20"/>
          <w:szCs w:val="20"/>
          <w:color w:val="auto"/>
        </w:rPr>
      </w:pPr>
      <w:r>
        <w:rPr>
          <w:rFonts w:ascii="Arial" w:cs="Arial" w:eastAsia="Arial" w:hAnsi="Arial"/>
          <w:sz w:val="18"/>
          <w:szCs w:val="18"/>
          <w:color w:val="auto"/>
        </w:rPr>
        <w:t>$2 million of favorable material costs, partially offset by $3 million of higher manufacturing expenses commensurate with increased net sales. Gross profit as a percent of net sales for the three months ended September 30, 2018 increased 240 basis points compared to the same period in 2017 principally driven by increased net sales, price increases on certain products and favorable material costs.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Selling, general and administrative expenses for the quarter ended September 30, 2018 were $89 million compared to $78 million for the quarter ended September 30, 2017, an increase of 14%. The increase was principally driven by $4 million of higher product warranty expense commensurate with increased net sales, $3 million of favorable DPIM extended coverage adjustments in 2017 that did not recur in 2018, $2 million of favorable 2017 product warranty adjustments that did not recur in 2018, increased commercial activities spending and $1 million of higher stock compensation expense, partially offset by $1 million of favorable product warranty adjustments.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Engineering expenses for the quarter ended September 30, 2018 were $33 million compared to $26 million for the quarter ended September 30, 2017, an increase of 27%. The increase was principally driven by increased product initiatives spending.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Interest expense, net for the quarter ended September 30, 2018 was $30 million compared to $26 million for the quarter ended September 30, 2017, an increase of 15%. The increase was principally driven by $4 million of higher interest expense for ATI’s 4.75% Senior Notes due October 2027 (“4.75% Senior Notes”) that were issued in September 2017.</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income (expense), net for the quarter ended September 30, 2018 was $2 million compared to ($2) million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The change was principally driven by $3 million of credits related to post-retirement benefit plan amendments.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Income tax expense for the three months ended September 30, 2018 was $51 million, resulting in an effective tax rate of 23%, compared to $59 million of income tax expense and an effective tax rate of 35% for the three months ended September 30, 2017. The decrease in the effective tax rate was principally driven by the U.S. Tax Cuts and Jobs Act enacted into law in December 2017.</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2018 and 2017</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2018 and 2017. The following table and discussion should be read in conjunction with the information contained in our condensed consolidated financial statements and the notes thereto included in Part I, Item 1 of this Quarterly Report on Form 10-Q.</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0" w:type="dxa"/>
            <w:vAlign w:val="bottom"/>
          </w:tcPr>
          <w:p>
            <w:pPr>
              <w:jc w:val="right"/>
              <w:ind w:right="634"/>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580" w:type="dxa"/>
            <w:vAlign w:val="bottom"/>
          </w:tcPr>
          <w:p>
            <w:pPr>
              <w:jc w:val="right"/>
              <w:ind w:right="63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of net sales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of net sales</w:t>
            </w: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982</w:t>
            </w:r>
          </w:p>
        </w:tc>
        <w:tc>
          <w:tcPr>
            <w:tcW w:w="10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Net sales for the nine months ended September 30, 2018 were $2,066 million compared to $1,674 million for the nine months ended September 30, 2017, an increase of 23%. The increase was principally driven by a $124 million, or 14%, increase in net sales in the North America On-Highway end market principally driven by higher demand for Rugged Duty Series models; a $91 million, or 23%, increase in net sales in the Service Parts, Support Equipment and Other end market principally driven by higher demand for Global service parts and support equipment; a $53 million increase in net sales in the North America Off-Highway end market principally driven by higher demand from hydraulic fracturing applications; a $52 million increase in net sales in the Outside North America Off-Highway end market principally driven by higher demand in the energy, mining and construction sectors; a $42 million, or 17%, increase in net sales in the Outside North America On-Highway end market principally driven by higher demand in Asia and Europe; and a $30 million, or 33%, increase in net sales in the Defense end market principally driven by higher Tracked and Wheeled demand.</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340" w:firstLine="432"/>
        <w:spacing w:after="0" w:line="312" w:lineRule="auto"/>
        <w:rPr>
          <w:sz w:val="20"/>
          <w:szCs w:val="20"/>
          <w:color w:val="auto"/>
        </w:rPr>
      </w:pPr>
      <w:r>
        <w:rPr>
          <w:rFonts w:ascii="Arial" w:cs="Arial" w:eastAsia="Arial" w:hAnsi="Arial"/>
          <w:sz w:val="16"/>
          <w:szCs w:val="16"/>
          <w:color w:val="auto"/>
        </w:rPr>
        <w:t>Cost of sales for the nine months ended September 30, 2018 was $982 million compared to $831 million for the nine months ended September 30, 2017, an increase of 18%. The increase was principally driven by increased direct material and manufacturing expenses commensurate with increased net sales, expenses of $7 million related to a retirement incentive program for certain UAW Local 933 employees and unfavorable material costs.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Gross profit for the nine months ended September 30, 2018 was $1,084 million compared to $843 million for the nine months ended September 30, 2017, an increase of 29%. The increase was principally driven by $244 million related to increased net sales and $22 million of price increases on certain products, partially offset by $15 million of higher manufacturing expenses commensurate with increased net sales, expenses of $7 million due to a retirement incentive program for certain UAW Local 933 employees, and $4 million of unfavorable material costs. Gross profit as a percent of net sales for the nine months ended September 30, 2018 increased 210 basis points compared to the same period in 2017 principally driven by increased net sales and price increases on certain products, partially offset by expenses for the retirement incentive program and unfavorable material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Selling, general and administrative expenses for the nine months ended September 30, 2018 were $274 million compared to $245 million for the nine months ended September 30, 2017, an increase of 12%. The increase was principally driven by $17 million of higher product warranty expense commensurate with increased net sales, $7 million of unfavorable product warranty adjustments, $4 million of favorable 2017 product warranty adjustments that did not recur in 2018 and increased commercial activities spending, partially offset by $4 million of lower incentive compensation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960" w:firstLine="432"/>
        <w:spacing w:after="0" w:line="308" w:lineRule="auto"/>
        <w:rPr>
          <w:sz w:val="20"/>
          <w:szCs w:val="20"/>
          <w:color w:val="auto"/>
        </w:rPr>
      </w:pPr>
      <w:r>
        <w:rPr>
          <w:rFonts w:ascii="Arial" w:cs="Arial" w:eastAsia="Arial" w:hAnsi="Arial"/>
          <w:sz w:val="17"/>
          <w:szCs w:val="17"/>
          <w:color w:val="auto"/>
        </w:rPr>
        <w:t>Engineering expenses for the nine months ended September 30, 2018 were $94 million compared to $74 million for the nine months ended September 30, 2017, an increase of 27%. The increase was principally driven by increased product initiatives spending.</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Interest expense, net for the nine months ended September 30, 2018 was $90 million compared to $78 million for the nine months ended September 30, 2017, an increase of 15%. The increase was principally driven by $14 million of higher interest expense for ATI’s 4.75% Senior Notes that were issued in September 2017 and $4 million of higher interest expense on ATI's Term B-3 Loan principally driven by higher interest rates, partially offset by $4 million of interest expense on revolving loan balances in 2017 that did not recur in 2018 and $2 million of 2017 interest expense that did not recur in 2018 for our interest rate derivatives that were terminated in December 2017.</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Other income (expense), net for the nine months ended September 30, 2018 was $5 million compared to ($3) million for the nine months ended September 30, 2017. The change was principally driven by $9 million of credits related to post-retirement benefit plan amendments, $3 million of 2017 technology-related investment expense for investments in co-development agreements to expand our position in transmission technologies that did not recur in 2018 and $2 million of favorable foreign exchange, partially offset by $4 million of unfavorable foreign exchange on intercompany financing and $1 million of lower gains on commodity hedging.</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expense for the nine months ended September 30, 2018 was $139 million resulting in an effective tax rate of 22%, compared to</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$154 million of income tax expense and an effective tax rate of 35% for the nine months ended September 30, 2017. The decrease in the effective tax rate was principally driven by the U.S. Tax Cuts and Jobs Act enacted into law in December 2017.</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$221 million and $199 million as of September 30, 2018 and December 31, 2017, respectively. Of the available cash and cash equivalents, $171 million and $149 million was deposited in operating accounts as of September 30, 2018 and December 31, 2017, respectively, while $50 million was invested in U.S. government backed securities as of both September 30, 2018 and December 31, 2017.</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September 30, 2018, the total of cash and cash equivalents held by foreign subsidiaries was $52 million, the majority of which was located in Europe and China.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expectations or operating needs with local resources.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we distribute our foreign cash balances to the U.S. or to other foreign subsidiaries, we could be required to accrue and pay taxes. As a result of the U.S. Tax Cuts and Jobs Act, we recorded a charge of $5 million in 2017 for the one-time repatriation tax to be paid to the U.S. Government. We also recorded a deferred tax liability of $2 million in 2017 for the tax liability associated with the remittance of previously taxed income and unremitted earnings for our subsidiaries located in China.</w:t>
      </w:r>
    </w:p>
    <w:p>
      <w:pPr>
        <w:spacing w:after="0" w:line="7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liquidity requirements are significant, primarily due to our debt service requirements. As of September 30, 2018, we had $1,148 million of indebtedness associated with ATI’s Term B-3 Loan, $1,000 million of indebtedness associated with ATI’s 5.0% Senior Notes due 2024 (“5.0% Senior Notes”) and $400 million of indebtedness associated with ATI’s 4.75% Senior Notes. The minimum required quarterly principal payment on ATI’s Term B-3 Loan through its maturity date of September 2022 is $3 million; however, we made voluntary prepayments of the required quarterly principal payments of $25 million in May 2018. There are no required quarterly principal payments on ATI’s 5.0% Senior Notes and 4.75% Senior Notes.</w:t>
      </w:r>
    </w:p>
    <w:p>
      <w:pPr>
        <w:spacing w:after="0" w:line="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no principal payments and $28 million of principal payments on the Senior Secured Credit Facility during the three and nine months ended September 30, 2018, respectively. We made principal payments of $293 million and $424 million on the Senior Secured Credit Facility during the three and nine months ended September 30, 2017, respectively.</w:t>
      </w:r>
    </w:p>
    <w:p>
      <w:pPr>
        <w:spacing w:after="0" w:line="80"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The Senior Secured Credit Facility provides for a $550 million Revolving Credit Facility, net of an allowance for up to $75 million in outstanding letters of credit commitments. As of September 30, 2018, we had $533 million available under the Revolving Credit Facility, net of $17 million in letters of credit. As of September 30, 2018, we had no amounts outstanding under the Revolving Credit Facility. If we have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September 30, 2018, our senior secured leverage ratio was</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0.86x.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remain in effect as long as we achieve a total leverage ratio at or below the related threshold. As of September 30, 2018, our total leverage ratio was 2.16x.</w:t>
      </w:r>
    </w:p>
    <w:p>
      <w:pPr>
        <w:spacing w:after="0" w:line="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addition, the Senior Secured Credit Facility includes, among other things, customary restrictions (subject to certain exceptions) on our ability to incur certain indebtedness, grant certain liens, make certain investments, declare or pay certain dividends, and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2018, we are in compliance with all covenants under the Senior Secured Credit Facility and indentures governing the 5.0% Senior Notes and 4.75% Senior Notes.</w:t>
      </w:r>
    </w:p>
    <w:p>
      <w:pPr>
        <w:spacing w:after="0" w:line="70"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Our credit ratings are reviewed by Moody’s Investors Service (“Moody’s”) and Fitch Ratings (“Fitch”). Moody’s rates our corporate credit at ‘Ba2’, Term B-3 Loan at ‘Baa3’, 5.0% Senior Notes at ‘Ba3’ and 4.75% Senior Notes at ‘Ba3’. Fitch rates our corporate credit at ‘BB’, Term B-3 Loan at ‘BB+’, 5.0% Senior Notes at ‘BB’ and 4.75% Senior Notes at ‘BB’.</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November 14, 2016, our Board of Directors authorized us to purchase up to $1,000 million of our common stock under a stock repurchase program. On November 8, 2017 our Board of Directors increased the authorization by $500 million, and on July 30, 2018 our Board of Directors increased the authorization by an additional $500 million, bringing the total amount authorized to $2,000 million. For the three and nine months ended September 30, 2018, we repurchased $86 million and $456 million, respectively, of our common stock under the repurchase program. As of September 30, 2018, we had $598 million available under the repurchase program.</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2018 and 2017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980" w:type="dxa"/>
            <w:vAlign w:val="bottom"/>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w:t>
            </w:r>
          </w:p>
        </w:tc>
      </w:tr>
      <w:tr>
        <w:trPr>
          <w:trHeight w:val="27"/>
        </w:trPr>
        <w:tc>
          <w:tcPr>
            <w:tcW w:w="8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Operating activities for the nine months ended September 30, 2018 generated $605 million of cash compared to $492 million for the nine months ended September 30, 2017. The increase was principally driven by increased gross profit and decreased cash interest expense, partially offset by higher operating working capital requirements, increased product initiatives spending, increased cash income taxes, increased incentive compensation payments and increased defined benefit pension plans funding payments.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Investing activities for the nine months ended September 30, 2018 used $52 million of cash compared to $43 million for the nine months ended September 30, 2017. The increase was principally driven by an increase of $12 million in capital expenditures, partially offset by $3 million of decreased spending on technology related investments. The increase in capital expenditures was principally driven by intra-year movement in the timing of spending related to investments in productivity and replacement programs.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Financing activities for the nine months ended September 30, 2018 used $529 million of cash compared to $447 million for the nine months ended September 30, 2017. The increase was principally driven by $400 million of net debt borrowings in 2017 that did not recur in 2018 and $19 million of increased payments on long-term debt, partially offset by $322 million of decreased stock repurchases, $7 million of decreased dividend payments and $7 million of increased proceeds from stock issued upon the exercise of stock options.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O, “Commitments and Contingencies” of our condensed consolidated financial statements included in Part I, Item 1 of this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in our Annual Report on Form 10-K for the year ended December 31, 2017 as filed with the Securities and Exchange Commission on February 15, 2018.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nine months ended September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uncertainty in the global regulatory and business environments in which we operate; the failure of markets outside North America to increase adoption of fully-automatic transmissions; the concentration of our net sales in our top five customers and the loss of any one of these; our ability to prepare for, respond to and successfully achieve our objectives relating to technological and market developments, competitive threats and changing customer needs; U.S. and foreign defense spending; general economic and industry conditions; increases in cost, disruption of supply or shortage of raw materials or components used in our products;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future reductions or changes in government subsidies for hybrid vehicles and other external factors impacting demand; labor strikes, work stoppages or similar labor disputes, which could significantly disrupt our operations or those of our principal customers; and our intention to pay dividends and repurchase shares of our common stock.</w:t>
      </w:r>
    </w:p>
    <w:p>
      <w:pPr>
        <w:spacing w:after="0" w:line="6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2017 as filed with the Securities and Exchange Commission on February 15, 2018.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$1,681 million including $533 million under our Revolving Credit Facility, net of $17 million of letters of credit. A one-eighth percent increase or decrease in assumed interest rates for the Senior Secured Credit Facility, if fully drawn, as of September 30, 2018 would have an impact of approximately $2 million on interest expense. As of September 30, 2018, we had no outstanding borrowings under our Revolving Credit Facility.</w:t>
      </w:r>
    </w:p>
    <w:p>
      <w:pPr>
        <w:spacing w:after="0" w:line="64"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From time to time, we enter into interest rate swap agreements to hedge our variable interest rate debt. As of September 30, 2018, we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Japanese Yen, Euro, Indian Rupee, Brazilian Real, Chinese Yuan Renminbi, Canadian Dollar and Hungarian Forint. The expansion of our business outside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 America may further increase the risk that cash flows resulting from these activities may be adversely affected by changes in currency exchange rates.</w:t>
      </w:r>
    </w:p>
    <w:p>
      <w:pPr>
        <w:spacing w:after="0" w:line="12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$7 million per year. We believe other exposure to foreign currencies is immaterial.</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2018 and 2019, as of September 30, 2018, the hedge contracts cover zero and approximately 9% of our aluminum requirements, respectively. We do not hold financial instruments for trading or speculative purposes.</w:t>
      </w:r>
    </w:p>
    <w:p>
      <w:pPr>
        <w:spacing w:after="0" w:line="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$4 million and $7 million per year, respectively.</w:t>
      </w:r>
    </w:p>
    <w:p>
      <w:pPr>
        <w:spacing w:after="0" w:line="6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O, “Commitments and Contingencies” in the notes to the condensed consolidated financial statements included in Part I, Item 1 of this Quarterly Report on Form 10-Q.</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2017 as filed with the Securities and Exchange Commission on February 15,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Under Plans(1)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July 31, 2018</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1,586,850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1,586,850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618,642,765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August 1 – August 31, 2018</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442,102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18"/>
                <w:szCs w:val="18"/>
                <w:color w:val="auto"/>
              </w:rPr>
              <w:t>442,102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597,715,314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September 30, 2018</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597,715,314</w:t>
            </w:r>
          </w:p>
        </w:tc>
        <w:tc>
          <w:tcPr>
            <w:tcW w:w="0" w:type="dxa"/>
            <w:vAlign w:val="bottom"/>
          </w:tcPr>
          <w:p>
            <w:pPr>
              <w:spacing w:after="0"/>
              <w:rPr>
                <w:sz w:val="1"/>
                <w:szCs w:val="1"/>
                <w:color w:val="auto"/>
              </w:rPr>
            </w:pP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2,028,952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2,028,952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40" w:right="600" w:hanging="316"/>
        <w:spacing w:after="0" w:line="26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repurchases made under the stock repurchase program approved by the Board of Directors on November 14, 2016 and the increases approved by the Board of Directors on November 8, 2017 and July 30, 2018, which, in the aggregate, authorized total repurchases of $2,000 million. The stock repurchase program has no termination date.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auto"/>
              </w:rPr>
              <w:t>Item 6.</w:t>
            </w:r>
          </w:p>
        </w:tc>
        <w:tc>
          <w:tcPr>
            <w:tcW w:w="788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152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58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Number</w:t>
            </w:r>
          </w:p>
        </w:tc>
        <w:tc>
          <w:tcPr>
            <w:tcW w:w="2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23"/>
        </w:trPr>
        <w:tc>
          <w:tcPr>
            <w:tcW w:w="50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80" w:type="dxa"/>
            <w:vAlign w:val="bottom"/>
            <w:gridSpan w:val="6"/>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Certification of Chief Executive Officer pursuant to Rule 13a-14(a)/15d-14(a) as adopted pursuant to Section</w:t>
              </w:r>
            </w:hyperlink>
          </w:p>
        </w:tc>
        <w:tc>
          <w:tcPr>
            <w:tcW w:w="1940" w:type="dxa"/>
            <w:vAlign w:val="bottom"/>
            <w:gridSpan w:val="3"/>
          </w:tcPr>
          <w:p>
            <w:pPr>
              <w:ind w:left="60"/>
              <w:spacing w:after="0"/>
              <w:rPr>
                <w:rFonts w:ascii="Arial" w:cs="Arial" w:eastAsia="Arial" w:hAnsi="Arial"/>
                <w:sz w:val="18"/>
                <w:szCs w:val="18"/>
                <w:color w:val="0000FF"/>
              </w:rPr>
            </w:pPr>
            <w:hyperlink w:anchor="page36">
              <w:r>
                <w:rPr>
                  <w:rFonts w:ascii="Arial" w:cs="Arial" w:eastAsia="Arial" w:hAnsi="Arial"/>
                  <w:sz w:val="18"/>
                  <w:szCs w:val="18"/>
                  <w:color w:val="0000FF"/>
                </w:rPr>
                <w:t>302 of the Sarbanes-</w:t>
              </w:r>
            </w:hyperlink>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36">
              <w:r>
                <w:rPr>
                  <w:rFonts w:ascii="Arial" w:cs="Arial" w:eastAsia="Arial" w:hAnsi="Arial"/>
                  <w:sz w:val="18"/>
                  <w:szCs w:val="18"/>
                  <w:color w:val="0000FF"/>
                  <w:w w:val="94"/>
                </w:rPr>
                <w:t>Oxley Act of 2002 (filed herewith)</w:t>
              </w:r>
            </w:hyperlink>
          </w:p>
        </w:tc>
        <w:tc>
          <w:tcPr>
            <w:tcW w:w="5360" w:type="dxa"/>
            <w:vAlign w:val="bottom"/>
            <w:tcBorders>
              <w:top w:val="single" w:sz="8" w:color="0000FF"/>
            </w:tcBorders>
            <w:gridSpan w:val="4"/>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50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Chief Financial Officer pursuant to Rule 13a-14(a)/15d-14(a) as adopted pursuant to Section</w:t>
              </w:r>
            </w:hyperlink>
          </w:p>
        </w:tc>
        <w:tc>
          <w:tcPr>
            <w:tcW w:w="194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302 of the Sarbanes-Oxley</w:t>
              </w:r>
            </w:hyperlink>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Borders>
              <w:bottom w:val="single" w:sz="8" w:color="0000FF"/>
            </w:tcBorders>
          </w:tcPr>
          <w:p>
            <w:pPr>
              <w:spacing w:after="0" w:line="196" w:lineRule="exact"/>
              <w:rPr>
                <w:rFonts w:ascii="Arial" w:cs="Arial" w:eastAsia="Arial" w:hAnsi="Arial"/>
                <w:sz w:val="18"/>
                <w:szCs w:val="18"/>
                <w:color w:val="0000FF"/>
                <w:w w:val="94"/>
              </w:rPr>
            </w:pPr>
            <w:hyperlink w:anchor="page37">
              <w:r>
                <w:rPr>
                  <w:rFonts w:ascii="Arial" w:cs="Arial" w:eastAsia="Arial" w:hAnsi="Arial"/>
                  <w:sz w:val="18"/>
                  <w:szCs w:val="18"/>
                  <w:color w:val="0000FF"/>
                  <w:w w:val="94"/>
                </w:rPr>
                <w:t>Act of 2002 (filed herewith)</w:t>
              </w:r>
            </w:hyperlink>
          </w:p>
        </w:tc>
        <w:tc>
          <w:tcPr>
            <w:tcW w:w="584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50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20" w:type="dxa"/>
            <w:vAlign w:val="bottom"/>
            <w:gridSpan w:val="9"/>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Periodic Report by Chief Executive Officer and Chief Financial Officer pursuant to 18 U.S.C. Section 1350, as adopted</w:t>
              </w:r>
            </w:hyperlink>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w:anchor="page38">
              <w:r>
                <w:rPr>
                  <w:rFonts w:ascii="Arial" w:cs="Arial" w:eastAsia="Arial" w:hAnsi="Arial"/>
                  <w:sz w:val="18"/>
                  <w:szCs w:val="18"/>
                  <w:color w:val="0000FF"/>
                  <w:w w:val="92"/>
                </w:rPr>
                <w:t>pursuant to Section 906 of the Sarbanes-Oxley Act of 2002 (filed herewith)</w:t>
              </w:r>
            </w:hyperlink>
          </w:p>
        </w:tc>
        <w:tc>
          <w:tcPr>
            <w:tcW w:w="240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291"/>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648"/>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80" w:type="dxa"/>
            <w:vAlign w:val="bottom"/>
            <w:gridSpan w:val="3"/>
          </w:tcPr>
          <w:p>
            <w:pPr>
              <w:ind w:left="4100"/>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ALLISON TRANSMISSION HOLDINGS, INC.</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Date: October 30, 2018</w:t>
            </w:r>
          </w:p>
        </w:tc>
        <w:tc>
          <w:tcPr>
            <w:tcW w:w="1400" w:type="dxa"/>
            <w:vAlign w:val="bottom"/>
          </w:tcPr>
          <w:p>
            <w:pPr>
              <w:ind w:left="1000"/>
              <w:spacing w:after="0"/>
              <w:rPr>
                <w:sz w:val="20"/>
                <w:szCs w:val="20"/>
                <w:color w:val="auto"/>
              </w:rPr>
            </w:pPr>
            <w:r>
              <w:rPr>
                <w:rFonts w:ascii="Arial" w:cs="Arial" w:eastAsia="Arial" w:hAnsi="Arial"/>
                <w:sz w:val="18"/>
                <w:szCs w:val="18"/>
                <w:color w:val="auto"/>
              </w:rPr>
              <w:t>By:</w:t>
            </w:r>
          </w:p>
        </w:tc>
        <w:tc>
          <w:tcPr>
            <w:tcW w:w="1800" w:type="dxa"/>
            <w:vAlign w:val="bottom"/>
          </w:tcPr>
          <w:p>
            <w:pPr>
              <w:ind w:left="20"/>
              <w:spacing w:after="0"/>
              <w:rPr>
                <w:sz w:val="20"/>
                <w:szCs w:val="20"/>
                <w:color w:val="auto"/>
              </w:rPr>
            </w:pPr>
            <w:r>
              <w:rPr>
                <w:rFonts w:ascii="Arial" w:cs="Arial" w:eastAsia="Arial" w:hAnsi="Arial"/>
                <w:sz w:val="18"/>
                <w:szCs w:val="18"/>
                <w:color w:val="auto"/>
              </w:rPr>
              <w:t>/s/ David S. Graziosi</w:t>
            </w:r>
          </w:p>
        </w:tc>
        <w:tc>
          <w:tcPr>
            <w:tcW w:w="49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Name:</w:t>
            </w:r>
          </w:p>
        </w:tc>
        <w:tc>
          <w:tcPr>
            <w:tcW w:w="4920" w:type="dxa"/>
            <w:vAlign w:val="bottom"/>
          </w:tcPr>
          <w:p>
            <w:pPr>
              <w:ind w:left="60"/>
              <w:spacing w:after="0"/>
              <w:rPr>
                <w:sz w:val="20"/>
                <w:szCs w:val="20"/>
                <w:color w:val="auto"/>
              </w:rPr>
            </w:pPr>
            <w:r>
              <w:rPr>
                <w:rFonts w:ascii="Arial" w:cs="Arial" w:eastAsia="Arial" w:hAnsi="Arial"/>
                <w:sz w:val="18"/>
                <w:szCs w:val="18"/>
                <w:color w:val="auto"/>
              </w:rPr>
              <w:t>David S. Graziosi</w:t>
            </w:r>
          </w:p>
        </w:tc>
      </w:tr>
      <w:tr>
        <w:trPr>
          <w:trHeight w:val="256"/>
        </w:trPr>
        <w:tc>
          <w:tcPr>
            <w:tcW w:w="2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Title:</w:t>
            </w:r>
          </w:p>
        </w:tc>
        <w:tc>
          <w:tcPr>
            <w:tcW w:w="492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Date: October 30, 2018</w:t>
            </w:r>
          </w:p>
        </w:tc>
        <w:tc>
          <w:tcPr>
            <w:tcW w:w="1400" w:type="dxa"/>
            <w:vAlign w:val="bottom"/>
          </w:tcPr>
          <w:p>
            <w:pPr>
              <w:ind w:left="1000"/>
              <w:spacing w:after="0"/>
              <w:rPr>
                <w:sz w:val="20"/>
                <w:szCs w:val="20"/>
                <w:color w:val="auto"/>
              </w:rPr>
            </w:pPr>
            <w:r>
              <w:rPr>
                <w:rFonts w:ascii="Arial" w:cs="Arial" w:eastAsia="Arial" w:hAnsi="Arial"/>
                <w:sz w:val="18"/>
                <w:szCs w:val="18"/>
                <w:color w:val="auto"/>
              </w:rPr>
              <w:t>By:</w:t>
            </w:r>
          </w:p>
        </w:tc>
        <w:tc>
          <w:tcPr>
            <w:tcW w:w="1800" w:type="dxa"/>
            <w:vAlign w:val="bottom"/>
          </w:tcPr>
          <w:p>
            <w:pPr>
              <w:ind w:left="20"/>
              <w:spacing w:after="0"/>
              <w:rPr>
                <w:sz w:val="20"/>
                <w:szCs w:val="20"/>
                <w:color w:val="auto"/>
              </w:rPr>
            </w:pPr>
            <w:r>
              <w:rPr>
                <w:rFonts w:ascii="Arial" w:cs="Arial" w:eastAsia="Arial" w:hAnsi="Arial"/>
                <w:sz w:val="18"/>
                <w:szCs w:val="18"/>
                <w:color w:val="auto"/>
                <w:w w:val="96"/>
              </w:rPr>
              <w:t>/s/ G. Frederick Bohley</w:t>
            </w:r>
          </w:p>
        </w:tc>
        <w:tc>
          <w:tcPr>
            <w:tcW w:w="4920" w:type="dxa"/>
            <w:vAlign w:val="bottom"/>
          </w:tcPr>
          <w:p>
            <w:pPr>
              <w:spacing w:after="0"/>
              <w:rPr>
                <w:sz w:val="23"/>
                <w:szCs w:val="23"/>
                <w:color w:val="auto"/>
              </w:rPr>
            </w:pPr>
          </w:p>
        </w:tc>
      </w:tr>
      <w:tr>
        <w:trPr>
          <w:trHeight w:val="27"/>
        </w:trPr>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Name:</w:t>
            </w:r>
          </w:p>
        </w:tc>
        <w:tc>
          <w:tcPr>
            <w:tcW w:w="4920" w:type="dxa"/>
            <w:vAlign w:val="bottom"/>
          </w:tcPr>
          <w:p>
            <w:pPr>
              <w:ind w:left="60"/>
              <w:spacing w:after="0"/>
              <w:rPr>
                <w:sz w:val="20"/>
                <w:szCs w:val="20"/>
                <w:color w:val="auto"/>
              </w:rPr>
            </w:pPr>
            <w:r>
              <w:rPr>
                <w:rFonts w:ascii="Arial" w:cs="Arial" w:eastAsia="Arial" w:hAnsi="Arial"/>
                <w:sz w:val="18"/>
                <w:szCs w:val="18"/>
                <w:color w:val="auto"/>
              </w:rPr>
              <w:t>G. Frederick Bohley</w:t>
            </w:r>
          </w:p>
        </w:tc>
      </w:tr>
      <w:tr>
        <w:trPr>
          <w:trHeight w:val="256"/>
        </w:trPr>
        <w:tc>
          <w:tcPr>
            <w:tcW w:w="2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Title:</w:t>
            </w:r>
          </w:p>
        </w:tc>
        <w:tc>
          <w:tcPr>
            <w:tcW w:w="4920" w:type="dxa"/>
            <w:vAlign w:val="bottom"/>
          </w:tcPr>
          <w:p>
            <w:pPr>
              <w:ind w:left="60"/>
              <w:spacing w:after="0"/>
              <w:rPr>
                <w:sz w:val="20"/>
                <w:szCs w:val="20"/>
                <w:color w:val="auto"/>
              </w:rPr>
            </w:pPr>
            <w:r>
              <w:rPr>
                <w:rFonts w:ascii="Arial" w:cs="Arial" w:eastAsia="Arial" w:hAnsi="Arial"/>
                <w:sz w:val="18"/>
                <w:szCs w:val="18"/>
                <w:color w:val="auto"/>
                <w:w w:val="96"/>
              </w:rPr>
              <w:t>Vice President, Chief Financial Officer and Treasurer (Principal</w:t>
            </w:r>
          </w:p>
        </w:tc>
      </w:tr>
      <w:tr>
        <w:trPr>
          <w:trHeight w:val="230"/>
        </w:trPr>
        <w:tc>
          <w:tcPr>
            <w:tcW w:w="2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Financial Officer and Principal Accounting Officer)</w:t>
            </w:r>
          </w:p>
        </w:tc>
      </w:tr>
      <w:tr>
        <w:trPr>
          <w:trHeight w:val="864"/>
        </w:trPr>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4920" w:type="dxa"/>
            <w:vAlign w:val="bottom"/>
          </w:tcPr>
          <w:p>
            <w:pPr>
              <w:spacing w:after="0"/>
              <w:rPr>
                <w:sz w:val="24"/>
                <w:szCs w:val="24"/>
                <w:color w:val="auto"/>
              </w:rPr>
            </w:pPr>
          </w:p>
        </w:tc>
      </w:tr>
    </w:tbl>
    <w:p>
      <w:pPr>
        <w:sectPr>
          <w:pgSz w:w="11900" w:h="16838" w:orient="portrait"/>
          <w:cols w:equalWidth="0" w:num="1">
            <w:col w:w="10860"/>
          </w:cols>
          <w:pgMar w:left="240" w:top="125" w:right="799" w:bottom="1440" w:gutter="0" w:footer="0" w:header="0"/>
        </w:sectPr>
      </w:pPr>
    </w:p>
    <w:bookmarkStart w:id="35" w:name="page36"/>
    <w:bookmarkEnd w:id="35"/>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3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30,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20"/>
          </w:cols>
          <w:pgMar w:left="240" w:top="540" w:right="339" w:bottom="1440" w:gutter="0" w:footer="0" w:header="0"/>
        </w:sectPr>
      </w:pPr>
    </w:p>
    <w:bookmarkStart w:id="36" w:name="page37"/>
    <w:bookmarkEnd w:id="36"/>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23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9"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30,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2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320"/>
          </w:cols>
          <w:pgMar w:left="240" w:top="540" w:right="339" w:bottom="1440" w:gutter="0" w:footer="0" w:header="0"/>
        </w:sectPr>
      </w:pPr>
    </w:p>
    <w:bookmarkStart w:id="37" w:name="page38"/>
    <w:bookmarkEnd w:id="37"/>
    <w:p>
      <w:pPr>
        <w:jc w:val="center"/>
        <w:ind w:right="-2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September 30, 2018 as filed with the Securities and Exchange Commission on the date hereof (the “Report”), we, David S. Graziosi, President and Chief Executive Officer of the Company, and G. Frederick Bohley, Vice President, Chief Financial Officer and Treasurer of the Company, certify, pursuant to 18 U.S.C. §</w:t>
      </w:r>
    </w:p>
    <w:p>
      <w:pPr>
        <w:spacing w:after="0"/>
        <w:rPr>
          <w:sz w:val="20"/>
          <w:szCs w:val="20"/>
          <w:color w:val="auto"/>
        </w:rPr>
      </w:pPr>
      <w:r>
        <w:rPr>
          <w:rFonts w:ascii="Arial" w:cs="Arial" w:eastAsia="Arial" w:hAnsi="Arial"/>
          <w:sz w:val="18"/>
          <w:szCs w:val="18"/>
          <w:color w:val="auto"/>
        </w:rPr>
        <w:t>1350 as adopted pursuant to § 906 of the Sarbanes-Oxley Act of 2002, that:</w:t>
      </w:r>
    </w:p>
    <w:p>
      <w:pPr>
        <w:spacing w:after="0" w:line="22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180"/>
      </w:cols>
      <w:pgMar w:left="240" w:top="36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2019-12-28T18:38:16Z</dcterms:created>
  <dcterms:modified xsi:type="dcterms:W3CDTF">2019-12-28T18:38:16Z</dcterms:modified>
</cp:coreProperties>
</file>