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76200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4" w:lineRule="exact"/>
        <w:rPr>
          <w:sz w:val="24"/>
          <w:szCs w:val="24"/>
          <w:color w:val="auto"/>
        </w:rPr>
      </w:pPr>
    </w:p>
    <w:p>
      <w:pPr>
        <w:ind w:left="3980" w:right="2820" w:hanging="3972"/>
        <w:spacing w:after="0" w:line="322" w:lineRule="auto"/>
        <w:tabs>
          <w:tab w:leader="none" w:pos="41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5"/>
          <w:szCs w:val="15"/>
          <w:b w:val="1"/>
          <w:bCs w:val="1"/>
          <w:color w:val="auto"/>
        </w:rPr>
        <w:t>For the Fiscal Year Ended December 31, 2025</w:t>
      </w:r>
    </w:p>
    <w:p>
      <w:pPr>
        <w:jc w:val="center"/>
        <w:spacing w:after="0"/>
        <w:rPr>
          <w:sz w:val="20"/>
          <w:szCs w:val="20"/>
          <w:color w:val="auto"/>
        </w:rPr>
      </w:pPr>
      <w:r>
        <w:rPr>
          <w:rFonts w:ascii="Arial" w:cs="Arial" w:eastAsia="Arial" w:hAnsi="Arial"/>
          <w:sz w:val="15"/>
          <w:szCs w:val="15"/>
          <w:b w:val="1"/>
          <w:bCs w:val="1"/>
          <w:color w:val="auto"/>
        </w:rPr>
        <w:t>OR</w:t>
      </w:r>
    </w:p>
    <w:p>
      <w:pPr>
        <w:spacing w:after="0" w:line="89" w:lineRule="exact"/>
        <w:rPr>
          <w:sz w:val="24"/>
          <w:szCs w:val="24"/>
          <w:color w:val="auto"/>
        </w:rPr>
      </w:pPr>
    </w:p>
    <w:p>
      <w:pPr>
        <w:ind w:left="4320" w:right="2520" w:hanging="4312"/>
        <w:spacing w:after="0" w:line="362" w:lineRule="auto"/>
        <w:tabs>
          <w:tab w:leader="none" w:pos="418"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5"/>
          <w:szCs w:val="15"/>
          <w:b w:val="1"/>
          <w:bCs w:val="1"/>
          <w:color w:val="auto"/>
        </w:rPr>
        <w:t>Commission File Number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ALLISON TRANSMISSION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55245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3" w:lineRule="exact"/>
        <w:rPr>
          <w:sz w:val="24"/>
          <w:szCs w:val="24"/>
          <w:color w:val="auto"/>
        </w:rPr>
      </w:pPr>
    </w:p>
    <w:tbl>
      <w:tblPr>
        <w:tblLayout w:type="fixed"/>
        <w:tblInd w:w="1400" w:type="dxa"/>
        <w:tblCellMar>
          <w:top w:w="0" w:type="dxa"/>
          <w:left w:w="0" w:type="dxa"/>
          <w:bottom w:w="0" w:type="dxa"/>
          <w:right w:w="0" w:type="dxa"/>
        </w:tblCellMar>
      </w:tblPr>
      <w:tr>
        <w:trPr>
          <w:trHeight w:val="172"/>
        </w:trPr>
        <w:tc>
          <w:tcPr>
            <w:tcW w:w="4560" w:type="dxa"/>
            <w:vAlign w:val="bottom"/>
          </w:tcPr>
          <w:p>
            <w:pPr>
              <w:jc w:val="center"/>
              <w:ind w:right="1713"/>
              <w:spacing w:after="0"/>
              <w:rPr>
                <w:sz w:val="20"/>
                <w:szCs w:val="20"/>
                <w:color w:val="auto"/>
              </w:rPr>
            </w:pPr>
            <w:r>
              <w:rPr>
                <w:rFonts w:ascii="Arial" w:cs="Arial" w:eastAsia="Arial" w:hAnsi="Arial"/>
                <w:sz w:val="15"/>
                <w:szCs w:val="15"/>
                <w:b w:val="1"/>
                <w:bCs w:val="1"/>
                <w:color w:val="auto"/>
              </w:rPr>
              <w:t>Delaware</w:t>
            </w:r>
          </w:p>
        </w:tc>
        <w:tc>
          <w:tcPr>
            <w:tcW w:w="3180" w:type="dxa"/>
            <w:vAlign w:val="bottom"/>
          </w:tcPr>
          <w:p>
            <w:pPr>
              <w:jc w:val="center"/>
              <w:ind w:left="1773"/>
              <w:spacing w:after="0"/>
              <w:rPr>
                <w:sz w:val="20"/>
                <w:szCs w:val="20"/>
                <w:color w:val="auto"/>
              </w:rPr>
            </w:pPr>
            <w:r>
              <w:rPr>
                <w:rFonts w:ascii="Arial" w:cs="Arial" w:eastAsia="Arial" w:hAnsi="Arial"/>
                <w:sz w:val="15"/>
                <w:szCs w:val="15"/>
                <w:b w:val="1"/>
                <w:bCs w:val="1"/>
                <w:color w:val="auto"/>
              </w:rPr>
              <w:t>26-0414014</w:t>
            </w:r>
          </w:p>
        </w:tc>
      </w:tr>
      <w:tr>
        <w:trPr>
          <w:trHeight w:val="135"/>
        </w:trPr>
        <w:tc>
          <w:tcPr>
            <w:tcW w:w="4560" w:type="dxa"/>
            <w:vAlign w:val="bottom"/>
          </w:tcPr>
          <w:p>
            <w:pPr>
              <w:jc w:val="center"/>
              <w:ind w:right="1753"/>
              <w:spacing w:after="0" w:line="135" w:lineRule="exact"/>
              <w:rPr>
                <w:sz w:val="20"/>
                <w:szCs w:val="20"/>
                <w:color w:val="auto"/>
              </w:rPr>
            </w:pPr>
            <w:r>
              <w:rPr>
                <w:rFonts w:ascii="Arial" w:cs="Arial" w:eastAsia="Arial" w:hAnsi="Arial"/>
                <w:sz w:val="13"/>
                <w:szCs w:val="13"/>
                <w:b w:val="1"/>
                <w:bCs w:val="1"/>
                <w:color w:val="auto"/>
                <w:w w:val="97"/>
              </w:rPr>
              <w:t>(State or other jurisdiction of incorporation or</w:t>
            </w:r>
          </w:p>
        </w:tc>
        <w:tc>
          <w:tcPr>
            <w:tcW w:w="3180" w:type="dxa"/>
            <w:vAlign w:val="bottom"/>
          </w:tcPr>
          <w:p>
            <w:pPr>
              <w:jc w:val="center"/>
              <w:ind w:left="1733"/>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2"/>
        </w:trPr>
        <w:tc>
          <w:tcPr>
            <w:tcW w:w="4560" w:type="dxa"/>
            <w:vAlign w:val="bottom"/>
          </w:tcPr>
          <w:p>
            <w:pPr>
              <w:jc w:val="center"/>
              <w:ind w:right="1713"/>
              <w:spacing w:after="0"/>
              <w:rPr>
                <w:sz w:val="20"/>
                <w:szCs w:val="20"/>
                <w:color w:val="auto"/>
              </w:rPr>
            </w:pPr>
            <w:r>
              <w:rPr>
                <w:rFonts w:ascii="Arial" w:cs="Arial" w:eastAsia="Arial" w:hAnsi="Arial"/>
                <w:sz w:val="13"/>
                <w:szCs w:val="13"/>
                <w:b w:val="1"/>
                <w:bCs w:val="1"/>
                <w:color w:val="auto"/>
                <w:w w:val="95"/>
              </w:rPr>
              <w:t>organization)</w:t>
            </w:r>
          </w:p>
        </w:tc>
        <w:tc>
          <w:tcPr>
            <w:tcW w:w="3180" w:type="dxa"/>
            <w:vAlign w:val="bottom"/>
          </w:tcPr>
          <w:p>
            <w:pPr>
              <w:jc w:val="center"/>
              <w:ind w:left="1773"/>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30480</wp:posOffset>
            </wp:positionV>
            <wp:extent cx="1731645"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One Allison Way</w:t>
      </w:r>
    </w:p>
    <w:p>
      <w:pPr>
        <w:jc w:val="center"/>
        <w:spacing w:after="0" w:line="229" w:lineRule="auto"/>
        <w:rPr>
          <w:sz w:val="20"/>
          <w:szCs w:val="20"/>
          <w:color w:val="auto"/>
        </w:rPr>
      </w:pPr>
      <w:r>
        <w:rPr>
          <w:rFonts w:ascii="Arial" w:cs="Arial" w:eastAsia="Arial" w:hAnsi="Arial"/>
          <w:sz w:val="15"/>
          <w:szCs w:val="15"/>
          <w:b w:val="1"/>
          <w:bCs w:val="1"/>
          <w:color w:val="auto"/>
        </w:rPr>
        <w:t>Indianapolis, IN 46222</w:t>
      </w:r>
    </w:p>
    <w:p>
      <w:pPr>
        <w:jc w:val="center"/>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(317) 242-5000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4580" w:type="dxa"/>
            <w:vAlign w:val="bottom"/>
            <w:gridSpan w:val="5"/>
          </w:tcPr>
          <w:p>
            <w:pPr>
              <w:ind w:left="60"/>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64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4"/>
        </w:trPr>
        <w:tc>
          <w:tcPr>
            <w:tcW w:w="3460" w:type="dxa"/>
            <w:vAlign w:val="bottom"/>
            <w:tcBorders>
              <w:bottom w:val="single" w:sz="8" w:color="auto"/>
            </w:tcBorders>
          </w:tcPr>
          <w:p>
            <w:pPr>
              <w:jc w:val="center"/>
              <w:ind w:left="984"/>
              <w:spacing w:after="0"/>
              <w:rPr>
                <w:sz w:val="20"/>
                <w:szCs w:val="20"/>
                <w:color w:val="auto"/>
              </w:rPr>
            </w:pPr>
            <w:r>
              <w:rPr>
                <w:rFonts w:ascii="Arial" w:cs="Arial" w:eastAsia="Arial" w:hAnsi="Arial"/>
                <w:sz w:val="15"/>
                <w:szCs w:val="15"/>
                <w:b w:val="1"/>
                <w:bCs w:val="1"/>
                <w:color w:val="auto"/>
              </w:rPr>
              <w:t>Title of Each Class</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00" w:type="dxa"/>
            <w:vAlign w:val="bottom"/>
          </w:tcPr>
          <w:p>
            <w:pPr>
              <w:spacing w:after="0"/>
              <w:rPr>
                <w:sz w:val="18"/>
                <w:szCs w:val="18"/>
                <w:color w:val="auto"/>
              </w:rPr>
            </w:pPr>
          </w:p>
        </w:tc>
        <w:tc>
          <w:tcPr>
            <w:tcW w:w="41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25"/>
        </w:trPr>
        <w:tc>
          <w:tcPr>
            <w:tcW w:w="3460" w:type="dxa"/>
            <w:vAlign w:val="bottom"/>
          </w:tcPr>
          <w:p>
            <w:pPr>
              <w:jc w:val="center"/>
              <w:ind w:left="964"/>
              <w:spacing w:after="0"/>
              <w:rPr>
                <w:sz w:val="20"/>
                <w:szCs w:val="20"/>
                <w:color w:val="auto"/>
              </w:rPr>
            </w:pPr>
            <w:r>
              <w:rPr>
                <w:rFonts w:ascii="Arial" w:cs="Arial" w:eastAsia="Arial" w:hAnsi="Arial"/>
                <w:sz w:val="15"/>
                <w:szCs w:val="15"/>
                <w:b w:val="1"/>
                <w:bCs w:val="1"/>
                <w:color w:val="auto"/>
              </w:rPr>
              <w:t>Common Stock, $0.01 par value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5"/>
                <w:szCs w:val="15"/>
                <w:b w:val="1"/>
                <w:bCs w:val="1"/>
                <w:color w:val="auto"/>
              </w:rPr>
              <w:t>ALSN</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0" w:type="dxa"/>
            <w:vAlign w:val="bottom"/>
            <w:gridSpan w:val="2"/>
          </w:tcPr>
          <w:p>
            <w:pPr>
              <w:jc w:val="center"/>
              <w:ind w:right="844"/>
              <w:spacing w:after="0"/>
              <w:rPr>
                <w:sz w:val="20"/>
                <w:szCs w:val="20"/>
                <w:color w:val="auto"/>
              </w:rPr>
            </w:pPr>
            <w:r>
              <w:rPr>
                <w:rFonts w:ascii="Arial" w:cs="Arial" w:eastAsia="Arial" w:hAnsi="Arial"/>
                <w:sz w:val="15"/>
                <w:szCs w:val="15"/>
                <w:b w:val="1"/>
                <w:bCs w:val="1"/>
                <w:color w:val="auto"/>
              </w:rPr>
              <w:t>New York Stock Exchange</w:t>
            </w:r>
          </w:p>
        </w:tc>
      </w:tr>
      <w:tr>
        <w:trPr>
          <w:trHeight w:val="222"/>
        </w:trPr>
        <w:tc>
          <w:tcPr>
            <w:tcW w:w="7000" w:type="dxa"/>
            <w:vAlign w:val="bottom"/>
            <w:gridSpan w:val="4"/>
          </w:tcPr>
          <w:p>
            <w:pPr>
              <w:spacing w:after="0"/>
              <w:rPr>
                <w:sz w:val="20"/>
                <w:szCs w:val="20"/>
                <w:color w:val="auto"/>
              </w:rPr>
            </w:pPr>
            <w:r>
              <w:rPr>
                <w:rFonts w:ascii="Arial" w:cs="Arial" w:eastAsia="Arial" w:hAnsi="Arial"/>
                <w:sz w:val="15"/>
                <w:szCs w:val="15"/>
                <w:color w:val="auto"/>
              </w:rPr>
              <w:t>Securities registered pursuant to Section 12(g) of the Act: None</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77"/>
        </w:trPr>
        <w:tc>
          <w:tcPr>
            <w:tcW w:w="8040" w:type="dxa"/>
            <w:vAlign w:val="bottom"/>
            <w:gridSpan w:val="6"/>
          </w:tcPr>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tc>
        <w:tc>
          <w:tcPr>
            <w:tcW w:w="640" w:type="dxa"/>
            <w:vAlign w:val="bottom"/>
          </w:tcPr>
          <w:p>
            <w:pPr>
              <w:ind w:left="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560" w:type="dxa"/>
            <w:vAlign w:val="bottom"/>
          </w:tcPr>
          <w:p>
            <w:pPr>
              <w:ind w:left="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r>
        <w:trPr>
          <w:trHeight w:val="258"/>
        </w:trPr>
        <w:tc>
          <w:tcPr>
            <w:tcW w:w="8040" w:type="dxa"/>
            <w:vAlign w:val="bottom"/>
            <w:gridSpan w:val="6"/>
          </w:tcPr>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tc>
        <w:tc>
          <w:tcPr>
            <w:tcW w:w="640" w:type="dxa"/>
            <w:vAlign w:val="bottom"/>
          </w:tcPr>
          <w:p>
            <w:pPr>
              <w:ind w:left="1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560" w:type="dxa"/>
            <w:vAlign w:val="bottom"/>
          </w:tcPr>
          <w:p>
            <w:pPr>
              <w:ind w:left="1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bl>
    <w:p>
      <w:pPr>
        <w:spacing w:after="0" w:line="21" w:lineRule="exact"/>
        <w:rPr>
          <w:sz w:val="24"/>
          <w:szCs w:val="24"/>
          <w:color w:val="auto"/>
        </w:rPr>
      </w:pPr>
    </w:p>
    <w:p>
      <w:pPr>
        <w:ind w:right="100"/>
        <w:spacing w:after="0" w:line="24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740" w:val="left"/>
          <w:tab w:leader="none" w:pos="136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4" w:lineRule="exact"/>
        <w:rPr>
          <w:sz w:val="24"/>
          <w:szCs w:val="24"/>
          <w:color w:val="auto"/>
        </w:rPr>
      </w:pPr>
    </w:p>
    <w:p>
      <w:pPr>
        <w:ind w:right="20"/>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ind w:right="120"/>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p>
      <w:pPr>
        <w:spacing w:after="0" w:line="173" w:lineRule="exact"/>
        <w:tabs>
          <w:tab w:leader="none" w:pos="2240" w:val="left"/>
          <w:tab w:leader="none" w:pos="4060" w:val="left"/>
          <w:tab w:leader="none" w:pos="6200" w:val="left"/>
          <w:tab w:leader="none" w:pos="876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06" w:lineRule="exact"/>
        <w:rPr>
          <w:sz w:val="24"/>
          <w:szCs w:val="24"/>
          <w:color w:val="auto"/>
        </w:rPr>
      </w:pPr>
    </w:p>
    <w:p>
      <w:pPr>
        <w:ind w:right="200"/>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5" w:lineRule="exact"/>
        <w:rPr>
          <w:sz w:val="24"/>
          <w:szCs w:val="24"/>
          <w:color w:val="auto"/>
        </w:rPr>
      </w:pPr>
    </w:p>
    <w:p>
      <w:pPr>
        <w:ind w:right="320"/>
        <w:spacing w:after="0" w:line="242"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73" w:lineRule="exact"/>
        <w:rPr>
          <w:sz w:val="20"/>
          <w:szCs w:val="20"/>
          <w:color w:val="auto"/>
        </w:rPr>
      </w:pPr>
      <w:r>
        <w:rPr>
          <w:rFonts w:ascii="Arial" w:cs="Arial" w:eastAsia="Arial" w:hAnsi="Arial"/>
          <w:sz w:val="15"/>
          <w:szCs w:val="15"/>
          <w:color w:val="auto"/>
        </w:rPr>
        <w:t xml:space="preserve">report. </w:t>
      </w:r>
      <w:r>
        <w:rPr>
          <w:rFonts w:ascii="MS PGothic" w:cs="MS PGothic" w:eastAsia="MS PGothic" w:hAnsi="MS PGothic"/>
          <w:sz w:val="15"/>
          <w:szCs w:val="15"/>
          <w:color w:val="auto"/>
        </w:rPr>
        <w:t>☒</w:t>
      </w:r>
    </w:p>
    <w:p>
      <w:pPr>
        <w:spacing w:after="0" w:line="60" w:lineRule="exact"/>
        <w:rPr>
          <w:sz w:val="24"/>
          <w:szCs w:val="24"/>
          <w:color w:val="auto"/>
        </w:rPr>
      </w:pPr>
    </w:p>
    <w:p>
      <w:pPr>
        <w:ind w:right="200"/>
        <w:spacing w:after="0" w:line="199"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2" w:lineRule="exact"/>
        <w:rPr>
          <w:sz w:val="24"/>
          <w:szCs w:val="24"/>
          <w:color w:val="auto"/>
        </w:rPr>
      </w:pPr>
    </w:p>
    <w:p>
      <w:pPr>
        <w:ind w:right="40"/>
        <w:spacing w:after="0" w:line="199"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3" w:lineRule="exact"/>
        <w:rPr>
          <w:sz w:val="24"/>
          <w:szCs w:val="24"/>
          <w:color w:val="auto"/>
        </w:rPr>
      </w:pPr>
    </w:p>
    <w:p>
      <w:pPr>
        <w:spacing w:after="0" w:line="173" w:lineRule="exact"/>
        <w:tabs>
          <w:tab w:leader="none" w:pos="7800" w:val="left"/>
          <w:tab w:leader="none" w:pos="84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06" w:lineRule="exact"/>
        <w:rPr>
          <w:sz w:val="24"/>
          <w:szCs w:val="24"/>
          <w:color w:val="auto"/>
        </w:rPr>
      </w:pPr>
    </w:p>
    <w:p>
      <w:pPr>
        <w:spacing w:after="0"/>
        <w:rPr>
          <w:sz w:val="20"/>
          <w:szCs w:val="20"/>
          <w:color w:val="auto"/>
        </w:rPr>
      </w:pPr>
      <w:r>
        <w:rPr>
          <w:rFonts w:ascii="Arial" w:cs="Arial" w:eastAsia="Arial" w:hAnsi="Arial"/>
          <w:sz w:val="15"/>
          <w:szCs w:val="15"/>
          <w:color w:val="auto"/>
        </w:rPr>
        <w:t>The aggregate market value of the voting and non-voting stock held by non-affiliates was approximately $7,896 million as of June 30, 2025.</w:t>
      </w:r>
    </w:p>
    <w:p>
      <w:pPr>
        <w:spacing w:after="0" w:line="57" w:lineRule="exact"/>
        <w:rPr>
          <w:sz w:val="24"/>
          <w:szCs w:val="24"/>
          <w:color w:val="auto"/>
        </w:rPr>
      </w:pPr>
    </w:p>
    <w:p>
      <w:pPr>
        <w:spacing w:after="0"/>
        <w:rPr>
          <w:sz w:val="20"/>
          <w:szCs w:val="20"/>
          <w:color w:val="auto"/>
        </w:rPr>
      </w:pPr>
      <w:r>
        <w:rPr>
          <w:rFonts w:ascii="Arial" w:cs="Arial" w:eastAsia="Arial" w:hAnsi="Arial"/>
          <w:sz w:val="15"/>
          <w:szCs w:val="15"/>
          <w:color w:val="auto"/>
        </w:rPr>
        <w:t>As of January 30, 2026, there were 82,805,592 shares of Common Stock outstanding.</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59" w:lineRule="exact"/>
        <w:rPr>
          <w:sz w:val="24"/>
          <w:szCs w:val="24"/>
          <w:color w:val="auto"/>
        </w:rPr>
      </w:pPr>
    </w:p>
    <w:p>
      <w:pPr>
        <w:ind w:right="20"/>
        <w:spacing w:after="0" w:line="264" w:lineRule="auto"/>
        <w:rPr>
          <w:sz w:val="20"/>
          <w:szCs w:val="20"/>
          <w:color w:val="auto"/>
        </w:rPr>
      </w:pPr>
      <w:r>
        <w:rPr>
          <w:rFonts w:ascii="Arial" w:cs="Arial" w:eastAsia="Arial" w:hAnsi="Arial"/>
          <w:sz w:val="15"/>
          <w:szCs w:val="15"/>
          <w:color w:val="auto"/>
        </w:rPr>
        <w:t>Portions of the Registrant’s definitive Proxy Statement for its 2026 annual meeting of stockholders will be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gridSpan w:val="9"/>
          </w:tcPr>
          <w:p>
            <w:pPr>
              <w:jc w:val="center"/>
              <w:ind w:right="394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60" w:type="dxa"/>
            <w:vAlign w:val="bottom"/>
          </w:tcPr>
          <w:p>
            <w:pPr>
              <w:spacing w:after="0"/>
              <w:rPr>
                <w:sz w:val="24"/>
                <w:szCs w:val="24"/>
                <w:color w:val="auto"/>
              </w:rPr>
            </w:pPr>
          </w:p>
        </w:tc>
        <w:tc>
          <w:tcPr>
            <w:tcW w:w="840" w:type="dxa"/>
            <w:vAlign w:val="bottom"/>
            <w:gridSpan w:val="6"/>
            <w:vMerge w:val="restart"/>
          </w:tcPr>
          <w:p>
            <w:pPr>
              <w:spacing w:after="0"/>
              <w:rPr>
                <w:sz w:val="20"/>
                <w:szCs w:val="20"/>
                <w:color w:val="auto"/>
              </w:rPr>
            </w:pPr>
            <w:r>
              <w:rPr>
                <w:rFonts w:ascii="Arial" w:cs="Arial" w:eastAsia="Arial" w:hAnsi="Arial"/>
                <w:sz w:val="18"/>
                <w:szCs w:val="18"/>
                <w:b w:val="1"/>
                <w:bCs w:val="1"/>
                <w:color w:val="0000FF"/>
              </w:rPr>
              <w:t>PART I.</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gridSpan w:val="5"/>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80" w:type="dxa"/>
            <w:vAlign w:val="bottom"/>
            <w:tcBorders>
              <w:top w:val="single" w:sz="8" w:color="0000FF"/>
            </w:tcBorders>
          </w:tcPr>
          <w:p>
            <w:pPr>
              <w:spacing w:after="0"/>
              <w:rPr>
                <w:sz w:val="24"/>
                <w:szCs w:val="24"/>
                <w:color w:val="auto"/>
              </w:rPr>
            </w:pP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Business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1A.</w:t>
            </w: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Risk Factors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1B.</w:t>
            </w: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Unresolved Staff Comments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1"/>
              </w:rPr>
              <w:t>Item 1C.</w:t>
            </w: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Cybersecurity</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w w:val="98"/>
              </w:rPr>
              <w:t>Item 2.</w:t>
            </w:r>
          </w:p>
        </w:tc>
        <w:tc>
          <w:tcPr>
            <w:tcW w:w="80" w:type="dxa"/>
            <w:vAlign w:val="bottom"/>
          </w:tcPr>
          <w:p>
            <w:pPr>
              <w:spacing w:after="0"/>
              <w:rPr>
                <w:sz w:val="24"/>
                <w:szCs w:val="24"/>
                <w:color w:val="auto"/>
              </w:rPr>
            </w:pP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Properties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w w:val="98"/>
              </w:rPr>
              <w:t>Item 3.</w:t>
            </w:r>
          </w:p>
        </w:tc>
        <w:tc>
          <w:tcPr>
            <w:tcW w:w="260" w:type="dxa"/>
            <w:vAlign w:val="bottom"/>
            <w:gridSpan w:val="5"/>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Legal Proceedings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w w:val="98"/>
              </w:rPr>
              <w:t>Item 4.</w:t>
            </w:r>
          </w:p>
        </w:tc>
        <w:tc>
          <w:tcPr>
            <w:tcW w:w="260" w:type="dxa"/>
            <w:vAlign w:val="bottom"/>
            <w:gridSpan w:val="5"/>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Mine Safety Disclosures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7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rPr>
              <w:t>PART II.</w:t>
            </w:r>
          </w:p>
        </w:tc>
        <w:tc>
          <w:tcPr>
            <w:tcW w:w="1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w w:val="98"/>
              </w:rPr>
              <w:t>Item 5.</w:t>
            </w:r>
          </w:p>
        </w:tc>
        <w:tc>
          <w:tcPr>
            <w:tcW w:w="260" w:type="dxa"/>
            <w:vAlign w:val="bottom"/>
            <w:gridSpan w:val="5"/>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w w:val="98"/>
              </w:rPr>
              <w:t>Item 6.</w:t>
            </w:r>
          </w:p>
        </w:tc>
        <w:tc>
          <w:tcPr>
            <w:tcW w:w="260" w:type="dxa"/>
            <w:vAlign w:val="bottom"/>
            <w:gridSpan w:val="5"/>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[Reserved]</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w w:val="98"/>
              </w:rPr>
              <w:t>Item 7.</w:t>
            </w:r>
          </w:p>
        </w:tc>
        <w:tc>
          <w:tcPr>
            <w:tcW w:w="260" w:type="dxa"/>
            <w:vAlign w:val="bottom"/>
            <w:gridSpan w:val="5"/>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7A.</w:t>
            </w: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Quantitative and Qualitative Disclosures About Market Risk</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w w:val="98"/>
              </w:rPr>
              <w:t>Item 8.</w:t>
            </w:r>
          </w:p>
        </w:tc>
        <w:tc>
          <w:tcPr>
            <w:tcW w:w="80" w:type="dxa"/>
            <w:vAlign w:val="bottom"/>
          </w:tcPr>
          <w:p>
            <w:pPr>
              <w:spacing w:after="0"/>
              <w:rPr>
                <w:sz w:val="24"/>
                <w:szCs w:val="24"/>
                <w:color w:val="auto"/>
              </w:rPr>
            </w:pP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Financial Statements and Supplementary Data</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w w:val="98"/>
              </w:rPr>
              <w:t>Item 9.</w:t>
            </w:r>
          </w:p>
        </w:tc>
        <w:tc>
          <w:tcPr>
            <w:tcW w:w="260" w:type="dxa"/>
            <w:vAlign w:val="bottom"/>
            <w:gridSpan w:val="5"/>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9A.</w:t>
            </w: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Controls and Procedures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2"/>
              </w:rPr>
              <w:t>Item 9B.</w:t>
            </w: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Other Information</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840" w:type="dxa"/>
            <w:vAlign w:val="bottom"/>
            <w:gridSpan w:val="6"/>
          </w:tcPr>
          <w:p>
            <w:pPr>
              <w:spacing w:after="0"/>
              <w:rPr>
                <w:sz w:val="20"/>
                <w:szCs w:val="20"/>
                <w:color w:val="auto"/>
              </w:rPr>
            </w:pPr>
            <w:r>
              <w:rPr>
                <w:rFonts w:ascii="Arial" w:cs="Arial" w:eastAsia="Arial" w:hAnsi="Arial"/>
                <w:sz w:val="18"/>
                <w:szCs w:val="18"/>
                <w:color w:val="0000FF"/>
              </w:rPr>
              <w:t>Item 9C.</w:t>
            </w: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0" w:type="dxa"/>
            <w:vAlign w:val="bottom"/>
          </w:tcPr>
          <w:p>
            <w:pPr>
              <w:spacing w:after="0"/>
              <w:rPr>
                <w:sz w:val="24"/>
                <w:szCs w:val="24"/>
                <w:color w:val="auto"/>
              </w:rPr>
            </w:pPr>
          </w:p>
        </w:tc>
        <w:tc>
          <w:tcPr>
            <w:tcW w:w="840" w:type="dxa"/>
            <w:vAlign w:val="bottom"/>
            <w:gridSpan w:val="6"/>
          </w:tcPr>
          <w:p>
            <w:pPr>
              <w:spacing w:after="0"/>
              <w:rPr>
                <w:sz w:val="20"/>
                <w:szCs w:val="20"/>
                <w:color w:val="auto"/>
              </w:rPr>
            </w:pPr>
            <w:r>
              <w:rPr>
                <w:rFonts w:ascii="Arial" w:cs="Arial" w:eastAsia="Arial" w:hAnsi="Arial"/>
                <w:sz w:val="18"/>
                <w:szCs w:val="18"/>
                <w:b w:val="1"/>
                <w:bCs w:val="1"/>
                <w:color w:val="0000FF"/>
              </w:rPr>
              <w:t>PART III.</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5"/>
              </w:rPr>
              <w:t>Item 10.</w:t>
            </w:r>
          </w:p>
        </w:tc>
        <w:tc>
          <w:tcPr>
            <w:tcW w:w="80" w:type="dxa"/>
            <w:vAlign w:val="bottom"/>
            <w:tcBorders>
              <w:top w:val="single" w:sz="8" w:color="0000FF"/>
            </w:tcBorders>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Directors, Executive Officers and Corporate Governance</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11.</w:t>
            </w: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Executive Compensation</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12.</w:t>
            </w: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13.</w:t>
            </w: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14.</w:t>
            </w: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Principal Accountant Fees and Services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840" w:type="dxa"/>
            <w:vAlign w:val="bottom"/>
            <w:gridSpan w:val="6"/>
          </w:tcPr>
          <w:p>
            <w:pPr>
              <w:spacing w:after="0"/>
              <w:rPr>
                <w:sz w:val="20"/>
                <w:szCs w:val="20"/>
                <w:color w:val="auto"/>
              </w:rPr>
            </w:pPr>
            <w:r>
              <w:rPr>
                <w:rFonts w:ascii="Arial" w:cs="Arial" w:eastAsia="Arial" w:hAnsi="Arial"/>
                <w:sz w:val="18"/>
                <w:szCs w:val="18"/>
                <w:b w:val="1"/>
                <w:bCs w:val="1"/>
                <w:color w:val="0000FF"/>
              </w:rPr>
              <w:t>PART IV.</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5"/>
              </w:rPr>
              <w:t>Item 15.</w:t>
            </w:r>
          </w:p>
        </w:tc>
        <w:tc>
          <w:tcPr>
            <w:tcW w:w="100" w:type="dxa"/>
            <w:vAlign w:val="bottom"/>
            <w:tcBorders>
              <w:top w:val="single" w:sz="8" w:color="0000FF"/>
            </w:tcBorders>
            <w:gridSpan w:val="3"/>
          </w:tcPr>
          <w:p>
            <w:pPr>
              <w:spacing w:after="0"/>
              <w:rPr>
                <w:sz w:val="24"/>
                <w:szCs w:val="24"/>
                <w:color w:val="auto"/>
              </w:rPr>
            </w:pPr>
          </w:p>
        </w:tc>
        <w:tc>
          <w:tcPr>
            <w:tcW w:w="80" w:type="dxa"/>
            <w:vAlign w:val="bottom"/>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Exhibits and Financial Statement Schedules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w w:val="95"/>
              </w:rPr>
              <w:t>Item 16.</w:t>
            </w:r>
          </w:p>
        </w:tc>
        <w:tc>
          <w:tcPr>
            <w:tcW w:w="180" w:type="dxa"/>
            <w:vAlign w:val="bottom"/>
            <w:gridSpan w:val="4"/>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Form 10-K Summary</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7840" w:type="dxa"/>
            <w:vAlign w:val="bottom"/>
            <w:gridSpan w:val="1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80" w:type="dxa"/>
            <w:vAlign w:val="bottom"/>
            <w:gridSpan w:val="24"/>
          </w:tcPr>
          <w:p>
            <w:pPr>
              <w:ind w:left="80"/>
              <w:spacing w:after="0"/>
              <w:rPr>
                <w:sz w:val="20"/>
                <w:szCs w:val="20"/>
                <w:color w:val="auto"/>
              </w:rPr>
            </w:pPr>
            <w:r>
              <w:rPr>
                <w:rFonts w:ascii="Arial" w:cs="Arial" w:eastAsia="Arial" w:hAnsi="Arial"/>
                <w:sz w:val="18"/>
                <w:szCs w:val="18"/>
                <w:color w:val="0000FF"/>
              </w:rPr>
              <w:t>Signatures</w:t>
            </w:r>
          </w:p>
        </w:tc>
        <w:tc>
          <w:tcPr>
            <w:tcW w:w="700" w:type="dxa"/>
            <w:vAlign w:val="bottom"/>
            <w:gridSpan w:val="4"/>
          </w:tcPr>
          <w:p>
            <w:pPr>
              <w:jc w:val="right"/>
              <w:spacing w:after="0"/>
              <w:rPr>
                <w:sz w:val="20"/>
                <w:szCs w:val="20"/>
                <w:color w:val="auto"/>
              </w:rPr>
            </w:pPr>
            <w:r>
              <w:rPr>
                <w:rFonts w:ascii="Arial" w:cs="Arial" w:eastAsia="Arial" w:hAnsi="Arial"/>
                <w:sz w:val="18"/>
                <w:szCs w:val="18"/>
                <w:color w:val="0000FF"/>
              </w:rPr>
              <w:t>111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top w:val="single" w:sz="8" w:color="0000FF"/>
            </w:tcBorders>
            <w:gridSpan w:val="3"/>
          </w:tcPr>
          <w:p>
            <w:pPr>
              <w:spacing w:after="0"/>
              <w:rPr>
                <w:sz w:val="24"/>
                <w:szCs w:val="24"/>
                <w:color w:val="auto"/>
              </w:rPr>
            </w:pPr>
          </w:p>
        </w:tc>
        <w:tc>
          <w:tcPr>
            <w:tcW w:w="3820" w:type="dxa"/>
            <w:vAlign w:val="bottom"/>
            <w:gridSpan w:val="13"/>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significant costs we are expected to incur in connection with the integration of the Off-Highway Drive &amp; Motion Systems business (the “Acquired Off-Highway Business”) of Dana Incorporated ("Dana"); our ability to successfully integrate the Acquired Off-Highway Business and its operations in the expected time frame; our ability to realize all of the anticipated benefits from the integration of the Acquired Off-Highway Business and its operations and to effectively manage our expanded operations;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natural disasters, extreme weather events, wars and public health crises such as pandemics; global economic volatility; general economic and industry conditions, including the risk of prolonged inflation and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cybersecurity risks to our operational systems, security systems or infrastructure owned by us or our third-party vendors and suppliers;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and tariffs;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134" w:lineRule="exact"/>
        <w:rPr>
          <w:sz w:val="20"/>
          <w:szCs w:val="20"/>
          <w:color w:val="auto"/>
        </w:rPr>
      </w:pPr>
    </w:p>
    <w:p>
      <w:pPr>
        <w:ind w:firstLine="562"/>
        <w:spacing w:after="0" w:line="244"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these cautionary statements as well as other cautionary statements that are made from time to time in our other United States Securities and Exchange Commission ("SEC") filings or public communications. You should evaluate all forward-looking statements made in this Annual Report on Form 10-K in the context of these risks and uncertainties.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Trademarks</w:t>
      </w:r>
    </w:p>
    <w:p>
      <w:pPr>
        <w:spacing w:after="0" w:line="212"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 xml:space="preserve">This Annual Report on Form 10-K includes trademarks, such as Allison Transmission, eGen Flex, eGen Power, FracTran, ReTran and Walker Die Casting,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 names referred to in this report may appear without the ® or </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56" w:lineRule="exact"/>
        <w:rPr>
          <w:sz w:val="20"/>
          <w:szCs w:val="20"/>
          <w:color w:val="auto"/>
        </w:rPr>
      </w:pPr>
    </w:p>
    <w:p>
      <w:pPr>
        <w:jc w:val="both"/>
        <w:ind w:right="300" w:firstLine="494"/>
        <w:spacing w:after="0" w:line="253" w:lineRule="auto"/>
        <w:rPr>
          <w:sz w:val="20"/>
          <w:szCs w:val="20"/>
          <w:color w:val="auto"/>
        </w:rPr>
      </w:pPr>
      <w:r>
        <w:rPr>
          <w:rFonts w:ascii="Arial" w:cs="Arial" w:eastAsia="Arial" w:hAnsi="Arial"/>
          <w:sz w:val="18"/>
          <w:szCs w:val="18"/>
          <w:color w:val="auto"/>
        </w:rPr>
        <w:t>Allison Transmission Holdings, Inc. and its subsidiaries (“Allison,” “we,” “us” or “our”) is a global leader in high-performance mobility and work solutions built for the needs of the modern industrial world. The business was founded in 1915 and has been headquartered in Indianapolis, Indiana since inception. Allison is traded on the New York Stock Exchange under the symbol “ALSN”.</w:t>
      </w:r>
    </w:p>
    <w:p>
      <w:pPr>
        <w:spacing w:after="0" w:line="115" w:lineRule="exact"/>
        <w:rPr>
          <w:sz w:val="20"/>
          <w:szCs w:val="20"/>
          <w:color w:val="auto"/>
        </w:rPr>
      </w:pPr>
    </w:p>
    <w:p>
      <w:pPr>
        <w:ind w:right="80" w:firstLine="494"/>
        <w:spacing w:after="0" w:line="253" w:lineRule="auto"/>
        <w:rPr>
          <w:sz w:val="20"/>
          <w:szCs w:val="20"/>
          <w:color w:val="auto"/>
        </w:rPr>
      </w:pPr>
      <w:r>
        <w:rPr>
          <w:rFonts w:ascii="Arial" w:cs="Arial" w:eastAsia="Arial" w:hAnsi="Arial"/>
          <w:sz w:val="18"/>
          <w:szCs w:val="18"/>
          <w:color w:val="auto"/>
        </w:rPr>
        <w:t>We have a global presence by serving customers in North America, Asia, Europe, South America, and Africa, with approximately 76% of our revenues being generated in North America in 2025. We serve customers through an independent network of approximately 1,500 independent distributor and dealer locations worldwide as of December 31, 2025.</w:t>
      </w:r>
    </w:p>
    <w:p>
      <w:pPr>
        <w:spacing w:after="0" w:line="115"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On January 1, 2026, we completed the acquisition of the Acquired Off-Highway Business, expanding our portfolio of drivetrain and propulsion solutions and broadening our participation in off-highway end markets. As a result of this acquisition, we now operate a broader range of technologies and products and serve a more diverse global customer base across on-highway, off-highway, and defense applications.</w:t>
      </w:r>
    </w:p>
    <w:p>
      <w:pPr>
        <w:spacing w:after="0" w:line="120"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Unless otherwise expressly provided herein, the information disclosed in this Part I, Item 1 is provided as of and/or for the year ended December 31, 2025 and, accordingly, does not give effect to the acquisition of the Acquired Off-Highway Business.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w:t>
      </w:r>
    </w:p>
    <w:p>
      <w:pPr>
        <w:spacing w:after="0" w:line="156"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We are the world’s largest manufacturer of fully automatic transmissions for medium- and heavy-duty commercial vehicles and medium- and heavy-tactical U.S. defense vehicles, and subsequent to the acquisition of the Acquired Off-Highway Business, a leading provider of drivetrain and propulsion solutions for off-highway applications. Allison products are used in a wide variety of applications, including on-highway vehicles (distribution, refuse, construction, fire and emergency), buses (primarily school, transit and coach), motorhomes, off-highway vehicles and equipment (energy, mining, construction and agriculture) and defense vehicles (tactical wheeled and tracked). We believe the Allison brand is one of the most recognized in our industry as a result of the performance, reliability and fuel efficiency of our propulsion solutions and is associated with high quality, durability, vocational value, technological leadership and superior customer service.</w:t>
      </w:r>
    </w:p>
    <w:p>
      <w:pPr>
        <w:spacing w:after="0" w:line="126"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We introduced the world’s first fully automatic transmission for commercial vehicles over 75 years ago. Since that time, we have driven the trend in North America and other parts of the world towards increasing automaticity by targeting a diverse range of commercial vehicle vocations. Allison products are optimized for the unique performance requirements of end users, which typically vary by vocation. Our products are highly engineered, requiring advanced manufacturing processes, and employ complex software algorithms for our propulsion system controls to maximize end user performance.</w:t>
      </w:r>
    </w:p>
    <w:p>
      <w:pPr>
        <w:spacing w:after="0" w:line="122" w:lineRule="exact"/>
        <w:rPr>
          <w:sz w:val="20"/>
          <w:szCs w:val="20"/>
          <w:color w:val="auto"/>
        </w:rPr>
      </w:pPr>
    </w:p>
    <w:p>
      <w:pPr>
        <w:ind w:right="180" w:firstLine="494"/>
        <w:spacing w:after="0" w:line="247" w:lineRule="auto"/>
        <w:rPr>
          <w:sz w:val="20"/>
          <w:szCs w:val="20"/>
          <w:color w:val="auto"/>
        </w:rPr>
      </w:pPr>
      <w:r>
        <w:rPr>
          <w:rFonts w:ascii="Arial" w:cs="Arial" w:eastAsia="Arial" w:hAnsi="Arial"/>
          <w:sz w:val="18"/>
          <w:szCs w:val="18"/>
          <w:color w:val="auto"/>
        </w:rPr>
        <w:t>As a result of our acquisition of the Acquired Off-Highway Business, we now offer an expanded portfolio of drivetrain, motion and propulsion solutions, providing complementary product breadth and an enhanced ability to support customers across multiple end markets. The Acquired Off-Highway Business has historically served end markets with demand characteristics that differ from our traditional on-highway markets, contributing to a more diversified portfolio.</w:t>
      </w:r>
    </w:p>
    <w:p>
      <w:pPr>
        <w:spacing w:after="0" w:line="120"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Following our acquisition of the Acquired Off-Highway Business, we continue to operate under the Allison name, but our operations are now comprised of two business units: Allison Transmission and Allison Off-Highway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Drive &amp; Motion Systems. Business unit leadership is located globally, reflecting the international nature of our operations and the importance of local market insights, sourcing, production and customer support.</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Industry</w:t>
      </w:r>
    </w:p>
    <w:p>
      <w:pPr>
        <w:spacing w:after="0" w:line="156"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Commercial vehicles typically employ one of three transmission types: manual, automated manual or fully automatic. Manual transmissions and automated manual transmissions ("AMT") are the most prevalent transmission types used in Class 8 tractors in North America. Manual transmissions are the most prevalent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 require a skilled driver to operate the disconnect clutch when launching the vehicle and shifting gears. AMTs are manual transmissions that feature automated operation of the disconnect clutch. Fully 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34" w:lineRule="exact"/>
        <w:rPr>
          <w:sz w:val="20"/>
          <w:szCs w:val="20"/>
          <w:color w:val="auto"/>
        </w:rPr>
      </w:pPr>
    </w:p>
    <w:p>
      <w:pPr>
        <w:ind w:right="160" w:firstLine="494"/>
        <w:spacing w:after="0"/>
        <w:rPr>
          <w:sz w:val="20"/>
          <w:szCs w:val="20"/>
          <w:color w:val="auto"/>
        </w:rPr>
      </w:pPr>
      <w:r>
        <w:rPr>
          <w:rFonts w:ascii="Arial" w:cs="Arial" w:eastAsia="Arial" w:hAnsi="Arial"/>
          <w:sz w:val="18"/>
          <w:szCs w:val="18"/>
          <w:color w:val="auto"/>
        </w:rPr>
        <w:t>Emerging technologies in commercial-duty propulsion solutions include electric hybrid and fully electric propulsion solutions in certain end markets and are in part driven by efforts to reduce fuel consumption, noise and greenhouse gas emissions. Fully electric powertrains differ from electric hybrid powertrains because they only have a battery for energy storage and exclusively power the wheels using electric motors. In contrast, electric hybrids may use multiple energy storage sources including diesel and hydrogen and may drive the wheels exclusively with electric motors or in parallel with an internal combustion engine. While both emerging technologies are gaining use in automotive markets and electric hybrids and fully electric propulsion solutions have gained use in the bus market, fully electric propulsion solutions remain in a developmental phase in the medium- and heavy-duty commercial vehicle market.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Served Markets</w:t>
      </w:r>
    </w:p>
    <w:p>
      <w:pPr>
        <w:spacing w:after="0" w:line="156"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We sell our propulsion solutions globally for use in medium- and heavy-duty on-highway commercial vehicles, off-highway vehicles and equipment and defense vehicles. In addition to the sale of propulsion solutions, we also sell branded replacement parts, support equipment, aluminum die cast components and other products necessary to service the installed base of vehicles utilizing our solutions. The following table provides a summary of our business by end market for the fiscal year ended December 31, 2025.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2220" w:type="dxa"/>
            <w:vAlign w:val="bottom"/>
            <w:tcBorders>
              <w:top w:val="single" w:sz="8" w:color="auto"/>
              <w:left w:val="single" w:sz="8" w:color="auto"/>
              <w:right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ON-HIGHWAY</w:t>
            </w:r>
          </w:p>
        </w:tc>
        <w:tc>
          <w:tcPr>
            <w:tcW w:w="500" w:type="dxa"/>
            <w:vAlign w:val="bottom"/>
            <w:tcBorders>
              <w:top w:val="single" w:sz="8" w:color="auto"/>
              <w:bottom w:val="single" w:sz="8" w:color="auto"/>
              <w:right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OFF-HIGHWAY</w:t>
            </w:r>
          </w:p>
        </w:tc>
        <w:tc>
          <w:tcPr>
            <w:tcW w:w="380" w:type="dxa"/>
            <w:vAlign w:val="bottom"/>
            <w:tcBorders>
              <w:top w:val="single" w:sz="8" w:color="auto"/>
              <w:bottom w:val="single" w:sz="8" w:color="auto"/>
              <w:right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500" w:type="dxa"/>
            <w:vAlign w:val="bottom"/>
            <w:tcBorders>
              <w:top w:val="single" w:sz="8" w:color="auto"/>
              <w:right w:val="single" w:sz="8" w:color="auto"/>
            </w:tcBorders>
          </w:tcPr>
          <w:p>
            <w:pPr>
              <w:spacing w:after="0"/>
              <w:rPr>
                <w:sz w:val="15"/>
                <w:szCs w:val="15"/>
                <w:color w:val="auto"/>
              </w:rPr>
            </w:pPr>
          </w:p>
        </w:tc>
        <w:tc>
          <w:tcPr>
            <w:tcW w:w="1380" w:type="dxa"/>
            <w:vAlign w:val="bottom"/>
            <w:tcBorders>
              <w:top w:val="single" w:sz="8" w:color="auto"/>
              <w:bottom w:val="single" w:sz="8" w:color="auto"/>
            </w:tcBorders>
            <w:vMerge w:val="restart"/>
          </w:tcPr>
          <w:p>
            <w:pPr>
              <w:jc w:val="center"/>
              <w:ind w:left="228"/>
              <w:spacing w:after="0"/>
              <w:rPr>
                <w:sz w:val="20"/>
                <w:szCs w:val="20"/>
                <w:color w:val="auto"/>
              </w:rPr>
            </w:pPr>
            <w:r>
              <w:rPr>
                <w:rFonts w:ascii="Arial" w:cs="Arial" w:eastAsia="Arial" w:hAnsi="Arial"/>
                <w:sz w:val="14"/>
                <w:szCs w:val="14"/>
                <w:b w:val="1"/>
                <w:bCs w:val="1"/>
                <w:color w:val="auto"/>
              </w:rPr>
              <w:t>SERVICE</w:t>
            </w:r>
          </w:p>
        </w:tc>
        <w:tc>
          <w:tcPr>
            <w:tcW w:w="3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220" w:type="dxa"/>
            <w:vAlign w:val="bottom"/>
            <w:tcBorders>
              <w:left w:val="single" w:sz="8" w:color="auto"/>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380" w:type="dxa"/>
            <w:vAlign w:val="bottom"/>
            <w:vMerge w:val="continue"/>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380" w:type="dxa"/>
            <w:vAlign w:val="bottom"/>
          </w:tcPr>
          <w:p>
            <w:pPr>
              <w:jc w:val="center"/>
              <w:ind w:left="228"/>
              <w:spacing w:after="0"/>
              <w:rPr>
                <w:sz w:val="20"/>
                <w:szCs w:val="20"/>
                <w:color w:val="auto"/>
              </w:rPr>
            </w:pPr>
            <w:r>
              <w:rPr>
                <w:rFonts w:ascii="Arial" w:cs="Arial" w:eastAsia="Arial" w:hAnsi="Arial"/>
                <w:sz w:val="14"/>
                <w:szCs w:val="14"/>
                <w:b w:val="1"/>
                <w:bCs w:val="1"/>
                <w:color w:val="auto"/>
              </w:rPr>
              <w:t>PARTS,</w:t>
            </w: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380" w:type="dxa"/>
            <w:vAlign w:val="bottom"/>
          </w:tcPr>
          <w:p>
            <w:pPr>
              <w:jc w:val="center"/>
              <w:ind w:left="248"/>
              <w:spacing w:after="0"/>
              <w:rPr>
                <w:sz w:val="20"/>
                <w:szCs w:val="20"/>
                <w:color w:val="auto"/>
              </w:rPr>
            </w:pPr>
            <w:r>
              <w:rPr>
                <w:rFonts w:ascii="Arial" w:cs="Arial" w:eastAsia="Arial" w:hAnsi="Arial"/>
                <w:sz w:val="14"/>
                <w:szCs w:val="14"/>
                <w:b w:val="1"/>
                <w:bCs w:val="1"/>
                <w:color w:val="auto"/>
              </w:rPr>
              <w:t>SUPPORT</w:t>
            </w: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340" w:type="dxa"/>
            <w:vAlign w:val="bottom"/>
          </w:tcPr>
          <w:p>
            <w:pPr>
              <w:jc w:val="center"/>
              <w:ind w:left="228"/>
              <w:spacing w:after="0"/>
              <w:rPr>
                <w:sz w:val="20"/>
                <w:szCs w:val="20"/>
                <w:color w:val="auto"/>
              </w:rPr>
            </w:pPr>
            <w:r>
              <w:rPr>
                <w:rFonts w:ascii="Arial" w:cs="Arial" w:eastAsia="Arial" w:hAnsi="Arial"/>
                <w:sz w:val="14"/>
                <w:szCs w:val="14"/>
                <w:b w:val="1"/>
                <w:bCs w:val="1"/>
                <w:color w:val="auto"/>
              </w:rPr>
              <w:t>OUTSIDE</w:t>
            </w:r>
          </w:p>
        </w:tc>
        <w:tc>
          <w:tcPr>
            <w:tcW w:w="500" w:type="dxa"/>
            <w:vAlign w:val="bottom"/>
            <w:tcBorders>
              <w:right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380" w:type="dxa"/>
            <w:vAlign w:val="bottom"/>
          </w:tcPr>
          <w:p>
            <w:pPr>
              <w:jc w:val="center"/>
              <w:ind w:left="248"/>
              <w:spacing w:after="0"/>
              <w:rPr>
                <w:sz w:val="20"/>
                <w:szCs w:val="20"/>
                <w:color w:val="auto"/>
              </w:rPr>
            </w:pPr>
            <w:r>
              <w:rPr>
                <w:rFonts w:ascii="Arial" w:cs="Arial" w:eastAsia="Arial" w:hAnsi="Arial"/>
                <w:sz w:val="14"/>
                <w:szCs w:val="14"/>
                <w:b w:val="1"/>
                <w:bCs w:val="1"/>
                <w:color w:val="auto"/>
              </w:rPr>
              <w:t>EQUIPMENT</w:t>
            </w: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END MARKET</w:t>
            </w:r>
          </w:p>
        </w:tc>
        <w:tc>
          <w:tcPr>
            <w:tcW w:w="1860" w:type="dxa"/>
            <w:vAlign w:val="bottom"/>
            <w:tcBorders>
              <w:bottom w:val="single" w:sz="8" w:color="auto"/>
              <w:right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NORTH AMERICA</w:t>
            </w:r>
          </w:p>
        </w:tc>
        <w:tc>
          <w:tcPr>
            <w:tcW w:w="1840" w:type="dxa"/>
            <w:vAlign w:val="bottom"/>
            <w:tcBorders>
              <w:bottom w:val="single" w:sz="8" w:color="auto"/>
              <w:right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rPr>
              <w:t>NORTH AMERICA</w:t>
            </w:r>
          </w:p>
        </w:tc>
        <w:tc>
          <w:tcPr>
            <w:tcW w:w="14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GLOBAL</w:t>
            </w:r>
          </w:p>
        </w:tc>
        <w:tc>
          <w:tcPr>
            <w:tcW w:w="38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DEFENSE</w:t>
            </w:r>
          </w:p>
        </w:tc>
        <w:tc>
          <w:tcPr>
            <w:tcW w:w="5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&amp; OTHER</w:t>
            </w:r>
          </w:p>
        </w:tc>
        <w:tc>
          <w:tcPr>
            <w:tcW w:w="3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20" w:type="dxa"/>
            <w:vAlign w:val="bottom"/>
            <w:tcBorders>
              <w:left w:val="single" w:sz="8" w:color="auto"/>
              <w:right w:val="single" w:sz="8" w:color="auto"/>
            </w:tcBorders>
            <w:shd w:val="clear" w:color="auto" w:fill="CFF0FC"/>
          </w:tcPr>
          <w:p>
            <w:pPr>
              <w:ind w:left="20"/>
              <w:spacing w:after="0" w:line="147" w:lineRule="exact"/>
              <w:rPr>
                <w:sz w:val="20"/>
                <w:szCs w:val="20"/>
                <w:color w:val="auto"/>
              </w:rPr>
            </w:pPr>
            <w:r>
              <w:rPr>
                <w:rFonts w:ascii="Arial" w:cs="Arial" w:eastAsia="Arial" w:hAnsi="Arial"/>
                <w:sz w:val="14"/>
                <w:szCs w:val="14"/>
                <w:b w:val="1"/>
                <w:bCs w:val="1"/>
                <w:color w:val="auto"/>
              </w:rPr>
              <w:t>2025 NET SALES</w:t>
            </w:r>
          </w:p>
        </w:tc>
        <w:tc>
          <w:tcPr>
            <w:tcW w:w="120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500" w:type="dxa"/>
            <w:vAlign w:val="bottom"/>
            <w:tcBorders>
              <w:right w:val="single" w:sz="8" w:color="auto"/>
            </w:tcBorders>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80" w:type="dxa"/>
            <w:vAlign w:val="bottom"/>
            <w:tcBorders>
              <w:right w:val="single" w:sz="8" w:color="auto"/>
            </w:tcBorders>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500" w:type="dxa"/>
            <w:vAlign w:val="bottom"/>
            <w:tcBorders>
              <w:right w:val="single" w:sz="8" w:color="auto"/>
            </w:tcBorders>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3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1,540</w:t>
            </w:r>
          </w:p>
        </w:tc>
        <w:tc>
          <w:tcPr>
            <w:tcW w:w="13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right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94"/>
              </w:rPr>
              <w:t>507</w:t>
            </w:r>
          </w:p>
        </w:tc>
        <w:tc>
          <w:tcPr>
            <w:tcW w:w="14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right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89"/>
              </w:rPr>
              <w:t>53</w:t>
            </w:r>
          </w:p>
        </w:tc>
        <w:tc>
          <w:tcPr>
            <w:tcW w:w="13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267</w:t>
            </w:r>
          </w:p>
        </w:tc>
        <w:tc>
          <w:tcPr>
            <w:tcW w:w="13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94"/>
              </w:rPr>
              <w:t>643</w:t>
            </w:r>
          </w:p>
        </w:tc>
        <w:tc>
          <w:tcPr>
            <w:tcW w:w="0" w:type="dxa"/>
            <w:vAlign w:val="bottom"/>
          </w:tcPr>
          <w:p>
            <w:pPr>
              <w:spacing w:after="0"/>
              <w:rPr>
                <w:sz w:val="1"/>
                <w:szCs w:val="1"/>
                <w:color w:val="auto"/>
              </w:rPr>
            </w:pPr>
          </w:p>
        </w:tc>
      </w:tr>
      <w:tr>
        <w:trPr>
          <w:trHeight w:val="155"/>
        </w:trPr>
        <w:tc>
          <w:tcPr>
            <w:tcW w:w="222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 OF TOTAL</w:t>
            </w:r>
          </w:p>
        </w:tc>
        <w:tc>
          <w:tcPr>
            <w:tcW w:w="1200" w:type="dxa"/>
            <w:vAlign w:val="bottom"/>
            <w:tcBorders>
              <w:bottom w:val="single" w:sz="8" w:color="auto"/>
            </w:tcBorders>
          </w:tcPr>
          <w:p>
            <w:pPr>
              <w:ind w:left="720"/>
              <w:spacing w:after="0" w:line="155" w:lineRule="exact"/>
              <w:rPr>
                <w:sz w:val="20"/>
                <w:szCs w:val="20"/>
                <w:color w:val="auto"/>
              </w:rPr>
            </w:pPr>
            <w:r>
              <w:rPr>
                <w:rFonts w:ascii="Arial" w:cs="Arial" w:eastAsia="Arial" w:hAnsi="Arial"/>
                <w:sz w:val="14"/>
                <w:szCs w:val="14"/>
                <w:color w:val="auto"/>
              </w:rPr>
              <w:t>51%</w:t>
            </w:r>
          </w:p>
        </w:tc>
        <w:tc>
          <w:tcPr>
            <w:tcW w:w="6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jc w:val="center"/>
              <w:ind w:left="288"/>
              <w:spacing w:after="0" w:line="155" w:lineRule="exact"/>
              <w:rPr>
                <w:sz w:val="20"/>
                <w:szCs w:val="20"/>
                <w:color w:val="auto"/>
              </w:rPr>
            </w:pPr>
            <w:r>
              <w:rPr>
                <w:rFonts w:ascii="Arial" w:cs="Arial" w:eastAsia="Arial" w:hAnsi="Arial"/>
                <w:sz w:val="14"/>
                <w:szCs w:val="14"/>
                <w:color w:val="auto"/>
              </w:rPr>
              <w:t>17%</w:t>
            </w:r>
          </w:p>
        </w:tc>
        <w:tc>
          <w:tcPr>
            <w:tcW w:w="500" w:type="dxa"/>
            <w:vAlign w:val="bottom"/>
            <w:tcBorders>
              <w:bottom w:val="single" w:sz="8" w:color="auto"/>
              <w:right w:val="single" w:sz="8" w:color="auto"/>
            </w:tcBorders>
          </w:tcPr>
          <w:p>
            <w:pPr>
              <w:spacing w:after="0"/>
              <w:rPr>
                <w:sz w:val="13"/>
                <w:szCs w:val="13"/>
                <w:color w:val="auto"/>
              </w:rPr>
            </w:pPr>
          </w:p>
        </w:tc>
        <w:tc>
          <w:tcPr>
            <w:tcW w:w="1400" w:type="dxa"/>
            <w:vAlign w:val="bottom"/>
            <w:tcBorders>
              <w:bottom w:val="single" w:sz="8" w:color="auto"/>
            </w:tcBorders>
          </w:tcPr>
          <w:p>
            <w:pPr>
              <w:ind w:left="720"/>
              <w:spacing w:after="0" w:line="155" w:lineRule="exact"/>
              <w:rPr>
                <w:sz w:val="20"/>
                <w:szCs w:val="20"/>
                <w:color w:val="auto"/>
              </w:rPr>
            </w:pPr>
            <w:r>
              <w:rPr>
                <w:rFonts w:ascii="Arial" w:cs="Arial" w:eastAsia="Arial" w:hAnsi="Arial"/>
                <w:sz w:val="14"/>
                <w:szCs w:val="14"/>
                <w:color w:val="auto"/>
              </w:rPr>
              <w:t>2%</w:t>
            </w:r>
          </w:p>
        </w:tc>
        <w:tc>
          <w:tcPr>
            <w:tcW w:w="38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ind w:left="720"/>
              <w:spacing w:after="0" w:line="155" w:lineRule="exact"/>
              <w:rPr>
                <w:sz w:val="20"/>
                <w:szCs w:val="20"/>
                <w:color w:val="auto"/>
              </w:rPr>
            </w:pPr>
            <w:r>
              <w:rPr>
                <w:rFonts w:ascii="Arial" w:cs="Arial" w:eastAsia="Arial" w:hAnsi="Arial"/>
                <w:sz w:val="14"/>
                <w:szCs w:val="14"/>
                <w:color w:val="auto"/>
              </w:rPr>
              <w:t>9%</w:t>
            </w:r>
          </w:p>
        </w:tc>
        <w:tc>
          <w:tcPr>
            <w:tcW w:w="5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tcBorders>
          </w:tcPr>
          <w:p>
            <w:pPr>
              <w:jc w:val="center"/>
              <w:ind w:left="268"/>
              <w:spacing w:after="0" w:line="155" w:lineRule="exact"/>
              <w:rPr>
                <w:sz w:val="20"/>
                <w:szCs w:val="20"/>
                <w:color w:val="auto"/>
              </w:rPr>
            </w:pPr>
            <w:r>
              <w:rPr>
                <w:rFonts w:ascii="Arial" w:cs="Arial" w:eastAsia="Arial" w:hAnsi="Arial"/>
                <w:sz w:val="14"/>
                <w:szCs w:val="14"/>
                <w:color w:val="auto"/>
                <w:w w:val="99"/>
              </w:rPr>
              <w:t>21%</w:t>
            </w:r>
          </w:p>
        </w:tc>
        <w:tc>
          <w:tcPr>
            <w:tcW w:w="3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20" w:type="dxa"/>
            <w:vAlign w:val="bottom"/>
            <w:tcBorders>
              <w:left w:val="single" w:sz="8" w:color="auto"/>
              <w:right w:val="single" w:sz="8" w:color="auto"/>
            </w:tcBorders>
            <w:shd w:val="clear" w:color="auto" w:fill="CFF0FC"/>
          </w:tcPr>
          <w:p>
            <w:pPr>
              <w:spacing w:after="0"/>
              <w:rPr>
                <w:sz w:val="12"/>
                <w:szCs w:val="12"/>
                <w:color w:val="auto"/>
              </w:rPr>
            </w:pPr>
          </w:p>
        </w:tc>
        <w:tc>
          <w:tcPr>
            <w:tcW w:w="120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 Construction</w:t>
            </w:r>
          </w:p>
        </w:tc>
        <w:tc>
          <w:tcPr>
            <w:tcW w:w="660" w:type="dxa"/>
            <w:vAlign w:val="bottom"/>
            <w:tcBorders>
              <w:right w:val="single" w:sz="8" w:color="auto"/>
            </w:tcBorders>
            <w:shd w:val="clear" w:color="auto" w:fill="CFF0FC"/>
          </w:tcPr>
          <w:p>
            <w:pPr>
              <w:spacing w:after="0"/>
              <w:rPr>
                <w:sz w:val="12"/>
                <w:szCs w:val="12"/>
                <w:color w:val="auto"/>
              </w:rPr>
            </w:pPr>
          </w:p>
        </w:tc>
        <w:tc>
          <w:tcPr>
            <w:tcW w:w="134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 Agriculture</w:t>
            </w:r>
          </w:p>
        </w:tc>
        <w:tc>
          <w:tcPr>
            <w:tcW w:w="500" w:type="dxa"/>
            <w:vAlign w:val="bottom"/>
            <w:tcBorders>
              <w:right w:val="single" w:sz="8" w:color="auto"/>
            </w:tcBorders>
            <w:shd w:val="clear" w:color="auto" w:fill="CFF0FC"/>
          </w:tcPr>
          <w:p>
            <w:pPr>
              <w:spacing w:after="0"/>
              <w:rPr>
                <w:sz w:val="12"/>
                <w:szCs w:val="12"/>
                <w:color w:val="auto"/>
              </w:rPr>
            </w:pPr>
          </w:p>
        </w:tc>
        <w:tc>
          <w:tcPr>
            <w:tcW w:w="1400" w:type="dxa"/>
            <w:vAlign w:val="bottom"/>
            <w:shd w:val="clear" w:color="auto" w:fill="CFF0FC"/>
          </w:tcPr>
          <w:p>
            <w:pPr>
              <w:ind w:left="100"/>
              <w:spacing w:after="0" w:line="147" w:lineRule="exact"/>
              <w:rPr>
                <w:sz w:val="20"/>
                <w:szCs w:val="20"/>
                <w:color w:val="auto"/>
              </w:rPr>
            </w:pPr>
            <w:r>
              <w:rPr>
                <w:rFonts w:ascii="Arial" w:cs="Arial" w:eastAsia="Arial" w:hAnsi="Arial"/>
                <w:sz w:val="14"/>
                <w:szCs w:val="14"/>
                <w:color w:val="auto"/>
              </w:rPr>
              <w:t>• Construction</w:t>
            </w:r>
          </w:p>
        </w:tc>
        <w:tc>
          <w:tcPr>
            <w:tcW w:w="380" w:type="dxa"/>
            <w:vAlign w:val="bottom"/>
            <w:tcBorders>
              <w:right w:val="single" w:sz="8" w:color="auto"/>
            </w:tcBorders>
            <w:shd w:val="clear" w:color="auto" w:fill="CFF0FC"/>
          </w:tcPr>
          <w:p>
            <w:pPr>
              <w:spacing w:after="0"/>
              <w:rPr>
                <w:sz w:val="12"/>
                <w:szCs w:val="12"/>
                <w:color w:val="auto"/>
              </w:rPr>
            </w:pPr>
          </w:p>
        </w:tc>
        <w:tc>
          <w:tcPr>
            <w:tcW w:w="130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 Global tracked</w:t>
            </w:r>
          </w:p>
        </w:tc>
        <w:tc>
          <w:tcPr>
            <w:tcW w:w="500" w:type="dxa"/>
            <w:vAlign w:val="bottom"/>
            <w:tcBorders>
              <w:right w:val="single" w:sz="8" w:color="auto"/>
            </w:tcBorders>
            <w:shd w:val="clear" w:color="auto" w:fill="CFF0FC"/>
          </w:tcPr>
          <w:p>
            <w:pPr>
              <w:spacing w:after="0"/>
              <w:rPr>
                <w:sz w:val="12"/>
                <w:szCs w:val="12"/>
                <w:color w:val="auto"/>
              </w:rPr>
            </w:pPr>
          </w:p>
        </w:tc>
        <w:tc>
          <w:tcPr>
            <w:tcW w:w="1380" w:type="dxa"/>
            <w:vAlign w:val="bottom"/>
            <w:shd w:val="clear" w:color="auto" w:fill="CFF0FC"/>
          </w:tcPr>
          <w:p>
            <w:pPr>
              <w:ind w:left="100"/>
              <w:spacing w:after="0" w:line="147" w:lineRule="exact"/>
              <w:rPr>
                <w:sz w:val="20"/>
                <w:szCs w:val="20"/>
                <w:color w:val="auto"/>
              </w:rPr>
            </w:pPr>
            <w:r>
              <w:rPr>
                <w:rFonts w:ascii="Arial" w:cs="Arial" w:eastAsia="Arial" w:hAnsi="Arial"/>
                <w:sz w:val="14"/>
                <w:szCs w:val="14"/>
                <w:color w:val="auto"/>
              </w:rPr>
              <w:t>• Aluminum die cast</w:t>
            </w:r>
          </w:p>
        </w:tc>
        <w:tc>
          <w:tcPr>
            <w:tcW w:w="3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shd w:val="clear" w:color="auto" w:fill="CFF0FC"/>
          </w:tcPr>
          <w:p>
            <w:pPr>
              <w:spacing w:after="0"/>
              <w:rPr>
                <w:sz w:val="14"/>
                <w:szCs w:val="14"/>
                <w:color w:val="auto"/>
              </w:rPr>
            </w:pPr>
          </w:p>
        </w:tc>
        <w:tc>
          <w:tcPr>
            <w:tcW w:w="186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Day Cab Tractors</w:t>
            </w:r>
          </w:p>
        </w:tc>
        <w:tc>
          <w:tcPr>
            <w:tcW w:w="1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Construction</w:t>
            </w:r>
          </w:p>
        </w:tc>
        <w:tc>
          <w:tcPr>
            <w:tcW w:w="500" w:type="dxa"/>
            <w:vAlign w:val="bottom"/>
            <w:tcBorders>
              <w:right w:val="single" w:sz="8" w:color="auto"/>
            </w:tcBorders>
            <w:shd w:val="clear" w:color="auto" w:fill="CFF0FC"/>
          </w:tcPr>
          <w:p>
            <w:pPr>
              <w:spacing w:after="0"/>
              <w:rPr>
                <w:sz w:val="14"/>
                <w:szCs w:val="14"/>
                <w:color w:val="auto"/>
              </w:rPr>
            </w:pPr>
          </w:p>
        </w:tc>
        <w:tc>
          <w:tcPr>
            <w:tcW w:w="14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Energy</w:t>
            </w:r>
          </w:p>
        </w:tc>
        <w:tc>
          <w:tcPr>
            <w:tcW w:w="380" w:type="dxa"/>
            <w:vAlign w:val="bottom"/>
            <w:tcBorders>
              <w:right w:val="single" w:sz="8" w:color="auto"/>
            </w:tcBorders>
            <w:shd w:val="clear" w:color="auto" w:fill="CFF0FC"/>
          </w:tcPr>
          <w:p>
            <w:pPr>
              <w:spacing w:after="0"/>
              <w:rPr>
                <w:sz w:val="14"/>
                <w:szCs w:val="14"/>
                <w:color w:val="auto"/>
              </w:rPr>
            </w:pPr>
          </w:p>
        </w:tc>
        <w:tc>
          <w:tcPr>
            <w:tcW w:w="1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combat platforms</w:t>
            </w:r>
          </w:p>
        </w:tc>
        <w:tc>
          <w:tcPr>
            <w:tcW w:w="500" w:type="dxa"/>
            <w:vAlign w:val="bottom"/>
            <w:tcBorders>
              <w:right w:val="single" w:sz="8" w:color="auto"/>
            </w:tcBorders>
            <w:shd w:val="clear" w:color="auto" w:fill="CFF0FC"/>
          </w:tcPr>
          <w:p>
            <w:pPr>
              <w:spacing w:after="0"/>
              <w:rPr>
                <w:sz w:val="14"/>
                <w:szCs w:val="14"/>
                <w:color w:val="auto"/>
              </w:rPr>
            </w:pPr>
          </w:p>
        </w:tc>
        <w:tc>
          <w:tcPr>
            <w:tcW w:w="13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components</w:t>
            </w:r>
          </w:p>
        </w:tc>
        <w:tc>
          <w:tcPr>
            <w:tcW w:w="36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shd w:val="clear" w:color="auto" w:fill="CFF0FC"/>
          </w:tcPr>
          <w:p>
            <w:pPr>
              <w:spacing w:after="0"/>
              <w:rPr>
                <w:sz w:val="14"/>
                <w:szCs w:val="14"/>
                <w:color w:val="auto"/>
              </w:rPr>
            </w:pPr>
          </w:p>
        </w:tc>
        <w:tc>
          <w:tcPr>
            <w:tcW w:w="1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Distribution</w:t>
            </w:r>
          </w:p>
        </w:tc>
        <w:tc>
          <w:tcPr>
            <w:tcW w:w="660" w:type="dxa"/>
            <w:vAlign w:val="bottom"/>
            <w:tcBorders>
              <w:right w:val="single" w:sz="8" w:color="auto"/>
            </w:tcBorders>
            <w:shd w:val="clear" w:color="auto" w:fill="CFF0FC"/>
          </w:tcPr>
          <w:p>
            <w:pPr>
              <w:spacing w:after="0"/>
              <w:rPr>
                <w:sz w:val="14"/>
                <w:szCs w:val="14"/>
                <w:color w:val="auto"/>
              </w:rPr>
            </w:pPr>
          </w:p>
        </w:tc>
        <w:tc>
          <w:tcPr>
            <w:tcW w:w="1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Distribution</w:t>
            </w:r>
          </w:p>
        </w:tc>
        <w:tc>
          <w:tcPr>
            <w:tcW w:w="500" w:type="dxa"/>
            <w:vAlign w:val="bottom"/>
            <w:tcBorders>
              <w:right w:val="single" w:sz="8" w:color="auto"/>
            </w:tcBorders>
            <w:shd w:val="clear" w:color="auto" w:fill="CFF0FC"/>
          </w:tcPr>
          <w:p>
            <w:pPr>
              <w:spacing w:after="0"/>
              <w:rPr>
                <w:sz w:val="14"/>
                <w:szCs w:val="14"/>
                <w:color w:val="auto"/>
              </w:rPr>
            </w:pPr>
          </w:p>
        </w:tc>
        <w:tc>
          <w:tcPr>
            <w:tcW w:w="14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Mining</w:t>
            </w:r>
          </w:p>
        </w:tc>
        <w:tc>
          <w:tcPr>
            <w:tcW w:w="380" w:type="dxa"/>
            <w:vAlign w:val="bottom"/>
            <w:tcBorders>
              <w:right w:val="single" w:sz="8" w:color="auto"/>
            </w:tcBorders>
            <w:shd w:val="clear" w:color="auto" w:fill="CFF0FC"/>
          </w:tcPr>
          <w:p>
            <w:pPr>
              <w:spacing w:after="0"/>
              <w:rPr>
                <w:sz w:val="14"/>
                <w:szCs w:val="14"/>
                <w:color w:val="auto"/>
              </w:rPr>
            </w:pPr>
          </w:p>
        </w:tc>
        <w:tc>
          <w:tcPr>
            <w:tcW w:w="1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North America</w:t>
            </w:r>
          </w:p>
        </w:tc>
        <w:tc>
          <w:tcPr>
            <w:tcW w:w="500" w:type="dxa"/>
            <w:vAlign w:val="bottom"/>
            <w:tcBorders>
              <w:right w:val="single" w:sz="8" w:color="auto"/>
            </w:tcBorders>
            <w:shd w:val="clear" w:color="auto" w:fill="CFF0FC"/>
          </w:tcPr>
          <w:p>
            <w:pPr>
              <w:spacing w:after="0"/>
              <w:rPr>
                <w:sz w:val="14"/>
                <w:szCs w:val="14"/>
                <w:color w:val="auto"/>
              </w:rPr>
            </w:pPr>
          </w:p>
        </w:tc>
        <w:tc>
          <w:tcPr>
            <w:tcW w:w="13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Extended</w:t>
            </w:r>
          </w:p>
        </w:tc>
        <w:tc>
          <w:tcPr>
            <w:tcW w:w="36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shd w:val="clear" w:color="auto" w:fill="CFF0FC"/>
          </w:tcPr>
          <w:p>
            <w:pPr>
              <w:spacing w:after="0"/>
              <w:rPr>
                <w:sz w:val="14"/>
                <w:szCs w:val="14"/>
                <w:color w:val="auto"/>
              </w:rPr>
            </w:pPr>
          </w:p>
        </w:tc>
        <w:tc>
          <w:tcPr>
            <w:tcW w:w="1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Emergency</w:t>
            </w:r>
          </w:p>
        </w:tc>
        <w:tc>
          <w:tcPr>
            <w:tcW w:w="660" w:type="dxa"/>
            <w:vAlign w:val="bottom"/>
            <w:tcBorders>
              <w:right w:val="single" w:sz="8" w:color="auto"/>
            </w:tcBorders>
            <w:shd w:val="clear" w:color="auto" w:fill="CFF0FC"/>
          </w:tcPr>
          <w:p>
            <w:pPr>
              <w:spacing w:after="0"/>
              <w:rPr>
                <w:sz w:val="14"/>
                <w:szCs w:val="14"/>
                <w:color w:val="auto"/>
              </w:rPr>
            </w:pPr>
          </w:p>
        </w:tc>
        <w:tc>
          <w:tcPr>
            <w:tcW w:w="1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Emergency</w:t>
            </w:r>
          </w:p>
        </w:tc>
        <w:tc>
          <w:tcPr>
            <w:tcW w:w="500" w:type="dxa"/>
            <w:vAlign w:val="bottom"/>
            <w:tcBorders>
              <w:right w:val="single" w:sz="8" w:color="auto"/>
            </w:tcBorders>
            <w:shd w:val="clear" w:color="auto" w:fill="CFF0FC"/>
          </w:tcPr>
          <w:p>
            <w:pPr>
              <w:spacing w:after="0"/>
              <w:rPr>
                <w:sz w:val="14"/>
                <w:szCs w:val="14"/>
                <w:color w:val="auto"/>
              </w:rPr>
            </w:pPr>
          </w:p>
        </w:tc>
        <w:tc>
          <w:tcPr>
            <w:tcW w:w="14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Specialty vehicle</w:t>
            </w:r>
          </w:p>
        </w:tc>
        <w:tc>
          <w:tcPr>
            <w:tcW w:w="380" w:type="dxa"/>
            <w:vAlign w:val="bottom"/>
            <w:tcBorders>
              <w:right w:val="single" w:sz="8" w:color="auto"/>
            </w:tcBorders>
            <w:shd w:val="clear" w:color="auto" w:fill="CFF0FC"/>
          </w:tcPr>
          <w:p>
            <w:pPr>
              <w:spacing w:after="0"/>
              <w:rPr>
                <w:sz w:val="14"/>
                <w:szCs w:val="14"/>
                <w:color w:val="auto"/>
              </w:rPr>
            </w:pPr>
          </w:p>
        </w:tc>
        <w:tc>
          <w:tcPr>
            <w:tcW w:w="1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wheeled platforms</w:t>
            </w:r>
          </w:p>
        </w:tc>
        <w:tc>
          <w:tcPr>
            <w:tcW w:w="500" w:type="dxa"/>
            <w:vAlign w:val="bottom"/>
            <w:tcBorders>
              <w:right w:val="single" w:sz="8" w:color="auto"/>
            </w:tcBorders>
            <w:shd w:val="clear" w:color="auto" w:fill="CFF0FC"/>
          </w:tcPr>
          <w:p>
            <w:pPr>
              <w:spacing w:after="0"/>
              <w:rPr>
                <w:sz w:val="14"/>
                <w:szCs w:val="14"/>
                <w:color w:val="auto"/>
              </w:rPr>
            </w:pPr>
          </w:p>
        </w:tc>
        <w:tc>
          <w:tcPr>
            <w:tcW w:w="1740" w:type="dxa"/>
            <w:vAlign w:val="bottom"/>
            <w:tcBorders>
              <w:right w:val="single" w:sz="8" w:color="auto"/>
            </w:tcBorders>
            <w:gridSpan w:val="2"/>
            <w:shd w:val="clear" w:color="auto" w:fill="CFF0FC"/>
          </w:tcPr>
          <w:p>
            <w:pPr>
              <w:ind w:left="100"/>
              <w:spacing w:after="0"/>
              <w:rPr>
                <w:sz w:val="20"/>
                <w:szCs w:val="20"/>
                <w:color w:val="auto"/>
              </w:rPr>
            </w:pPr>
            <w:r>
              <w:rPr>
                <w:rFonts w:ascii="Arial" w:cs="Arial" w:eastAsia="Arial" w:hAnsi="Arial"/>
                <w:sz w:val="14"/>
                <w:szCs w:val="14"/>
                <w:color w:val="auto"/>
              </w:rPr>
              <w:t>transmission coverage</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shd w:val="clear" w:color="auto" w:fill="CFF0FC"/>
          </w:tcPr>
          <w:p>
            <w:pPr>
              <w:spacing w:after="0"/>
              <w:rPr>
                <w:sz w:val="14"/>
                <w:szCs w:val="14"/>
                <w:color w:val="auto"/>
              </w:rPr>
            </w:pPr>
          </w:p>
        </w:tc>
        <w:tc>
          <w:tcPr>
            <w:tcW w:w="1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Motorhome</w:t>
            </w:r>
          </w:p>
        </w:tc>
        <w:tc>
          <w:tcPr>
            <w:tcW w:w="660" w:type="dxa"/>
            <w:vAlign w:val="bottom"/>
            <w:tcBorders>
              <w:right w:val="single" w:sz="8" w:color="auto"/>
            </w:tcBorders>
            <w:shd w:val="clear" w:color="auto" w:fill="CFF0FC"/>
          </w:tcPr>
          <w:p>
            <w:pPr>
              <w:spacing w:after="0"/>
              <w:rPr>
                <w:sz w:val="14"/>
                <w:szCs w:val="14"/>
                <w:color w:val="auto"/>
              </w:rPr>
            </w:pPr>
          </w:p>
        </w:tc>
        <w:tc>
          <w:tcPr>
            <w:tcW w:w="1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Mining</w:t>
            </w:r>
          </w:p>
        </w:tc>
        <w:tc>
          <w:tcPr>
            <w:tcW w:w="500" w:type="dxa"/>
            <w:vAlign w:val="bottom"/>
            <w:tcBorders>
              <w:right w:val="single" w:sz="8" w:color="auto"/>
            </w:tcBorders>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80" w:type="dxa"/>
            <w:vAlign w:val="bottom"/>
            <w:tcBorders>
              <w:right w:val="single" w:sz="8" w:color="auto"/>
            </w:tcBorders>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3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Remanufactured</w:t>
            </w:r>
          </w:p>
        </w:tc>
        <w:tc>
          <w:tcPr>
            <w:tcW w:w="36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shd w:val="clear" w:color="auto" w:fill="CFF0FC"/>
          </w:tcPr>
          <w:p>
            <w:pPr>
              <w:spacing w:after="0"/>
              <w:rPr>
                <w:sz w:val="14"/>
                <w:szCs w:val="14"/>
                <w:color w:val="auto"/>
              </w:rPr>
            </w:pPr>
          </w:p>
        </w:tc>
        <w:tc>
          <w:tcPr>
            <w:tcW w:w="1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Refuse</w:t>
            </w:r>
          </w:p>
        </w:tc>
        <w:tc>
          <w:tcPr>
            <w:tcW w:w="660" w:type="dxa"/>
            <w:vAlign w:val="bottom"/>
            <w:tcBorders>
              <w:right w:val="single" w:sz="8" w:color="auto"/>
            </w:tcBorders>
            <w:shd w:val="clear" w:color="auto" w:fill="CFF0FC"/>
          </w:tcPr>
          <w:p>
            <w:pPr>
              <w:spacing w:after="0"/>
              <w:rPr>
                <w:sz w:val="14"/>
                <w:szCs w:val="14"/>
                <w:color w:val="auto"/>
              </w:rPr>
            </w:pPr>
          </w:p>
        </w:tc>
        <w:tc>
          <w:tcPr>
            <w:tcW w:w="1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Refuse</w:t>
            </w:r>
          </w:p>
        </w:tc>
        <w:tc>
          <w:tcPr>
            <w:tcW w:w="500" w:type="dxa"/>
            <w:vAlign w:val="bottom"/>
            <w:tcBorders>
              <w:right w:val="single" w:sz="8" w:color="auto"/>
            </w:tcBorders>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80" w:type="dxa"/>
            <w:vAlign w:val="bottom"/>
            <w:tcBorders>
              <w:right w:val="single" w:sz="8" w:color="auto"/>
            </w:tcBorders>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3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propulsion solutions</w:t>
            </w:r>
          </w:p>
        </w:tc>
        <w:tc>
          <w:tcPr>
            <w:tcW w:w="36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shd w:val="clear" w:color="auto" w:fill="CFF0FC"/>
          </w:tcPr>
          <w:p>
            <w:pPr>
              <w:spacing w:after="0"/>
              <w:rPr>
                <w:sz w:val="14"/>
                <w:szCs w:val="14"/>
                <w:color w:val="auto"/>
              </w:rPr>
            </w:pPr>
          </w:p>
        </w:tc>
        <w:tc>
          <w:tcPr>
            <w:tcW w:w="1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School, transit,</w:t>
            </w:r>
          </w:p>
        </w:tc>
        <w:tc>
          <w:tcPr>
            <w:tcW w:w="660" w:type="dxa"/>
            <w:vAlign w:val="bottom"/>
            <w:tcBorders>
              <w:right w:val="single" w:sz="8" w:color="auto"/>
            </w:tcBorders>
            <w:shd w:val="clear" w:color="auto" w:fill="CFF0FC"/>
          </w:tcPr>
          <w:p>
            <w:pPr>
              <w:spacing w:after="0"/>
              <w:rPr>
                <w:sz w:val="14"/>
                <w:szCs w:val="14"/>
                <w:color w:val="auto"/>
              </w:rPr>
            </w:pPr>
          </w:p>
        </w:tc>
        <w:tc>
          <w:tcPr>
            <w:tcW w:w="1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School,</w:t>
            </w:r>
          </w:p>
        </w:tc>
        <w:tc>
          <w:tcPr>
            <w:tcW w:w="500" w:type="dxa"/>
            <w:vAlign w:val="bottom"/>
            <w:tcBorders>
              <w:right w:val="single" w:sz="8" w:color="auto"/>
            </w:tcBorders>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80" w:type="dxa"/>
            <w:vAlign w:val="bottom"/>
            <w:tcBorders>
              <w:right w:val="single" w:sz="8" w:color="auto"/>
            </w:tcBorders>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3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Royalties</w:t>
            </w:r>
          </w:p>
        </w:tc>
        <w:tc>
          <w:tcPr>
            <w:tcW w:w="36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shd w:val="clear" w:color="auto" w:fill="CFF0FC"/>
          </w:tcPr>
          <w:p>
            <w:pPr>
              <w:spacing w:after="0"/>
              <w:rPr>
                <w:sz w:val="14"/>
                <w:szCs w:val="14"/>
                <w:color w:val="auto"/>
              </w:rPr>
            </w:pPr>
          </w:p>
        </w:tc>
        <w:tc>
          <w:tcPr>
            <w:tcW w:w="186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shuttle and coach</w:t>
            </w:r>
          </w:p>
        </w:tc>
        <w:tc>
          <w:tcPr>
            <w:tcW w:w="1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transit, shuttle</w:t>
            </w:r>
          </w:p>
        </w:tc>
        <w:tc>
          <w:tcPr>
            <w:tcW w:w="500" w:type="dxa"/>
            <w:vAlign w:val="bottom"/>
            <w:tcBorders>
              <w:right w:val="single" w:sz="8" w:color="auto"/>
            </w:tcBorders>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80" w:type="dxa"/>
            <w:vAlign w:val="bottom"/>
            <w:tcBorders>
              <w:right w:val="single" w:sz="8" w:color="auto"/>
            </w:tcBorders>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740" w:type="dxa"/>
            <w:vAlign w:val="bottom"/>
            <w:tcBorders>
              <w:right w:val="single" w:sz="8" w:color="auto"/>
            </w:tcBorders>
            <w:gridSpan w:val="2"/>
            <w:shd w:val="clear" w:color="auto" w:fill="CFF0FC"/>
          </w:tcPr>
          <w:p>
            <w:pPr>
              <w:ind w:left="100"/>
              <w:spacing w:after="0"/>
              <w:rPr>
                <w:sz w:val="20"/>
                <w:szCs w:val="20"/>
                <w:color w:val="auto"/>
              </w:rPr>
            </w:pPr>
            <w:r>
              <w:rPr>
                <w:rFonts w:ascii="Arial" w:cs="Arial" w:eastAsia="Arial" w:hAnsi="Arial"/>
                <w:sz w:val="14"/>
                <w:szCs w:val="14"/>
                <w:color w:val="auto"/>
              </w:rPr>
              <w:t>• Saleable engineering</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shd w:val="clear" w:color="auto" w:fill="CFF0FC"/>
          </w:tcPr>
          <w:p>
            <w:pPr>
              <w:spacing w:after="0"/>
              <w:rPr>
                <w:sz w:val="14"/>
                <w:szCs w:val="14"/>
                <w:color w:val="auto"/>
              </w:rPr>
            </w:pPr>
          </w:p>
        </w:tc>
        <w:tc>
          <w:tcPr>
            <w:tcW w:w="1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buses</w:t>
            </w:r>
          </w:p>
        </w:tc>
        <w:tc>
          <w:tcPr>
            <w:tcW w:w="660" w:type="dxa"/>
            <w:vAlign w:val="bottom"/>
            <w:tcBorders>
              <w:right w:val="single" w:sz="8" w:color="auto"/>
            </w:tcBorders>
            <w:shd w:val="clear" w:color="auto" w:fill="CFF0FC"/>
          </w:tcPr>
          <w:p>
            <w:pPr>
              <w:spacing w:after="0"/>
              <w:rPr>
                <w:sz w:val="14"/>
                <w:szCs w:val="14"/>
                <w:color w:val="auto"/>
              </w:rPr>
            </w:pPr>
          </w:p>
        </w:tc>
        <w:tc>
          <w:tcPr>
            <w:tcW w:w="1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coach buses</w:t>
            </w:r>
          </w:p>
        </w:tc>
        <w:tc>
          <w:tcPr>
            <w:tcW w:w="500" w:type="dxa"/>
            <w:vAlign w:val="bottom"/>
            <w:tcBorders>
              <w:right w:val="single" w:sz="8" w:color="auto"/>
            </w:tcBorders>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80" w:type="dxa"/>
            <w:vAlign w:val="bottom"/>
            <w:tcBorders>
              <w:right w:val="single" w:sz="8" w:color="auto"/>
            </w:tcBorders>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3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Service parts</w:t>
            </w:r>
          </w:p>
        </w:tc>
        <w:tc>
          <w:tcPr>
            <w:tcW w:w="36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shd w:val="clear" w:color="auto" w:fill="CFF0FC"/>
          </w:tcPr>
          <w:p>
            <w:pPr>
              <w:spacing w:after="0"/>
              <w:rPr>
                <w:sz w:val="14"/>
                <w:szCs w:val="14"/>
                <w:color w:val="auto"/>
              </w:rPr>
            </w:pPr>
          </w:p>
        </w:tc>
        <w:tc>
          <w:tcPr>
            <w:tcW w:w="1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Utility</w:t>
            </w:r>
          </w:p>
        </w:tc>
        <w:tc>
          <w:tcPr>
            <w:tcW w:w="660" w:type="dxa"/>
            <w:vAlign w:val="bottom"/>
            <w:tcBorders>
              <w:right w:val="single" w:sz="8" w:color="auto"/>
            </w:tcBorders>
            <w:shd w:val="clear" w:color="auto" w:fill="CFF0FC"/>
          </w:tcPr>
          <w:p>
            <w:pPr>
              <w:spacing w:after="0"/>
              <w:rPr>
                <w:sz w:val="14"/>
                <w:szCs w:val="14"/>
                <w:color w:val="auto"/>
              </w:rPr>
            </w:pPr>
          </w:p>
        </w:tc>
        <w:tc>
          <w:tcPr>
            <w:tcW w:w="1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Specialty</w:t>
            </w:r>
          </w:p>
        </w:tc>
        <w:tc>
          <w:tcPr>
            <w:tcW w:w="500" w:type="dxa"/>
            <w:vAlign w:val="bottom"/>
            <w:tcBorders>
              <w:right w:val="single" w:sz="8" w:color="auto"/>
            </w:tcBorders>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80" w:type="dxa"/>
            <w:vAlign w:val="bottom"/>
            <w:tcBorders>
              <w:right w:val="single" w:sz="8" w:color="auto"/>
            </w:tcBorders>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740" w:type="dxa"/>
            <w:vAlign w:val="bottom"/>
            <w:tcBorders>
              <w:right w:val="single" w:sz="8" w:color="auto"/>
            </w:tcBorders>
            <w:gridSpan w:val="2"/>
            <w:shd w:val="clear" w:color="auto" w:fill="CFF0FC"/>
          </w:tcPr>
          <w:p>
            <w:pPr>
              <w:ind w:left="100"/>
              <w:spacing w:after="0"/>
              <w:rPr>
                <w:sz w:val="20"/>
                <w:szCs w:val="20"/>
                <w:color w:val="auto"/>
              </w:rPr>
            </w:pPr>
            <w:r>
              <w:rPr>
                <w:rFonts w:ascii="Arial" w:cs="Arial" w:eastAsia="Arial" w:hAnsi="Arial"/>
                <w:sz w:val="14"/>
                <w:szCs w:val="14"/>
                <w:color w:val="auto"/>
              </w:rPr>
              <w:t>• Support equipment</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60" w:type="dxa"/>
            <w:vAlign w:val="bottom"/>
            <w:tcBorders>
              <w:right w:val="single" w:sz="8" w:color="auto"/>
            </w:tcBorders>
            <w:shd w:val="clear" w:color="auto" w:fill="CFF0FC"/>
          </w:tcPr>
          <w:p>
            <w:pPr>
              <w:spacing w:after="0"/>
              <w:rPr>
                <w:sz w:val="14"/>
                <w:szCs w:val="14"/>
                <w:color w:val="auto"/>
              </w:rPr>
            </w:pPr>
          </w:p>
        </w:tc>
        <w:tc>
          <w:tcPr>
            <w:tcW w:w="1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Wheeled defense</w:t>
            </w:r>
          </w:p>
        </w:tc>
        <w:tc>
          <w:tcPr>
            <w:tcW w:w="500" w:type="dxa"/>
            <w:vAlign w:val="bottom"/>
            <w:tcBorders>
              <w:right w:val="single" w:sz="8" w:color="auto"/>
            </w:tcBorders>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80" w:type="dxa"/>
            <w:vAlign w:val="bottom"/>
            <w:tcBorders>
              <w:right w:val="single" w:sz="8" w:color="auto"/>
            </w:tcBorders>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740" w:type="dxa"/>
            <w:vAlign w:val="bottom"/>
            <w:tcBorders>
              <w:right w:val="single" w:sz="8" w:color="auto"/>
            </w:tcBorders>
            <w:gridSpan w:val="2"/>
            <w:shd w:val="clear" w:color="auto" w:fill="CFF0FC"/>
          </w:tcPr>
          <w:p>
            <w:pPr>
              <w:ind w:left="100"/>
              <w:spacing w:after="0"/>
              <w:rPr>
                <w:sz w:val="20"/>
                <w:szCs w:val="20"/>
                <w:color w:val="auto"/>
              </w:rPr>
            </w:pPr>
            <w:r>
              <w:rPr>
                <w:rFonts w:ascii="Arial" w:cs="Arial" w:eastAsia="Arial" w:hAnsi="Arial"/>
                <w:sz w:val="14"/>
                <w:szCs w:val="14"/>
                <w:color w:val="auto"/>
              </w:rPr>
              <w:t>• Transmission fluids</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60" w:type="dxa"/>
            <w:vAlign w:val="bottom"/>
            <w:tcBorders>
              <w:right w:val="single" w:sz="8" w:color="auto"/>
            </w:tcBorders>
            <w:shd w:val="clear" w:color="auto" w:fill="CFF0FC"/>
          </w:tcPr>
          <w:p>
            <w:pPr>
              <w:spacing w:after="0"/>
              <w:rPr>
                <w:sz w:val="14"/>
                <w:szCs w:val="14"/>
                <w:color w:val="auto"/>
              </w:rPr>
            </w:pPr>
          </w:p>
        </w:tc>
        <w:tc>
          <w:tcPr>
            <w:tcW w:w="1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platforms</w:t>
            </w:r>
          </w:p>
        </w:tc>
        <w:tc>
          <w:tcPr>
            <w:tcW w:w="500" w:type="dxa"/>
            <w:vAlign w:val="bottom"/>
            <w:tcBorders>
              <w:right w:val="single" w:sz="8" w:color="auto"/>
            </w:tcBorders>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80" w:type="dxa"/>
            <w:vAlign w:val="bottom"/>
            <w:tcBorders>
              <w:right w:val="single" w:sz="8" w:color="auto"/>
            </w:tcBorders>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36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right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 Utility</w:t>
            </w:r>
          </w:p>
        </w:tc>
        <w:tc>
          <w:tcPr>
            <w:tcW w:w="500" w:type="dxa"/>
            <w:vAlign w:val="bottom"/>
            <w:tcBorders>
              <w:bottom w:val="single" w:sz="8" w:color="auto"/>
              <w:right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right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right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380" w:firstLine="562"/>
        <w:spacing w:after="0" w:line="271" w:lineRule="auto"/>
        <w:rPr>
          <w:sz w:val="20"/>
          <w:szCs w:val="20"/>
          <w:color w:val="auto"/>
        </w:rPr>
      </w:pPr>
      <w:r>
        <w:rPr>
          <w:rFonts w:ascii="Arial" w:cs="Arial" w:eastAsia="Arial" w:hAnsi="Arial"/>
          <w:sz w:val="18"/>
          <w:szCs w:val="18"/>
          <w:color w:val="auto"/>
        </w:rPr>
        <w:t>Refer to "Note 19. Concentration of Risk” of Notes to Consolidated Financial Statements included in Part II, Item 8., of this Annual Report on Form 10-K for additional information on our significant original equipment manufacturer (“OEM”) customers.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 On-Highway</w:t>
      </w:r>
    </w:p>
    <w:p>
      <w:pPr>
        <w:spacing w:after="0" w:line="158" w:lineRule="exact"/>
        <w:rPr>
          <w:sz w:val="20"/>
          <w:szCs w:val="20"/>
          <w:color w:val="auto"/>
        </w:rPr>
      </w:pPr>
    </w:p>
    <w:p>
      <w:pPr>
        <w:ind w:right="400" w:firstLine="494"/>
        <w:spacing w:after="0" w:line="271" w:lineRule="auto"/>
        <w:rPr>
          <w:sz w:val="20"/>
          <w:szCs w:val="20"/>
          <w:color w:val="auto"/>
        </w:rPr>
      </w:pPr>
      <w:r>
        <w:rPr>
          <w:rFonts w:ascii="Arial" w:cs="Arial" w:eastAsia="Arial" w:hAnsi="Arial"/>
          <w:sz w:val="18"/>
          <w:szCs w:val="18"/>
          <w:color w:val="auto"/>
        </w:rPr>
        <w:t>We are the largest manufacturer of fully automatic transmissions for the on-highway medium- and heavy-duty commercial vehicle market in North America. The following is a summary of our on-highway net sales by vehicle class and type in North America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74930</wp:posOffset>
            </wp:positionV>
            <wp:extent cx="4311650" cy="2468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165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Our North American on-highway market includes Class 4-5, Class 6-7 and Class 8 straight trucks and regional haul tractors,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pull. Class 8 tractors are further divided into two subcategories: regional haul and line-haul. Regional haul tractors are typically used for local or regional hauling, whereas line-haul tractors are typically used in extended duration long distance hauling. We have been supplying transmissions for Class 8 straight trucks for decades, and it is a core end market for us. We have limited exposure to the Class 8 line-haul tractor market because lower priced manual transmissions and AMTs generally meet the needs of these vehicles, which are primarily used in long distance hauling.</w:t>
      </w:r>
    </w:p>
    <w:p>
      <w:pPr>
        <w:spacing w:after="0" w:line="126"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We also provide electric hybrid propulsion solutions within the North American on-highway transit market, where interest in conserving fuel and reducing greenhouse gas emissions remains a customer desire. We compete primarily with BAE Systems plc in the transit market segment.</w:t>
      </w:r>
    </w:p>
    <w:p>
      <w:pPr>
        <w:spacing w:after="0" w:line="115"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We sell substantially all of our propulsion solutions in the North American on-highway market to OEMs. These OEMs, in turn, install our propulsion solutions in vehicles in which our product is either the exclusive propulsion solution available or is specifically requested by end users. In 2025, OEM customers representing over 90% of our North American on-highway unit volume participated in long-term agreements (“LTAs”) with us. Generally, these LTAs offer the OEM customer defined levels of mutual commitment with respect to growing Allison’s presence in the OEMs’ products and promotional efforts, pricing and sharing of commodity cost risk. The length of our LTAs is typically between three and five years. We often compete in this market against (i) independent manufacturers of manual transmissions, AMTs and electric hybrid and fully electric propulsion solutions, (ii) fully automatic transmissions manufactured by Ford Motor Company (“Ford”), ZF Friedrichshafen AG (“ZF”) and Driventic GmbH (“Driventic”) and (iii) vertically integrated OEMs in certain weight classes that use their own internally manufactured transmissions in certain vehicles.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North America On-Highway</w:t>
      </w:r>
    </w:p>
    <w:p>
      <w:pPr>
        <w:spacing w:after="0" w:line="212"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Outside North America we serve several different markets, including: Asia-Pacific, Europe, Middle East, Africa (collectively, “EMEA”), and South America.</w:t>
      </w:r>
    </w:p>
    <w:p>
      <w:pPr>
        <w:spacing w:after="0" w:line="100"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We are a leading manufacturer of fully automatic transmissions for the medium-duty and heavy-duty commercial vehicle market outside of North America. We also provide fully electric propulsion solutions for the outside North America on-highway market. While the use of fully automatic transmissions in the medium- and heavy-duty commercial vehicle market has been widely accepted in North America, markets outside North America continue to be predominantly served by manual transmissions. Where adopted, fully automatic transmission-equipped medium- and heavy-duty commercial vehicles are concentrated in certain vocational end markets. We often compete in this market against (i) independent manufacturers of manual transmissions, AMTs and electric hybrid and fully electric propulsion solutions, (ii) fully automatic transmissions manufactured by ZF, Driventic, and Shaanxi Fast Gear Co., Ltd. and (iii) vertically integrated OEMs. The following is a summary of our on-highway net sales by region outside of North America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92075</wp:posOffset>
            </wp:positionV>
            <wp:extent cx="4397375" cy="2125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9737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80" w:firstLine="894"/>
        <w:spacing w:after="0" w:line="244" w:lineRule="auto"/>
        <w:rPr>
          <w:sz w:val="20"/>
          <w:szCs w:val="20"/>
          <w:color w:val="auto"/>
        </w:rPr>
      </w:pPr>
      <w:r>
        <w:rPr>
          <w:rFonts w:ascii="Arial" w:cs="Arial" w:eastAsia="Arial" w:hAnsi="Arial"/>
          <w:sz w:val="18"/>
          <w:szCs w:val="18"/>
          <w:b w:val="1"/>
          <w:bCs w:val="1"/>
          <w:i w:val="1"/>
          <w:iCs w:val="1"/>
          <w:color w:val="auto"/>
        </w:rPr>
        <w:t xml:space="preserve">Asia-Pacific. </w:t>
      </w:r>
      <w:r>
        <w:rPr>
          <w:rFonts w:ascii="Arial" w:cs="Arial" w:eastAsia="Arial" w:hAnsi="Arial"/>
          <w:sz w:val="18"/>
          <w:szCs w:val="18"/>
          <w:color w:val="auto"/>
        </w:rPr>
        <w:t>Our key Asia-Pacific markets include Australia, China, India, Japan and South Korea; however, we actively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participate in several other important Asia-Pacific countries including Indonesia, Malaysia, Singapore, Taiwan and Thailand. In addition, OEMs in the Asia-Pacific market are increasingly exporting their products to other regions. Within Asia-Pacific, our sales efforts are principally focused on the transit bus, vocational truck, severe service, distribution and wide-body dump truck markets. Currently, manual transmissions are the predominant transmission type used in commercial vehicles in the Asia-Pacific region.</w:t>
      </w:r>
    </w:p>
    <w:p>
      <w:pPr>
        <w:spacing w:after="0" w:line="122" w:lineRule="exact"/>
        <w:rPr>
          <w:sz w:val="20"/>
          <w:szCs w:val="20"/>
          <w:color w:val="auto"/>
        </w:rPr>
      </w:pPr>
    </w:p>
    <w:p>
      <w:pPr>
        <w:ind w:right="40" w:firstLine="894"/>
        <w:spacing w:after="0"/>
        <w:rPr>
          <w:sz w:val="20"/>
          <w:szCs w:val="20"/>
          <w:color w:val="auto"/>
        </w:rPr>
      </w:pPr>
      <w:r>
        <w:rPr>
          <w:rFonts w:ascii="Arial" w:cs="Arial" w:eastAsia="Arial" w:hAnsi="Arial"/>
          <w:sz w:val="18"/>
          <w:szCs w:val="18"/>
          <w:b w:val="1"/>
          <w:bCs w:val="1"/>
          <w:i w:val="1"/>
          <w:iCs w:val="1"/>
          <w:color w:val="auto"/>
        </w:rPr>
        <w:t xml:space="preserve">Europe, Middle East, Africa. </w:t>
      </w:r>
      <w:r>
        <w:rPr>
          <w:rFonts w:ascii="Arial" w:cs="Arial" w:eastAsia="Arial" w:hAnsi="Arial"/>
          <w:sz w:val="18"/>
          <w:szCs w:val="18"/>
          <w:color w:val="auto"/>
        </w:rPr>
        <w:t>EMEA is composed of several different markets, each of which differs from our core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American market by the degree of market maturity, sophistication and acceptance of fully automatic transmission and electric propulsion solution technology. Within Europe, we serve Western European developed markets, as well as Eastern European emerging markets, principally in the refuse, emergency, transit bus, coach bus, distribution, utility and wheeled defense vehicle markets. Competition in Western Europe is most notably characterized by a high level of vertical powertrain integration, with OEMs often utilizing vertically integrated manual transmissions and AMTs in their vehicles, and electric hybrid and fully electric propulsion solutions. The Middle East and Africa regions are generally characterized by very limited local vehicle production, with imports from China, Europe, India, South America, Turkey and the U.S. accounting for the majority of vehicles.</w:t>
      </w:r>
    </w:p>
    <w:p>
      <w:pPr>
        <w:spacing w:after="0" w:line="126" w:lineRule="exact"/>
        <w:rPr>
          <w:sz w:val="20"/>
          <w:szCs w:val="20"/>
          <w:color w:val="auto"/>
        </w:rPr>
      </w:pPr>
    </w:p>
    <w:p>
      <w:pPr>
        <w:ind w:right="420" w:firstLine="894"/>
        <w:spacing w:after="0" w:line="271" w:lineRule="auto"/>
        <w:rPr>
          <w:sz w:val="20"/>
          <w:szCs w:val="20"/>
          <w:color w:val="auto"/>
        </w:rPr>
      </w:pPr>
      <w:r>
        <w:rPr>
          <w:rFonts w:ascii="Arial" w:cs="Arial" w:eastAsia="Arial" w:hAnsi="Arial"/>
          <w:sz w:val="18"/>
          <w:szCs w:val="18"/>
          <w:b w:val="1"/>
          <w:bCs w:val="1"/>
          <w:i w:val="1"/>
          <w:iCs w:val="1"/>
          <w:color w:val="auto"/>
        </w:rPr>
        <w:t xml:space="preserve">South America. </w:t>
      </w:r>
      <w:r>
        <w:rPr>
          <w:rFonts w:ascii="Arial" w:cs="Arial" w:eastAsia="Arial" w:hAnsi="Arial"/>
          <w:sz w:val="18"/>
          <w:szCs w:val="18"/>
          <w:color w:val="auto"/>
        </w:rPr>
        <w:t>The South American region is characterized by a high level of OEM vertical integration, with captive manual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transmission and AMT manufacturing. Currently, manual transmissions are the predominant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transmissions used in commercial vehicles in South America. We serve the South American region primarily in the bus, refuse, vocational truck and agricultural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Off-Highway</w:t>
      </w:r>
    </w:p>
    <w:p>
      <w:pPr>
        <w:spacing w:after="0" w:line="158" w:lineRule="exact"/>
        <w:rPr>
          <w:sz w:val="20"/>
          <w:szCs w:val="20"/>
          <w:color w:val="auto"/>
        </w:rPr>
      </w:pPr>
    </w:p>
    <w:p>
      <w:pPr>
        <w:ind w:right="40" w:firstLine="894"/>
        <w:spacing w:after="0" w:line="244" w:lineRule="auto"/>
        <w:rPr>
          <w:sz w:val="20"/>
          <w:szCs w:val="20"/>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color w:val="auto"/>
        </w:rPr>
        <w:t>We have provided products used in vehicles and equipment that primarily serve energy, mining and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in North America for over 75 years. Off-highway energy applications include hydraulic fracturing equipment, well-stimulation equipment, pumping equipment, and well-servicing rigs, which often use a fully automatic transmission in stationary pumping applications. We supply our heavy-duty off-highway transmissions to producers of well-stimulation and well-servicing equipment. Competition in this end market for 2025 included Caterpillar Inc. (“Caterpillar”), Twin Disc, Inc. (“Twin Disc”) and certain alternative hydraulic fracturing technologies.</w:t>
      </w:r>
    </w:p>
    <w:p>
      <w:pPr>
        <w:spacing w:after="0" w:line="122"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also provide heavy-duty transmissions used in mining trucks, specialty vehicles and construction vehicles. Off-highway mining and construction applications include trucks used to haul various commodities and other products around construction sites and mines, including underground mines. These trucks include rigid dump trucks, wide-body dump trucks and underground trucks with load capacities between 40 to 130 tons. Our major competitors in this end market for 2025 included vertically integrated companies that manufacture fully automatic transmissions for their vehicles. These vertically integrated competitors included Caterpillar, Komatsu Ltd. (“Komatsu”), and Volvo Group (“Volvo”). We also compete with independent manufacturers such as ZF. Specialty vehicles using our heavy-duty off-highway transmissions include airport rescue and firefighting vehicles. Our major competitor in this end market for 2025 was Twin Disc.</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 xml:space="preserve">Outside North America. </w:t>
      </w:r>
      <w:r>
        <w:rPr>
          <w:rFonts w:ascii="Arial" w:cs="Arial" w:eastAsia="Arial" w:hAnsi="Arial"/>
          <w:sz w:val="18"/>
          <w:szCs w:val="18"/>
          <w:color w:val="auto"/>
        </w:rPr>
        <w:t>The following is a summary of our off-highway net sales by region outside of North America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111760</wp:posOffset>
            </wp:positionV>
            <wp:extent cx="4397375" cy="2134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9737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firstLine="894"/>
        <w:spacing w:after="0" w:line="247" w:lineRule="auto"/>
        <w:rPr>
          <w:sz w:val="20"/>
          <w:szCs w:val="20"/>
          <w:color w:val="auto"/>
        </w:rPr>
      </w:pPr>
      <w:r>
        <w:rPr>
          <w:rFonts w:ascii="Arial" w:cs="Arial" w:eastAsia="Arial" w:hAnsi="Arial"/>
          <w:sz w:val="18"/>
          <w:szCs w:val="18"/>
          <w:b w:val="1"/>
          <w:bCs w:val="1"/>
          <w:i w:val="1"/>
          <w:iCs w:val="1"/>
          <w:color w:val="auto"/>
        </w:rPr>
        <w:t xml:space="preserve">Asia-Pacific. </w:t>
      </w:r>
      <w:r>
        <w:rPr>
          <w:rFonts w:ascii="Arial" w:cs="Arial" w:eastAsia="Arial" w:hAnsi="Arial"/>
          <w:sz w:val="18"/>
          <w:szCs w:val="18"/>
          <w:color w:val="auto"/>
        </w:rPr>
        <w:t>Off-highway markets in Asia are shared by energy, mining and construction applications. Our primary competitors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Caterpillar, Danyang Winstar Auto Parts Co., Ltd., Twin Disc and manufacturers of electrified solutions in energy applications; Caterpillar, Xi’an FC Intelligence Transmission Co. Ltd. and Komatsu in mining applications; and Caterpillar, Volvo and ZF in construction applications in 2025.</w:t>
      </w:r>
    </w:p>
    <w:p>
      <w:pPr>
        <w:spacing w:after="0" w:line="120" w:lineRule="exact"/>
        <w:rPr>
          <w:sz w:val="20"/>
          <w:szCs w:val="20"/>
          <w:color w:val="auto"/>
        </w:rPr>
      </w:pPr>
    </w:p>
    <w:p>
      <w:pPr>
        <w:ind w:firstLine="894"/>
        <w:spacing w:after="0" w:line="253" w:lineRule="auto"/>
        <w:rPr>
          <w:sz w:val="20"/>
          <w:szCs w:val="20"/>
          <w:color w:val="auto"/>
        </w:rPr>
      </w:pPr>
      <w:r>
        <w:rPr>
          <w:rFonts w:ascii="Arial" w:cs="Arial" w:eastAsia="Arial" w:hAnsi="Arial"/>
          <w:sz w:val="18"/>
          <w:szCs w:val="18"/>
          <w:b w:val="1"/>
          <w:bCs w:val="1"/>
          <w:i w:val="1"/>
          <w:iCs w:val="1"/>
          <w:color w:val="auto"/>
        </w:rPr>
        <w:t xml:space="preserve">Europe, Middle East, Africa. </w:t>
      </w:r>
      <w:r>
        <w:rPr>
          <w:rFonts w:ascii="Arial" w:cs="Arial" w:eastAsia="Arial" w:hAnsi="Arial"/>
          <w:sz w:val="18"/>
          <w:szCs w:val="18"/>
          <w:color w:val="auto"/>
        </w:rPr>
        <w:t>Our off-highway markets in EMEA are mining and construction. Our primary off-highway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competitors for 2025 were Caterpillar, Volvo and Komatsu, all of which are vertically integrated manufacturers of off-highway mining vehicles, including the specific fully automatic transmission used in their mining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trucks. A typical mining application is a rigid, underground or articulated dump truck, with competition from Caterpillar, Volvo and ZF in 2025.</w:t>
      </w:r>
    </w:p>
    <w:p>
      <w:pPr>
        <w:spacing w:after="0" w:line="158"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As a result of the acquisition of the Acquired Off-Highway Business, we now provide drivetrain and motion solutions for a wide range of mobile and stationary off-highway equipment both in North America and outside North America. These solutions include optimized drivetrain systems, propulsion components and motion technologies designed for industries such as construction, agriculture, mining, material handling and other industrial applications. The portfolio encompasses systems that manage power conveyance to machines and power work functions, including axles, gearboxes, transmissions and related components, as well as motion systems tailored to customer performance and efficiency requirements across both conventional and electrified powertrains. Consequently, we now face competition in these expanded end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Defense</w:t>
      </w:r>
    </w:p>
    <w:p>
      <w:pPr>
        <w:spacing w:after="0" w:line="158"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We have had a long-standing relationship with the U.S. Department of Defense (the “DOD”) since the 1940s, when we began developing our first-generation tank transmission. Today, we sell substantially all of the propulsion solutions for medium- and heavy-tactical wheeled vehicles used by the U.S. military, including the Joint Light Tactical Vehicle, Stryker Armored Vehicle, the Family of Medium Tactical Vehicles, Heavy Expanded Mobility Tactical Trucks, Palletized Loading Systems, Heavy Dump Trucks and Heavy Equipment Transporters. Propulsion solutions for tactical wheeled vehicles are typically sold to OEMs.</w:t>
      </w:r>
    </w:p>
    <w:p>
      <w:pPr>
        <w:spacing w:after="0" w:line="122" w:lineRule="exact"/>
        <w:rPr>
          <w:sz w:val="20"/>
          <w:szCs w:val="20"/>
          <w:color w:val="auto"/>
        </w:rPr>
      </w:pPr>
    </w:p>
    <w:p>
      <w:pPr>
        <w:ind w:right="180" w:firstLine="494"/>
        <w:spacing w:after="0" w:line="247" w:lineRule="auto"/>
        <w:rPr>
          <w:sz w:val="20"/>
          <w:szCs w:val="20"/>
          <w:color w:val="auto"/>
        </w:rPr>
      </w:pPr>
      <w:r>
        <w:rPr>
          <w:rFonts w:ascii="Arial" w:cs="Arial" w:eastAsia="Arial" w:hAnsi="Arial"/>
          <w:sz w:val="18"/>
          <w:szCs w:val="18"/>
          <w:color w:val="auto"/>
        </w:rPr>
        <w:t>We supply tracked vehicle propulsion solutions to the U.S. Army, including the Abrams M1A2 Main Battle Tank, Joint Assault Bridge, Assault Breacher Vehicles, M10 Booker and the M113A3 Armored Personnel Carrier family of vehicles. We also sell parts kits to the U.S. Army for Abrams Tank sustainment. See Part I, Item 1A., “Risk Factors” of this Annual Report on Form 10-K for a discussion of risks associated with our contracts with the DOD.</w:t>
      </w:r>
    </w:p>
    <w:p>
      <w:pPr>
        <w:spacing w:after="0" w:line="120"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We have defense products in approximately 120 countries around the world as of December 31, 2025. Increasingly, we are supplying vehicle propulsion solutions for international tracked vehicles, such as light tracked personnel carriers, armored fighting vehicles, heavy tracked artillery systems, and Main Battle Tanks. Our defense products are manufactured at our headquarters in Indianapolis and by our licensees internationally for export world-wide.</w:t>
      </w:r>
    </w:p>
    <w:p>
      <w:pPr>
        <w:spacing w:after="0" w:line="120"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Globally, we face competition primarily from QinetiQ Group plc, Renk AG/Renk America, SAPA S.p.A and ST Kinetics for the supply of tracked vehicle propulsion solutions. Additionally, we face competition from ZF in certain defense wheeled vehicles using automatic transmissions and from several AMT suppliers.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Parts, Support Equipment and Other</w:t>
      </w:r>
    </w:p>
    <w:p>
      <w:pPr>
        <w:spacing w:after="0" w:line="158" w:lineRule="exact"/>
        <w:rPr>
          <w:sz w:val="20"/>
          <w:szCs w:val="20"/>
          <w:color w:val="auto"/>
        </w:rPr>
      </w:pPr>
    </w:p>
    <w:p>
      <w:pPr>
        <w:ind w:right="160" w:firstLine="494"/>
        <w:spacing w:after="0" w:line="244" w:lineRule="auto"/>
        <w:rPr>
          <w:sz w:val="20"/>
          <w:szCs w:val="20"/>
          <w:color w:val="auto"/>
        </w:rPr>
      </w:pPr>
      <w:r>
        <w:rPr>
          <w:rFonts w:ascii="Arial" w:cs="Arial" w:eastAsia="Arial" w:hAnsi="Arial"/>
          <w:sz w:val="18"/>
          <w:szCs w:val="18"/>
          <w:color w:val="auto"/>
        </w:rPr>
        <w:t>Our service parts, support equipment and other end market is comprised of: Allison-branded service parts and transmission fluids, aluminum die cast components, extended transmission coverage, remanufactured propulsion solutions, royalties, saleable engineering and support equipment. The aftermarket provides us with a relatively stable source of revenues as the installed base of vehicles and equipment utilizing our solutions continues to grow. The need for replacement parts is driven by normal vehicle and equipment maintenance requirements. Uninterrupted operation is generally critical for end users’ profitability.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20" w:firstLine="494"/>
        <w:spacing w:after="0" w:line="239" w:lineRule="auto"/>
        <w:rPr>
          <w:sz w:val="20"/>
          <w:szCs w:val="20"/>
          <w:color w:val="auto"/>
        </w:rPr>
      </w:pPr>
      <w:r>
        <w:rPr>
          <w:rFonts w:ascii="Arial" w:cs="Arial" w:eastAsia="Arial" w:hAnsi="Arial"/>
          <w:sz w:val="18"/>
          <w:szCs w:val="18"/>
          <w:color w:val="auto"/>
        </w:rPr>
        <w:t>The sale of Allison-branded service parts and transmission fluids, remanufactured propulsion solutions and support equipment is fundamental to our brand promise. We have assembled a worldwide network of approximately 1,500 independent distributor and dealer locations as of December 31, 2025 to sell, service and support our solutions. As part of our brand strategy, our distributors and dealers are required to sell genuine Allison-branded service parts. Within the aftermarket, we offer remanufactured propulsion solutions as a cost-effective alternative for repairs and replacements. We also provide support equipment to our OEMs to assist in installing new Allison solutions into vehicles, and, therefore, sales of support equipment are dependent upon sales of new solutions. The competition for service parts and remanufactured propulsion solutions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Product Offerings</w:t>
      </w:r>
    </w:p>
    <w:p>
      <w:pPr>
        <w:spacing w:after="0" w:line="156" w:lineRule="exact"/>
        <w:rPr>
          <w:sz w:val="20"/>
          <w:szCs w:val="20"/>
          <w:color w:val="auto"/>
        </w:rPr>
      </w:pPr>
    </w:p>
    <w:p>
      <w:pPr>
        <w:ind w:right="580" w:firstLine="494"/>
        <w:spacing w:after="0" w:line="271" w:lineRule="auto"/>
        <w:rPr>
          <w:sz w:val="20"/>
          <w:szCs w:val="20"/>
          <w:color w:val="auto"/>
        </w:rPr>
      </w:pPr>
      <w:r>
        <w:rPr>
          <w:rFonts w:ascii="Arial" w:cs="Arial" w:eastAsia="Arial" w:hAnsi="Arial"/>
          <w:sz w:val="18"/>
          <w:szCs w:val="18"/>
          <w:color w:val="auto"/>
        </w:rPr>
        <w:t>Allison transmissions and electric propulsion solutions are sold under the Allison Transmission brand name and remanufactured transmissions are sold under the ReTran brand name. The following is a summary of our product lines as of December 31, 2025.</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On-Highway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5020" cy="3522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020" cy="35229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9"/>
              </w:rPr>
              <w:t>Product</w:t>
            </w:r>
          </w:p>
        </w:tc>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Applications</w:t>
            </w:r>
          </w:p>
        </w:tc>
      </w:tr>
      <w:tr>
        <w:trPr>
          <w:trHeight w:val="177"/>
        </w:trPr>
        <w:tc>
          <w:tcPr>
            <w:tcW w:w="280" w:type="dxa"/>
            <w:vAlign w:val="bottom"/>
          </w:tcPr>
          <w:p>
            <w:pPr>
              <w:spacing w:after="0"/>
              <w:rPr>
                <w:sz w:val="15"/>
                <w:szCs w:val="15"/>
                <w:color w:val="auto"/>
              </w:rPr>
            </w:pPr>
          </w:p>
        </w:tc>
        <w:tc>
          <w:tcPr>
            <w:tcW w:w="4000" w:type="dxa"/>
            <w:vAlign w:val="bottom"/>
            <w:tcBorders>
              <w:top w:val="single" w:sz="8" w:color="auto"/>
            </w:tcBorders>
            <w:shd w:val="clear" w:color="auto" w:fill="CFF0FC"/>
          </w:tcPr>
          <w:p>
            <w:pPr>
              <w:jc w:val="center"/>
              <w:spacing w:after="0" w:line="177" w:lineRule="exact"/>
              <w:rPr>
                <w:sz w:val="20"/>
                <w:szCs w:val="20"/>
                <w:color w:val="auto"/>
              </w:rPr>
            </w:pPr>
            <w:r>
              <w:rPr>
                <w:rFonts w:ascii="Arial" w:cs="Arial" w:eastAsia="Arial" w:hAnsi="Arial"/>
                <w:sz w:val="18"/>
                <w:szCs w:val="18"/>
                <w:color w:val="auto"/>
                <w:w w:val="99"/>
              </w:rPr>
              <w:t>1000 Series</w:t>
            </w:r>
          </w:p>
        </w:tc>
        <w:tc>
          <w:tcPr>
            <w:tcW w:w="260" w:type="dxa"/>
            <w:vAlign w:val="bottom"/>
            <w:shd w:val="clear" w:color="auto" w:fill="CFF0FC"/>
          </w:tcPr>
          <w:p>
            <w:pPr>
              <w:spacing w:after="0"/>
              <w:rPr>
                <w:sz w:val="15"/>
                <w:szCs w:val="15"/>
                <w:color w:val="auto"/>
              </w:rPr>
            </w:pPr>
          </w:p>
        </w:tc>
        <w:tc>
          <w:tcPr>
            <w:tcW w:w="2460" w:type="dxa"/>
            <w:vAlign w:val="bottom"/>
            <w:tcBorders>
              <w:top w:val="single" w:sz="8" w:color="auto"/>
            </w:tcBorders>
            <w:shd w:val="clear" w:color="auto" w:fill="CFF0FC"/>
          </w:tcPr>
          <w:p>
            <w:pPr>
              <w:spacing w:after="0" w:line="177" w:lineRule="exact"/>
              <w:rPr>
                <w:sz w:val="20"/>
                <w:szCs w:val="20"/>
                <w:color w:val="auto"/>
              </w:rPr>
            </w:pPr>
            <w:r>
              <w:rPr>
                <w:rFonts w:ascii="Arial" w:cs="Arial" w:eastAsia="Arial" w:hAnsi="Arial"/>
                <w:sz w:val="18"/>
                <w:szCs w:val="18"/>
                <w:color w:val="auto"/>
              </w:rPr>
              <w:t>• Agriculture</w:t>
            </w:r>
          </w:p>
        </w:tc>
        <w:tc>
          <w:tcPr>
            <w:tcW w:w="3980" w:type="dxa"/>
            <w:vAlign w:val="bottom"/>
            <w:tcBorders>
              <w:top w:val="single" w:sz="8" w:color="auto"/>
            </w:tcBorders>
            <w:shd w:val="clear" w:color="auto" w:fill="CFF0FC"/>
          </w:tcPr>
          <w:p>
            <w:pPr>
              <w:ind w:left="780"/>
              <w:spacing w:after="0" w:line="177" w:lineRule="exact"/>
              <w:rPr>
                <w:sz w:val="20"/>
                <w:szCs w:val="20"/>
                <w:color w:val="auto"/>
              </w:rPr>
            </w:pPr>
            <w:r>
              <w:rPr>
                <w:rFonts w:ascii="Arial" w:cs="Arial" w:eastAsia="Arial" w:hAnsi="Arial"/>
                <w:sz w:val="18"/>
                <w:szCs w:val="18"/>
                <w:color w:val="auto"/>
              </w:rPr>
              <w:t>• School and Shuttle Bus</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Distribution</w:t>
            </w:r>
          </w:p>
        </w:tc>
        <w:tc>
          <w:tcPr>
            <w:tcW w:w="39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 Services</w:t>
            </w:r>
          </w:p>
        </w:tc>
        <w:tc>
          <w:tcPr>
            <w:tcW w:w="260" w:type="dxa"/>
            <w:vAlign w:val="bottom"/>
            <w:tcBorders>
              <w:right w:val="single" w:sz="8" w:color="auto"/>
            </w:tcBorders>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Motorhome</w:t>
            </w:r>
          </w:p>
        </w:tc>
        <w:tc>
          <w:tcPr>
            <w:tcW w:w="39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 Specialty</w:t>
            </w:r>
          </w:p>
        </w:tc>
        <w:tc>
          <w:tcPr>
            <w:tcW w:w="260" w:type="dxa"/>
            <w:vAlign w:val="bottom"/>
            <w:tcBorders>
              <w:right w:val="single" w:sz="8" w:color="auto"/>
            </w:tcBorders>
          </w:tcPr>
          <w:p>
            <w:pPr>
              <w:spacing w:after="0"/>
              <w:rPr>
                <w:sz w:val="17"/>
                <w:szCs w:val="17"/>
                <w:color w:val="auto"/>
              </w:rPr>
            </w:pPr>
          </w:p>
        </w:tc>
      </w:tr>
      <w:tr>
        <w:trPr>
          <w:trHeight w:val="221"/>
        </w:trPr>
        <w:tc>
          <w:tcPr>
            <w:tcW w:w="280" w:type="dxa"/>
            <w:vAlign w:val="bottom"/>
          </w:tcPr>
          <w:p>
            <w:pPr>
              <w:spacing w:after="0"/>
              <w:rPr>
                <w:sz w:val="19"/>
                <w:szCs w:val="19"/>
                <w:color w:val="auto"/>
              </w:rPr>
            </w:pPr>
          </w:p>
        </w:tc>
        <w:tc>
          <w:tcPr>
            <w:tcW w:w="4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 Refuse</w:t>
            </w:r>
          </w:p>
        </w:tc>
        <w:tc>
          <w:tcPr>
            <w:tcW w:w="39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 Wheeled Defense</w:t>
            </w:r>
          </w:p>
        </w:tc>
        <w:tc>
          <w:tcPr>
            <w:tcW w:w="260" w:type="dxa"/>
            <w:vAlign w:val="bottom"/>
            <w:tcBorders>
              <w:right w:val="single" w:sz="8" w:color="auto"/>
            </w:tcBorders>
          </w:tcPr>
          <w:p>
            <w:pPr>
              <w:spacing w:after="0"/>
              <w:rPr>
                <w:sz w:val="19"/>
                <w:szCs w:val="19"/>
                <w:color w:val="auto"/>
              </w:rPr>
            </w:pPr>
          </w:p>
        </w:tc>
      </w:tr>
      <w:tr>
        <w:trPr>
          <w:trHeight w:val="184"/>
        </w:trPr>
        <w:tc>
          <w:tcPr>
            <w:tcW w:w="280" w:type="dxa"/>
            <w:vAlign w:val="bottom"/>
          </w:tcPr>
          <w:p>
            <w:pPr>
              <w:spacing w:after="0"/>
              <w:rPr>
                <w:sz w:val="15"/>
                <w:szCs w:val="15"/>
                <w:color w:val="auto"/>
              </w:rPr>
            </w:pPr>
          </w:p>
        </w:tc>
        <w:tc>
          <w:tcPr>
            <w:tcW w:w="4000" w:type="dxa"/>
            <w:vAlign w:val="bottom"/>
          </w:tcPr>
          <w:p>
            <w:pPr>
              <w:jc w:val="center"/>
              <w:spacing w:after="0" w:line="183" w:lineRule="exact"/>
              <w:rPr>
                <w:sz w:val="20"/>
                <w:szCs w:val="20"/>
                <w:color w:val="auto"/>
              </w:rPr>
            </w:pPr>
            <w:r>
              <w:rPr>
                <w:rFonts w:ascii="Arial" w:cs="Arial" w:eastAsia="Arial" w:hAnsi="Arial"/>
                <w:sz w:val="18"/>
                <w:szCs w:val="18"/>
                <w:color w:val="auto"/>
                <w:w w:val="99"/>
              </w:rPr>
              <w:t>2000 Series</w:t>
            </w:r>
          </w:p>
        </w:tc>
        <w:tc>
          <w:tcPr>
            <w:tcW w:w="260" w:type="dxa"/>
            <w:vAlign w:val="bottom"/>
          </w:tcPr>
          <w:p>
            <w:pPr>
              <w:spacing w:after="0"/>
              <w:rPr>
                <w:sz w:val="15"/>
                <w:szCs w:val="15"/>
                <w:color w:val="auto"/>
              </w:rPr>
            </w:pPr>
          </w:p>
        </w:tc>
        <w:tc>
          <w:tcPr>
            <w:tcW w:w="2460" w:type="dxa"/>
            <w:vAlign w:val="bottom"/>
          </w:tcPr>
          <w:p>
            <w:pPr>
              <w:spacing w:after="0" w:line="183" w:lineRule="exact"/>
              <w:rPr>
                <w:sz w:val="20"/>
                <w:szCs w:val="20"/>
                <w:color w:val="auto"/>
              </w:rPr>
            </w:pPr>
            <w:r>
              <w:rPr>
                <w:rFonts w:ascii="Arial" w:cs="Arial" w:eastAsia="Arial" w:hAnsi="Arial"/>
                <w:sz w:val="18"/>
                <w:szCs w:val="18"/>
                <w:color w:val="auto"/>
              </w:rPr>
              <w:t>• Agriculture</w:t>
            </w:r>
          </w:p>
        </w:tc>
        <w:tc>
          <w:tcPr>
            <w:tcW w:w="3980" w:type="dxa"/>
            <w:vAlign w:val="bottom"/>
          </w:tcPr>
          <w:p>
            <w:pPr>
              <w:ind w:left="780"/>
              <w:spacing w:after="0" w:line="183" w:lineRule="exact"/>
              <w:rPr>
                <w:sz w:val="20"/>
                <w:szCs w:val="20"/>
                <w:color w:val="auto"/>
              </w:rPr>
            </w:pPr>
            <w:r>
              <w:rPr>
                <w:rFonts w:ascii="Arial" w:cs="Arial" w:eastAsia="Arial" w:hAnsi="Arial"/>
                <w:sz w:val="18"/>
                <w:szCs w:val="18"/>
                <w:color w:val="auto"/>
              </w:rPr>
              <w:t>• School and Shuttle Bus</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Distribution</w:t>
            </w:r>
          </w:p>
        </w:tc>
        <w:tc>
          <w:tcPr>
            <w:tcW w:w="4240" w:type="dxa"/>
            <w:vAlign w:val="bottom"/>
            <w:tcBorders>
              <w:right w:val="single" w:sz="8" w:color="auto"/>
            </w:tcBorders>
            <w:gridSpan w:val="2"/>
          </w:tcPr>
          <w:p>
            <w:pPr>
              <w:ind w:left="780"/>
              <w:spacing w:after="0" w:line="202" w:lineRule="exact"/>
              <w:rPr>
                <w:sz w:val="20"/>
                <w:szCs w:val="20"/>
                <w:color w:val="auto"/>
              </w:rPr>
            </w:pPr>
            <w:r>
              <w:rPr>
                <w:rFonts w:ascii="Arial" w:cs="Arial" w:eastAsia="Arial" w:hAnsi="Arial"/>
                <w:sz w:val="18"/>
                <w:szCs w:val="18"/>
                <w:color w:val="auto"/>
              </w:rPr>
              <w:t>• Services</w:t>
            </w:r>
          </w:p>
        </w:tc>
      </w:tr>
      <w:tr>
        <w:trPr>
          <w:trHeight w:val="203"/>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Motorhome</w:t>
            </w:r>
          </w:p>
        </w:tc>
        <w:tc>
          <w:tcPr>
            <w:tcW w:w="4240" w:type="dxa"/>
            <w:vAlign w:val="bottom"/>
            <w:tcBorders>
              <w:right w:val="single" w:sz="8" w:color="auto"/>
            </w:tcBorders>
            <w:gridSpan w:val="2"/>
          </w:tcPr>
          <w:p>
            <w:pPr>
              <w:ind w:left="780"/>
              <w:spacing w:after="0" w:line="202" w:lineRule="exact"/>
              <w:rPr>
                <w:sz w:val="20"/>
                <w:szCs w:val="20"/>
                <w:color w:val="auto"/>
              </w:rPr>
            </w:pPr>
            <w:r>
              <w:rPr>
                <w:rFonts w:ascii="Arial" w:cs="Arial" w:eastAsia="Arial" w:hAnsi="Arial"/>
                <w:sz w:val="18"/>
                <w:szCs w:val="18"/>
                <w:color w:val="auto"/>
              </w:rPr>
              <w:t>• Specialty</w:t>
            </w:r>
          </w:p>
        </w:tc>
      </w:tr>
      <w:tr>
        <w:trPr>
          <w:trHeight w:val="221"/>
        </w:trPr>
        <w:tc>
          <w:tcPr>
            <w:tcW w:w="2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 Refuse</w:t>
            </w:r>
          </w:p>
        </w:tc>
        <w:tc>
          <w:tcPr>
            <w:tcW w:w="424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 Wheeled Defense</w:t>
            </w:r>
          </w:p>
        </w:tc>
      </w:tr>
      <w:tr>
        <w:trPr>
          <w:trHeight w:val="184"/>
        </w:trPr>
        <w:tc>
          <w:tcPr>
            <w:tcW w:w="280" w:type="dxa"/>
            <w:vAlign w:val="bottom"/>
          </w:tcPr>
          <w:p>
            <w:pPr>
              <w:spacing w:after="0"/>
              <w:rPr>
                <w:sz w:val="15"/>
                <w:szCs w:val="15"/>
                <w:color w:val="auto"/>
              </w:rPr>
            </w:pPr>
          </w:p>
        </w:tc>
        <w:tc>
          <w:tcPr>
            <w:tcW w:w="4000" w:type="dxa"/>
            <w:vAlign w:val="bottom"/>
            <w:shd w:val="clear" w:color="auto" w:fill="CFF0FC"/>
          </w:tcPr>
          <w:p>
            <w:pPr>
              <w:jc w:val="center"/>
              <w:spacing w:after="0" w:line="183" w:lineRule="exact"/>
              <w:rPr>
                <w:sz w:val="20"/>
                <w:szCs w:val="20"/>
                <w:color w:val="auto"/>
              </w:rPr>
            </w:pPr>
            <w:r>
              <w:rPr>
                <w:rFonts w:ascii="Arial" w:cs="Arial" w:eastAsia="Arial" w:hAnsi="Arial"/>
                <w:sz w:val="18"/>
                <w:szCs w:val="18"/>
                <w:color w:val="auto"/>
                <w:w w:val="99"/>
              </w:rPr>
              <w:t>3000 Series</w:t>
            </w:r>
          </w:p>
        </w:tc>
        <w:tc>
          <w:tcPr>
            <w:tcW w:w="260" w:type="dxa"/>
            <w:vAlign w:val="bottom"/>
            <w:shd w:val="clear" w:color="auto" w:fill="CFF0FC"/>
          </w:tcPr>
          <w:p>
            <w:pPr>
              <w:spacing w:after="0"/>
              <w:rPr>
                <w:sz w:val="15"/>
                <w:szCs w:val="15"/>
                <w:color w:val="auto"/>
              </w:rPr>
            </w:pPr>
          </w:p>
        </w:tc>
        <w:tc>
          <w:tcPr>
            <w:tcW w:w="24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 Agriculture</w:t>
            </w:r>
          </w:p>
        </w:tc>
        <w:tc>
          <w:tcPr>
            <w:tcW w:w="3980" w:type="dxa"/>
            <w:vAlign w:val="bottom"/>
            <w:shd w:val="clear" w:color="auto" w:fill="CFF0FC"/>
          </w:tcPr>
          <w:p>
            <w:pPr>
              <w:ind w:left="780"/>
              <w:spacing w:after="0" w:line="183" w:lineRule="exact"/>
              <w:rPr>
                <w:sz w:val="20"/>
                <w:szCs w:val="20"/>
                <w:color w:val="auto"/>
              </w:rPr>
            </w:pPr>
            <w:r>
              <w:rPr>
                <w:rFonts w:ascii="Arial" w:cs="Arial" w:eastAsia="Arial" w:hAnsi="Arial"/>
                <w:sz w:val="18"/>
                <w:szCs w:val="18"/>
                <w:color w:val="auto"/>
              </w:rPr>
              <w:t>• Motorhome</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Coach and Transit Bus</w:t>
            </w:r>
          </w:p>
        </w:tc>
        <w:tc>
          <w:tcPr>
            <w:tcW w:w="39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 Refuse</w:t>
            </w:r>
          </w:p>
        </w:tc>
        <w:tc>
          <w:tcPr>
            <w:tcW w:w="260" w:type="dxa"/>
            <w:vAlign w:val="bottom"/>
            <w:tcBorders>
              <w:right w:val="single" w:sz="8" w:color="auto"/>
            </w:tcBorders>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Construction</w:t>
            </w:r>
          </w:p>
        </w:tc>
        <w:tc>
          <w:tcPr>
            <w:tcW w:w="39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 Services</w:t>
            </w:r>
          </w:p>
        </w:tc>
        <w:tc>
          <w:tcPr>
            <w:tcW w:w="260" w:type="dxa"/>
            <w:vAlign w:val="bottom"/>
            <w:tcBorders>
              <w:right w:val="single" w:sz="8" w:color="auto"/>
            </w:tcBorders>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Day Cab Tractors</w:t>
            </w:r>
          </w:p>
        </w:tc>
        <w:tc>
          <w:tcPr>
            <w:tcW w:w="39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 Specialty</w:t>
            </w:r>
          </w:p>
        </w:tc>
        <w:tc>
          <w:tcPr>
            <w:tcW w:w="260" w:type="dxa"/>
            <w:vAlign w:val="bottom"/>
            <w:tcBorders>
              <w:right w:val="single" w:sz="8" w:color="auto"/>
            </w:tcBorders>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Distribution</w:t>
            </w:r>
          </w:p>
        </w:tc>
        <w:tc>
          <w:tcPr>
            <w:tcW w:w="39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 Wheeled Defense</w:t>
            </w:r>
          </w:p>
        </w:tc>
        <w:tc>
          <w:tcPr>
            <w:tcW w:w="260" w:type="dxa"/>
            <w:vAlign w:val="bottom"/>
            <w:tcBorders>
              <w:right w:val="single" w:sz="8" w:color="auto"/>
            </w:tcBorders>
          </w:tcPr>
          <w:p>
            <w:pPr>
              <w:spacing w:after="0"/>
              <w:rPr>
                <w:sz w:val="17"/>
                <w:szCs w:val="17"/>
                <w:color w:val="auto"/>
              </w:rPr>
            </w:pPr>
          </w:p>
        </w:tc>
      </w:tr>
      <w:tr>
        <w:trPr>
          <w:trHeight w:val="221"/>
        </w:trPr>
        <w:tc>
          <w:tcPr>
            <w:tcW w:w="280" w:type="dxa"/>
            <w:vAlign w:val="bottom"/>
          </w:tcPr>
          <w:p>
            <w:pPr>
              <w:spacing w:after="0"/>
              <w:rPr>
                <w:sz w:val="19"/>
                <w:szCs w:val="19"/>
                <w:color w:val="auto"/>
              </w:rPr>
            </w:pPr>
          </w:p>
        </w:tc>
        <w:tc>
          <w:tcPr>
            <w:tcW w:w="4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 Fire and Emergency</w:t>
            </w:r>
          </w:p>
        </w:tc>
        <w:tc>
          <w:tcPr>
            <w:tcW w:w="3980" w:type="dxa"/>
            <w:vAlign w:val="bottom"/>
            <w:shd w:val="clear" w:color="auto" w:fill="CFF0FC"/>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r>
      <w:tr>
        <w:trPr>
          <w:trHeight w:val="184"/>
        </w:trPr>
        <w:tc>
          <w:tcPr>
            <w:tcW w:w="280" w:type="dxa"/>
            <w:vAlign w:val="bottom"/>
          </w:tcPr>
          <w:p>
            <w:pPr>
              <w:spacing w:after="0"/>
              <w:rPr>
                <w:sz w:val="15"/>
                <w:szCs w:val="15"/>
                <w:color w:val="auto"/>
              </w:rPr>
            </w:pPr>
          </w:p>
        </w:tc>
        <w:tc>
          <w:tcPr>
            <w:tcW w:w="4000" w:type="dxa"/>
            <w:vAlign w:val="bottom"/>
          </w:tcPr>
          <w:p>
            <w:pPr>
              <w:jc w:val="center"/>
              <w:spacing w:after="0" w:line="183" w:lineRule="exact"/>
              <w:rPr>
                <w:sz w:val="20"/>
                <w:szCs w:val="20"/>
                <w:color w:val="auto"/>
              </w:rPr>
            </w:pPr>
            <w:r>
              <w:rPr>
                <w:rFonts w:ascii="Arial" w:cs="Arial" w:eastAsia="Arial" w:hAnsi="Arial"/>
                <w:sz w:val="18"/>
                <w:szCs w:val="18"/>
                <w:color w:val="auto"/>
                <w:w w:val="99"/>
              </w:rPr>
              <w:t>4000 Series</w:t>
            </w:r>
          </w:p>
        </w:tc>
        <w:tc>
          <w:tcPr>
            <w:tcW w:w="260" w:type="dxa"/>
            <w:vAlign w:val="bottom"/>
          </w:tcPr>
          <w:p>
            <w:pPr>
              <w:spacing w:after="0"/>
              <w:rPr>
                <w:sz w:val="15"/>
                <w:szCs w:val="15"/>
                <w:color w:val="auto"/>
              </w:rPr>
            </w:pPr>
          </w:p>
        </w:tc>
        <w:tc>
          <w:tcPr>
            <w:tcW w:w="2460" w:type="dxa"/>
            <w:vAlign w:val="bottom"/>
          </w:tcPr>
          <w:p>
            <w:pPr>
              <w:spacing w:after="0" w:line="183" w:lineRule="exact"/>
              <w:rPr>
                <w:sz w:val="20"/>
                <w:szCs w:val="20"/>
                <w:color w:val="auto"/>
              </w:rPr>
            </w:pPr>
            <w:r>
              <w:rPr>
                <w:rFonts w:ascii="Arial" w:cs="Arial" w:eastAsia="Arial" w:hAnsi="Arial"/>
                <w:sz w:val="18"/>
                <w:szCs w:val="18"/>
                <w:color w:val="auto"/>
              </w:rPr>
              <w:t>• Articulated and Wide Body</w:t>
            </w:r>
          </w:p>
        </w:tc>
        <w:tc>
          <w:tcPr>
            <w:tcW w:w="3980" w:type="dxa"/>
            <w:vAlign w:val="bottom"/>
          </w:tcPr>
          <w:p>
            <w:pPr>
              <w:ind w:left="780"/>
              <w:spacing w:after="0" w:line="183" w:lineRule="exact"/>
              <w:rPr>
                <w:sz w:val="20"/>
                <w:szCs w:val="20"/>
                <w:color w:val="auto"/>
              </w:rPr>
            </w:pPr>
            <w:r>
              <w:rPr>
                <w:rFonts w:ascii="Arial" w:cs="Arial" w:eastAsia="Arial" w:hAnsi="Arial"/>
                <w:sz w:val="18"/>
                <w:szCs w:val="18"/>
                <w:color w:val="auto"/>
              </w:rPr>
              <w:t>• Fire and Emergency</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ind w:left="100"/>
              <w:spacing w:after="0" w:line="202" w:lineRule="exact"/>
              <w:rPr>
                <w:sz w:val="20"/>
                <w:szCs w:val="20"/>
                <w:color w:val="auto"/>
              </w:rPr>
            </w:pPr>
            <w:r>
              <w:rPr>
                <w:rFonts w:ascii="Arial" w:cs="Arial" w:eastAsia="Arial" w:hAnsi="Arial"/>
                <w:sz w:val="18"/>
                <w:szCs w:val="18"/>
                <w:color w:val="auto"/>
              </w:rPr>
              <w:t>Mining Dump Trucks</w:t>
            </w:r>
          </w:p>
        </w:tc>
        <w:tc>
          <w:tcPr>
            <w:tcW w:w="4240" w:type="dxa"/>
            <w:vAlign w:val="bottom"/>
            <w:tcBorders>
              <w:right w:val="single" w:sz="8" w:color="auto"/>
            </w:tcBorders>
            <w:gridSpan w:val="2"/>
          </w:tcPr>
          <w:p>
            <w:pPr>
              <w:ind w:left="780"/>
              <w:spacing w:after="0" w:line="202" w:lineRule="exact"/>
              <w:rPr>
                <w:sz w:val="20"/>
                <w:szCs w:val="20"/>
                <w:color w:val="auto"/>
              </w:rPr>
            </w:pPr>
            <w:r>
              <w:rPr>
                <w:rFonts w:ascii="Arial" w:cs="Arial" w:eastAsia="Arial" w:hAnsi="Arial"/>
                <w:sz w:val="18"/>
                <w:szCs w:val="18"/>
                <w:color w:val="auto"/>
              </w:rPr>
              <w:t>• Motorhome</w:t>
            </w:r>
          </w:p>
        </w:tc>
      </w:tr>
      <w:tr>
        <w:trPr>
          <w:trHeight w:val="203"/>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Coach and Transit Bus</w:t>
            </w:r>
          </w:p>
        </w:tc>
        <w:tc>
          <w:tcPr>
            <w:tcW w:w="4240" w:type="dxa"/>
            <w:vAlign w:val="bottom"/>
            <w:tcBorders>
              <w:right w:val="single" w:sz="8" w:color="auto"/>
            </w:tcBorders>
            <w:gridSpan w:val="2"/>
          </w:tcPr>
          <w:p>
            <w:pPr>
              <w:ind w:left="780"/>
              <w:spacing w:after="0" w:line="202" w:lineRule="exact"/>
              <w:rPr>
                <w:sz w:val="20"/>
                <w:szCs w:val="20"/>
                <w:color w:val="auto"/>
              </w:rPr>
            </w:pPr>
            <w:r>
              <w:rPr>
                <w:rFonts w:ascii="Arial" w:cs="Arial" w:eastAsia="Arial" w:hAnsi="Arial"/>
                <w:sz w:val="18"/>
                <w:szCs w:val="18"/>
                <w:color w:val="auto"/>
              </w:rPr>
              <w:t>• Refuse</w:t>
            </w:r>
          </w:p>
        </w:tc>
      </w:tr>
      <w:tr>
        <w:trPr>
          <w:trHeight w:val="203"/>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Construction</w:t>
            </w:r>
          </w:p>
        </w:tc>
        <w:tc>
          <w:tcPr>
            <w:tcW w:w="4240" w:type="dxa"/>
            <w:vAlign w:val="bottom"/>
            <w:tcBorders>
              <w:right w:val="single" w:sz="8" w:color="auto"/>
            </w:tcBorders>
            <w:gridSpan w:val="2"/>
          </w:tcPr>
          <w:p>
            <w:pPr>
              <w:ind w:left="780"/>
              <w:spacing w:after="0" w:line="202" w:lineRule="exact"/>
              <w:rPr>
                <w:sz w:val="20"/>
                <w:szCs w:val="20"/>
                <w:color w:val="auto"/>
              </w:rPr>
            </w:pPr>
            <w:r>
              <w:rPr>
                <w:rFonts w:ascii="Arial" w:cs="Arial" w:eastAsia="Arial" w:hAnsi="Arial"/>
                <w:sz w:val="18"/>
                <w:szCs w:val="18"/>
                <w:color w:val="auto"/>
              </w:rPr>
              <w:t>• Specialty</w:t>
            </w:r>
          </w:p>
        </w:tc>
      </w:tr>
      <w:tr>
        <w:trPr>
          <w:trHeight w:val="203"/>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Day Cab Tractors</w:t>
            </w:r>
          </w:p>
        </w:tc>
        <w:tc>
          <w:tcPr>
            <w:tcW w:w="4240" w:type="dxa"/>
            <w:vAlign w:val="bottom"/>
            <w:tcBorders>
              <w:right w:val="single" w:sz="8" w:color="auto"/>
            </w:tcBorders>
            <w:gridSpan w:val="2"/>
          </w:tcPr>
          <w:p>
            <w:pPr>
              <w:ind w:left="780"/>
              <w:spacing w:after="0" w:line="202" w:lineRule="exact"/>
              <w:rPr>
                <w:sz w:val="20"/>
                <w:szCs w:val="20"/>
                <w:color w:val="auto"/>
              </w:rPr>
            </w:pPr>
            <w:r>
              <w:rPr>
                <w:rFonts w:ascii="Arial" w:cs="Arial" w:eastAsia="Arial" w:hAnsi="Arial"/>
                <w:sz w:val="18"/>
                <w:szCs w:val="18"/>
                <w:color w:val="auto"/>
              </w:rPr>
              <w:t>• Wheeled Defense</w:t>
            </w:r>
          </w:p>
        </w:tc>
      </w:tr>
      <w:tr>
        <w:trPr>
          <w:trHeight w:val="221"/>
        </w:trPr>
        <w:tc>
          <w:tcPr>
            <w:tcW w:w="2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 Distribution</w:t>
            </w:r>
          </w:p>
        </w:tc>
        <w:tc>
          <w:tcPr>
            <w:tcW w:w="39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r>
      <w:tr>
        <w:trPr>
          <w:trHeight w:val="203"/>
        </w:trPr>
        <w:tc>
          <w:tcPr>
            <w:tcW w:w="280" w:type="dxa"/>
            <w:vAlign w:val="bottom"/>
          </w:tcPr>
          <w:p>
            <w:pPr>
              <w:spacing w:after="0"/>
              <w:rPr>
                <w:sz w:val="17"/>
                <w:szCs w:val="17"/>
                <w:color w:val="auto"/>
              </w:rPr>
            </w:pPr>
          </w:p>
        </w:tc>
        <w:tc>
          <w:tcPr>
            <w:tcW w:w="4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eGen Flex Electric Hybrid Propulsion Solutions</w:t>
            </w: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Transit Bus</w:t>
            </w:r>
          </w:p>
        </w:tc>
        <w:tc>
          <w:tcPr>
            <w:tcW w:w="3980" w:type="dxa"/>
            <w:vAlign w:val="bottom"/>
            <w:shd w:val="clear" w:color="auto" w:fill="CFF0FC"/>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r>
      <w:tr>
        <w:trPr>
          <w:trHeight w:val="184"/>
        </w:trPr>
        <w:tc>
          <w:tcPr>
            <w:tcW w:w="280" w:type="dxa"/>
            <w:vAlign w:val="bottom"/>
          </w:tcPr>
          <w:p>
            <w:pPr>
              <w:spacing w:after="0"/>
              <w:rPr>
                <w:sz w:val="15"/>
                <w:szCs w:val="15"/>
                <w:color w:val="auto"/>
              </w:rPr>
            </w:pPr>
          </w:p>
        </w:tc>
        <w:tc>
          <w:tcPr>
            <w:tcW w:w="4000" w:type="dxa"/>
            <w:vAlign w:val="bottom"/>
          </w:tcPr>
          <w:p>
            <w:pPr>
              <w:jc w:val="center"/>
              <w:spacing w:after="0" w:line="183" w:lineRule="exact"/>
              <w:rPr>
                <w:sz w:val="20"/>
                <w:szCs w:val="20"/>
                <w:color w:val="auto"/>
              </w:rPr>
            </w:pPr>
            <w:r>
              <w:rPr>
                <w:rFonts w:ascii="Arial" w:cs="Arial" w:eastAsia="Arial" w:hAnsi="Arial"/>
                <w:sz w:val="18"/>
                <w:szCs w:val="18"/>
                <w:color w:val="auto"/>
                <w:w w:val="99"/>
              </w:rPr>
              <w:t>eGen Power Fully Electric Propulsion Solutions</w:t>
            </w:r>
          </w:p>
        </w:tc>
        <w:tc>
          <w:tcPr>
            <w:tcW w:w="260" w:type="dxa"/>
            <w:vAlign w:val="bottom"/>
          </w:tcPr>
          <w:p>
            <w:pPr>
              <w:spacing w:after="0"/>
              <w:rPr>
                <w:sz w:val="15"/>
                <w:szCs w:val="15"/>
                <w:color w:val="auto"/>
              </w:rPr>
            </w:pPr>
          </w:p>
        </w:tc>
        <w:tc>
          <w:tcPr>
            <w:tcW w:w="2460" w:type="dxa"/>
            <w:vAlign w:val="bottom"/>
          </w:tcPr>
          <w:p>
            <w:pPr>
              <w:spacing w:after="0" w:line="183" w:lineRule="exact"/>
              <w:rPr>
                <w:sz w:val="20"/>
                <w:szCs w:val="20"/>
                <w:color w:val="auto"/>
              </w:rPr>
            </w:pPr>
            <w:r>
              <w:rPr>
                <w:rFonts w:ascii="Arial" w:cs="Arial" w:eastAsia="Arial" w:hAnsi="Arial"/>
                <w:sz w:val="18"/>
                <w:szCs w:val="18"/>
                <w:color w:val="auto"/>
              </w:rPr>
              <w:t>• Coach and Transit Bus</w:t>
            </w:r>
          </w:p>
        </w:tc>
        <w:tc>
          <w:tcPr>
            <w:tcW w:w="3980" w:type="dxa"/>
            <w:vAlign w:val="bottom"/>
          </w:tcPr>
          <w:p>
            <w:pPr>
              <w:ind w:left="780"/>
              <w:spacing w:after="0" w:line="183" w:lineRule="exact"/>
              <w:rPr>
                <w:sz w:val="20"/>
                <w:szCs w:val="20"/>
                <w:color w:val="auto"/>
              </w:rPr>
            </w:pPr>
            <w:r>
              <w:rPr>
                <w:rFonts w:ascii="Arial" w:cs="Arial" w:eastAsia="Arial" w:hAnsi="Arial"/>
                <w:sz w:val="18"/>
                <w:szCs w:val="18"/>
                <w:color w:val="auto"/>
              </w:rPr>
              <w:t>• Line-Haul Tractors</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Day Cab Tractors</w:t>
            </w:r>
          </w:p>
        </w:tc>
        <w:tc>
          <w:tcPr>
            <w:tcW w:w="4240" w:type="dxa"/>
            <w:vAlign w:val="bottom"/>
            <w:tcBorders>
              <w:right w:val="single" w:sz="8" w:color="auto"/>
            </w:tcBorders>
            <w:gridSpan w:val="2"/>
          </w:tcPr>
          <w:p>
            <w:pPr>
              <w:ind w:left="780"/>
              <w:spacing w:after="0" w:line="202" w:lineRule="exact"/>
              <w:rPr>
                <w:sz w:val="20"/>
                <w:szCs w:val="20"/>
                <w:color w:val="auto"/>
              </w:rPr>
            </w:pPr>
            <w:r>
              <w:rPr>
                <w:rFonts w:ascii="Arial" w:cs="Arial" w:eastAsia="Arial" w:hAnsi="Arial"/>
                <w:sz w:val="18"/>
                <w:szCs w:val="18"/>
                <w:color w:val="auto"/>
              </w:rPr>
              <w:t>• Refuse</w:t>
            </w:r>
          </w:p>
        </w:tc>
      </w:tr>
      <w:tr>
        <w:trPr>
          <w:trHeight w:val="202"/>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line="202" w:lineRule="exact"/>
              <w:rPr>
                <w:sz w:val="20"/>
                <w:szCs w:val="20"/>
                <w:color w:val="auto"/>
              </w:rPr>
            </w:pPr>
            <w:r>
              <w:rPr>
                <w:rFonts w:ascii="Arial" w:cs="Arial" w:eastAsia="Arial" w:hAnsi="Arial"/>
                <w:sz w:val="18"/>
                <w:szCs w:val="18"/>
                <w:color w:val="auto"/>
              </w:rPr>
              <w:t>• Distribution</w:t>
            </w:r>
          </w:p>
        </w:tc>
        <w:tc>
          <w:tcPr>
            <w:tcW w:w="4240" w:type="dxa"/>
            <w:vAlign w:val="bottom"/>
            <w:tcBorders>
              <w:right w:val="single" w:sz="8" w:color="auto"/>
            </w:tcBorders>
            <w:gridSpan w:val="2"/>
          </w:tcPr>
          <w:p>
            <w:pPr>
              <w:ind w:left="780"/>
              <w:spacing w:after="0" w:line="202" w:lineRule="exact"/>
              <w:rPr>
                <w:sz w:val="20"/>
                <w:szCs w:val="20"/>
                <w:color w:val="auto"/>
              </w:rPr>
            </w:pPr>
            <w:r>
              <w:rPr>
                <w:rFonts w:ascii="Arial" w:cs="Arial" w:eastAsia="Arial" w:hAnsi="Arial"/>
                <w:sz w:val="18"/>
                <w:szCs w:val="18"/>
                <w:color w:val="auto"/>
              </w:rPr>
              <w:t>• School and Shuttle Bus</w:t>
            </w:r>
          </w:p>
        </w:tc>
      </w:tr>
      <w:tr>
        <w:trPr>
          <w:trHeight w:val="221"/>
        </w:trPr>
        <w:tc>
          <w:tcPr>
            <w:tcW w:w="28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Fire and Emergency</w:t>
            </w:r>
          </w:p>
        </w:tc>
        <w:tc>
          <w:tcPr>
            <w:tcW w:w="398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r>
      <w:tr>
        <w:trPr>
          <w:trHeight w:val="645"/>
        </w:trPr>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720" w:type="dxa"/>
            <w:vAlign w:val="bottom"/>
            <w:gridSpan w:val="2"/>
          </w:tcPr>
          <w:p>
            <w:pPr>
              <w:jc w:val="right"/>
              <w:ind w:right="1190"/>
              <w:spacing w:after="0"/>
              <w:rPr>
                <w:sz w:val="20"/>
                <w:szCs w:val="20"/>
                <w:color w:val="auto"/>
              </w:rPr>
            </w:pPr>
            <w:r>
              <w:rPr>
                <w:rFonts w:ascii="Arial" w:cs="Arial" w:eastAsia="Arial" w:hAnsi="Arial"/>
                <w:sz w:val="18"/>
                <w:szCs w:val="18"/>
                <w:color w:val="auto"/>
              </w:rPr>
              <w:t>11</w:t>
            </w:r>
          </w:p>
        </w:tc>
        <w:tc>
          <w:tcPr>
            <w:tcW w:w="3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745"/>
        </w:trPr>
        <w:tc>
          <w:tcPr>
            <w:tcW w:w="2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Off-Highway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5020" cy="1337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020" cy="1337310"/>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207"/>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Product</w:t>
            </w:r>
          </w:p>
        </w:tc>
        <w:tc>
          <w:tcPr>
            <w:tcW w:w="260" w:type="dxa"/>
            <w:vAlign w:val="bottom"/>
          </w:tcPr>
          <w:p>
            <w:pPr>
              <w:spacing w:after="0"/>
              <w:rPr>
                <w:sz w:val="17"/>
                <w:szCs w:val="17"/>
                <w:color w:val="auto"/>
              </w:rPr>
            </w:pPr>
          </w:p>
        </w:tc>
        <w:tc>
          <w:tcPr>
            <w:tcW w:w="644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Applications</w:t>
            </w:r>
          </w:p>
        </w:tc>
      </w:tr>
      <w:tr>
        <w:trPr>
          <w:trHeight w:val="177"/>
        </w:trPr>
        <w:tc>
          <w:tcPr>
            <w:tcW w:w="4000" w:type="dxa"/>
            <w:vAlign w:val="bottom"/>
            <w:shd w:val="clear" w:color="auto" w:fill="CFF0FC"/>
          </w:tcPr>
          <w:p>
            <w:pPr>
              <w:jc w:val="center"/>
              <w:spacing w:after="0" w:line="177" w:lineRule="exact"/>
              <w:rPr>
                <w:sz w:val="20"/>
                <w:szCs w:val="20"/>
                <w:color w:val="auto"/>
              </w:rPr>
            </w:pPr>
            <w:r>
              <w:rPr>
                <w:rFonts w:ascii="Arial" w:cs="Arial" w:eastAsia="Arial" w:hAnsi="Arial"/>
                <w:sz w:val="18"/>
                <w:szCs w:val="18"/>
                <w:color w:val="auto"/>
                <w:w w:val="99"/>
              </w:rPr>
              <w:t>6000 Series</w:t>
            </w:r>
          </w:p>
        </w:tc>
        <w:tc>
          <w:tcPr>
            <w:tcW w:w="260" w:type="dxa"/>
            <w:vAlign w:val="bottom"/>
            <w:shd w:val="clear" w:color="auto" w:fill="CFF0FC"/>
          </w:tcPr>
          <w:p>
            <w:pPr>
              <w:spacing w:after="0"/>
              <w:rPr>
                <w:sz w:val="15"/>
                <w:szCs w:val="15"/>
                <w:color w:val="auto"/>
              </w:rPr>
            </w:pPr>
          </w:p>
        </w:tc>
        <w:tc>
          <w:tcPr>
            <w:tcW w:w="644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 Rigid, Articulated, and Wide-Body Mining Dump Trucks</w:t>
            </w:r>
          </w:p>
        </w:tc>
      </w:tr>
      <w:tr>
        <w:trPr>
          <w:trHeight w:val="203"/>
        </w:trPr>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Underground Mine Truck</w:t>
            </w:r>
          </w:p>
        </w:tc>
      </w:tr>
      <w:tr>
        <w:trPr>
          <w:trHeight w:val="221"/>
        </w:trPr>
        <w:tc>
          <w:tcPr>
            <w:tcW w:w="4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 Well Service Rigs</w:t>
            </w:r>
          </w:p>
        </w:tc>
      </w:tr>
      <w:tr>
        <w:trPr>
          <w:trHeight w:val="184"/>
        </w:trPr>
        <w:tc>
          <w:tcPr>
            <w:tcW w:w="4000" w:type="dxa"/>
            <w:vAlign w:val="bottom"/>
          </w:tcPr>
          <w:p>
            <w:pPr>
              <w:jc w:val="center"/>
              <w:spacing w:after="0" w:line="183" w:lineRule="exact"/>
              <w:rPr>
                <w:sz w:val="20"/>
                <w:szCs w:val="20"/>
                <w:color w:val="auto"/>
              </w:rPr>
            </w:pPr>
            <w:r>
              <w:rPr>
                <w:rFonts w:ascii="Arial" w:cs="Arial" w:eastAsia="Arial" w:hAnsi="Arial"/>
                <w:sz w:val="18"/>
                <w:szCs w:val="18"/>
                <w:color w:val="auto"/>
                <w:w w:val="99"/>
              </w:rPr>
              <w:t>8000 Series</w:t>
            </w:r>
          </w:p>
        </w:tc>
        <w:tc>
          <w:tcPr>
            <w:tcW w:w="260" w:type="dxa"/>
            <w:vAlign w:val="bottom"/>
          </w:tcPr>
          <w:p>
            <w:pPr>
              <w:spacing w:after="0"/>
              <w:rPr>
                <w:sz w:val="15"/>
                <w:szCs w:val="15"/>
                <w:color w:val="auto"/>
              </w:rPr>
            </w:pPr>
          </w:p>
        </w:tc>
        <w:tc>
          <w:tcPr>
            <w:tcW w:w="6440" w:type="dxa"/>
            <w:vAlign w:val="bottom"/>
          </w:tcPr>
          <w:p>
            <w:pPr>
              <w:spacing w:after="0" w:line="183" w:lineRule="exact"/>
              <w:rPr>
                <w:sz w:val="20"/>
                <w:szCs w:val="20"/>
                <w:color w:val="auto"/>
              </w:rPr>
            </w:pPr>
            <w:r>
              <w:rPr>
                <w:rFonts w:ascii="Arial" w:cs="Arial" w:eastAsia="Arial" w:hAnsi="Arial"/>
                <w:sz w:val="18"/>
                <w:szCs w:val="18"/>
                <w:color w:val="auto"/>
              </w:rPr>
              <w:t>• Hydraulic Fracturing Equipment</w:t>
            </w:r>
          </w:p>
        </w:tc>
      </w:tr>
      <w:tr>
        <w:trPr>
          <w:trHeight w:val="221"/>
        </w:trPr>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 Rigid Dump Trucks</w:t>
            </w:r>
          </w:p>
        </w:tc>
      </w:tr>
      <w:tr>
        <w:trPr>
          <w:trHeight w:val="184"/>
        </w:trPr>
        <w:tc>
          <w:tcPr>
            <w:tcW w:w="4000" w:type="dxa"/>
            <w:vAlign w:val="bottom"/>
            <w:shd w:val="clear" w:color="auto" w:fill="CFF0FC"/>
          </w:tcPr>
          <w:p>
            <w:pPr>
              <w:jc w:val="center"/>
              <w:spacing w:after="0" w:line="183" w:lineRule="exact"/>
              <w:rPr>
                <w:sz w:val="20"/>
                <w:szCs w:val="20"/>
                <w:color w:val="auto"/>
              </w:rPr>
            </w:pPr>
            <w:r>
              <w:rPr>
                <w:rFonts w:ascii="Arial" w:cs="Arial" w:eastAsia="Arial" w:hAnsi="Arial"/>
                <w:sz w:val="18"/>
                <w:szCs w:val="18"/>
                <w:color w:val="auto"/>
                <w:w w:val="99"/>
              </w:rPr>
              <w:t>9000 Series</w:t>
            </w:r>
          </w:p>
        </w:tc>
        <w:tc>
          <w:tcPr>
            <w:tcW w:w="260" w:type="dxa"/>
            <w:vAlign w:val="bottom"/>
            <w:shd w:val="clear" w:color="auto" w:fill="CFF0FC"/>
          </w:tcPr>
          <w:p>
            <w:pPr>
              <w:spacing w:after="0"/>
              <w:rPr>
                <w:sz w:val="15"/>
                <w:szCs w:val="15"/>
                <w:color w:val="auto"/>
              </w:rPr>
            </w:pPr>
          </w:p>
        </w:tc>
        <w:tc>
          <w:tcPr>
            <w:tcW w:w="64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 Hydraulic Fracturing Equipment</w:t>
            </w:r>
          </w:p>
        </w:tc>
      </w:tr>
      <w:tr>
        <w:trPr>
          <w:trHeight w:val="221"/>
        </w:trPr>
        <w:tc>
          <w:tcPr>
            <w:tcW w:w="4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 Rigid Dump Trucks</w:t>
            </w:r>
          </w:p>
        </w:tc>
      </w:tr>
      <w:tr>
        <w:trPr>
          <w:trHeight w:val="239"/>
        </w:trPr>
        <w:tc>
          <w:tcPr>
            <w:tcW w:w="4000" w:type="dxa"/>
            <w:vAlign w:val="bottom"/>
          </w:tcPr>
          <w:p>
            <w:pPr>
              <w:jc w:val="center"/>
              <w:spacing w:after="0"/>
              <w:rPr>
                <w:sz w:val="20"/>
                <w:szCs w:val="20"/>
                <w:color w:val="auto"/>
              </w:rPr>
            </w:pPr>
            <w:r>
              <w:rPr>
                <w:rFonts w:ascii="Arial" w:cs="Arial" w:eastAsia="Arial" w:hAnsi="Arial"/>
                <w:sz w:val="18"/>
                <w:szCs w:val="18"/>
                <w:color w:val="auto"/>
                <w:w w:val="98"/>
              </w:rPr>
              <w:t>FracTran</w:t>
            </w:r>
          </w:p>
        </w:tc>
        <w:tc>
          <w:tcPr>
            <w:tcW w:w="26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 Hydraulic Fracturing Equipment</w:t>
            </w:r>
          </w:p>
        </w:tc>
      </w:tr>
    </w:tbl>
    <w:p>
      <w:pPr>
        <w:spacing w:after="0" w:line="34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Defense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5020" cy="951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020" cy="951865"/>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207"/>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Product</w:t>
            </w:r>
          </w:p>
        </w:tc>
        <w:tc>
          <w:tcPr>
            <w:tcW w:w="260" w:type="dxa"/>
            <w:vAlign w:val="bottom"/>
          </w:tcPr>
          <w:p>
            <w:pPr>
              <w:spacing w:after="0"/>
              <w:rPr>
                <w:sz w:val="17"/>
                <w:szCs w:val="17"/>
                <w:color w:val="auto"/>
              </w:rPr>
            </w:pPr>
          </w:p>
        </w:tc>
        <w:tc>
          <w:tcPr>
            <w:tcW w:w="644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Applications</w:t>
            </w:r>
          </w:p>
        </w:tc>
      </w:tr>
      <w:tr>
        <w:trPr>
          <w:trHeight w:val="196"/>
        </w:trPr>
        <w:tc>
          <w:tcPr>
            <w:tcW w:w="40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X200</w:t>
            </w:r>
          </w:p>
        </w:tc>
        <w:tc>
          <w:tcPr>
            <w:tcW w:w="260" w:type="dxa"/>
            <w:vAlign w:val="bottom"/>
            <w:shd w:val="clear" w:color="auto" w:fill="CFF0FC"/>
          </w:tcPr>
          <w:p>
            <w:pPr>
              <w:spacing w:after="0"/>
              <w:rPr>
                <w:sz w:val="17"/>
                <w:szCs w:val="17"/>
                <w:color w:val="auto"/>
              </w:rPr>
            </w:pPr>
          </w:p>
        </w:tc>
        <w:tc>
          <w:tcPr>
            <w:tcW w:w="6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 Tracked Vehicles</w:t>
            </w:r>
          </w:p>
        </w:tc>
      </w:tr>
      <w:tr>
        <w:trPr>
          <w:trHeight w:val="203"/>
        </w:trPr>
        <w:tc>
          <w:tcPr>
            <w:tcW w:w="4000" w:type="dxa"/>
            <w:vAlign w:val="bottom"/>
          </w:tcPr>
          <w:p>
            <w:pPr>
              <w:jc w:val="center"/>
              <w:spacing w:after="0" w:line="202" w:lineRule="exact"/>
              <w:rPr>
                <w:sz w:val="20"/>
                <w:szCs w:val="20"/>
                <w:color w:val="auto"/>
              </w:rPr>
            </w:pPr>
            <w:r>
              <w:rPr>
                <w:rFonts w:ascii="Arial" w:cs="Arial" w:eastAsia="Arial" w:hAnsi="Arial"/>
                <w:sz w:val="18"/>
                <w:szCs w:val="18"/>
                <w:color w:val="auto"/>
                <w:w w:val="98"/>
              </w:rPr>
              <w:t>3040MX</w:t>
            </w:r>
          </w:p>
        </w:tc>
        <w:tc>
          <w:tcPr>
            <w:tcW w:w="26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 Tracked Vehicles</w:t>
            </w:r>
          </w:p>
        </w:tc>
      </w:tr>
      <w:tr>
        <w:trPr>
          <w:trHeight w:val="203"/>
        </w:trPr>
        <w:tc>
          <w:tcPr>
            <w:tcW w:w="4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4040MX</w:t>
            </w:r>
          </w:p>
        </w:tc>
        <w:tc>
          <w:tcPr>
            <w:tcW w:w="260" w:type="dxa"/>
            <w:vAlign w:val="bottom"/>
            <w:shd w:val="clear" w:color="auto" w:fill="CFF0FC"/>
          </w:tcPr>
          <w:p>
            <w:pPr>
              <w:spacing w:after="0"/>
              <w:rPr>
                <w:sz w:val="17"/>
                <w:szCs w:val="17"/>
                <w:color w:val="auto"/>
              </w:rPr>
            </w:pPr>
          </w:p>
        </w:tc>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Tracked Vehicles</w:t>
            </w:r>
          </w:p>
        </w:tc>
      </w:tr>
      <w:tr>
        <w:trPr>
          <w:trHeight w:val="203"/>
        </w:trPr>
        <w:tc>
          <w:tcPr>
            <w:tcW w:w="4000" w:type="dxa"/>
            <w:vAlign w:val="bottom"/>
          </w:tcPr>
          <w:p>
            <w:pPr>
              <w:jc w:val="center"/>
              <w:spacing w:after="0" w:line="202" w:lineRule="exact"/>
              <w:rPr>
                <w:sz w:val="20"/>
                <w:szCs w:val="20"/>
                <w:color w:val="auto"/>
              </w:rPr>
            </w:pPr>
            <w:r>
              <w:rPr>
                <w:rFonts w:ascii="Arial" w:cs="Arial" w:eastAsia="Arial" w:hAnsi="Arial"/>
                <w:sz w:val="18"/>
                <w:szCs w:val="18"/>
                <w:color w:val="auto"/>
                <w:w w:val="99"/>
              </w:rPr>
              <w:t>X1100</w:t>
            </w:r>
          </w:p>
        </w:tc>
        <w:tc>
          <w:tcPr>
            <w:tcW w:w="26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 Tracked Vehicles</w:t>
            </w:r>
          </w:p>
        </w:tc>
      </w:tr>
      <w:tr>
        <w:trPr>
          <w:trHeight w:val="216"/>
        </w:trPr>
        <w:tc>
          <w:tcPr>
            <w:tcW w:w="4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eGen Force</w:t>
            </w:r>
          </w:p>
        </w:tc>
        <w:tc>
          <w:tcPr>
            <w:tcW w:w="260" w:type="dxa"/>
            <w:vAlign w:val="bottom"/>
            <w:shd w:val="clear" w:color="auto" w:fill="CFF0FC"/>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 Tracked Vehicles</w:t>
            </w:r>
          </w:p>
        </w:tc>
      </w:tr>
    </w:tbl>
    <w:p>
      <w:pPr>
        <w:spacing w:after="0" w:line="197" w:lineRule="exact"/>
        <w:rPr>
          <w:sz w:val="20"/>
          <w:szCs w:val="20"/>
          <w:color w:val="auto"/>
        </w:rPr>
      </w:pPr>
    </w:p>
    <w:p>
      <w:pPr>
        <w:ind w:right="180" w:firstLine="749"/>
        <w:spacing w:after="0" w:line="242" w:lineRule="auto"/>
        <w:rPr>
          <w:sz w:val="20"/>
          <w:szCs w:val="20"/>
          <w:color w:val="auto"/>
        </w:rPr>
      </w:pPr>
      <w:r>
        <w:rPr>
          <w:rFonts w:ascii="Arial" w:cs="Arial" w:eastAsia="Arial" w:hAnsi="Arial"/>
          <w:sz w:val="18"/>
          <w:szCs w:val="18"/>
          <w:color w:val="auto"/>
        </w:rPr>
        <w:t>Subsequent to the acquisition of the Acquired Off-Highway Business, our product portfolio has expanded to include drivetrain and motion solutions for a wide range of mobile and stationary off-highway equipment. These solutions include optimized drivetrain systems, propulsion components and motion technologies designed for industries such as construction, agriculture, mining, material handling and other industrial applications. This expanded portfolio encompasses systems that manage power conveyance to machines and power work functions, including axles, gearboxes, transmissions and related components, as well as motion systems tailored to customer performance and efficiency requirements across both conventional and electrified powertrains.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Engineering</w:t>
      </w:r>
    </w:p>
    <w:p>
      <w:pPr>
        <w:spacing w:after="0" w:line="158" w:lineRule="exact"/>
        <w:rPr>
          <w:sz w:val="20"/>
          <w:szCs w:val="20"/>
          <w:color w:val="auto"/>
        </w:rPr>
      </w:pPr>
    </w:p>
    <w:p>
      <w:pPr>
        <w:ind w:right="40" w:firstLine="494"/>
        <w:spacing w:after="0" w:line="242" w:lineRule="auto"/>
        <w:rPr>
          <w:sz w:val="20"/>
          <w:szCs w:val="20"/>
          <w:color w:val="auto"/>
        </w:rPr>
      </w:pPr>
      <w:r>
        <w:rPr>
          <w:rFonts w:ascii="Arial" w:cs="Arial" w:eastAsia="Arial" w:hAnsi="Arial"/>
          <w:sz w:val="18"/>
          <w:szCs w:val="18"/>
          <w:color w:val="auto"/>
        </w:rPr>
        <w:t>We maintain product development and engineering capabilities dedicated to the design, development, refinement and support of our fully automatic transmissions and electric hybrid and fully electric propulsion systems. 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and reduced emissions, we provide vehicle specification guidelines, propulsion control software and mechanical components to optimize fuel economy while delivering desired vehicle performance.</w:t>
      </w:r>
    </w:p>
    <w:p>
      <w:pPr>
        <w:spacing w:after="0" w:line="125"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Further, we are developing new products and technology to improve the fuel efficiency and fuel economy of our fuel-agnostic conventional products, including by allowing engines to operate more efficiently and at lower speeds without compromising performance, and by developing our product portfolio to pair with new engine ratings enabling lower nitrous oxide emissions.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Organization</w:t>
      </w:r>
    </w:p>
    <w:p>
      <w:pPr>
        <w:spacing w:after="0" w:line="158"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Our sales and marketing effort is organized along geographic and customer lines and is comprised of marketing, sales and service professionals, supported by customer integration engineers worldwide. In North America, selling efforts in the on-highway end market are organized by distributor area responsibility, OEM sales and, for our large end users, national accounts. Outside North America, we manage our sales, marketing, service and customer integration engineering professionals through regional areas of responsibility. These regional management teams distribute OEM service and customer integration engineering resources globally.</w:t>
      </w:r>
    </w:p>
    <w:p>
      <w:pPr>
        <w:spacing w:after="0" w:line="122"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We have developed a marketing strategy to reach OEM customers as well as end users. We target our end users primarily through marketing activities by our sales staff, who directly call on end users and attend local trade shows, targeting specific vocations globally and through our plant tour programs, where end users may test our products on our Indianapolis test track and our enhanced customer experience demonstration track at our Hungary facility.</w:t>
      </w:r>
    </w:p>
    <w:p>
      <w:pPr>
        <w:spacing w:after="0" w:line="120" w:lineRule="exact"/>
        <w:rPr>
          <w:sz w:val="20"/>
          <w:szCs w:val="20"/>
          <w:color w:val="auto"/>
        </w:rPr>
      </w:pPr>
    </w:p>
    <w:p>
      <w:pPr>
        <w:ind w:right="400" w:firstLine="494"/>
        <w:spacing w:after="0" w:line="271" w:lineRule="auto"/>
        <w:rPr>
          <w:sz w:val="20"/>
          <w:szCs w:val="20"/>
          <w:color w:val="auto"/>
        </w:rPr>
      </w:pPr>
      <w:r>
        <w:rPr>
          <w:rFonts w:ascii="Arial" w:cs="Arial" w:eastAsia="Arial" w:hAnsi="Arial"/>
          <w:sz w:val="18"/>
          <w:szCs w:val="18"/>
          <w:color w:val="auto"/>
        </w:rPr>
        <w:t>While our marketing management uses the term “customer” interchangeably for OEMs and end users, the primary objective of our marketing strategy is to create demand for propulsion solutions through:</w:t>
      </w:r>
    </w:p>
    <w:p>
      <w:pPr>
        <w:spacing w:after="0" w:line="100" w:lineRule="exact"/>
        <w:rPr>
          <w:sz w:val="20"/>
          <w:szCs w:val="20"/>
          <w:color w:val="auto"/>
        </w:rPr>
      </w:pPr>
    </w:p>
    <w:p>
      <w:pPr>
        <w:ind w:left="760" w:hanging="190"/>
        <w:spacing w:after="0" w:line="24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OEM and body builder promotion of our products and incorporation of our propulsion solutions in their commercial vehicle product offerings;</w:t>
      </w:r>
    </w:p>
    <w:p>
      <w:pPr>
        <w:spacing w:after="0" w:line="1" w:lineRule="exact"/>
        <w:rPr>
          <w:rFonts w:ascii="Times New Roman" w:cs="Times New Roman" w:eastAsia="Times New Roman" w:hAnsi="Times New Roman"/>
          <w:sz w:val="18"/>
          <w:szCs w:val="18"/>
          <w:color w:val="auto"/>
        </w:rPr>
      </w:pPr>
    </w:p>
    <w:p>
      <w:pPr>
        <w:ind w:left="760" w:hanging="190"/>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Allison representative and/or Allison distributor contact with identified, major end users; and</w:t>
      </w:r>
    </w:p>
    <w:p>
      <w:pPr>
        <w:spacing w:after="0" w:line="8" w:lineRule="exact"/>
        <w:rPr>
          <w:rFonts w:ascii="Times New Roman" w:cs="Times New Roman" w:eastAsia="Times New Roman" w:hAnsi="Times New Roman"/>
          <w:sz w:val="18"/>
          <w:szCs w:val="18"/>
          <w:color w:val="auto"/>
        </w:rPr>
      </w:pPr>
    </w:p>
    <w:p>
      <w:pPr>
        <w:ind w:left="760" w:hanging="190"/>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network of independent dealers who contact other end users.</w:t>
      </w:r>
    </w:p>
    <w:p>
      <w:pPr>
        <w:spacing w:after="0" w:line="152" w:lineRule="exact"/>
        <w:rPr>
          <w:sz w:val="20"/>
          <w:szCs w:val="20"/>
          <w:color w:val="auto"/>
        </w:rPr>
      </w:pPr>
    </w:p>
    <w:p>
      <w:pPr>
        <w:ind w:right="280" w:firstLine="494"/>
        <w:spacing w:after="0" w:line="271" w:lineRule="auto"/>
        <w:rPr>
          <w:sz w:val="20"/>
          <w:szCs w:val="20"/>
          <w:color w:val="auto"/>
        </w:rPr>
      </w:pPr>
      <w:r>
        <w:rPr>
          <w:rFonts w:ascii="Arial" w:cs="Arial" w:eastAsia="Arial" w:hAnsi="Arial"/>
          <w:sz w:val="18"/>
          <w:szCs w:val="18"/>
          <w:color w:val="auto"/>
        </w:rPr>
        <w:t>The process is interactive, as Allison representatives, Allison distributors, OEMs and dealers educate customers and respond to the specific applications, requirements and needs of numerous specialty markets.</w:t>
      </w:r>
    </w:p>
    <w:p>
      <w:pPr>
        <w:spacing w:after="0" w:line="100"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Similarly, we work with customers, dealers and OEMs to educate, improve and simplify how they specify vehicles and certain systems in order to optimize vehicle performance and fuel consumption. Our field organization also works closely with distributors who, in turn, work with dealers to provide end users with education, parts, service and warranty support. The defense group focuses on industry OEMs and collaborative dialogue with OEMs and government leaders to understand program requirements and determine our long-term product development strategy.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58"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Our manufacturing strategy provides for distributed capability in manufacturing and assembly of our products for the global commercial vehicle market. As of December 31, 2025, our primary manufacturing facilities, located in Indianapolis, Indiana, consist of approximately 2.3 million square feet of usable manufacturing space in five plants. Our high volume on-highway products are produced in multiple global locations (United States, Chennai, India and Szentgotthard, Hungary), while off-highway products are produced in Indianapolis and Chennai, India. Our electric hybrid propulsion and defense tracked products are also produced in Indianapolis, and fully electric propulsion solutions are produced in Auburn Hills, Michigan. In addition, our aluminum die cast components are produced in Lewisburg, Tennessee. We also have established customization and parts distribution centers in the United States, the Netherlands, Brazil, China, Hungary, India and Japan.</w:t>
      </w:r>
    </w:p>
    <w:p>
      <w:pPr>
        <w:spacing w:after="0" w:line="131"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As part of the acquisition of the Acquired Off-Highway Business, we acquired approximately 46 manufacturing and assembly plants, in addition to certain other facilities, which facilities will produce our Allison Off-Highway Drive &amp; Motion Systems products.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Raw Materials</w:t>
      </w:r>
    </w:p>
    <w:p>
      <w:pPr>
        <w:spacing w:after="0" w:line="158"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A significant amount of the part numbers that make up our propulsion solutions are purchased from outside suppliers, and during 2025, we purchased approximately $1,022 million of direct materials and components from outside suppliers. The largest elements of our direct spending are aluminum and steel castings and forgings that are formed by our suppliers into our larger components and assemblies for use in our propulsion solutions. Our spending on aluminum and steel raw materials directly and indirectly through our purchase of these components constituted approximately 16% of our direct material and component costs in 2025.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quality.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8"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Patents, trademarks,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our proprietary information. We own and have licensing arrangements for a number of U.S. and foreign patents related to our products and business. We do not consider our business to be dependent on any single patent, nor will the expiration of any single patent materially affect our business. Our current patents will expire over various periods, and we continue to file new patent applications on newly-developed technology.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8" w:lineRule="exact"/>
        <w:rPr>
          <w:sz w:val="20"/>
          <w:szCs w:val="20"/>
          <w:color w:val="auto"/>
        </w:rPr>
      </w:pPr>
    </w:p>
    <w:p>
      <w:pPr>
        <w:jc w:val="both"/>
        <w:ind w:right="120" w:firstLine="494"/>
        <w:spacing w:after="0" w:line="253" w:lineRule="auto"/>
        <w:rPr>
          <w:sz w:val="20"/>
          <w:szCs w:val="20"/>
          <w:color w:val="auto"/>
        </w:rPr>
      </w:pPr>
      <w:r>
        <w:rPr>
          <w:rFonts w:ascii="Arial" w:cs="Arial" w:eastAsia="Arial" w:hAnsi="Arial"/>
          <w:sz w:val="18"/>
          <w:szCs w:val="18"/>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8" w:lineRule="exact"/>
        <w:rPr>
          <w:sz w:val="20"/>
          <w:szCs w:val="20"/>
          <w:color w:val="auto"/>
        </w:rPr>
      </w:pPr>
    </w:p>
    <w:p>
      <w:pPr>
        <w:ind w:right="340" w:firstLine="494"/>
        <w:spacing w:after="0" w:line="253" w:lineRule="auto"/>
        <w:rPr>
          <w:sz w:val="20"/>
          <w:szCs w:val="20"/>
          <w:color w:val="auto"/>
        </w:rPr>
      </w:pPr>
      <w:r>
        <w:rPr>
          <w:rFonts w:ascii="Arial" w:cs="Arial" w:eastAsia="Arial" w:hAnsi="Arial"/>
          <w:sz w:val="18"/>
          <w:szCs w:val="18"/>
          <w:color w:val="auto"/>
        </w:rPr>
        <w:t>At Allison, we believe in the power of our people, our processes and our products. For more than 105 years, we have built our business on these values: Quality, Customer Focus, Integrity, Innovation, and Teamwork. We use a variety of human capital measures in managing our business, including: workforce demographics; equality of opportunity; and employee health and safety.</w:t>
      </w:r>
    </w:p>
    <w:p>
      <w:pPr>
        <w:spacing w:after="0" w:line="115"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b w:val="1"/>
          <w:bCs w:val="1"/>
          <w:i w:val="1"/>
          <w:iCs w:val="1"/>
          <w:color w:val="auto"/>
        </w:rPr>
        <w:t>Workforce Demographics</w:t>
      </w:r>
      <w:r>
        <w:rPr>
          <w:rFonts w:ascii="Arial" w:cs="Arial" w:eastAsia="Arial" w:hAnsi="Arial"/>
          <w:sz w:val="18"/>
          <w:szCs w:val="18"/>
          <w:color w:val="auto"/>
        </w:rPr>
        <w:t>. Our people are a critical component in our continued success, the delivery of our values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execution of our growth initiatives. As of December 31, 2025, we had a highly skilled workforce of approximately 4,000 employees, with approximately 87% of those employees in the U.S. Approximately 49% of our U.S. employees are represented by the International Union, United Automobile, Aerospace and Agricultural Implement Workers of America (“UAW”) and are subject to a collective bargaining agreement. In January 2024, we entered into a four-year collective bargaining agreement with UAW Local 933 that expires in November 2027.</w:t>
      </w:r>
    </w:p>
    <w:p>
      <w:pPr>
        <w:spacing w:after="0" w:line="122"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As part of the acquisition of the Acquired Off-Highway Business, effective as of January 1, 2026, we acquired approximately 8,000 additional employees, excluding contractors, with approximately 8% of those employees in the U.S. Approximately 68% of the U.S. employees that were acquired with the Acquired Off-Highway Business are represented by the UAW or the United Steel, Paper and Forestry, Rubber, Manufacturing, Energy, Allied Industrial and Service Workers International Union (the "USW") and are subject to collective bargaining agreements.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b w:val="1"/>
          <w:bCs w:val="1"/>
          <w:i w:val="1"/>
          <w:iCs w:val="1"/>
          <w:color w:val="auto"/>
        </w:rPr>
        <w:t>Equality of Opportunity</w:t>
      </w:r>
      <w:r>
        <w:rPr>
          <w:rFonts w:ascii="Arial" w:cs="Arial" w:eastAsia="Arial" w:hAnsi="Arial"/>
          <w:sz w:val="18"/>
          <w:szCs w:val="18"/>
          <w:color w:val="auto"/>
        </w:rPr>
        <w:t>. Allison recognizes the power of different thought, accepts and respects each individual and strives to create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workplace where everyone can reach their full potential, driving innovation and business results. Allison hires, promotes, trains, and compensates its employees based on merit, experience, or other work-related criteria. Allison values the wide range of backgrounds of our employees. Allison views our diversity as a strength and strives to create work environments that accept differences while promoting productivity and teamwork. Everyone at Allison is responsible for creating and maintaining a productive work environment where the dignity of all employees is respected. Our efforts to promote a respectful workplace include: providing training; utilizing non-traditional recruiting sources, such as organizations focused on veterans and people with disabilities, diverse professional organizations, and schools with diverse student bodies; organizing virtual mentoring programs to connect employees from different locations, departments and backgrounds; and creating multicultural, emerging professionals, and military veterans employee resource groups that are open to all.</w:t>
      </w:r>
    </w:p>
    <w:p>
      <w:pPr>
        <w:spacing w:after="0" w:line="170" w:lineRule="exact"/>
        <w:rPr>
          <w:sz w:val="20"/>
          <w:szCs w:val="20"/>
          <w:color w:val="auto"/>
        </w:rPr>
      </w:pPr>
    </w:p>
    <w:p>
      <w:pPr>
        <w:ind w:right="40" w:firstLine="494"/>
        <w:spacing w:after="0"/>
        <w:rPr>
          <w:sz w:val="20"/>
          <w:szCs w:val="20"/>
          <w:color w:val="auto"/>
        </w:rPr>
      </w:pPr>
      <w:r>
        <w:rPr>
          <w:rFonts w:ascii="Arial" w:cs="Arial" w:eastAsia="Arial" w:hAnsi="Arial"/>
          <w:sz w:val="18"/>
          <w:szCs w:val="18"/>
          <w:b w:val="1"/>
          <w:bCs w:val="1"/>
          <w:i w:val="1"/>
          <w:iCs w:val="1"/>
          <w:color w:val="auto"/>
        </w:rPr>
        <w:t>Employee Health &amp; Safety</w:t>
      </w:r>
      <w:r>
        <w:rPr>
          <w:rFonts w:ascii="Arial" w:cs="Arial" w:eastAsia="Arial" w:hAnsi="Arial"/>
          <w:sz w:val="18"/>
          <w:szCs w:val="18"/>
          <w:color w:val="auto"/>
        </w:rPr>
        <w:t>. Allison’s overriding priority is to protect the health and safety of each employee. As part of our health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programs, Allison is certified in ISO 45001, Occupational Health and Safety Management Systems. ISO 45001 is the only internationally recognized Safety Management System. Employees participate in training focused on health and safety, and metrics are reviewed regularly, including the number of injury incidents that occur and those incidents that result in lost work days. For 2025, we achieved an overall recordable rate of 0.99 at our global locations, meaning that for every 100 employees, 0.99 employees incurred an injury that resulted in recordable medical treatment, and the number of lost work days was 0.30 at our global locations, meaning that for every 100 employees, 0.30 individuals experienced an incident that resulted in days away from work.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58"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We are subject to a variety of federal, state, local and foreign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In addition, certain of our products and our customer’s products are subject to certification requirements by a variety of regulatory bodies.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financial results.</w:t>
      </w:r>
    </w:p>
    <w:p>
      <w:pPr>
        <w:spacing w:after="0" w:line="131" w:lineRule="exact"/>
        <w:rPr>
          <w:sz w:val="20"/>
          <w:szCs w:val="20"/>
          <w:color w:val="auto"/>
        </w:rPr>
      </w:pPr>
    </w:p>
    <w:p>
      <w:pPr>
        <w:ind w:right="180" w:firstLine="494"/>
        <w:spacing w:after="0"/>
        <w:rPr>
          <w:sz w:val="20"/>
          <w:szCs w:val="20"/>
          <w:color w:val="auto"/>
        </w:rPr>
      </w:pPr>
      <w:r>
        <w:rPr>
          <w:rFonts w:ascii="Arial" w:cs="Arial" w:eastAsia="Arial" w:hAnsi="Arial"/>
          <w:sz w:val="18"/>
          <w:szCs w:val="18"/>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has taken action to control greenhouse gases from certain stationary and mobile sources. In addition, several states have taken steps, such as the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In addition to the foregoing, various legislation, regulations and international accords pertaining to climate change have been implemented or are being considered for implementation, particularly as they relate to the reporting of greenhouse gas emissions and sustainability efforts being undertaken, such as the European Union’s Corporate Sustainability Reporting Directive ("CSRD") and California’s Climate Corporate Data Accountability Act and Climate-Related Financial Risk Act. We continue to monitor the development and implementation of such legislation and regulations and are evaluating the impact these laws and regulations may have on the Company, including the extent of our potential disclosures or other reporting requirements. We also continue to regularly report our sustainability efforts in our annual Corporate Social Responsibility Report.</w:t>
      </w:r>
    </w:p>
    <w:p>
      <w:pPr>
        <w:spacing w:after="0" w:line="131" w:lineRule="exact"/>
        <w:rPr>
          <w:sz w:val="20"/>
          <w:szCs w:val="20"/>
          <w:color w:val="auto"/>
        </w:rPr>
      </w:pPr>
    </w:p>
    <w:p>
      <w:pPr>
        <w:ind w:right="180" w:firstLine="494"/>
        <w:spacing w:after="0"/>
        <w:rPr>
          <w:sz w:val="20"/>
          <w:szCs w:val="20"/>
          <w:color w:val="auto"/>
        </w:rPr>
      </w:pPr>
      <w:r>
        <w:rPr>
          <w:rFonts w:ascii="Arial" w:cs="Arial" w:eastAsia="Arial" w:hAnsi="Arial"/>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8"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We compete on the basis of product performance, quality, value, distribution capability, service and fuel efficiency, in addition to other factors. We face competition from numerous manufacturers of various types of propulsion solutions for commercial vehicles. Furthermore, we face an increasing amount of competition from vertical integration, as some of our customers are OEMs that manufacture propulsion solutions for their own products. Despite their propulsion solutions manufacturing capabilities, we believe that our existing OEM customers have chosen to purchase certain propulsion solutions from us due to the quality, reliability and strong brand of our propulsion solutions and in order to limit fixed costs, minimize production risks and maintain company focus on commercial vehicle design, production and marketing.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58"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Allison Transmission Holdings, Inc. was incorporated in Delaware on June 22, 2007. Our principal executive offices are located at One Allison Way, Indianapolis, IN 46222 and our telephone number is (317) 242-5000. Our internet address is https://www.allisontransmission.com. We file annual, quarterly and current reports, proxy statements and other documents with the SEC under the Securities Exchange Act of 1934, as amended (the “Exchange Act”). These periodic and current reports and all amendments to those reports are available free of charge on the investor relations page of our website at https://ir.allisontransmission.com as soon as reasonably practicable after we electronically file them with, or furnish them to, the SEC. We have included our website address throughout this filing as textual references only. The information contained on, or accessible through, our website is not incorporated into this Annual Report on Form 10-K. The SEC also maintains an Internet site that contains reports, proxy and information statements, and other information regarding issuers that file electronically with the SEC at https://www.sec.gov.</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0" w:lineRule="exact"/>
        <w:rPr>
          <w:sz w:val="20"/>
          <w:szCs w:val="20"/>
          <w:color w:val="auto"/>
        </w:rPr>
      </w:pPr>
    </w:p>
    <w:p>
      <w:pPr>
        <w:ind w:right="200" w:firstLine="494"/>
        <w:spacing w:after="0" w:line="252" w:lineRule="auto"/>
        <w:rPr>
          <w:sz w:val="20"/>
          <w:szCs w:val="20"/>
          <w:color w:val="auto"/>
        </w:rPr>
      </w:pPr>
      <w:r>
        <w:rPr>
          <w:rFonts w:ascii="Arial" w:cs="Arial" w:eastAsia="Arial" w:hAnsi="Arial"/>
          <w:sz w:val="18"/>
          <w:szCs w:val="18"/>
          <w:i w:val="1"/>
          <w:iCs w:val="1"/>
          <w:color w:val="auto"/>
        </w:rPr>
        <w:t>The following is a cautionary discussion of risks, uncertainties and assumptions that we believe are material to our business. In addition to the factors discussed elsewhere in this Annual Report on Form 10-K, the following are the material factors that, individually or in the aggregate, we believe could make our actual results differ materially from those described in any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principal risks that could adversely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46" w:lineRule="exact"/>
        <w:rPr>
          <w:sz w:val="20"/>
          <w:szCs w:val="20"/>
          <w:color w:val="auto"/>
        </w:rPr>
      </w:pPr>
    </w:p>
    <w:p>
      <w:pPr>
        <w:ind w:left="1020" w:right="72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We participate in markets that are competitive, and our competitors’ actions could have a material adverse effect on our business, results of operations and financial condition.</w:t>
      </w:r>
    </w:p>
    <w:p>
      <w:pPr>
        <w:spacing w:after="0" w:line="49" w:lineRule="exact"/>
        <w:rPr>
          <w:rFonts w:ascii="Times New Roman" w:cs="Times New Roman" w:eastAsia="Times New Roman" w:hAnsi="Times New Roman"/>
          <w:sz w:val="18"/>
          <w:szCs w:val="18"/>
          <w:color w:val="auto"/>
        </w:rPr>
      </w:pPr>
    </w:p>
    <w:p>
      <w:pPr>
        <w:ind w:left="1020" w:right="28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Volatility in and disruption to the global economic environment may have a material adverse effect on our business, results of operations and financial condition.</w:t>
      </w:r>
    </w:p>
    <w:p>
      <w:pPr>
        <w:spacing w:after="0" w:line="49"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Increases in cost, disruption of supply or shortage of raw materials or components used in our products could harm our business and profitability.</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Prolonged inflation could result in higher costs and decreased margins and earnings.</w:t>
      </w:r>
    </w:p>
    <w:p>
      <w:pPr>
        <w:spacing w:after="0" w:line="116" w:lineRule="exact"/>
        <w:rPr>
          <w:rFonts w:ascii="Times New Roman" w:cs="Times New Roman" w:eastAsia="Times New Roman" w:hAnsi="Times New Roman"/>
          <w:sz w:val="18"/>
          <w:szCs w:val="18"/>
          <w:color w:val="auto"/>
        </w:rPr>
      </w:pPr>
    </w:p>
    <w:p>
      <w:pPr>
        <w:ind w:left="1020" w:right="24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Labor cost inflation and employee attraction and retention could have an adverse effect on our business, results of operations and financial condition.</w:t>
      </w:r>
    </w:p>
    <w:p>
      <w:pPr>
        <w:spacing w:after="0" w:line="49" w:lineRule="exact"/>
        <w:rPr>
          <w:rFonts w:ascii="Times New Roman" w:cs="Times New Roman" w:eastAsia="Times New Roman" w:hAnsi="Times New Roman"/>
          <w:sz w:val="18"/>
          <w:szCs w:val="18"/>
          <w:color w:val="auto"/>
        </w:rPr>
      </w:pPr>
    </w:p>
    <w:p>
      <w:pPr>
        <w:ind w:left="1020" w:right="4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49" w:lineRule="exact"/>
        <w:rPr>
          <w:rFonts w:ascii="Times New Roman" w:cs="Times New Roman" w:eastAsia="Times New Roman" w:hAnsi="Times New Roman"/>
          <w:sz w:val="18"/>
          <w:szCs w:val="18"/>
          <w:color w:val="auto"/>
        </w:rPr>
      </w:pPr>
    </w:p>
    <w:p>
      <w:pPr>
        <w:ind w:left="1020" w:right="200" w:hanging="503"/>
        <w:spacing w:after="0" w:line="251"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 2025, our sales were concentrated among our top five OEM customers. The loss or consolidation of any one of these customers or the discontinuation of particular vehicle models for which we are a significant supplier could reduce our net sales and have a material adverse effect on our results of operations and financial condition.</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Labor unrest could have an adverse effect on our business, results of operations and financial condition.</w:t>
      </w:r>
    </w:p>
    <w:p>
      <w:pPr>
        <w:spacing w:after="0" w:line="116" w:lineRule="exact"/>
        <w:rPr>
          <w:rFonts w:ascii="Times New Roman" w:cs="Times New Roman" w:eastAsia="Times New Roman" w:hAnsi="Times New Roman"/>
          <w:sz w:val="18"/>
          <w:szCs w:val="18"/>
          <w:color w:val="auto"/>
        </w:rPr>
      </w:pPr>
    </w:p>
    <w:p>
      <w:pPr>
        <w:ind w:left="1020" w:right="4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We are subject to cybersecurity risks to operational systems, security systems, and infrastructure owned by Allison or third-party vendors or suppliers.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Geopolitical risks may have an adverse effect on our results of operations and financial condition.</w:t>
      </w:r>
    </w:p>
    <w:p>
      <w:pPr>
        <w:spacing w:after="0" w:line="116" w:lineRule="exact"/>
        <w:rPr>
          <w:rFonts w:ascii="Times New Roman" w:cs="Times New Roman" w:eastAsia="Times New Roman" w:hAnsi="Times New Roman"/>
          <w:sz w:val="18"/>
          <w:szCs w:val="18"/>
          <w:color w:val="auto"/>
        </w:rPr>
      </w:pPr>
    </w:p>
    <w:p>
      <w:pPr>
        <w:ind w:left="1020" w:right="60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brand and reputation are dependent on the continued participation and level of service of our numerous independent distributors and dealers.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 the event of a catastrophic loss of one of our key manufacturing facilities, our business would be adversely affected.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Risks</w:t>
      </w:r>
    </w:p>
    <w:p>
      <w:pPr>
        <w:spacing w:after="0" w:line="146" w:lineRule="exact"/>
        <w:rPr>
          <w:sz w:val="20"/>
          <w:szCs w:val="20"/>
          <w:color w:val="auto"/>
        </w:rPr>
      </w:pPr>
    </w:p>
    <w:p>
      <w:pPr>
        <w:ind w:left="1020" w:right="36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success depends on research and development efforts, and we may not be successful in developing or introducing new products and technologies and responding to customer needs.</w:t>
      </w:r>
    </w:p>
    <w:p>
      <w:pPr>
        <w:spacing w:after="0" w:line="49" w:lineRule="exact"/>
        <w:rPr>
          <w:rFonts w:ascii="Times New Roman" w:cs="Times New Roman" w:eastAsia="Times New Roman" w:hAnsi="Times New Roman"/>
          <w:sz w:val="18"/>
          <w:szCs w:val="18"/>
          <w:color w:val="auto"/>
        </w:rPr>
      </w:pPr>
    </w:p>
    <w:p>
      <w:pPr>
        <w:ind w:left="1020" w:right="114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long-term growth prospects and results of operations may be impaired if the rate of adoption of fully automatic transmissions in commercial vehicles outside North America does not increase.</w:t>
      </w:r>
    </w:p>
    <w:p>
      <w:pPr>
        <w:spacing w:after="0" w:line="49" w:lineRule="exact"/>
        <w:rPr>
          <w:rFonts w:ascii="Times New Roman" w:cs="Times New Roman" w:eastAsia="Times New Roman" w:hAnsi="Times New Roman"/>
          <w:sz w:val="18"/>
          <w:szCs w:val="18"/>
          <w:color w:val="auto"/>
        </w:rPr>
      </w:pPr>
    </w:p>
    <w:p>
      <w:pPr>
        <w:ind w:left="1020" w:right="66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Fluctuations in foreign currency exchange rates could adversely affect our results.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20" w:right="46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We may not be able to identify or consummate acquisitions or partnerships or achieve expected benefits from or effectively integrate acquisitions or partnerships, which could harm our growth.</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Acquisition of the Acquired Off-Highway Business</w:t>
      </w:r>
    </w:p>
    <w:p>
      <w:pPr>
        <w:spacing w:after="0" w:line="146"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We expect to incur significant costs in connection with the integration of the Acquired Off-Highway Business.</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Any failure to integrate the Acquired Off-Highway Business and its operations with ours successfully in the expected time frame may adversely affect our results of operations and financial condition.</w:t>
      </w:r>
    </w:p>
    <w:p>
      <w:pPr>
        <w:spacing w:after="0" w:line="49" w:lineRule="exact"/>
        <w:rPr>
          <w:rFonts w:ascii="Times New Roman" w:cs="Times New Roman" w:eastAsia="Times New Roman" w:hAnsi="Times New Roman"/>
          <w:sz w:val="18"/>
          <w:szCs w:val="18"/>
          <w:color w:val="auto"/>
        </w:rPr>
      </w:pPr>
    </w:p>
    <w:p>
      <w:pPr>
        <w:ind w:left="1020" w:right="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We may fail to realize all of the anticipated benefits from the integration of the Acquired Off-Highway Business and its operations after the acquisition or fail to effectively manage our expanded operations.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future results may suffer if we do not effectively manage our expanded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33" w:lineRule="exact"/>
        <w:rPr>
          <w:sz w:val="20"/>
          <w:szCs w:val="20"/>
          <w:color w:val="auto"/>
        </w:rPr>
      </w:pPr>
    </w:p>
    <w:p>
      <w:pPr>
        <w:ind w:left="1020" w:right="18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Any events that impact our brand name could have an adverse effect on our reputation, cause us to incur significant costs and negatively impact our business, results of operations and financial condition.</w:t>
      </w:r>
    </w:p>
    <w:p>
      <w:pPr>
        <w:spacing w:after="0" w:line="49" w:lineRule="exact"/>
        <w:rPr>
          <w:rFonts w:ascii="Times New Roman" w:cs="Times New Roman" w:eastAsia="Times New Roman" w:hAnsi="Times New Roman"/>
          <w:sz w:val="18"/>
          <w:szCs w:val="18"/>
          <w:color w:val="auto"/>
        </w:rPr>
      </w:pPr>
    </w:p>
    <w:p>
      <w:pPr>
        <w:ind w:left="1020" w:right="12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We rely on unpatented technology, which exposes us to certain risks.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Environmental, health and safety laws and regulations may impose significant compliance costs and liabilities on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business and financial results may be adversely affected by government contracting risks.</w:t>
      </w:r>
    </w:p>
    <w:p>
      <w:pPr>
        <w:spacing w:after="0" w:line="116" w:lineRule="exact"/>
        <w:rPr>
          <w:rFonts w:ascii="Times New Roman" w:cs="Times New Roman" w:eastAsia="Times New Roman" w:hAnsi="Times New Roman"/>
          <w:sz w:val="18"/>
          <w:szCs w:val="18"/>
          <w:color w:val="auto"/>
        </w:rPr>
      </w:pPr>
    </w:p>
    <w:p>
      <w:pPr>
        <w:ind w:left="1020" w:right="140" w:hanging="503"/>
        <w:spacing w:after="0" w:line="251"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Financial Risks</w:t>
      </w:r>
    </w:p>
    <w:p>
      <w:pPr>
        <w:spacing w:after="0" w:line="146"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indebtedness could adversely affect our financial health, restrict our activities and affect our ability to meet our obligations.</w:t>
      </w:r>
    </w:p>
    <w:p>
      <w:pPr>
        <w:spacing w:after="0" w:line="116" w:lineRule="exact"/>
        <w:rPr>
          <w:rFonts w:ascii="Times New Roman" w:cs="Times New Roman" w:eastAsia="Times New Roman" w:hAnsi="Times New Roman"/>
          <w:sz w:val="18"/>
          <w:szCs w:val="18"/>
          <w:color w:val="auto"/>
        </w:rPr>
      </w:pPr>
    </w:p>
    <w:p>
      <w:pPr>
        <w:ind w:left="1020" w:right="34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To service our indebtedness, we will require a significant amount of cash, and our ability to generate cash depends on many factors beyond our control.</w:t>
      </w:r>
    </w:p>
    <w:p>
      <w:pPr>
        <w:spacing w:after="0" w:line="49" w:lineRule="exact"/>
        <w:rPr>
          <w:rFonts w:ascii="Times New Roman" w:cs="Times New Roman" w:eastAsia="Times New Roman" w:hAnsi="Times New Roman"/>
          <w:sz w:val="18"/>
          <w:szCs w:val="18"/>
          <w:color w:val="auto"/>
        </w:rPr>
      </w:pPr>
    </w:p>
    <w:p>
      <w:pPr>
        <w:ind w:left="1020" w:right="42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pension and other post-retirement benefits funding obligations could increase as a result of a variety of factors.</w:t>
      </w:r>
    </w:p>
    <w:p>
      <w:pPr>
        <w:spacing w:after="0" w:line="116" w:lineRule="exact"/>
        <w:rPr>
          <w:rFonts w:ascii="Times New Roman" w:cs="Times New Roman" w:eastAsia="Times New Roman" w:hAnsi="Times New Roman"/>
          <w:sz w:val="18"/>
          <w:szCs w:val="18"/>
          <w:color w:val="auto"/>
        </w:rPr>
      </w:pPr>
    </w:p>
    <w:p>
      <w:pPr>
        <w:ind w:left="1020" w:right="86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An impairment in the carrying value of goodwill, other intangible assets or long-lived assets could negatively affect our consolidated results of operations and net worth.</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a more complete discussion of the material risks facing our business, see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14"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We participate in markets that are competitive, and our competitors’ actions could have a material adverse effect on our business, results of operations and financial condition.</w:t>
      </w:r>
    </w:p>
    <w:p>
      <w:pPr>
        <w:spacing w:after="0" w:line="85"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Our business operates in competitive markets. We compete against other existing or new global manufacturers of transmissions and propulsion solutions for commercial vehicles on the basis of product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performance, quality, price, distribution capability, service and fuel efficiency in addition to other factors. In addition, we compete with manufacturers developing alternative technologies, including fully electric propulsion solutions, that may or may not require a transmission. A focus on climate change and environmental sustainability, including through regulations enacted and subsidies offered by governmental entities, continues to drive the development and adoption of various alternative technologies, including electric propulsion solutions, in the commercial vehicle industry. If the pace of adoption of electric vehicles proceeds faster than we are anticipating, we may not be in a position to meet customer demand or our competitors may be better positioned to meet customer demand, which may result in a decline in our market share or negatively impact our ability to execute our growth initiatives. Actions by our competitors or accelerated adoption of electric vehicles, in particular if our competitors are able to develop, validate and release new technologies more quickly than we do, could also lead to downward pressure on prices and/or a decline in our market share, either or both of which could adversely affect our results.</w:t>
      </w:r>
    </w:p>
    <w:p>
      <w:pPr>
        <w:spacing w:after="0" w:line="129" w:lineRule="exact"/>
        <w:rPr>
          <w:sz w:val="20"/>
          <w:szCs w:val="20"/>
          <w:color w:val="auto"/>
        </w:rPr>
      </w:pPr>
    </w:p>
    <w:p>
      <w:pPr>
        <w:ind w:right="80" w:firstLine="494"/>
        <w:spacing w:after="0" w:line="239" w:lineRule="auto"/>
        <w:rPr>
          <w:sz w:val="20"/>
          <w:szCs w:val="20"/>
          <w:color w:val="auto"/>
        </w:rPr>
      </w:pPr>
      <w:r>
        <w:rPr>
          <w:rFonts w:ascii="Arial" w:cs="Arial" w:eastAsia="Arial" w:hAnsi="Arial"/>
          <w:sz w:val="18"/>
          <w:szCs w:val="18"/>
          <w:color w:val="auto"/>
        </w:rPr>
        <w:t>In addition, some of our customers or future customers are OEMs that manufacture or could in the future manufacture transmissions, propulsion solutions or alternate technologies, including electric propulsion solutions, for their own products. Despite their manufacturing capabilities, our existing OEM customers have chosen to purchase certain transmissions and propulsion solutions from us due to end user demand.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or propulsion solution manufacturer, the inability of third-party suppliers to meet specifications and the emergence of low-cost production opportunities in foreign countries. As a result, these OEMs may use products produced internally or by another manufacturer and no longer choose to purchase products from us. A significant reduction in the level of external sourcing by our OEM customers could significantly impact our net sales and cash flows and, accordingly, have a material adverse effect on our business, results of operations and financial condition.</w:t>
      </w:r>
    </w:p>
    <w:p>
      <w:pPr>
        <w:spacing w:after="0" w:line="182"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Volatility in and disruption to the global economic environment, including the impact of an economic recession, trade protectionism and tariffs, and changes in the regulatory and business environments in which we operate, may have a material adverse effect on our business, results of operations and financial condition.</w:t>
      </w:r>
    </w:p>
    <w:p>
      <w:pPr>
        <w:spacing w:after="0" w:line="105"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Geopolitical risks, supply chain, labor and energy constraints and inflation have caused and may continue to cause volatility in and disruption to the global economic environment. Historically, the commercial vehicle industry as a whole has been more adversely affected by volatile economic conditions, such as a recession, than many other industries, as the purchase or replacement of commercial vehicles, which are durable items, can be deferred for many reasons, including reduced spending by end users. Future changes in the regulatory and business environments in which we operate, including increased geopolitical risks, trade protectionism and tariffs, may adversely affect our ability to sell our products or source materials needed to manufacture our products.</w:t>
      </w:r>
    </w:p>
    <w:p>
      <w:pPr>
        <w:spacing w:after="0" w:line="125" w:lineRule="exact"/>
        <w:rPr>
          <w:sz w:val="20"/>
          <w:szCs w:val="20"/>
          <w:color w:val="auto"/>
        </w:rPr>
      </w:pPr>
    </w:p>
    <w:p>
      <w:pPr>
        <w:ind w:right="120" w:firstLine="494"/>
        <w:spacing w:after="0" w:line="239" w:lineRule="auto"/>
        <w:rPr>
          <w:sz w:val="20"/>
          <w:szCs w:val="20"/>
          <w:color w:val="auto"/>
        </w:rPr>
      </w:pPr>
      <w:r>
        <w:rPr>
          <w:rFonts w:ascii="Arial" w:cs="Arial" w:eastAsia="Arial" w:hAnsi="Arial"/>
          <w:sz w:val="18"/>
          <w:szCs w:val="18"/>
          <w:color w:val="auto"/>
        </w:rPr>
        <w:t>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business,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 sources for these goods and services, and there is no assurance we would be able to find such alternate sources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on favorable terms, if at all. Any such disruption in our supply chain could adversely affect our ability to manufacture and deliver our products on a timely basis, and thereby affect our results of operations.</w:t>
      </w:r>
    </w:p>
    <w:p>
      <w:pPr>
        <w:spacing w:after="0" w:line="156"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Increases in cost, disruption of supply or shortage of raw materials or components used in our products could harm our business and profitability.</w:t>
      </w:r>
    </w:p>
    <w:p>
      <w:pPr>
        <w:spacing w:after="0" w:line="85" w:lineRule="exact"/>
        <w:rPr>
          <w:sz w:val="20"/>
          <w:szCs w:val="20"/>
          <w:color w:val="auto"/>
        </w:rPr>
      </w:pPr>
    </w:p>
    <w:p>
      <w:pPr>
        <w:ind w:right="80" w:firstLine="494"/>
        <w:spacing w:after="0" w:line="239" w:lineRule="auto"/>
        <w:rPr>
          <w:sz w:val="20"/>
          <w:szCs w:val="20"/>
          <w:color w:val="auto"/>
        </w:rPr>
      </w:pPr>
      <w:r>
        <w:rPr>
          <w:rFonts w:ascii="Arial" w:cs="Arial" w:eastAsia="Arial" w:hAnsi="Arial"/>
          <w:sz w:val="18"/>
          <w:szCs w:val="18"/>
          <w:color w:val="auto"/>
        </w:rPr>
        <w:t>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The prices for and availability of these raw materials fluctuate depending on market conditions, including government trade policies and tariffs. Volatility in the prices of raw materials such as steel, aluminum and nickel could increase the cost of manufacturing our products. Additionally, our suppliers are also subject to fluctuations in the prices of raw materials and may attempt to pass all or a portion of such increases on to us. In the event they are successful in doing so, our margins would decline.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as the recovery of these costs from customers generally lags six to 12 months.</w:t>
      </w:r>
    </w:p>
    <w:p>
      <w:pPr>
        <w:spacing w:after="0" w:line="126"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In 2025, approximately 75% of our total spending on components was sourced from approximately 40 suppliers, many of which are the single source for such components. As of December 31, 2025, all of the suppliers from which we purchase materials and components used in our business were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 one is available, must be validated or materials and components must be purchased from a supplier without a completed PPAP, which could increase our risk of purchasing non-conforming components. Any such price fluctuations or delays, if significant, could harm our profitability or operations. In addition, the loss of a supplier could result in significant material cost increases or reduce our production capacity.</w:t>
      </w:r>
    </w:p>
    <w:p>
      <w:pPr>
        <w:spacing w:after="0" w:line="129"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We have experienced, and expect to continue to experience, delays in the availability and receipt of component parts as a result of shortages of available labor in North America and global economic uncertainty, some of which have materially impacted, and may continue to materially impact, our ability to meet customer demand.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adverse geopolitical events such as the crisis in the Red Sea, events such as natural disasters and extreme weather events, which may increase in frequency and intensity as a result of climate change, power outages, labor strikes and public health crises, such as pandemics and epidemics, could negatively impact our business, results of operations and financial condition. Although we have agreements with many of our customers that we will pass such price increases through to them, such contracts may be canceled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or component parts from suppliers is delayed or non-conforming, our operations could be disrupted, we may not be able to meet customer demand, and our profitability and our financial results may be materially impacted. While we may experience the supply chain constraints mentioned above across all our product lines, the impacts to our customers are likely to be more pronounced in our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lower volume product lines, including those supplied to the Allison Transmission Defense and Allison Transmission Off-Highway end markets.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Prolonged inflation could result in higher costs and decreased margins and earnings.</w:t>
      </w:r>
    </w:p>
    <w:p>
      <w:pPr>
        <w:spacing w:after="0" w:line="156" w:lineRule="exact"/>
        <w:rPr>
          <w:sz w:val="20"/>
          <w:szCs w:val="20"/>
          <w:color w:val="auto"/>
        </w:rPr>
      </w:pPr>
    </w:p>
    <w:p>
      <w:pPr>
        <w:ind w:right="200" w:firstLine="494"/>
        <w:spacing w:after="0" w:line="244" w:lineRule="auto"/>
        <w:rPr>
          <w:sz w:val="20"/>
          <w:szCs w:val="20"/>
          <w:color w:val="auto"/>
        </w:rPr>
      </w:pPr>
      <w:r>
        <w:rPr>
          <w:rFonts w:ascii="Arial" w:cs="Arial" w:eastAsia="Arial" w:hAnsi="Arial"/>
          <w:sz w:val="18"/>
          <w:szCs w:val="18"/>
          <w:color w:val="auto"/>
        </w:rPr>
        <w:t>Recent inflationary pressures have resulted in increased raw material, labor, energy, freight and logistics expenses and other costs, which may adversely affect our results of operations. If our costs are subject to continuing significant inflationary pressures, we may not be able to fully offset such higher costs through price increases. Our inability to do so could harm our business and results of operations. In addition, government trade policies and tariffs have increased, and could continue to increase our manufacturing costs, and we may not be able to fully offset such higher costs through price increases.</w:t>
      </w:r>
    </w:p>
    <w:p>
      <w:pPr>
        <w:spacing w:after="0" w:line="178"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Labor cost inflation and employee attraction and retention could have an adverse effect on our business, results of operations and financial condition.</w:t>
      </w:r>
    </w:p>
    <w:p>
      <w:pPr>
        <w:spacing w:after="0" w:line="85" w:lineRule="exact"/>
        <w:rPr>
          <w:sz w:val="20"/>
          <w:szCs w:val="20"/>
          <w:color w:val="auto"/>
        </w:rPr>
      </w:pPr>
    </w:p>
    <w:p>
      <w:pPr>
        <w:ind w:right="120" w:firstLine="494"/>
        <w:spacing w:after="0" w:line="242" w:lineRule="auto"/>
        <w:rPr>
          <w:sz w:val="20"/>
          <w:szCs w:val="20"/>
          <w:color w:val="auto"/>
        </w:rPr>
      </w:pPr>
      <w:r>
        <w:rPr>
          <w:rFonts w:ascii="Arial" w:cs="Arial" w:eastAsia="Arial" w:hAnsi="Arial"/>
          <w:sz w:val="18"/>
          <w:szCs w:val="18"/>
          <w:color w:val="auto"/>
        </w:rPr>
        <w:t>Our success depends on our ability to identify, recruit and retain highly skilled, qualified personnel, and there is currently increased competition for talent. We have experienced labor shortages and wage inflation amid low levels of unemployment and workforce availability. As a result, we may not be able to attract and retain qualified personnel, which may impact our ability to manufacture, design and develop our propulsion solutions, satisfy customer demand in a timeframe that meets their desired production schedules and compete effectively. In addition, we continue to experience increased labor costs, including significant labor cost increases under our collective bargaining agreement with the UAW, which will continue to impact our results of operations.</w:t>
      </w:r>
    </w:p>
    <w:p>
      <w:pPr>
        <w:spacing w:after="0" w:line="125"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Our business would be adversely affected if we fail to retain key executives, or to adequately plan for the succession of members of our executive management team. While we have succession plans in place for members of our executive management team, and continue to review and update those plans, and certain key executive officers are party to or participants in severance and change in control arrangements, these arrangements do not guarantee that the services of our executive officers will continue to be available to us or that we will be able to find suitable management personnel to replace departing executives on a timely basis.</w:t>
      </w:r>
    </w:p>
    <w:p>
      <w:pPr>
        <w:spacing w:after="0" w:line="178" w:lineRule="exact"/>
        <w:rPr>
          <w:sz w:val="20"/>
          <w:szCs w:val="20"/>
          <w:color w:val="auto"/>
        </w:rPr>
      </w:pPr>
    </w:p>
    <w:p>
      <w:pPr>
        <w:jc w:val="both"/>
        <w:ind w:left="380" w:right="500"/>
        <w:spacing w:after="0" w:line="256" w:lineRule="auto"/>
        <w:rPr>
          <w:sz w:val="20"/>
          <w:szCs w:val="20"/>
          <w:color w:val="auto"/>
        </w:rPr>
      </w:pPr>
      <w:r>
        <w:rPr>
          <w:rFonts w:ascii="Arial" w:cs="Arial" w:eastAsia="Arial" w:hAnsi="Arial"/>
          <w:sz w:val="18"/>
          <w:szCs w:val="18"/>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105" w:lineRule="exact"/>
        <w:rPr>
          <w:sz w:val="20"/>
          <w:szCs w:val="20"/>
          <w:color w:val="auto"/>
        </w:rPr>
      </w:pPr>
    </w:p>
    <w:p>
      <w:pPr>
        <w:ind w:right="200" w:firstLine="494"/>
        <w:spacing w:after="0" w:line="239" w:lineRule="auto"/>
        <w:rPr>
          <w:sz w:val="20"/>
          <w:szCs w:val="20"/>
          <w:color w:val="auto"/>
        </w:rPr>
      </w:pPr>
      <w:r>
        <w:rPr>
          <w:rFonts w:ascii="Arial" w:cs="Arial" w:eastAsia="Arial" w:hAnsi="Arial"/>
          <w:sz w:val="18"/>
          <w:szCs w:val="18"/>
          <w:color w:val="auto"/>
        </w:rPr>
        <w:t>Some of the markets in which we operate, including agriculture, energy, mining, construction, material handling, distribution and motorhomes, exhibit a high degree of cyclicality. Decisions to purchase our products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commercial construction and global pandemics,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In 2025, our sales were concentrated among our top five OEM customers. The loss or consolidation of any one of these customers or the discontinuation of particular vehicle models for which we are a significant supplier could reduce our net sales and have a material adverse effect on our results of operations and financial condition.</w:t>
      </w:r>
    </w:p>
    <w:p>
      <w:pPr>
        <w:spacing w:after="0" w:line="105" w:lineRule="exact"/>
        <w:rPr>
          <w:sz w:val="20"/>
          <w:szCs w:val="20"/>
          <w:color w:val="auto"/>
        </w:rPr>
      </w:pPr>
    </w:p>
    <w:p>
      <w:pPr>
        <w:ind w:right="200" w:firstLine="494"/>
        <w:spacing w:after="0"/>
        <w:rPr>
          <w:sz w:val="20"/>
          <w:szCs w:val="20"/>
          <w:color w:val="auto"/>
        </w:rPr>
      </w:pPr>
      <w:r>
        <w:rPr>
          <w:rFonts w:ascii="Arial" w:cs="Arial" w:eastAsia="Arial" w:hAnsi="Arial"/>
          <w:sz w:val="18"/>
          <w:szCs w:val="18"/>
          <w:color w:val="auto"/>
        </w:rPr>
        <w:t>We have in the past and may in the future derive a significant portion of our net sales from a relatively limited number of OEM customers. For the years ended December 31, 2025, 2024 and 2023, our top five OEM customers accounted for approximately 52%, 55% and 52% of our net sales, respectively. Our top three customers, Daimler AG, PACCAR Inc. and Traton SE, accounted for approximately 18%, 11% and 10%, respectively, of our net sales during 2025. The loss of, or consolidation of, any one of these customers or a significant decrease in business from one or more of these customers, could harm our business, results of operations and financial condition. In addition, the discontinuation of particular vehicle models for which we are a significant supplier could reduce our net sales and have a material adverse effect on our business, results of operations and financial condition.</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Labor unrest could have an adverse effect on our business, results of operations and financial condition.</w:t>
      </w:r>
    </w:p>
    <w:p>
      <w:pPr>
        <w:spacing w:after="0" w:line="156"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As of December 31, 2025, approximately 49% of our U.S. employees, representing approximately 43% of our total employees, were represented by the UAW and are subject to a collective bargaining agreement. Our current collective bargaining agreement with UAW Local 933 is effective through November 2027. In addition, approximately 68% of the U.S. employees that were acquired with the Acquired Off-Highway Business are represented by the UAW or the USW and are subject to collective bargaining agreements. Any new collective bargaining agreements we negotiate with the UAW or the USW to replace the existing collective bargaining agreements upon their expiration may result in increased costs to us, in particular labor costs, which could have an adverse effect on our results of operations. 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32" w:lineRule="exact"/>
        <w:rPr>
          <w:sz w:val="20"/>
          <w:szCs w:val="20"/>
          <w:color w:val="auto"/>
        </w:rPr>
      </w:pPr>
    </w:p>
    <w:p>
      <w:pPr>
        <w:jc w:val="both"/>
        <w:ind w:right="400" w:firstLine="494"/>
        <w:spacing w:after="0" w:line="253" w:lineRule="auto"/>
        <w:rPr>
          <w:sz w:val="20"/>
          <w:szCs w:val="20"/>
          <w:color w:val="auto"/>
        </w:rPr>
      </w:pPr>
      <w:r>
        <w:rPr>
          <w:rFonts w:ascii="Arial" w:cs="Arial" w:eastAsia="Arial" w:hAnsi="Arial"/>
          <w:sz w:val="18"/>
          <w:szCs w:val="18"/>
          <w:color w:val="auto"/>
        </w:rPr>
        <w:t>In general, we consider our labor relations with all of our employees to be good. However, in the future we may be subject to labor unrest.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171" w:lineRule="exact"/>
        <w:rPr>
          <w:sz w:val="20"/>
          <w:szCs w:val="20"/>
          <w:color w:val="auto"/>
        </w:rPr>
      </w:pPr>
    </w:p>
    <w:p>
      <w:pPr>
        <w:ind w:left="380" w:right="200"/>
        <w:spacing w:after="0" w:line="278" w:lineRule="auto"/>
        <w:rPr>
          <w:sz w:val="20"/>
          <w:szCs w:val="20"/>
          <w:color w:val="auto"/>
        </w:rPr>
      </w:pPr>
      <w:r>
        <w:rPr>
          <w:rFonts w:ascii="Arial" w:cs="Arial" w:eastAsia="Arial" w:hAnsi="Arial"/>
          <w:sz w:val="18"/>
          <w:szCs w:val="18"/>
          <w:b w:val="1"/>
          <w:bCs w:val="1"/>
          <w:i w:val="1"/>
          <w:iCs w:val="1"/>
          <w:color w:val="auto"/>
        </w:rPr>
        <w:t>We are subject to cybersecurity risks to operational systems, security systems, and infrastructure owned by Allison or third-party vendors or suppliers.</w:t>
      </w:r>
    </w:p>
    <w:p>
      <w:pPr>
        <w:spacing w:after="0" w:line="85"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We are at risk for interruptions, outages, and compromises to the confidentiality, integrity or availability of: (i) operational systems, including information technology, business, financial, accounting, product development, data processing, or manufacturing processes, owned by us or our third-party vendors or suppliers; (ii) facility security systems, owned by us or our third-party vendors, customers or suppliers; and/or (iii) vehicle propulsion control modules or other in-product technology, owned by us, our customers or our third-party vendors or suppliers. Such cyber incidents could materially disrupt operational systems (for example, through the deployment of ransomware); result in loss of intellectual property, trade secrets or other proprietary or competitively sensitive information; compromise personally identifiable information of employees, customers, suppliers, or others; jeopardize the security of our facilities; and/or affect the performance of vehicle propulsion control modules or other in-product technology. A cyber incident could be caused by malicious insiders or by third parties using sophisticated, targeted methods to circumvent firewalls, encryption, and other security defenses, including hacking, fraud, trickery, or other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forms of deception, such as social engineering and phishing, or due to human or technological error, such as misconfigurations, “bugs,” or vulnerabilities in software or hardware used by us or others.</w:t>
      </w:r>
    </w:p>
    <w:p>
      <w:pPr>
        <w:spacing w:after="0" w:line="100"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The techniques used by threat actors change frequently and are often difficult to detect. Cyberattacks are expected to accelerate on a global basis in frequency and magnitude as threat actors are increasingly using tools - including artificial intelligence - to evade detection and even remove forensic evidence. As a result, we may be unable to detect, investigate, remediate or recover from future cyberattacks or other incidents, or to avoid a materially adverse impact to our systems, information or business. In addition, remote or hybrid working arrangements at our Company, our customers and many third-party providers increase cybersecurity risks due to the challenges associated with managing remote computing assets and the nature of security vulnerabilities that are present in many non-corporate and home networks. We also deploy scanning tools in our systems that allow us to identify and track known security vulnerabilities, but we cannot guarantee that patches or mitigation measures will be applied in all instances before such vulnerabilities can be exploited by a threat actor.</w:t>
      </w:r>
    </w:p>
    <w:p>
      <w:pPr>
        <w:spacing w:after="0" w:line="126"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We and certain of our customers and third-party providers have experienced cyberattacks and other incidents in the past and will continue to experience varying degrees of cyberattacks and incidents in the future. While to date no cybersecurity incidents have had a material impact on our operations or financial results, we cannot guarantee that material incidents will not occur in the future. As a provider of defense products and services to the U.S. government and foreign governments, we are subject to a heightened risk of cyberattacks, including by foreign governments, violent extremist organizations, and transnational criminal organizations. In addition, because certain of our systems are integrated with third-party (e.g., dealers) systems and technology, the circumvention or failure of our cybersecurity measures could compromise the confidentiality, integrity, and availability of those third-party systems, and vice versa.</w:t>
      </w:r>
    </w:p>
    <w:p>
      <w:pPr>
        <w:spacing w:after="0" w:line="131" w:lineRule="exact"/>
        <w:rPr>
          <w:sz w:val="20"/>
          <w:szCs w:val="20"/>
          <w:color w:val="auto"/>
        </w:rPr>
      </w:pPr>
    </w:p>
    <w:p>
      <w:pPr>
        <w:ind w:right="240" w:firstLine="494"/>
        <w:spacing w:after="0"/>
        <w:rPr>
          <w:sz w:val="20"/>
          <w:szCs w:val="20"/>
          <w:color w:val="auto"/>
        </w:rPr>
      </w:pPr>
      <w:r>
        <w:rPr>
          <w:rFonts w:ascii="Arial" w:cs="Arial" w:eastAsia="Arial" w:hAnsi="Arial"/>
          <w:sz w:val="18"/>
          <w:szCs w:val="18"/>
          <w:color w:val="auto"/>
        </w:rPr>
        <w:t>A significant cyber incident could impact our production capability, harm our reputation and business relationships, impact our competitive position (including compromising our intellectual property assets), and subject us to regulatory actions or litigation and fines and/or penalties, including pursuant to evolving global privacy and security regulations and laws, as well as significant investigative, restoration or remediation costs and/or increased compliance costs. Any of the foregoing could materially affect our business, results of operations and financial condition. There is no guarantee that our measures to prevent, detect and mitigate these threats, including employee and key third-party partner education, monitoring of networks and systems, and maintenance of backup and protective systems, will be successful in preventing or mitigating a cyber incident.</w:t>
      </w:r>
    </w:p>
    <w:p>
      <w:pPr>
        <w:spacing w:after="0" w:line="131" w:lineRule="exact"/>
        <w:rPr>
          <w:sz w:val="20"/>
          <w:szCs w:val="20"/>
          <w:color w:val="auto"/>
        </w:rPr>
      </w:pPr>
    </w:p>
    <w:p>
      <w:pPr>
        <w:ind w:right="200" w:firstLine="494"/>
        <w:spacing w:after="0" w:line="247" w:lineRule="auto"/>
        <w:rPr>
          <w:sz w:val="20"/>
          <w:szCs w:val="20"/>
          <w:color w:val="auto"/>
        </w:rPr>
      </w:pPr>
      <w:r>
        <w:rPr>
          <w:rFonts w:ascii="Arial" w:cs="Arial" w:eastAsia="Arial" w:hAnsi="Arial"/>
          <w:sz w:val="18"/>
          <w:szCs w:val="18"/>
          <w:color w:val="auto"/>
        </w:rPr>
        <w:t>In addition, in many jurisdictions, we are subject to privacy and data protection laws and regulations. These laws and regulations are changing rapidly and becoming increasingly complex. The interpretation and application of data protection laws in the U.S., Europe, and elsewhere are uncertain, evolving and may be inconsistent across jurisdictions. Our failure to comply with these laws and regulations could result in legal liability, significant regulator penalties and fines, or impair our reputation in the marketplace.</w:t>
      </w:r>
    </w:p>
    <w:p>
      <w:pPr>
        <w:spacing w:after="0" w:line="176" w:lineRule="exact"/>
        <w:rPr>
          <w:sz w:val="20"/>
          <w:szCs w:val="20"/>
          <w:color w:val="auto"/>
        </w:rPr>
      </w:pPr>
    </w:p>
    <w:p>
      <w:pPr>
        <w:jc w:val="both"/>
        <w:ind w:left="380"/>
        <w:spacing w:after="0" w:line="278" w:lineRule="auto"/>
        <w:rPr>
          <w:sz w:val="20"/>
          <w:szCs w:val="20"/>
          <w:color w:val="auto"/>
        </w:rPr>
      </w:pPr>
      <w:r>
        <w:rPr>
          <w:rFonts w:ascii="Arial" w:cs="Arial" w:eastAsia="Arial" w:hAnsi="Arial"/>
          <w:sz w:val="18"/>
          <w:szCs w:val="18"/>
          <w:b w:val="1"/>
          <w:bCs w:val="1"/>
          <w:i w:val="1"/>
          <w:iCs w:val="1"/>
          <w:color w:val="auto"/>
        </w:rPr>
        <w:t>Geopolitical risks may have an adverse effect on our results of operations and financial condition, including on the availability of raw materials for our products or component parts, our supply chain, our customers and our long-term sales opportunities.</w:t>
      </w:r>
    </w:p>
    <w:p>
      <w:pPr>
        <w:spacing w:after="0" w:line="85" w:lineRule="exact"/>
        <w:rPr>
          <w:sz w:val="20"/>
          <w:szCs w:val="20"/>
          <w:color w:val="auto"/>
        </w:rPr>
      </w:pPr>
    </w:p>
    <w:p>
      <w:pPr>
        <w:ind w:right="80" w:firstLine="494"/>
        <w:spacing w:after="0" w:line="242" w:lineRule="auto"/>
        <w:rPr>
          <w:sz w:val="20"/>
          <w:szCs w:val="20"/>
          <w:color w:val="auto"/>
        </w:rPr>
      </w:pPr>
      <w:r>
        <w:rPr>
          <w:rFonts w:ascii="Arial" w:cs="Arial" w:eastAsia="Arial" w:hAnsi="Arial"/>
          <w:sz w:val="18"/>
          <w:szCs w:val="18"/>
          <w:color w:val="auto"/>
        </w:rPr>
        <w:t>Political, economic and other conditions in foreign countries and regions, including geopolitical risks such as escalating tensions between China and western countries and the current wars in Ukraine and the Middle East, may have an adverse effect on our results of operations and financial condition. The duration of any such conflict, its impact on the applicable regional and global economy, and the breadth, severity and duration of any applicable sanctions imposed by the U.S. and other governments is uncertain. Extended or expanded conflicts could impact our ability or those of our suppliers or customers to obtain certain raw materials or component parts and could limit the availability and cost of energy throughout Europe, which could increase our costs, impact our ability to deliver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products or reduce customer demand. In addition, while we have suspended indefinitely all sales and exports of our products to customers in Russia and Belarus and Russian and Belarusian affiliate owned or controlled entities, certain of our competitors have continued to sell products in Russia during this time, which may have a negative impact on our long-term sales opportunities in Russia.</w:t>
      </w:r>
    </w:p>
    <w:p>
      <w:pPr>
        <w:spacing w:after="0" w:line="171"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Our brand and reputation are dependent on the continued participation and level of service of our numerous independent distributors and dealers.</w:t>
      </w:r>
    </w:p>
    <w:p>
      <w:pPr>
        <w:spacing w:after="0" w:line="85"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We work with a network of approximately 1,500 independent distributors and dealers (as of December 31, 2025) that provide post-sale service, service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 the event of a catastrophic loss of one of our key manufacturing facilities, our business would be adversely affected.</w:t>
      </w:r>
    </w:p>
    <w:p>
      <w:pPr>
        <w:spacing w:after="0" w:line="156"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While we manufacture our products in many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or extreme weather events, which may increase in frequency and intensity as a result of climate change, public health crises, such as pandemics and epidemics, or otherwise, whether short- or long-term, would have a material adverse effect on our business, results of operations and financial condition. Our most significant concentration of manufacturing is around our corporate headquarters in Indianapolis, Indiana, where we produced approximately 85% of our transmissions in 2025. In addition to our Indianapolis manufacturing facilities, we currently operate manufacturing facilities for our fully electric propulsion solutions in Auburn Hills, Michigan, for our transmissions in both Szentgotthard, Hungary and Chennai, India and for our aluminum die cast components in Lewisburg, Tennessee. We also acquired approximately 46 manufacturing and assembly facilities as part of the acquisition of the Acquired Off-Highway Business, located in approximately 22 countries. In the event of a disruption at the Indianapolis facilities, our other facilities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Risks</w:t>
      </w:r>
    </w:p>
    <w:p>
      <w:pPr>
        <w:spacing w:after="0" w:line="214"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success depends on research and development efforts, and we may not be successful in developing or introducing new products and technologies and responding to customer needs.</w:t>
      </w:r>
    </w:p>
    <w:p>
      <w:pPr>
        <w:spacing w:after="0" w:line="85"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Our success depends on our ability to develop or introduce new products and technologies and improve the efficiency and performance of our current products, and we invest significant resources in research and development in order to do so. We currently have enhancements to our existing products and technologies and new products and technologies under development, including electric hybrid and fully electric propulsion solutions, for planned introduction into certain end markets. The development of new products and technologies is difficult, time-consuming and costly and the timetable for commercial release is uncertain. Not all of our new product launches have been successful, and we may not be successful in the future in introducing other new products and responding to customer needs. In addition, it often takes significant time, in some cases multiple fleet buy cycles,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before customers gain experience with new products and technologies and those new products and technologies become widely-accepted by the market, if at all. Given the early stages of development of some of these new products and technologies, there can be no guarantee of future market acceptance and investment returns with respect to these products. In addition, an increased adoption of electric propulsion solutions could result in lower demand for our fully automatic transmissions and, over time, the demand for related service parts and support equipment, which would impact our margins. If we do not adequately anticipate the changing needs of our customers by keeping pace with improvements and changes in vehicle propulsion technology and developing and introducing new and effective products and technologies on a timely basis, or if the products and technologies we develop do not become market-leading, our competitive position and prospects could be harmed. If our competitors are able to respond to changing market demands and adopt new technologies more quickly than we do, demand for our products could decline, our competitive position could be harmed, our future research and development activities may be constrained due to intellectual property rights of others, licenses for technologies that would enable us to keep pace with our competitors may not be available on commercially reasonable terms if at all and we may not be able to recoup a return on our development investments. Moreover, changing customer demands as well as evolving regulatory, safety and environmental standards could require us to adapt our products and technologies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the rate of adoption of new technologies, including electric vehicles for the medium- and heavy-duty commercial market, occurs at a pace that is faster than we are anticipating, we may not have products available to meet that accelerated timeframe. If we experience significant delays or increased costs in the production, launch or acceptance of our products and technologies, our business, results of operations and financial condition may be materially adversely affected.</w:t>
      </w:r>
    </w:p>
    <w:p>
      <w:pPr>
        <w:spacing w:after="0" w:line="182"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long-term growth prospects and results of operations may be impaired if the rate of adoption of fully automatic transmissions in commercial vehicles outside North America does not increase.</w:t>
      </w:r>
    </w:p>
    <w:p>
      <w:pPr>
        <w:spacing w:after="0" w:line="85"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However, manual transmissions remain the market leader outside North America, and there can be no assurance that adoption of automatic transmissions will increase. Factors potentially impacting adoption of automatic transmissions outside of North America include the large existing installed base of manual transmissions, customer preferences for manual transmissions, commercial vehicle OEM vertical integration into manual transmission and AMT manufacturing, increased competition from AMTs, electric propulsion solutions, and other alternative transmission and propulsion solution technologies and failure to further develop the Allison brand. If the rate of adoption of our propulsion solutions, including fully automatic transmissions, does not increase as we have anticipated, our long-term growth prospects and results of operations may be impaired.</w:t>
      </w:r>
    </w:p>
    <w:p>
      <w:pPr>
        <w:spacing w:after="0" w:line="185"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85" w:lineRule="exact"/>
        <w:rPr>
          <w:sz w:val="20"/>
          <w:szCs w:val="20"/>
          <w:color w:val="auto"/>
        </w:rPr>
      </w:pPr>
    </w:p>
    <w:p>
      <w:pPr>
        <w:ind w:right="100" w:firstLine="494"/>
        <w:spacing w:after="0" w:line="242" w:lineRule="auto"/>
        <w:rPr>
          <w:sz w:val="20"/>
          <w:szCs w:val="20"/>
          <w:color w:val="auto"/>
        </w:rPr>
      </w:pPr>
      <w:r>
        <w:rPr>
          <w:rFonts w:ascii="Arial" w:cs="Arial" w:eastAsia="Arial" w:hAnsi="Arial"/>
          <w:sz w:val="18"/>
          <w:szCs w:val="18"/>
          <w:color w:val="auto"/>
        </w:rPr>
        <w:t>Our business is subject to certain risks associated with doing business internationally, particularly in emerging markets. Outside-North America net sales represented approximately 24% of our net sales for 2025. Most of our operations were in the U.S. in 2025, but we also have manufacturing and customization facilities in India and Hungary with a services agreement with Stellantis N.V. and customization capability in Brazil, the Netherlands, China and Japan, and, effective January 1, 2026, manufacturing and assembly facilities located in approximately 14 additional countries as a result of the acquisition of the Acquired Off-Highway Business. Further, we intend to continue to pursue growth opportunities for our business in a variety of business environments outside the 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which could exacerbate the risks set forth below. Our international operations are subject to, without limitation, the following risks:</w:t>
      </w:r>
    </w:p>
    <w:p>
      <w:pPr>
        <w:spacing w:after="0" w:line="10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burden of complying with multiple and possibly conflicting laws and any unexpected changes in regulatory requirements;</w:t>
      </w:r>
    </w:p>
    <w:p>
      <w:pPr>
        <w:spacing w:after="0" w:line="116" w:lineRule="exact"/>
        <w:rPr>
          <w:rFonts w:ascii="Times New Roman" w:cs="Times New Roman" w:eastAsia="Times New Roman" w:hAnsi="Times New Roman"/>
          <w:sz w:val="18"/>
          <w:szCs w:val="18"/>
          <w:color w:val="auto"/>
        </w:rPr>
      </w:pPr>
    </w:p>
    <w:p>
      <w:pPr>
        <w:ind w:left="1020" w:right="280" w:hanging="503"/>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controls, sanctions, import and export restrictions and tariffs, including restrictions promulgated by the Office of Foreign Assets Control of the U.S. Department of the Treasury, and other trade protection regulations and measures;</w:t>
      </w:r>
    </w:p>
    <w:p>
      <w:pPr>
        <w:spacing w:after="0" w:line="62"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risks, including increased trade protectionism and risks of loss due to civil disturbances, acts of terrorism, acts of war, guerrilla activities and insurrection;</w:t>
      </w:r>
    </w:p>
    <w:p>
      <w:pPr>
        <w:spacing w:after="0" w:line="46"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unstable economic, financial and market conditions and increased expenses as a result of inflation, higher energy costs or higher interest rates;</w:t>
      </w:r>
    </w:p>
    <w:p>
      <w:pPr>
        <w:spacing w:after="0" w:line="4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enforcement of third-party contractual obligations and intellectual property rights and collecting receivables through foreign legal systems;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staffing and managing international operations and the application of foreign labor regulations;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local product preferences and product requirements;</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potentially adverse tax consequences from changes in tax laws, requirements relating to withholding taxes on remittances and other payments by subsidiaries and restrictions on our ability to repatriate dividends from our subsidiaries; and</w:t>
      </w:r>
    </w:p>
    <w:p>
      <w:pPr>
        <w:spacing w:after="0" w:line="46"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and similar laws and regulations in other jurisdictions.</w:t>
      </w:r>
    </w:p>
    <w:p>
      <w:pPr>
        <w:spacing w:after="0" w:line="100"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156"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We generate revenues and incur costs in multiple currencies. As a result, changes in exchange rates may impact margins on sales outside the U.S. and on products that include components sourced from suppliers located in other countries. In addition, the translation of foreign-denominated revenues, expenses, assets and liabilities into U.S. dollars for financial reporting purposes may result in variability in our reported results. We use natural hedging strategies and may, from time to time, enter into derivative instruments to manage a portion of our foreign currency exposure. However, these measures may not fully offset the effects of exchange rate fluctuations, and our hedging activities may not be effective in mitigating all foreign currency risks, which could adversely affect our results of operations, financial condition and cash flows. Our exposure to such exchange rate fluctuations and foreign currency risks has increased with the acquisition of the Acquired Off-Highway Business.</w:t>
      </w:r>
    </w:p>
    <w:p>
      <w:pPr>
        <w:spacing w:after="0" w:line="182"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We may not be able to identify or consummate acquisitions or partnerships or achieve expected benefits from or effectively integrate acquisitions or partnerships, which could harm our growth.</w:t>
      </w:r>
    </w:p>
    <w:p>
      <w:pPr>
        <w:spacing w:after="0" w:line="85"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From time to time, we evaluate selective acquisitions, partnerships and strategic investments. Potential and completed acquisitions, including the acquisition of the Acquired Off-Highway Business, and partnerships involve many risks that could have an adverse effect on our business, financial condition or results of operations, including:</w:t>
      </w:r>
    </w:p>
    <w:p>
      <w:pPr>
        <w:spacing w:after="0" w:line="61" w:lineRule="exact"/>
        <w:rPr>
          <w:sz w:val="20"/>
          <w:szCs w:val="20"/>
          <w:color w:val="auto"/>
        </w:rPr>
      </w:pPr>
    </w:p>
    <w:p>
      <w:pPr>
        <w:ind w:left="102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suitable acquisition or partnership candidates, prevail against competing potential acquirers or partners and negotiate and consummate acquisitions or partnerships on terms attractive to 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020" w:hanging="503"/>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integrating personnel and sales forces, operations, manufacturing, logistics, research and development, information technology, communications, purchasing, accounting, marketing, administration and other systems and processes and otherwise assimilating the operations of the acquired company;</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resources, including diverting management’s attention from our current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risks of entering new geographic or product markets in which we have limited or no direct prior experience;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customers, employees or suppliers of the acquired company or adverse effects on our existing business relationships with our suppliers and customers;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incurrence of indebtedness to fund the acquisition or partnerships;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acquired business or partnership not achieving anticipated revenues, earnings, cash flow or market share;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excess capacity;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achieve the expected synergies or cost savings;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need for additional investments post-investment or post-acquisition that could be greater than anticipated;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U.S. and foreign competition laws and regulations on our ability to make certain acquisitions, to enter into certain partnerships or to make certain strategic investments;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acquisition or partnership;</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incorrect estimates made in accounting for acquisitions, incurrence of non-recurring charges and write-off of significant amounts of goodwill that could adversely affect our financial results;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dilution of earnings.</w:t>
      </w:r>
    </w:p>
    <w:p>
      <w:pPr>
        <w:spacing w:after="0" w:line="170"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We may also face liability with respect to acquired businesses for violations of environmental or other laws occurring prior to the date of our acquisition, and some or all of these liabilities may not be covered by environmental or other insurance secured to mitigate the risk or by indemnification from the sellers from which we acquired these businesses. We could also incur significant costs, including, but not limited to, remediation costs, natural resources damages, civil or criminal fines and sanctions and third-party claims, as a result of past or future violations of, or liabilities associated with, environmental or other laws.</w:t>
      </w:r>
    </w:p>
    <w:p>
      <w:pPr>
        <w:spacing w:after="0" w:line="122"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We cannot offer any assurance that we will be able to consummate any future acquisitions, strategic investments, partnerships or other business combinations. If we are unable to identify suitable acquisition candidates or to consummate and successfully integrate any future acquisitions, our business and results of operations may be adversely affected as a result. See also “Risks Related to our Acquisition of the Acquired Off-Highway Business” below for additional discussion of certain risks related to the acquisition of the Acquired Off-Highway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Acquisition of the Acquired Off-Highway Business</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expect to incur significant costs in connection with the integration of the Acquired Off-Highway Business.</w:t>
      </w:r>
    </w:p>
    <w:p>
      <w:pPr>
        <w:spacing w:after="0" w:line="156" w:lineRule="exact"/>
        <w:rPr>
          <w:sz w:val="20"/>
          <w:szCs w:val="20"/>
          <w:color w:val="auto"/>
        </w:rPr>
      </w:pPr>
    </w:p>
    <w:p>
      <w:pPr>
        <w:ind w:right="40" w:firstLine="494"/>
        <w:spacing w:after="0" w:line="210" w:lineRule="exact"/>
        <w:rPr>
          <w:sz w:val="20"/>
          <w:szCs w:val="20"/>
          <w:color w:val="auto"/>
        </w:rPr>
      </w:pPr>
      <w:r>
        <w:rPr>
          <w:rFonts w:ascii="Arial" w:cs="Arial" w:eastAsia="Arial" w:hAnsi="Arial"/>
          <w:sz w:val="18"/>
          <w:szCs w:val="18"/>
          <w:color w:val="auto"/>
        </w:rPr>
        <w:t>We have incurred, and will continue to incur, substantial costs related to formulating and implementing plans to integrate the Acquired Off-Highway Business, including facilities, systems and service contract consolidation costs and employment</w:t>
      </w:r>
      <w:r>
        <w:rPr>
          <w:rFonts w:ascii="MS PGothic" w:cs="MS PGothic" w:eastAsia="MS PGothic" w:hAnsi="MS PGothic"/>
          <w:sz w:val="18"/>
          <w:szCs w:val="18"/>
          <w:color w:val="auto"/>
        </w:rPr>
        <w:t>‑</w:t>
      </w:r>
      <w:r>
        <w:rPr>
          <w:rFonts w:ascii="Arial" w:cs="Arial" w:eastAsia="Arial" w:hAnsi="Arial"/>
          <w:sz w:val="18"/>
          <w:szCs w:val="18"/>
          <w:color w:val="auto"/>
        </w:rPr>
        <w:t>related costs. We will continue to assess the magnitude of these costs, and additional unanticipated costs may be incurred in connection with the integration of the Acquired Off-Highway Business. These costs, as well as other unanticipated costs and expenses, could adversely affect our business, results of operations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Any failure to integrate the Acquired Off-Highway Business and its operations with ours successfully in the expected time frame may adversely affect our results of operations and financial condition.</w:t>
      </w:r>
    </w:p>
    <w:p>
      <w:pPr>
        <w:spacing w:after="0" w:line="85" w:lineRule="exact"/>
        <w:rPr>
          <w:sz w:val="20"/>
          <w:szCs w:val="20"/>
          <w:color w:val="auto"/>
        </w:rPr>
      </w:pPr>
    </w:p>
    <w:p>
      <w:pPr>
        <w:ind w:right="120" w:firstLine="494"/>
        <w:spacing w:after="0" w:line="207" w:lineRule="exact"/>
        <w:rPr>
          <w:sz w:val="20"/>
          <w:szCs w:val="20"/>
          <w:color w:val="auto"/>
        </w:rPr>
      </w:pPr>
      <w:r>
        <w:rPr>
          <w:rFonts w:ascii="Arial" w:cs="Arial" w:eastAsia="Arial" w:hAnsi="Arial"/>
          <w:sz w:val="18"/>
          <w:szCs w:val="18"/>
          <w:color w:val="auto"/>
        </w:rPr>
        <w:t>The Acquired Off-Highway Business and its operations may not be integrated successfully with ours. It is possible that the integration process could result in the loss of our or Dana’s key employees, the loss of customers, suppliers, service providers or other business counterparties, the disruption of our ongoing businesses, inconsistencies in standards, controls, procedures and policies, potential unknown liabilities and unforeseen expenses, delays, or regulatory conditions associated with and following completion of the acquisition, higher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 xml:space="preserve"> expected integration costs and an overall post</w:t>
      </w:r>
      <w:r>
        <w:rPr>
          <w:rFonts w:ascii="MS PGothic" w:cs="MS PGothic" w:eastAsia="MS PGothic" w:hAnsi="MS PGothic"/>
          <w:sz w:val="18"/>
          <w:szCs w:val="18"/>
          <w:color w:val="auto"/>
        </w:rPr>
        <w:t>‑</w:t>
      </w:r>
      <w:r>
        <w:rPr>
          <w:rFonts w:ascii="Arial" w:cs="Arial" w:eastAsia="Arial" w:hAnsi="Arial"/>
          <w:sz w:val="18"/>
          <w:szCs w:val="18"/>
          <w:color w:val="auto"/>
        </w:rPr>
        <w:t>closing integration process that takes longer than originally anticipated. In addition, the attention of our management team and our resources may be focused on the integration process, which may harm our day-to-day business operations or prevent us from pursuing other opportunities that may be beneficial.</w:t>
      </w:r>
    </w:p>
    <w:p>
      <w:pPr>
        <w:spacing w:after="0" w:line="187"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We may fail to realize all of the anticipated benefits from the integration of the Acquired Off-Highway Business and its operations after the acquisition or fail to effectively manage our expanded operations.</w:t>
      </w:r>
    </w:p>
    <w:p>
      <w:pPr>
        <w:spacing w:after="0" w:line="85"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The success of the acquisition of the Acquired Off-Highway Business will depend, in part, on our ability to achieve the expected opportunities, cost savings, operating synergies and other benefits from integrating the Acquired Off-Highway Business. However, the anticipated benefits of the acquisition may not be realized fully or at all, may take longer to realize than expected, or may result in other adverse effects that we do not currently foresee, which could adversely affect our business, results of operations and financial condition. In addition, the estimates and assumptions that we and Dana have made when evaluating the anticipated benefits from the acquisition may not be accurate, and there could be potential unknown liabilities and unforeseen expenses associated with the acquisition that could adversely impact us. In addition, following the acquisition, the size and complexity of our businesses and operations increased significantly. Our future success will depend, in part, upon our ability to manage this expanded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14"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105"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We face exposure to product liability claims in the event that the use of our products has, or is alleged to have, resulted in injury, death or other adverse effects. We currently maintain product liability insurance coverage, but we cannot guarantee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operations,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and similar product defects may occur in the future. See "Note 10. Product Warranty Liabilities” of Notes to Consolidated Financial Statements included in Part II, Item 8., of this Annual Report on Form 10-K for additional details regarding these warranty issues.</w:t>
      </w:r>
    </w:p>
    <w:p>
      <w:pPr>
        <w:spacing w:after="0" w:line="126" w:lineRule="exact"/>
        <w:rPr>
          <w:sz w:val="20"/>
          <w:szCs w:val="20"/>
          <w:color w:val="auto"/>
        </w:rPr>
      </w:pPr>
    </w:p>
    <w:p>
      <w:pPr>
        <w:ind w:right="80" w:firstLine="494"/>
        <w:spacing w:after="0" w:line="247" w:lineRule="auto"/>
        <w:rPr>
          <w:sz w:val="20"/>
          <w:szCs w:val="20"/>
          <w:color w:val="auto"/>
        </w:rPr>
      </w:pPr>
      <w:r>
        <w:rPr>
          <w:rFonts w:ascii="Arial" w:cs="Arial" w:eastAsia="Arial" w:hAnsi="Arial"/>
          <w:sz w:val="18"/>
          <w:szCs w:val="18"/>
          <w:color w:val="auto"/>
        </w:rPr>
        <w:t>Furthermore, our business depends on the strong brand reputation we believe we have developed. In addition to the risk of defective products, we also face significant risks in our efforts to penetrate new markets, where we have limited brand recognition. We also rely on our reputation with end users of our products to specify our products when purchasing new vehicles from our OEM customers. In the event we are not able to maintain or enhance our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115" w:lineRule="exact"/>
        <w:rPr>
          <w:sz w:val="20"/>
          <w:szCs w:val="20"/>
          <w:color w:val="auto"/>
        </w:rPr>
      </w:pPr>
    </w:p>
    <w:p>
      <w:pPr>
        <w:ind w:right="100" w:firstLine="494"/>
        <w:spacing w:after="0" w:line="253" w:lineRule="auto"/>
        <w:rPr>
          <w:sz w:val="20"/>
          <w:szCs w:val="20"/>
          <w:color w:val="auto"/>
        </w:rPr>
      </w:pPr>
      <w:r>
        <w:rPr>
          <w:rFonts w:ascii="Arial" w:cs="Arial" w:eastAsia="Arial" w:hAnsi="Arial"/>
          <w:sz w:val="18"/>
          <w:szCs w:val="18"/>
          <w:color w:val="auto"/>
        </w:rPr>
        <w:t>Additionally, we license the “Allison Transmission” name and certain related trademarks to third parties. If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71"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85"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Protecting our intellectual property rights is critical to our ability to compete and succeed as a company. General Motors Company (“GM”) has granted us an irrevocable, perpetual, royalty-free, worldwide license under a large number of U.S. and foreign patents and patent applications, as well as certain unpatented technology and know-how, to design, develop, manufacture, use and sell fully automatic transmissions and electric hybrid propulsion solutions for use in certain vocational vehicles, defense vehicles and off-road products. For the bulk of the intellectual property licensed to us, our license is exclusive with respect to the design, development, manufacture, use and sale of fully automatic transmissions and electric hybrid propulsion solutions in vocational vehicles above certain weight rating thresholds, certain defense vehicles and certain off-road products. It is non-exclusive with respect to certain other products that are within the scope of the licensed patents or to which the licensed technology can be applied. GM continues to own such patents and technology, and GM has the right, in the first instance, to control the maintenance, enforcement and defense of such patents and the prosecution of the licensed patent applications. In addition, our ability to sublicense our rights is limited.</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rely on unpatented technology, which exposes us to certain risks.</w:t>
      </w:r>
    </w:p>
    <w:p>
      <w:pPr>
        <w:spacing w:after="0" w:line="156" w:lineRule="exact"/>
        <w:rPr>
          <w:sz w:val="20"/>
          <w:szCs w:val="20"/>
          <w:color w:val="auto"/>
        </w:rPr>
      </w:pPr>
    </w:p>
    <w:p>
      <w:pPr>
        <w:ind w:right="140" w:firstLine="494"/>
        <w:spacing w:after="0" w:line="247" w:lineRule="auto"/>
        <w:rPr>
          <w:sz w:val="20"/>
          <w:szCs w:val="20"/>
          <w:color w:val="auto"/>
        </w:rPr>
      </w:pPr>
      <w:r>
        <w:rPr>
          <w:rFonts w:ascii="Arial" w:cs="Arial" w:eastAsia="Arial" w:hAnsi="Arial"/>
          <w:sz w:val="18"/>
          <w:szCs w:val="18"/>
          <w:color w:val="auto"/>
        </w:rPr>
        <w:t>We currently rely,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120" w:lineRule="exact"/>
        <w:rPr>
          <w:sz w:val="20"/>
          <w:szCs w:val="20"/>
          <w:color w:val="auto"/>
        </w:rPr>
      </w:pPr>
    </w:p>
    <w:p>
      <w:pPr>
        <w:ind w:right="40" w:firstLine="494"/>
        <w:spacing w:after="0" w:line="253" w:lineRule="auto"/>
        <w:rPr>
          <w:sz w:val="20"/>
          <w:szCs w:val="20"/>
          <w:color w:val="auto"/>
        </w:rPr>
      </w:pPr>
      <w:r>
        <w:rPr>
          <w:rFonts w:ascii="Arial" w:cs="Arial" w:eastAsia="Arial" w:hAnsi="Arial"/>
          <w:sz w:val="17"/>
          <w:szCs w:val="17"/>
          <w:color w:val="auto"/>
        </w:rPr>
        <w:t>Although we believe the loss or expiration of any single patent would not have a material effect on our business, results of operations or financial condition, there can be no assurance that any one, or more, of the patents or any other intellectual property owned by or licensed to us will not be challenged, invalidated or circumvented by third parties. In fact, a number of the patents licensed to us are set to expire in the next few years. When a patent expires, the inventions it discloses can be used freely by others. Thus, the competitive advantage that we gain from the patents licensed to us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Environmental, health and safety laws and regulations may impose significant compliance costs and liabilities on us.</w:t>
      </w:r>
    </w:p>
    <w:p>
      <w:pPr>
        <w:spacing w:after="0" w:line="156"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Our manufacturing operations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regulatory bodies are increasingly adopting regulations that target limiting greenhouse gases and combating climate change, which may impact our ability to sell our current products or require us to develop new products or technologies. If these environmental, health and safety laws and regulations that impact our operations or products become more stringent or expand to include a larger portion of our products or our customers’ products in the future, we could incur additional costs in order to ensure that our business and products comply with such regulations. In addition, we may not be successful in developing products or technologies that comply with, or the vehicle or customer OEMs to which we sell our products may choose not to comply with, such laws and regulations, which could impact our ability to sell our products in certain locations, negatively impact our business and result in a loss of market share. Furthermore, if our products that are already placed in service are found to be non-compliant with certain laws, regulations and certifications, we may incur additional costs and fines. We cannot assure that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 comply could also result in our failure to secure adequate insurance for our business, resulting in significant exposure, diminished ability to hedge our risks and material modifications of our business operations.</w:t>
      </w:r>
    </w:p>
    <w:p>
      <w:pPr>
        <w:spacing w:after="0" w:line="128" w:lineRule="exact"/>
        <w:rPr>
          <w:sz w:val="20"/>
          <w:szCs w:val="20"/>
          <w:color w:val="auto"/>
        </w:rPr>
      </w:pPr>
    </w:p>
    <w:p>
      <w:pPr>
        <w:ind w:right="120" w:firstLine="494"/>
        <w:spacing w:after="0" w:line="242" w:lineRule="auto"/>
        <w:rPr>
          <w:sz w:val="20"/>
          <w:szCs w:val="20"/>
          <w:color w:val="auto"/>
        </w:rPr>
      </w:pPr>
      <w:r>
        <w:rPr>
          <w:rFonts w:ascii="Arial" w:cs="Arial" w:eastAsia="Arial" w:hAnsi="Arial"/>
          <w:sz w:val="18"/>
          <w:szCs w:val="18"/>
          <w:color w:val="auto"/>
        </w:rPr>
        <w:t>Concern over climate change continues to result in new legal and regulatory requirements designed to mitigate the effects of climate change on the environment, such as actions taken by the U.S. Environmental Protection Agency and several states to address greenhouse gas emissions, the European Union’s CSRD and California’s Climate Corporate Data Accountability Act and Climate-Related Financial Risk Act. We are experiencing increased compliance burdens and costs in addressing our obligations under these new legal and regulatory obligations, and these new legal and regulatory obligations may adversely affect raw material sourcing, manufacturing operations and the distribution of our products.</w:t>
      </w:r>
    </w:p>
    <w:p>
      <w:pPr>
        <w:spacing w:after="0" w:line="125" w:lineRule="exact"/>
        <w:rPr>
          <w:sz w:val="20"/>
          <w:szCs w:val="20"/>
          <w:color w:val="auto"/>
        </w:rPr>
      </w:pPr>
    </w:p>
    <w:p>
      <w:pPr>
        <w:ind w:right="260" w:firstLine="494"/>
        <w:spacing w:after="0" w:line="242" w:lineRule="auto"/>
        <w:rPr>
          <w:sz w:val="20"/>
          <w:szCs w:val="20"/>
          <w:color w:val="auto"/>
        </w:rPr>
      </w:pPr>
      <w:r>
        <w:rPr>
          <w:rFonts w:ascii="Arial" w:cs="Arial" w:eastAsia="Arial" w:hAnsi="Arial"/>
          <w:sz w:val="18"/>
          <w:szCs w:val="18"/>
          <w:color w:val="auto"/>
        </w:rPr>
        <w:t>We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w:t>
      </w:r>
    </w:p>
    <w:p>
      <w:pPr>
        <w:spacing w:after="0" w:line="125" w:lineRule="exact"/>
        <w:rPr>
          <w:sz w:val="20"/>
          <w:szCs w:val="20"/>
          <w:color w:val="auto"/>
        </w:rPr>
      </w:pPr>
    </w:p>
    <w:p>
      <w:pPr>
        <w:ind w:right="160" w:firstLine="494"/>
        <w:spacing w:after="0" w:line="242" w:lineRule="auto"/>
        <w:rPr>
          <w:sz w:val="20"/>
          <w:szCs w:val="20"/>
          <w:color w:val="auto"/>
        </w:rPr>
      </w:pPr>
      <w:r>
        <w:rPr>
          <w:rFonts w:ascii="Arial" w:cs="Arial" w:eastAsia="Arial" w:hAnsi="Arial"/>
          <w:sz w:val="18"/>
          <w:szCs w:val="18"/>
          <w:color w:val="auto"/>
        </w:rPr>
        <w:t>There can be no assurance that future environmental remediation obligations will not have a material adverse effect on our results of operations and financial condition. In addition, we occasionally evaluate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business and financial results may be adversely affected by government contracting risks.</w:t>
      </w:r>
    </w:p>
    <w:p>
      <w:pPr>
        <w:spacing w:after="0" w:line="156"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We are subject to various laws and regulations applicable to parties doing business with governmental entities, including laws and regulations governing performance of government contracts, capital allocations, the use and treatment of government furnished property and the nature of materials used in our products. We may be unilaterally suspended or barred from conducting business with a governmental entity,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lawsuits and other enforcement actions. The laws and regulations to which we are subject include, but are not limited to, Export Administration Regulations, the Federal Acquisition Regulation, International Traffic in Arms Regulations, regulations from the Bureau of Alcohol, Tobacco, Firearms and Explosives and the FCPA in the U.S., as well as the regulations and laws applicable to government contracting in countries outside the U.S. The risks may be amplified in non-U.S. jurisdictions due to differing legal regimes, export controls, trade restrictions, currency and payment practices, and political and economic instability.</w:t>
      </w:r>
    </w:p>
    <w:p>
      <w:pPr>
        <w:spacing w:after="0" w:line="126"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 The result of, or expiration of the statute of limitations for, such audits could have an impact on reported liabilities, net income and cash flow from operations.</w:t>
      </w:r>
    </w:p>
    <w:p>
      <w:pPr>
        <w:spacing w:after="0" w:line="126" w:lineRule="exact"/>
        <w:rPr>
          <w:sz w:val="20"/>
          <w:szCs w:val="20"/>
          <w:color w:val="auto"/>
        </w:rPr>
      </w:pPr>
    </w:p>
    <w:p>
      <w:pPr>
        <w:ind w:right="260" w:firstLine="494"/>
        <w:spacing w:after="0" w:line="247" w:lineRule="auto"/>
        <w:rPr>
          <w:sz w:val="20"/>
          <w:szCs w:val="20"/>
          <w:color w:val="auto"/>
        </w:rPr>
      </w:pPr>
      <w:r>
        <w:rPr>
          <w:rFonts w:ascii="Arial" w:cs="Arial" w:eastAsia="Arial" w:hAnsi="Arial"/>
          <w:sz w:val="18"/>
          <w:szCs w:val="18"/>
          <w:color w:val="auto"/>
        </w:rPr>
        <w:t>As our business increasingly includes contracts with governmental customers outside the U.S., we are subject to comparable risk of modification, suspension or termination, as well as audit, compliance and performance requirements, under foreign legal and regulatory regimes. These risks may be heightened by differing procurement practices, payment terms, export controls, political or regulatory developments, and other complexities inherent in contracting with non-U.S. governmental entities.</w:t>
      </w:r>
    </w:p>
    <w:p>
      <w:pPr>
        <w:spacing w:after="0" w:line="176"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105" w:lineRule="exact"/>
        <w:rPr>
          <w:sz w:val="20"/>
          <w:szCs w:val="20"/>
          <w:color w:val="auto"/>
        </w:rPr>
      </w:pPr>
    </w:p>
    <w:p>
      <w:pPr>
        <w:ind w:right="180" w:firstLine="494"/>
        <w:spacing w:after="0" w:line="253" w:lineRule="auto"/>
        <w:rPr>
          <w:sz w:val="20"/>
          <w:szCs w:val="20"/>
          <w:color w:val="auto"/>
        </w:rPr>
      </w:pPr>
      <w:r>
        <w:rPr>
          <w:rFonts w:ascii="Arial" w:cs="Arial" w:eastAsia="Arial" w:hAnsi="Arial"/>
          <w:sz w:val="18"/>
          <w:szCs w:val="18"/>
          <w:color w:val="auto"/>
        </w:rPr>
        <w:t>Our amended and restated certificate of incorporation and amended and restated bylaws and certain provisions of the General Corporation Law of the State of Delaware contain provisions that could discourage, delay or prevent a change in control of our Company or changes in our management that the stockholders of our Company may deem advantageous. These provisions:</w:t>
      </w:r>
    </w:p>
    <w:p>
      <w:pPr>
        <w:spacing w:after="0" w:line="61" w:lineRule="exact"/>
        <w:rPr>
          <w:sz w:val="20"/>
          <w:szCs w:val="20"/>
          <w:color w:val="auto"/>
        </w:rPr>
      </w:pPr>
    </w:p>
    <w:p>
      <w:pPr>
        <w:ind w:left="1020" w:right="76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the issuance of blank check preferred stock that our Board of Directors could issue to increase the number of outstanding shares and to discourage a takeover attempt;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prohibit our stockholders from calling a special meeting of stockholders;</w:t>
      </w:r>
    </w:p>
    <w:p>
      <w:pPr>
        <w:spacing w:after="0" w:line="116" w:lineRule="exact"/>
        <w:rPr>
          <w:rFonts w:ascii="Times New Roman" w:cs="Times New Roman" w:eastAsia="Times New Roman" w:hAnsi="Times New Roman"/>
          <w:sz w:val="18"/>
          <w:szCs w:val="18"/>
          <w:color w:val="auto"/>
        </w:rPr>
      </w:pPr>
    </w:p>
    <w:p>
      <w:pPr>
        <w:ind w:left="1020" w:right="106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Board of Directors is expressly authorized to adopt, or to alter or repeal, our bylaws;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20" w:right="58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holders of at least two-thirds of the outstanding shares of common stock to amend the bylaws and certain provisions of the certificate of incorporation.</w:t>
      </w:r>
    </w:p>
    <w:p>
      <w:pPr>
        <w:spacing w:after="0" w:line="100" w:lineRule="exact"/>
        <w:rPr>
          <w:sz w:val="20"/>
          <w:szCs w:val="20"/>
          <w:color w:val="auto"/>
        </w:rPr>
      </w:pPr>
    </w:p>
    <w:p>
      <w:pPr>
        <w:ind w:right="180" w:firstLine="494"/>
        <w:spacing w:after="0" w:line="253"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that our stockholders may believe to be in their best interests. These provisions could also discourage proxy contests and make it more difficult for our stockholders to elect directors of their choosing and cause us to take corporate actions other than those they desire.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Financial Risks</w:t>
      </w:r>
    </w:p>
    <w:p>
      <w:pPr>
        <w:spacing w:after="0" w:line="214"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indebtedness could adversely affect our financial health, restrict our activities and affect our ability to meet our obligations.</w:t>
      </w:r>
    </w:p>
    <w:p>
      <w:pPr>
        <w:spacing w:after="0" w:line="85"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 xml:space="preserve">As of December 31, 2025, we had total indebtedness of $2,909 million, and we would have been able to borrow an additional $745 million, net of $5 million of outstanding letters of credit, under Allison Transmission Inc.’s (“ATI”), our wholly-owned subsidiary, revolving credit facility with commitments in the amount </w:t>
      </w:r>
      <w:r>
        <w:rPr>
          <w:rFonts w:ascii="Arial" w:cs="Arial" w:eastAsia="Arial" w:hAnsi="Arial"/>
          <w:sz w:val="18"/>
          <w:szCs w:val="18"/>
          <w:color w:val="212529"/>
        </w:rPr>
        <w:t>of $750 million due March 2029</w:t>
      </w:r>
      <w:r>
        <w:rPr>
          <w:rFonts w:ascii="Arial" w:cs="Arial" w:eastAsia="Arial" w:hAnsi="Arial"/>
          <w:sz w:val="18"/>
          <w:szCs w:val="18"/>
          <w:color w:val="auto"/>
        </w:rPr>
        <w:t xml:space="preserve"> (“Revolving Credit Facility”). As of December 31, 2025, we had no outstanding borrowings against the Revolving Credit Facility. At December 31, 2025, $509 million of indebtedness was associated with ATI’s </w:t>
      </w:r>
      <w:r>
        <w:rPr>
          <w:rFonts w:ascii="Arial" w:cs="Arial" w:eastAsia="Arial" w:hAnsi="Arial"/>
          <w:sz w:val="18"/>
          <w:szCs w:val="18"/>
          <w:color w:val="212529"/>
        </w:rPr>
        <w:t>term loan facility due March 2031 (“Term Loan”</w:t>
      </w:r>
      <w:r>
        <w:rPr>
          <w:rFonts w:ascii="Arial" w:cs="Arial" w:eastAsia="Arial" w:hAnsi="Arial"/>
          <w:sz w:val="18"/>
          <w:szCs w:val="18"/>
          <w:color w:val="auto"/>
        </w:rPr>
        <w:t>, and together with the Revolving Credit Facility, the “Senior Secured Credit Facility”), $400 million of indebtedness was associated with ATI’s 4.75% Senior Notes due October 2027 (“4.75% Senior Notes”), $500 million of indebtedness was associated with ATI’s 5.875% Senior Notes due June 2029 (“5.875% Senior Notes 2029”), $1,000 million of indebtedness was associated with ATI’s 3.75% Senior Notes due January 2031 (“3.75% Senior Notes”) and $500 million of indebtedness was associated with ATI’s 5.875% Senior Notes due December 2033 (“5.875% Senior Notes 2033”, and together with the 4.75% Senior Notes, 5.875% Senior Notes 2029 and 3.75% Senior Notes, the “Senior Notes”). For a complete description of the terms of the Senior Secured Credit Facility and the Senior Notes, see "Note 8. Debt” of Notes to Consolidated Financial Statements included in Part II, Item 8., of this Annual Report on Form 10-K.</w:t>
      </w:r>
    </w:p>
    <w:p>
      <w:pPr>
        <w:spacing w:after="0" w:line="129" w:lineRule="exact"/>
        <w:rPr>
          <w:sz w:val="20"/>
          <w:szCs w:val="20"/>
          <w:color w:val="auto"/>
        </w:rPr>
      </w:pPr>
    </w:p>
    <w:p>
      <w:pPr>
        <w:ind w:right="120" w:firstLine="494"/>
        <w:spacing w:after="0" w:line="242" w:lineRule="auto"/>
        <w:rPr>
          <w:sz w:val="20"/>
          <w:szCs w:val="20"/>
          <w:color w:val="auto"/>
        </w:rPr>
      </w:pPr>
      <w:r>
        <w:rPr>
          <w:rFonts w:ascii="Arial" w:cs="Arial" w:eastAsia="Arial" w:hAnsi="Arial"/>
          <w:sz w:val="18"/>
          <w:szCs w:val="18"/>
          <w:color w:val="auto"/>
        </w:rPr>
        <w:t>On January 2, 2026, we amended the Second Amended and Restated Credit Agreement dated as of March 29, 2019, as amended (the “Credit Agreement”), to provide for an incremental term loan facility under the Credit Agreement in an aggregate principal amount equal to $1,200 million (the “Incremental Term Loan”) and increased the commitments under the Revolving Credit Facility by $250 million to an aggregate principal amount of up to $ 1,000 million. We used the proceeds of the Incremental Term Loan and also borrowed $300 million under the Revolving Credit Facility to pay a portion of the consideration for the acquisition of the Acquired Off-Highway Business and fees, costs and expenses related to the acquisition.</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indebtedness could have important consequences. For example, it could:</w:t>
      </w:r>
    </w:p>
    <w:p>
      <w:pPr>
        <w:spacing w:after="0" w:line="15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16" w:lineRule="exact"/>
        <w:rPr>
          <w:rFonts w:ascii="Times New Roman" w:cs="Times New Roman" w:eastAsia="Times New Roman" w:hAnsi="Times New Roman"/>
          <w:sz w:val="18"/>
          <w:szCs w:val="18"/>
          <w:color w:val="auto"/>
        </w:rPr>
      </w:pPr>
    </w:p>
    <w:p>
      <w:pPr>
        <w:ind w:left="1020" w:right="14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62"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vulnerability to and limit our flexibility in planning for, or reacting to, downturns or changes in our business and the industry in which we operate;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restrict us from making strategic acquisitions or cause us to make non-strategic divestitures;</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expose us to the risk of increased interest rates as borrowings under the Senior Secured Credit Facility are subject to variable rates of interest;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ability to borrow additional funds.</w:t>
      </w:r>
    </w:p>
    <w:p>
      <w:pPr>
        <w:spacing w:after="0" w:line="170"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In addition, the Revolving Credit Facility contains a maximum total senior secured leverage ratio. The Senior Secured Credit Facility and the indentures governing the Senior Notes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176"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and our ability to generate cash depends on many factors beyond our control.</w:t>
      </w:r>
    </w:p>
    <w:p>
      <w:pPr>
        <w:spacing w:after="0" w:line="85"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15" w:lineRule="exact"/>
        <w:rPr>
          <w:sz w:val="20"/>
          <w:szCs w:val="20"/>
          <w:color w:val="auto"/>
        </w:rPr>
      </w:pPr>
    </w:p>
    <w:p>
      <w:pPr>
        <w:ind w:right="60" w:firstLine="494"/>
        <w:spacing w:after="0" w:line="242" w:lineRule="auto"/>
        <w:rPr>
          <w:sz w:val="20"/>
          <w:szCs w:val="20"/>
          <w:color w:val="auto"/>
        </w:rPr>
      </w:pPr>
      <w:r>
        <w:rPr>
          <w:rFonts w:ascii="Arial" w:cs="Arial" w:eastAsia="Arial" w:hAnsi="Arial"/>
          <w:sz w:val="18"/>
          <w:szCs w:val="18"/>
          <w:color w:val="auto"/>
        </w:rPr>
        <w:t>We cannot ensure that our business will generate sufficient cash flow from operations or that future borrowings will be available to us under the Revolving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81"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85"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We and our subsidiaries may be able to incur additional indebtedness in the future because the terms of our indebtedness do not fully prohibit us or our subsidiaries from doing so. Subject to covenant compliance and certain conditions, our indebtedness as of December 31, 2025 permitted additional borrowing, including total borrowing up to $745 million under the Revolving Credit Facility, net of $5 million in letters of credit. If new debt is added to our current debt levels and our subsidiaries’ current debt levels, the related risks that we and they now face could intensify.</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pension and other post-retirement benefits funding obligations could increase as a result of a variety of factors.</w:t>
      </w:r>
    </w:p>
    <w:p>
      <w:pPr>
        <w:spacing w:after="0" w:line="156"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 that income or expense for defined benefit pension plans be calculated at the annual measurement date, or more frequently if certain events occur, using actuarial assumptions and calculations. These calculations reflect certain assumptions, the most significant of which relate to the capital markets, interest rates, health care inflation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2025 defined benefit pension plans obligation of approximately $13 million. Likewise, a one percentage point decrease in the effective interest rate for determining defined benefit pension plans contributions would result in an increase in the minimum required contributions for 2026 of approximately $2 million. Similarly, a one percentage point decrease in the assumed discount rate would result in an increase in the December 31, 2025 OPEB obligation of approximately $6 million. As of December 31, 2025, the unfunded status of our defined benefit pension plans was $4 million and the unfunded status of our OPEB plan was $66 million.</w:t>
      </w:r>
    </w:p>
    <w:p>
      <w:pPr>
        <w:spacing w:after="0" w:line="187"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An impairment in the carrying value of goodwill, other intangible assets or long-lived assets could negatively affect our consolidated results of operations and net worth.</w:t>
      </w:r>
    </w:p>
    <w:p>
      <w:pPr>
        <w:spacing w:after="0" w:line="85"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the unsuccessful development of a product and unexpected significant declines in operating results may result in charges for goodwill and other asset impairments. See "Note 2. Summary of Significant Accounting Policies” and "Note 6. Goodwill and Other Intangible Assets” of Notes to Consolidated Financial Statements included in Part II, Item 8., of this Annual Report on Form 10-K for additional details.</w:t>
      </w:r>
    </w:p>
    <w:p>
      <w:pPr>
        <w:spacing w:after="0" w:line="126"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a significant change in the projected future cash flows generated by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 and could have a material adverse effect on the results of our operations. See "Note 2. Summary of Significant Accounting Policies” and "Note 5. Property, Plant and Equipment” of Notes to Consolidated Financial Statements included in Part II, Item 8., of this Annual Report on Form 10-K for additional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58"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100" w:lineRule="exact"/>
        <w:rPr>
          <w:sz w:val="20"/>
          <w:szCs w:val="20"/>
          <w:color w:val="auto"/>
        </w:rPr>
      </w:pPr>
    </w:p>
    <w:p>
      <w:pPr>
        <w:ind w:right="160" w:firstLine="494"/>
        <w:spacing w:after="0" w:line="253" w:lineRule="auto"/>
        <w:rPr>
          <w:sz w:val="20"/>
          <w:szCs w:val="20"/>
          <w:color w:val="auto"/>
        </w:rPr>
      </w:pPr>
      <w:r>
        <w:rPr>
          <w:rFonts w:ascii="Arial" w:cs="Arial" w:eastAsia="Arial" w:hAnsi="Arial"/>
          <w:sz w:val="18"/>
          <w:szCs w:val="18"/>
          <w:color w:val="auto"/>
        </w:rPr>
        <w:t>Our cybersecurity risk management program is guided by the National Institute of Standards and Technology Cybersecurity Framework (“NIST CSF”). This does not imply that we meet any particular technical standards, specifications, or requirements, only that we use the NIST CSF as a framework to help us identify, assess, and manage cybersecurity risks relevant to our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40" w:firstLine="494"/>
        <w:spacing w:after="0" w:line="253"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aspects of our cybersecurity risk management program include:</w:t>
      </w:r>
    </w:p>
    <w:p>
      <w:pPr>
        <w:spacing w:after="0" w:line="158"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Risk assessments designed to help identify material cybersecurity risks to our critical systems and information;</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 security team principally responsible for managing (1) our cybersecurity risk assessment processes, (2) our security controls, and (3) our response to cybersecurity incidents;</w:t>
      </w:r>
    </w:p>
    <w:p>
      <w:pPr>
        <w:spacing w:after="0" w:line="46"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controls;</w:t>
      </w:r>
    </w:p>
    <w:p>
      <w:pPr>
        <w:spacing w:after="0" w:line="46" w:lineRule="exact"/>
        <w:rPr>
          <w:rFonts w:ascii="Times New Roman" w:cs="Times New Roman" w:eastAsia="Times New Roman" w:hAnsi="Times New Roman"/>
          <w:sz w:val="18"/>
          <w:szCs w:val="18"/>
          <w:color w:val="auto"/>
        </w:rPr>
      </w:pPr>
    </w:p>
    <w:p>
      <w:pPr>
        <w:ind w:left="1020" w:right="88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our employees, key third-party partners, incident response personnel, and senior management;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risk management process for key third-party vendors and suppliers.</w:t>
      </w:r>
    </w:p>
    <w:p>
      <w:pPr>
        <w:spacing w:after="0" w:line="170"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 – We are subject to cybersecurity risks to operational systems, security systems, or infrastructure owned by Allison or third-party vendors or suppliers" in Part I, Item 1A. of this Annual Report on Form 10-K.</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56" w:lineRule="exact"/>
        <w:rPr>
          <w:sz w:val="20"/>
          <w:szCs w:val="20"/>
          <w:color w:val="auto"/>
        </w:rPr>
      </w:pPr>
    </w:p>
    <w:p>
      <w:pPr>
        <w:ind w:right="80" w:firstLine="494"/>
        <w:spacing w:after="0" w:line="253" w:lineRule="auto"/>
        <w:rPr>
          <w:sz w:val="20"/>
          <w:szCs w:val="20"/>
          <w:color w:val="auto"/>
        </w:rPr>
      </w:pPr>
      <w:r>
        <w:rPr>
          <w:rFonts w:ascii="Arial" w:cs="Arial" w:eastAsia="Arial" w:hAnsi="Arial"/>
          <w:sz w:val="18"/>
          <w:szCs w:val="18"/>
          <w:color w:val="auto"/>
        </w:rPr>
        <w:t>Our Board considers cybersecurity risk as part of its risk oversight function and has delegated to its Audit Committee oversight of cybersecurity and other information technology risks. Our Audit Committee oversees management’s implementation of our cybersecurity risk management program.</w:t>
      </w:r>
    </w:p>
    <w:p>
      <w:pPr>
        <w:spacing w:after="0" w:line="115" w:lineRule="exact"/>
        <w:rPr>
          <w:sz w:val="20"/>
          <w:szCs w:val="20"/>
          <w:color w:val="auto"/>
        </w:rPr>
      </w:pPr>
    </w:p>
    <w:p>
      <w:pPr>
        <w:ind w:right="300" w:firstLine="494"/>
        <w:spacing w:after="0" w:line="271" w:lineRule="auto"/>
        <w:rPr>
          <w:sz w:val="20"/>
          <w:szCs w:val="20"/>
          <w:color w:val="auto"/>
        </w:rPr>
      </w:pPr>
      <w:r>
        <w:rPr>
          <w:rFonts w:ascii="Arial" w:cs="Arial" w:eastAsia="Arial" w:hAnsi="Arial"/>
          <w:sz w:val="18"/>
          <w:szCs w:val="18"/>
          <w:color w:val="auto"/>
        </w:rPr>
        <w:t>Our Audit Committee receives quarterly reports from management on our cybersecurity risks. In addition, management updates the Audit Committee, as necessary, regarding significant cybersecurity incidents.</w:t>
      </w:r>
    </w:p>
    <w:p>
      <w:pPr>
        <w:spacing w:after="0" w:line="100"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The Audit Committee reports to the full Board regarding its activities, including those related to cybersecurity. The full Board also receives briefings from management on our cybersecurity risk management program. Board members receive presentations on cybersecurity topics from our Chief Information Security Officer ("CISO"), internal security staff or external experts as part of the Board’s continuing education on topics that impact public companies.</w:t>
      </w:r>
    </w:p>
    <w:p>
      <w:pPr>
        <w:spacing w:after="0" w:line="120"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Our CISO has primary responsibility for assessing and managing our material risks from cybersecurity threats and supervises both our internal cybersecurity operations team and our retained external cybersecurity consultants. Our management team, which includes our CISO as well as our Chief Executive Officer, Chief Financial Officer, General Counsel and Chief Information Officer, has overall responsibility for implementing our cybersecurity risk management program.</w:t>
      </w:r>
    </w:p>
    <w:p>
      <w:pPr>
        <w:spacing w:after="0" w:line="120"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Our management team, led by our CISO, stays informed about and monitors the prevention, detection, mitigation, and remediation of key cybersecurity risks and incidents through various means, which may include briefings with internal cybersecurity team members and external consultants, threat intelligence and other information obtained from public or private sources, and alerts and reports produced by security tools deployed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information technology environment. Our CISO has over 30 years of experience in leading strategy and operations across information technology, cybersecurity and cloud infrastructure areas for entities in the public, private, government and military sectors. In addition, our CISO leads the operational cybersecurity team, which has an average of over 10 years of experience. Collectively, the members of the operational cybersecurity team have various certifications, including, but not limited to, CISSP, GSOM, GCIA, GCIH, CISA, CCSK, SSCP, GPEN, CEH, and CISM.</w:t>
      </w:r>
    </w:p>
    <w:p>
      <w:pPr>
        <w:spacing w:after="0" w:line="1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7"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58"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Our world headquarters, which we own, is located at One Allison Way, Indianapolis, Indiana 46222. As of December 31, 2025, we have 17 manufacturing and certain other facilities in eight countries. The following table sets forth certain information regarding our significant facilities as of December 31,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b w:val="1"/>
                <w:bCs w:val="1"/>
                <w:color w:val="auto"/>
              </w:rPr>
              <w:t>Approximate</w:t>
            </w:r>
          </w:p>
        </w:tc>
        <w:tc>
          <w:tcPr>
            <w:tcW w:w="18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Arial" w:cs="Arial" w:eastAsia="Arial" w:hAnsi="Arial"/>
                <w:sz w:val="14"/>
                <w:szCs w:val="14"/>
                <w:b w:val="1"/>
                <w:bCs w:val="1"/>
                <w:color w:val="auto"/>
              </w:rPr>
              <w:t>Owned /</w:t>
            </w:r>
          </w:p>
        </w:tc>
        <w:tc>
          <w:tcPr>
            <w:tcW w:w="16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71"/>
        </w:trPr>
        <w:tc>
          <w:tcPr>
            <w:tcW w:w="31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Plant</w:t>
            </w:r>
          </w:p>
        </w:tc>
        <w:tc>
          <w:tcPr>
            <w:tcW w:w="180" w:type="dxa"/>
            <w:vAlign w:val="bottom"/>
          </w:tcPr>
          <w:p>
            <w:pPr>
              <w:spacing w:after="0"/>
              <w:rPr>
                <w:sz w:val="14"/>
                <w:szCs w:val="14"/>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Size (ft2)</w:t>
            </w:r>
          </w:p>
        </w:tc>
        <w:tc>
          <w:tcPr>
            <w:tcW w:w="180" w:type="dxa"/>
            <w:vAlign w:val="bottom"/>
          </w:tcPr>
          <w:p>
            <w:pPr>
              <w:spacing w:after="0"/>
              <w:rPr>
                <w:sz w:val="14"/>
                <w:szCs w:val="14"/>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Leased</w:t>
            </w:r>
          </w:p>
        </w:tc>
        <w:tc>
          <w:tcPr>
            <w:tcW w:w="160" w:type="dxa"/>
            <w:vAlign w:val="bottom"/>
          </w:tcPr>
          <w:p>
            <w:pPr>
              <w:spacing w:after="0"/>
              <w:rPr>
                <w:sz w:val="14"/>
                <w:szCs w:val="14"/>
                <w:color w:val="auto"/>
              </w:rPr>
            </w:pPr>
          </w:p>
        </w:tc>
        <w:tc>
          <w:tcPr>
            <w:tcW w:w="30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196"/>
        </w:trPr>
        <w:tc>
          <w:tcPr>
            <w:tcW w:w="3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Plant #3</w:t>
            </w:r>
          </w:p>
        </w:tc>
        <w:tc>
          <w:tcPr>
            <w:tcW w:w="18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28"/>
              <w:spacing w:after="0" w:line="196" w:lineRule="exact"/>
              <w:rPr>
                <w:sz w:val="20"/>
                <w:szCs w:val="20"/>
                <w:color w:val="auto"/>
              </w:rPr>
            </w:pPr>
            <w:r>
              <w:rPr>
                <w:rFonts w:ascii="Arial" w:cs="Arial" w:eastAsia="Arial" w:hAnsi="Arial"/>
                <w:sz w:val="18"/>
                <w:szCs w:val="18"/>
                <w:color w:val="auto"/>
              </w:rPr>
              <w:t>927,000</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7"/>
                <w:szCs w:val="17"/>
                <w:color w:val="auto"/>
              </w:rPr>
            </w:pPr>
          </w:p>
        </w:tc>
        <w:tc>
          <w:tcPr>
            <w:tcW w:w="3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Engineering, Operational Support</w:t>
            </w: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Plant #4</w:t>
            </w:r>
          </w:p>
        </w:tc>
        <w:tc>
          <w:tcPr>
            <w:tcW w:w="180" w:type="dxa"/>
            <w:vAlign w:val="bottom"/>
          </w:tcPr>
          <w:p>
            <w:pPr>
              <w:spacing w:after="0"/>
              <w:rPr>
                <w:sz w:val="17"/>
                <w:szCs w:val="17"/>
                <w:color w:val="auto"/>
              </w:rPr>
            </w:pPr>
          </w:p>
        </w:tc>
        <w:tc>
          <w:tcPr>
            <w:tcW w:w="1940" w:type="dxa"/>
            <w:vAlign w:val="bottom"/>
          </w:tcPr>
          <w:p>
            <w:pPr>
              <w:spacing w:after="0" w:line="202" w:lineRule="exact"/>
              <w:rPr>
                <w:sz w:val="20"/>
                <w:szCs w:val="20"/>
                <w:color w:val="auto"/>
              </w:rPr>
            </w:pPr>
            <w:r>
              <w:rPr>
                <w:rFonts w:ascii="Arial" w:cs="Arial" w:eastAsia="Arial" w:hAnsi="Arial"/>
                <w:sz w:val="18"/>
                <w:szCs w:val="18"/>
                <w:color w:val="auto"/>
              </w:rPr>
              <w:t>Indianapolis</w:t>
            </w:r>
          </w:p>
        </w:tc>
        <w:tc>
          <w:tcPr>
            <w:tcW w:w="14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425,900</w:t>
            </w:r>
          </w:p>
        </w:tc>
        <w:tc>
          <w:tcPr>
            <w:tcW w:w="18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rPr>
              <w:t>Own</w:t>
            </w:r>
          </w:p>
        </w:tc>
        <w:tc>
          <w:tcPr>
            <w:tcW w:w="160" w:type="dxa"/>
            <w:vAlign w:val="bottom"/>
          </w:tcPr>
          <w:p>
            <w:pPr>
              <w:spacing w:after="0"/>
              <w:rPr>
                <w:sz w:val="17"/>
                <w:szCs w:val="17"/>
                <w:color w:val="auto"/>
              </w:rPr>
            </w:pPr>
          </w:p>
        </w:tc>
        <w:tc>
          <w:tcPr>
            <w:tcW w:w="3060" w:type="dxa"/>
            <w:vAlign w:val="bottom"/>
          </w:tcPr>
          <w:p>
            <w:pPr>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Plant #6</w:t>
            </w:r>
          </w:p>
        </w:tc>
        <w:tc>
          <w:tcPr>
            <w:tcW w:w="18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431,500</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7"/>
                <w:szCs w:val="17"/>
                <w:color w:val="auto"/>
              </w:rPr>
            </w:pPr>
          </w:p>
        </w:tc>
        <w:tc>
          <w:tcPr>
            <w:tcW w:w="3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Plant #12</w:t>
            </w:r>
          </w:p>
        </w:tc>
        <w:tc>
          <w:tcPr>
            <w:tcW w:w="180" w:type="dxa"/>
            <w:vAlign w:val="bottom"/>
          </w:tcPr>
          <w:p>
            <w:pPr>
              <w:spacing w:after="0"/>
              <w:rPr>
                <w:sz w:val="17"/>
                <w:szCs w:val="17"/>
                <w:color w:val="auto"/>
              </w:rPr>
            </w:pPr>
          </w:p>
        </w:tc>
        <w:tc>
          <w:tcPr>
            <w:tcW w:w="1940" w:type="dxa"/>
            <w:vAlign w:val="bottom"/>
          </w:tcPr>
          <w:p>
            <w:pPr>
              <w:spacing w:after="0" w:line="202" w:lineRule="exact"/>
              <w:rPr>
                <w:sz w:val="20"/>
                <w:szCs w:val="20"/>
                <w:color w:val="auto"/>
              </w:rPr>
            </w:pPr>
            <w:r>
              <w:rPr>
                <w:rFonts w:ascii="Arial" w:cs="Arial" w:eastAsia="Arial" w:hAnsi="Arial"/>
                <w:sz w:val="18"/>
                <w:szCs w:val="18"/>
                <w:color w:val="auto"/>
              </w:rPr>
              <w:t>Indianapolis</w:t>
            </w:r>
          </w:p>
        </w:tc>
        <w:tc>
          <w:tcPr>
            <w:tcW w:w="14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534,900</w:t>
            </w:r>
          </w:p>
        </w:tc>
        <w:tc>
          <w:tcPr>
            <w:tcW w:w="18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rPr>
              <w:t>Own</w:t>
            </w:r>
          </w:p>
        </w:tc>
        <w:tc>
          <w:tcPr>
            <w:tcW w:w="160" w:type="dxa"/>
            <w:vAlign w:val="bottom"/>
          </w:tcPr>
          <w:p>
            <w:pPr>
              <w:spacing w:after="0"/>
              <w:rPr>
                <w:sz w:val="17"/>
                <w:szCs w:val="17"/>
                <w:color w:val="auto"/>
              </w:rPr>
            </w:pPr>
          </w:p>
        </w:tc>
        <w:tc>
          <w:tcPr>
            <w:tcW w:w="3060" w:type="dxa"/>
            <w:vAlign w:val="bottom"/>
          </w:tcPr>
          <w:p>
            <w:pPr>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Plant #14</w:t>
            </w:r>
          </w:p>
        </w:tc>
        <w:tc>
          <w:tcPr>
            <w:tcW w:w="18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481,100</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7"/>
                <w:szCs w:val="17"/>
                <w:color w:val="auto"/>
              </w:rPr>
            </w:pPr>
          </w:p>
        </w:tc>
        <w:tc>
          <w:tcPr>
            <w:tcW w:w="3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Plant #15</w:t>
            </w:r>
          </w:p>
        </w:tc>
        <w:tc>
          <w:tcPr>
            <w:tcW w:w="180" w:type="dxa"/>
            <w:vAlign w:val="bottom"/>
          </w:tcPr>
          <w:p>
            <w:pPr>
              <w:spacing w:after="0"/>
              <w:rPr>
                <w:sz w:val="17"/>
                <w:szCs w:val="17"/>
                <w:color w:val="auto"/>
              </w:rPr>
            </w:pPr>
          </w:p>
        </w:tc>
        <w:tc>
          <w:tcPr>
            <w:tcW w:w="1940" w:type="dxa"/>
            <w:vAlign w:val="bottom"/>
          </w:tcPr>
          <w:p>
            <w:pPr>
              <w:spacing w:after="0" w:line="202" w:lineRule="exact"/>
              <w:rPr>
                <w:sz w:val="20"/>
                <w:szCs w:val="20"/>
                <w:color w:val="auto"/>
              </w:rPr>
            </w:pPr>
            <w:r>
              <w:rPr>
                <w:rFonts w:ascii="Arial" w:cs="Arial" w:eastAsia="Arial" w:hAnsi="Arial"/>
                <w:sz w:val="18"/>
                <w:szCs w:val="18"/>
                <w:color w:val="auto"/>
              </w:rPr>
              <w:t>Indianapolis</w:t>
            </w:r>
          </w:p>
        </w:tc>
        <w:tc>
          <w:tcPr>
            <w:tcW w:w="14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391,700</w:t>
            </w:r>
          </w:p>
        </w:tc>
        <w:tc>
          <w:tcPr>
            <w:tcW w:w="18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rPr>
              <w:t>Own</w:t>
            </w:r>
          </w:p>
        </w:tc>
        <w:tc>
          <w:tcPr>
            <w:tcW w:w="160" w:type="dxa"/>
            <w:vAlign w:val="bottom"/>
          </w:tcPr>
          <w:p>
            <w:pPr>
              <w:spacing w:after="0"/>
              <w:rPr>
                <w:sz w:val="17"/>
                <w:szCs w:val="17"/>
                <w:color w:val="auto"/>
              </w:rPr>
            </w:pPr>
          </w:p>
        </w:tc>
        <w:tc>
          <w:tcPr>
            <w:tcW w:w="3060" w:type="dxa"/>
            <w:vAlign w:val="bottom"/>
          </w:tcPr>
          <w:p>
            <w:pPr>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Plant #17</w:t>
            </w:r>
          </w:p>
        </w:tc>
        <w:tc>
          <w:tcPr>
            <w:tcW w:w="18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389,000</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7"/>
                <w:szCs w:val="17"/>
                <w:color w:val="auto"/>
              </w:rPr>
            </w:pPr>
          </w:p>
        </w:tc>
        <w:tc>
          <w:tcPr>
            <w:tcW w:w="3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Parts Distribution Center</w:t>
            </w:r>
          </w:p>
        </w:tc>
      </w:tr>
      <w:tr>
        <w:trPr>
          <w:trHeight w:val="184"/>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spacing w:after="0" w:line="183" w:lineRule="exact"/>
              <w:rPr>
                <w:sz w:val="20"/>
                <w:szCs w:val="20"/>
                <w:color w:val="auto"/>
              </w:rPr>
            </w:pPr>
            <w:r>
              <w:rPr>
                <w:rFonts w:ascii="Arial" w:cs="Arial" w:eastAsia="Arial" w:hAnsi="Arial"/>
                <w:sz w:val="18"/>
                <w:szCs w:val="18"/>
                <w:color w:val="auto"/>
              </w:rPr>
              <w:t>Engineering, Research and</w:t>
            </w:r>
          </w:p>
        </w:tc>
      </w:tr>
      <w:tr>
        <w:trPr>
          <w:trHeight w:val="221"/>
        </w:trPr>
        <w:tc>
          <w:tcPr>
            <w:tcW w:w="3140" w:type="dxa"/>
            <w:vAlign w:val="bottom"/>
          </w:tcPr>
          <w:p>
            <w:pPr>
              <w:spacing w:after="0"/>
              <w:rPr>
                <w:sz w:val="20"/>
                <w:szCs w:val="20"/>
                <w:color w:val="auto"/>
              </w:rPr>
            </w:pPr>
            <w:r>
              <w:rPr>
                <w:rFonts w:ascii="Arial" w:cs="Arial" w:eastAsia="Arial" w:hAnsi="Arial"/>
                <w:sz w:val="18"/>
                <w:szCs w:val="18"/>
                <w:color w:val="auto"/>
              </w:rPr>
              <w:t>Innovation Center</w:t>
            </w:r>
          </w:p>
        </w:tc>
        <w:tc>
          <w:tcPr>
            <w:tcW w:w="18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Indianapolis</w:t>
            </w:r>
          </w:p>
        </w:tc>
        <w:tc>
          <w:tcPr>
            <w:tcW w:w="1480" w:type="dxa"/>
            <w:vAlign w:val="bottom"/>
            <w:gridSpan w:val="2"/>
          </w:tcPr>
          <w:p>
            <w:pPr>
              <w:jc w:val="right"/>
              <w:ind w:right="28"/>
              <w:spacing w:after="0"/>
              <w:rPr>
                <w:sz w:val="20"/>
                <w:szCs w:val="20"/>
                <w:color w:val="auto"/>
              </w:rPr>
            </w:pPr>
            <w:r>
              <w:rPr>
                <w:rFonts w:ascii="Arial" w:cs="Arial" w:eastAsia="Arial" w:hAnsi="Arial"/>
                <w:sz w:val="18"/>
                <w:szCs w:val="18"/>
                <w:color w:val="auto"/>
              </w:rPr>
              <w:t>96,000</w:t>
            </w:r>
          </w:p>
        </w:tc>
        <w:tc>
          <w:tcPr>
            <w:tcW w:w="18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Own</w:t>
            </w:r>
          </w:p>
        </w:tc>
        <w:tc>
          <w:tcPr>
            <w:tcW w:w="1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Development</w:t>
            </w:r>
          </w:p>
        </w:tc>
      </w:tr>
      <w:tr>
        <w:trPr>
          <w:trHeight w:val="184"/>
        </w:trPr>
        <w:tc>
          <w:tcPr>
            <w:tcW w:w="31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Vehicle Electrification + Environmental</w:t>
            </w:r>
          </w:p>
        </w:tc>
        <w:tc>
          <w:tcPr>
            <w:tcW w:w="18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60" w:type="dxa"/>
            <w:vAlign w:val="bottom"/>
            <w:shd w:val="clear" w:color="auto" w:fill="CFF0FC"/>
          </w:tcPr>
          <w:p>
            <w:pPr>
              <w:spacing w:after="0"/>
              <w:rPr>
                <w:sz w:val="15"/>
                <w:szCs w:val="15"/>
                <w:color w:val="auto"/>
              </w:rPr>
            </w:pPr>
          </w:p>
        </w:tc>
      </w:tr>
      <w:tr>
        <w:trPr>
          <w:trHeight w:val="221"/>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Test (VE+ET) Center</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66,000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r>
      <w:tr>
        <w:trPr>
          <w:trHeight w:val="184"/>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line="183" w:lineRule="exact"/>
              <w:rPr>
                <w:sz w:val="20"/>
                <w:szCs w:val="20"/>
                <w:color w:val="auto"/>
              </w:rPr>
            </w:pPr>
            <w:r>
              <w:rPr>
                <w:rFonts w:ascii="Arial" w:cs="Arial" w:eastAsia="Arial" w:hAnsi="Arial"/>
                <w:sz w:val="18"/>
                <w:szCs w:val="18"/>
                <w:color w:val="auto"/>
              </w:rPr>
              <w:t>Auburn Hills, Michigan,</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spacing w:after="0" w:line="183" w:lineRule="exact"/>
              <w:rPr>
                <w:sz w:val="20"/>
                <w:szCs w:val="20"/>
                <w:color w:val="auto"/>
              </w:rPr>
            </w:pPr>
            <w:r>
              <w:rPr>
                <w:rFonts w:ascii="Arial" w:cs="Arial" w:eastAsia="Arial" w:hAnsi="Arial"/>
                <w:sz w:val="18"/>
                <w:szCs w:val="18"/>
                <w:color w:val="auto"/>
              </w:rPr>
              <w:t>Engineering, Operational Support,</w:t>
            </w:r>
          </w:p>
        </w:tc>
      </w:tr>
      <w:tr>
        <w:trPr>
          <w:trHeight w:val="221"/>
        </w:trPr>
        <w:tc>
          <w:tcPr>
            <w:tcW w:w="3140" w:type="dxa"/>
            <w:vAlign w:val="bottom"/>
          </w:tcPr>
          <w:p>
            <w:pPr>
              <w:spacing w:after="0"/>
              <w:rPr>
                <w:sz w:val="20"/>
                <w:szCs w:val="20"/>
                <w:color w:val="auto"/>
              </w:rPr>
            </w:pPr>
            <w:r>
              <w:rPr>
                <w:rFonts w:ascii="Arial" w:cs="Arial" w:eastAsia="Arial" w:hAnsi="Arial"/>
                <w:sz w:val="18"/>
                <w:szCs w:val="18"/>
                <w:color w:val="auto"/>
              </w:rPr>
              <w:t>Auburn Hills</w:t>
            </w:r>
          </w:p>
        </w:tc>
        <w:tc>
          <w:tcPr>
            <w:tcW w:w="18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USA</w:t>
            </w:r>
          </w:p>
        </w:tc>
        <w:tc>
          <w:tcPr>
            <w:tcW w:w="1480" w:type="dxa"/>
            <w:vAlign w:val="bottom"/>
            <w:gridSpan w:val="2"/>
          </w:tcPr>
          <w:p>
            <w:pPr>
              <w:jc w:val="right"/>
              <w:ind w:right="28"/>
              <w:spacing w:after="0"/>
              <w:rPr>
                <w:sz w:val="20"/>
                <w:szCs w:val="20"/>
                <w:color w:val="auto"/>
              </w:rPr>
            </w:pPr>
            <w:r>
              <w:rPr>
                <w:rFonts w:ascii="Arial" w:cs="Arial" w:eastAsia="Arial" w:hAnsi="Arial"/>
                <w:sz w:val="18"/>
                <w:szCs w:val="18"/>
                <w:color w:val="auto"/>
              </w:rPr>
              <w:t>110,400</w:t>
            </w:r>
          </w:p>
        </w:tc>
        <w:tc>
          <w:tcPr>
            <w:tcW w:w="18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Lease</w:t>
            </w:r>
          </w:p>
        </w:tc>
        <w:tc>
          <w:tcPr>
            <w:tcW w:w="1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Manufacturing</w:t>
            </w:r>
          </w:p>
        </w:tc>
      </w:tr>
      <w:tr>
        <w:trPr>
          <w:trHeight w:val="184"/>
        </w:trPr>
        <w:tc>
          <w:tcPr>
            <w:tcW w:w="3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Lewisburg, Tennessee,</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60" w:type="dxa"/>
            <w:vAlign w:val="bottom"/>
            <w:shd w:val="clear" w:color="auto" w:fill="CFF0FC"/>
          </w:tcPr>
          <w:p>
            <w:pPr>
              <w:spacing w:after="0"/>
              <w:rPr>
                <w:sz w:val="15"/>
                <w:szCs w:val="15"/>
                <w:color w:val="auto"/>
              </w:rPr>
            </w:pPr>
          </w:p>
        </w:tc>
      </w:tr>
      <w:tr>
        <w:trPr>
          <w:trHeight w:val="221"/>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Walker Die Casting</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USA</w:t>
            </w:r>
          </w:p>
        </w:tc>
        <w:tc>
          <w:tcPr>
            <w:tcW w:w="14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774,100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Chennai</w:t>
            </w:r>
          </w:p>
        </w:tc>
        <w:tc>
          <w:tcPr>
            <w:tcW w:w="180" w:type="dxa"/>
            <w:vAlign w:val="bottom"/>
          </w:tcPr>
          <w:p>
            <w:pPr>
              <w:spacing w:after="0"/>
              <w:rPr>
                <w:sz w:val="17"/>
                <w:szCs w:val="17"/>
                <w:color w:val="auto"/>
              </w:rPr>
            </w:pPr>
          </w:p>
        </w:tc>
        <w:tc>
          <w:tcPr>
            <w:tcW w:w="1940" w:type="dxa"/>
            <w:vAlign w:val="bottom"/>
          </w:tcPr>
          <w:p>
            <w:pPr>
              <w:spacing w:after="0" w:line="202" w:lineRule="exact"/>
              <w:rPr>
                <w:sz w:val="20"/>
                <w:szCs w:val="20"/>
                <w:color w:val="auto"/>
              </w:rPr>
            </w:pPr>
            <w:r>
              <w:rPr>
                <w:rFonts w:ascii="Arial" w:cs="Arial" w:eastAsia="Arial" w:hAnsi="Arial"/>
                <w:sz w:val="18"/>
                <w:szCs w:val="18"/>
                <w:color w:val="auto"/>
              </w:rPr>
              <w:t>India</w:t>
            </w:r>
          </w:p>
        </w:tc>
        <w:tc>
          <w:tcPr>
            <w:tcW w:w="14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551,551</w:t>
            </w:r>
          </w:p>
        </w:tc>
        <w:tc>
          <w:tcPr>
            <w:tcW w:w="18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rPr>
              <w:t>Own</w:t>
            </w:r>
          </w:p>
        </w:tc>
        <w:tc>
          <w:tcPr>
            <w:tcW w:w="160" w:type="dxa"/>
            <w:vAlign w:val="bottom"/>
          </w:tcPr>
          <w:p>
            <w:pPr>
              <w:spacing w:after="0"/>
              <w:rPr>
                <w:sz w:val="17"/>
                <w:szCs w:val="17"/>
                <w:color w:val="auto"/>
              </w:rPr>
            </w:pPr>
          </w:p>
        </w:tc>
        <w:tc>
          <w:tcPr>
            <w:tcW w:w="3060" w:type="dxa"/>
            <w:vAlign w:val="bottom"/>
          </w:tcPr>
          <w:p>
            <w:pPr>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Szentgotthard</w:t>
            </w:r>
          </w:p>
        </w:tc>
        <w:tc>
          <w:tcPr>
            <w:tcW w:w="18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Hungary</w:t>
            </w:r>
          </w:p>
        </w:tc>
        <w:tc>
          <w:tcPr>
            <w:tcW w:w="148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149,000</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7"/>
                <w:szCs w:val="17"/>
                <w:color w:val="auto"/>
              </w:rPr>
            </w:pPr>
          </w:p>
        </w:tc>
        <w:tc>
          <w:tcPr>
            <w:tcW w:w="3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Manufacturing &amp; Customization</w:t>
            </w:r>
          </w:p>
        </w:tc>
      </w:tr>
    </w:tbl>
    <w:p>
      <w:pPr>
        <w:spacing w:after="0" w:line="170" w:lineRule="exact"/>
        <w:rPr>
          <w:sz w:val="20"/>
          <w:szCs w:val="20"/>
          <w:color w:val="auto"/>
        </w:rPr>
      </w:pPr>
    </w:p>
    <w:p>
      <w:pPr>
        <w:ind w:right="480" w:firstLine="494"/>
        <w:spacing w:after="0" w:line="271" w:lineRule="auto"/>
        <w:rPr>
          <w:sz w:val="20"/>
          <w:szCs w:val="20"/>
          <w:color w:val="auto"/>
        </w:rPr>
      </w:pPr>
      <w:r>
        <w:rPr>
          <w:rFonts w:ascii="Arial" w:cs="Arial" w:eastAsia="Arial" w:hAnsi="Arial"/>
          <w:sz w:val="18"/>
          <w:szCs w:val="18"/>
          <w:color w:val="auto"/>
        </w:rPr>
        <w:t>In addition, in connection with the acquisition of the Acquired Off-Highway Business, effective as of January 1, 2026, we acquired approximately 46 additional manufacturing and assembly plants and approximately 30 other facilities located in 24 countries.</w:t>
      </w:r>
    </w:p>
    <w:p>
      <w:pPr>
        <w:spacing w:after="0" w:line="140"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8" w:lineRule="exact"/>
        <w:rPr>
          <w:sz w:val="20"/>
          <w:szCs w:val="20"/>
          <w:color w:val="auto"/>
        </w:rPr>
      </w:pPr>
    </w:p>
    <w:p>
      <w:pPr>
        <w:ind w:right="40" w:firstLine="494"/>
        <w:spacing w:after="0" w:line="242" w:lineRule="auto"/>
        <w:rPr>
          <w:sz w:val="20"/>
          <w:szCs w:val="20"/>
          <w:color w:val="auto"/>
        </w:rPr>
      </w:pPr>
      <w:r>
        <w:rPr>
          <w:rFonts w:ascii="Arial" w:cs="Arial" w:eastAsia="Arial" w:hAnsi="Arial"/>
          <w:sz w:val="18"/>
          <w:szCs w:val="18"/>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 See "Note 18. Commitments and Contingencies” of Notes to Consolidated Financial Statements included in Part II, Item 8., of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000"/>
        <w:spacing w:after="0" w:line="42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listed on the New York Stock Exchange under the symbol “ALSN.”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58" w:lineRule="exact"/>
        <w:rPr>
          <w:sz w:val="20"/>
          <w:szCs w:val="20"/>
          <w:color w:val="auto"/>
        </w:rPr>
      </w:pPr>
    </w:p>
    <w:p>
      <w:pPr>
        <w:jc w:val="both"/>
        <w:ind w:right="380" w:firstLine="494"/>
        <w:spacing w:after="0" w:line="253" w:lineRule="auto"/>
        <w:rPr>
          <w:sz w:val="20"/>
          <w:szCs w:val="20"/>
          <w:color w:val="auto"/>
        </w:rPr>
      </w:pPr>
      <w:r>
        <w:rPr>
          <w:rFonts w:ascii="Arial" w:cs="Arial" w:eastAsia="Arial" w:hAnsi="Arial"/>
          <w:sz w:val="18"/>
          <w:szCs w:val="18"/>
          <w:color w:val="auto"/>
        </w:rPr>
        <w:t>As of February 5, 2026, there were approximately 306,855 stockholders of record of our common stock, which includes the actual number of holders registered on our books and holders of shares in “street name” or persons, partnerships, associations, corporations or other entities identified in security position listings maintained by depositories.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58" w:lineRule="exact"/>
        <w:rPr>
          <w:sz w:val="20"/>
          <w:szCs w:val="20"/>
          <w:color w:val="auto"/>
        </w:rPr>
      </w:pPr>
    </w:p>
    <w:p>
      <w:pPr>
        <w:ind w:right="260" w:firstLine="494"/>
        <w:spacing w:after="0" w:line="271" w:lineRule="auto"/>
        <w:rPr>
          <w:sz w:val="20"/>
          <w:szCs w:val="20"/>
          <w:color w:val="auto"/>
        </w:rPr>
      </w:pPr>
      <w:r>
        <w:rPr>
          <w:rFonts w:ascii="Arial" w:cs="Arial" w:eastAsia="Arial" w:hAnsi="Arial"/>
          <w:sz w:val="18"/>
          <w:szCs w:val="18"/>
          <w:color w:val="auto"/>
        </w:rPr>
        <w:t>During the period covered by this Annual Report on Form 10-K, we did not offer or sell any equity securities that were not registered under the Securities Act of 1933, as amended (the “Securities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8" w:lineRule="exact"/>
        <w:rPr>
          <w:sz w:val="20"/>
          <w:szCs w:val="20"/>
          <w:color w:val="auto"/>
        </w:rPr>
      </w:pPr>
    </w:p>
    <w:p>
      <w:pPr>
        <w:ind w:right="200" w:firstLine="494"/>
        <w:spacing w:after="0" w:line="244" w:lineRule="auto"/>
        <w:rPr>
          <w:sz w:val="20"/>
          <w:szCs w:val="20"/>
          <w:color w:val="auto"/>
        </w:rPr>
      </w:pPr>
      <w:r>
        <w:rPr>
          <w:rFonts w:ascii="Arial" w:cs="Arial" w:eastAsia="Arial" w:hAnsi="Arial"/>
          <w:sz w:val="18"/>
          <w:szCs w:val="18"/>
          <w:color w:val="auto"/>
        </w:rPr>
        <w:t>Our current stock repurchase program (the "Repurchase Program") was authorized by the Board of Directors in 2016, with increases approved by the Board of Directors on each of November 8, 2017, July 30, 2018, May 9, 2019, February 24, 2022 and February 20, 2025, which in the aggregate total authorized repurchases of $5,000 million in shares of our common stock. The Repurchase Program has no termination date, and the timing and amount of stock purchases are subject to market conditions and corporate needs. The Repurchase Program may be modified, suspended or discontinued at any time at our discretion.</w:t>
      </w:r>
    </w:p>
    <w:p>
      <w:pPr>
        <w:spacing w:after="0" w:line="122" w:lineRule="exact"/>
        <w:rPr>
          <w:sz w:val="20"/>
          <w:szCs w:val="20"/>
          <w:color w:val="auto"/>
        </w:rPr>
      </w:pPr>
    </w:p>
    <w:p>
      <w:pPr>
        <w:ind w:right="220" w:firstLine="494"/>
        <w:spacing w:after="0" w:line="271" w:lineRule="auto"/>
        <w:rPr>
          <w:sz w:val="20"/>
          <w:szCs w:val="20"/>
          <w:color w:val="auto"/>
        </w:rPr>
      </w:pPr>
      <w:r>
        <w:rPr>
          <w:rFonts w:ascii="Arial" w:cs="Arial" w:eastAsia="Arial" w:hAnsi="Arial"/>
          <w:sz w:val="18"/>
          <w:szCs w:val="18"/>
          <w:color w:val="auto"/>
        </w:rPr>
        <w:t>The following table sets forth information related to our repurchase of our common stock on a monthly basis during the three months ended December 31,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center"/>
              <w:ind w:right="45"/>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620" w:type="dxa"/>
            <w:vAlign w:val="bottom"/>
          </w:tcPr>
          <w:p>
            <w:pPr>
              <w:jc w:val="center"/>
              <w:ind w:right="68"/>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4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center"/>
              <w:ind w:right="45"/>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4"/>
                <w:szCs w:val="14"/>
                <w:color w:val="auto"/>
              </w:rPr>
            </w:pPr>
          </w:p>
        </w:tc>
        <w:tc>
          <w:tcPr>
            <w:tcW w:w="1620" w:type="dxa"/>
            <w:vAlign w:val="bottom"/>
          </w:tcPr>
          <w:p>
            <w:pPr>
              <w:jc w:val="center"/>
              <w:ind w:right="48"/>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4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center"/>
              <w:ind w:right="45"/>
              <w:spacing w:after="0"/>
              <w:rPr>
                <w:sz w:val="20"/>
                <w:szCs w:val="20"/>
                <w:color w:val="auto"/>
              </w:rPr>
            </w:pPr>
            <w:r>
              <w:rPr>
                <w:rFonts w:ascii="Arial" w:cs="Arial" w:eastAsia="Arial" w:hAnsi="Arial"/>
                <w:sz w:val="14"/>
                <w:szCs w:val="14"/>
                <w:b w:val="1"/>
                <w:bCs w:val="1"/>
                <w:color w:val="auto"/>
              </w:rPr>
              <w:t>as Part of</w:t>
            </w:r>
          </w:p>
        </w:tc>
        <w:tc>
          <w:tcPr>
            <w:tcW w:w="160" w:type="dxa"/>
            <w:vAlign w:val="bottom"/>
          </w:tcPr>
          <w:p>
            <w:pPr>
              <w:spacing w:after="0"/>
              <w:rPr>
                <w:sz w:val="14"/>
                <w:szCs w:val="14"/>
                <w:color w:val="auto"/>
              </w:rPr>
            </w:pPr>
          </w:p>
        </w:tc>
        <w:tc>
          <w:tcPr>
            <w:tcW w:w="1620" w:type="dxa"/>
            <w:vAlign w:val="bottom"/>
          </w:tcPr>
          <w:p>
            <w:pPr>
              <w:jc w:val="center"/>
              <w:ind w:right="48"/>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4280" w:type="dxa"/>
            <w:vAlign w:val="bottom"/>
          </w:tcPr>
          <w:p>
            <w:pPr>
              <w:spacing w:after="0"/>
              <w:rPr>
                <w:sz w:val="14"/>
                <w:szCs w:val="14"/>
                <w:color w:val="auto"/>
              </w:rPr>
            </w:pPr>
          </w:p>
        </w:tc>
        <w:tc>
          <w:tcPr>
            <w:tcW w:w="1660" w:type="dxa"/>
            <w:vAlign w:val="bottom"/>
          </w:tcPr>
          <w:p>
            <w:pPr>
              <w:jc w:val="center"/>
              <w:ind w:right="18"/>
              <w:spacing w:after="0"/>
              <w:rPr>
                <w:sz w:val="20"/>
                <w:szCs w:val="20"/>
                <w:color w:val="auto"/>
              </w:rPr>
            </w:pPr>
            <w:r>
              <w:rPr>
                <w:rFonts w:ascii="Arial" w:cs="Arial" w:eastAsia="Arial" w:hAnsi="Arial"/>
                <w:sz w:val="14"/>
                <w:szCs w:val="14"/>
                <w:b w:val="1"/>
                <w:bCs w:val="1"/>
                <w:color w:val="auto"/>
              </w:rPr>
              <w:t>Total Number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center"/>
              <w:ind w:right="45"/>
              <w:spacing w:after="0"/>
              <w:rPr>
                <w:sz w:val="20"/>
                <w:szCs w:val="20"/>
                <w:color w:val="auto"/>
              </w:rPr>
            </w:pPr>
            <w:r>
              <w:rPr>
                <w:rFonts w:ascii="Arial" w:cs="Arial" w:eastAsia="Arial" w:hAnsi="Arial"/>
                <w:sz w:val="14"/>
                <w:szCs w:val="14"/>
                <w:b w:val="1"/>
                <w:bCs w:val="1"/>
                <w:color w:val="auto"/>
              </w:rPr>
              <w:t>Publicly</w:t>
            </w:r>
          </w:p>
        </w:tc>
        <w:tc>
          <w:tcPr>
            <w:tcW w:w="160" w:type="dxa"/>
            <w:vAlign w:val="bottom"/>
          </w:tcPr>
          <w:p>
            <w:pPr>
              <w:spacing w:after="0"/>
              <w:rPr>
                <w:sz w:val="14"/>
                <w:szCs w:val="14"/>
                <w:color w:val="auto"/>
              </w:rPr>
            </w:pPr>
          </w:p>
        </w:tc>
        <w:tc>
          <w:tcPr>
            <w:tcW w:w="1620" w:type="dxa"/>
            <w:vAlign w:val="bottom"/>
          </w:tcPr>
          <w:p>
            <w:pPr>
              <w:jc w:val="center"/>
              <w:ind w:right="48"/>
              <w:spacing w:after="0"/>
              <w:rPr>
                <w:sz w:val="20"/>
                <w:szCs w:val="20"/>
                <w:color w:val="auto"/>
              </w:rPr>
            </w:pPr>
            <w:r>
              <w:rPr>
                <w:rFonts w:ascii="Arial" w:cs="Arial" w:eastAsia="Arial" w:hAnsi="Arial"/>
                <w:sz w:val="14"/>
                <w:szCs w:val="14"/>
                <w:b w:val="1"/>
                <w:bCs w:val="1"/>
                <w:color w:val="auto"/>
              </w:rPr>
              <w:t>Yet Be Purchased</w:t>
            </w:r>
          </w:p>
        </w:tc>
      </w:tr>
      <w:tr>
        <w:trPr>
          <w:trHeight w:val="144"/>
        </w:trPr>
        <w:tc>
          <w:tcPr>
            <w:tcW w:w="4280" w:type="dxa"/>
            <w:vAlign w:val="bottom"/>
          </w:tcPr>
          <w:p>
            <w:pPr>
              <w:spacing w:after="0"/>
              <w:rPr>
                <w:sz w:val="12"/>
                <w:szCs w:val="12"/>
                <w:color w:val="auto"/>
              </w:rPr>
            </w:pPr>
          </w:p>
        </w:tc>
        <w:tc>
          <w:tcPr>
            <w:tcW w:w="166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276"/>
              <w:spacing w:after="0" w:line="145" w:lineRule="exact"/>
              <w:rPr>
                <w:sz w:val="20"/>
                <w:szCs w:val="20"/>
                <w:color w:val="auto"/>
              </w:rPr>
            </w:pPr>
            <w:r>
              <w:rPr>
                <w:rFonts w:ascii="Arial" w:cs="Arial" w:eastAsia="Arial" w:hAnsi="Arial"/>
                <w:sz w:val="14"/>
                <w:szCs w:val="14"/>
                <w:b w:val="1"/>
                <w:bCs w:val="1"/>
                <w:color w:val="auto"/>
              </w:rPr>
              <w:t>Average Price</w:t>
            </w:r>
          </w:p>
        </w:tc>
        <w:tc>
          <w:tcPr>
            <w:tcW w:w="140" w:type="dxa"/>
            <w:vAlign w:val="bottom"/>
          </w:tcPr>
          <w:p>
            <w:pPr>
              <w:spacing w:after="0"/>
              <w:rPr>
                <w:sz w:val="12"/>
                <w:szCs w:val="12"/>
                <w:color w:val="auto"/>
              </w:rPr>
            </w:pPr>
          </w:p>
        </w:tc>
        <w:tc>
          <w:tcPr>
            <w:tcW w:w="1640" w:type="dxa"/>
            <w:vAlign w:val="bottom"/>
          </w:tcPr>
          <w:p>
            <w:pPr>
              <w:jc w:val="center"/>
              <w:ind w:right="45"/>
              <w:spacing w:after="0" w:line="145" w:lineRule="exact"/>
              <w:rPr>
                <w:sz w:val="20"/>
                <w:szCs w:val="20"/>
                <w:color w:val="auto"/>
              </w:rPr>
            </w:pPr>
            <w:r>
              <w:rPr>
                <w:rFonts w:ascii="Arial" w:cs="Arial" w:eastAsia="Arial" w:hAnsi="Arial"/>
                <w:sz w:val="14"/>
                <w:szCs w:val="14"/>
                <w:b w:val="1"/>
                <w:bCs w:val="1"/>
                <w:color w:val="auto"/>
              </w:rPr>
              <w:t>Announced</w:t>
            </w:r>
          </w:p>
        </w:tc>
        <w:tc>
          <w:tcPr>
            <w:tcW w:w="160" w:type="dxa"/>
            <w:vAlign w:val="bottom"/>
          </w:tcPr>
          <w:p>
            <w:pPr>
              <w:spacing w:after="0"/>
              <w:rPr>
                <w:sz w:val="12"/>
                <w:szCs w:val="12"/>
                <w:color w:val="auto"/>
              </w:rPr>
            </w:pPr>
          </w:p>
        </w:tc>
        <w:tc>
          <w:tcPr>
            <w:tcW w:w="162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Under the Plans or</w:t>
            </w:r>
          </w:p>
        </w:tc>
      </w:tr>
      <w:tr>
        <w:trPr>
          <w:trHeight w:val="189"/>
        </w:trPr>
        <w:tc>
          <w:tcPr>
            <w:tcW w:w="4280" w:type="dxa"/>
            <w:vAlign w:val="bottom"/>
          </w:tcPr>
          <w:p>
            <w:pPr>
              <w:spacing w:after="0"/>
              <w:rPr>
                <w:sz w:val="16"/>
                <w:szCs w:val="16"/>
                <w:color w:val="auto"/>
              </w:rPr>
            </w:pPr>
          </w:p>
        </w:tc>
        <w:tc>
          <w:tcPr>
            <w:tcW w:w="16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Paid per Share</w:t>
            </w:r>
          </w:p>
        </w:tc>
        <w:tc>
          <w:tcPr>
            <w:tcW w:w="140" w:type="dxa"/>
            <w:vAlign w:val="bottom"/>
          </w:tcPr>
          <w:p>
            <w:pPr>
              <w:spacing w:after="0"/>
              <w:rPr>
                <w:sz w:val="16"/>
                <w:szCs w:val="16"/>
                <w:color w:val="auto"/>
              </w:rPr>
            </w:pPr>
          </w:p>
        </w:tc>
        <w:tc>
          <w:tcPr>
            <w:tcW w:w="1640" w:type="dxa"/>
            <w:vAlign w:val="bottom"/>
            <w:tcBorders>
              <w:bottom w:val="single" w:sz="8" w:color="auto"/>
            </w:tcBorders>
          </w:tcPr>
          <w:p>
            <w:pPr>
              <w:jc w:val="center"/>
              <w:ind w:right="45"/>
              <w:spacing w:after="0" w:line="189" w:lineRule="exact"/>
              <w:rPr>
                <w:sz w:val="20"/>
                <w:szCs w:val="20"/>
                <w:color w:val="auto"/>
              </w:rPr>
            </w:pPr>
            <w:r>
              <w:rPr>
                <w:rFonts w:ascii="Arial" w:cs="Arial" w:eastAsia="Arial" w:hAnsi="Arial"/>
                <w:sz w:val="14"/>
                <w:szCs w:val="14"/>
                <w:b w:val="1"/>
                <w:bCs w:val="1"/>
                <w:color w:val="auto"/>
                <w:w w:val="98"/>
              </w:rPr>
              <w:t>Programs</w:t>
            </w:r>
            <w:r>
              <w:rPr>
                <w:rFonts w:ascii="Arial" w:cs="Arial" w:eastAsia="Arial" w:hAnsi="Arial"/>
                <w:sz w:val="19"/>
                <w:szCs w:val="19"/>
                <w:b w:val="1"/>
                <w:bCs w:val="1"/>
                <w:color w:val="auto"/>
                <w:w w:val="98"/>
                <w:vertAlign w:val="superscript"/>
              </w:rPr>
              <w:t>(1)</w:t>
            </w:r>
          </w:p>
        </w:tc>
        <w:tc>
          <w:tcPr>
            <w:tcW w:w="160" w:type="dxa"/>
            <w:vAlign w:val="bottom"/>
          </w:tcPr>
          <w:p>
            <w:pPr>
              <w:spacing w:after="0"/>
              <w:rPr>
                <w:sz w:val="16"/>
                <w:szCs w:val="16"/>
                <w:color w:val="auto"/>
              </w:rPr>
            </w:pPr>
          </w:p>
        </w:tc>
        <w:tc>
          <w:tcPr>
            <w:tcW w:w="1620" w:type="dxa"/>
            <w:vAlign w:val="bottom"/>
            <w:tcBorders>
              <w:bottom w:val="single" w:sz="8" w:color="auto"/>
            </w:tcBorders>
          </w:tcPr>
          <w:p>
            <w:pPr>
              <w:jc w:val="center"/>
              <w:ind w:right="48"/>
              <w:spacing w:after="0" w:line="189" w:lineRule="exact"/>
              <w:rPr>
                <w:sz w:val="20"/>
                <w:szCs w:val="20"/>
                <w:color w:val="auto"/>
              </w:rPr>
            </w:pPr>
            <w:r>
              <w:rPr>
                <w:rFonts w:ascii="Arial" w:cs="Arial" w:eastAsia="Arial" w:hAnsi="Arial"/>
                <w:sz w:val="14"/>
                <w:szCs w:val="14"/>
                <w:b w:val="1"/>
                <w:bCs w:val="1"/>
                <w:color w:val="auto"/>
                <w:w w:val="96"/>
              </w:rPr>
              <w:t>Programs</w:t>
            </w:r>
            <w:r>
              <w:rPr>
                <w:rFonts w:ascii="Arial" w:cs="Arial" w:eastAsia="Arial" w:hAnsi="Arial"/>
                <w:sz w:val="19"/>
                <w:szCs w:val="19"/>
                <w:b w:val="1"/>
                <w:bCs w:val="1"/>
                <w:color w:val="auto"/>
                <w:w w:val="96"/>
                <w:vertAlign w:val="superscript"/>
              </w:rPr>
              <w:t>(1)</w:t>
            </w:r>
          </w:p>
        </w:tc>
      </w:t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October 1 – October 31, 2025</w:t>
            </w:r>
          </w:p>
        </w:tc>
        <w:tc>
          <w:tcPr>
            <w:tcW w:w="166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207,881</w:t>
            </w:r>
          </w:p>
        </w:tc>
        <w:tc>
          <w:tcPr>
            <w:tcW w:w="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82.97</w:t>
            </w:r>
          </w:p>
        </w:tc>
        <w:tc>
          <w:tcPr>
            <w:tcW w:w="1780" w:type="dxa"/>
            <w:vAlign w:val="bottom"/>
            <w:gridSpan w:val="2"/>
            <w:shd w:val="clear" w:color="auto" w:fill="CFF0FC"/>
          </w:tcPr>
          <w:p>
            <w:pPr>
              <w:jc w:val="right"/>
              <w:ind w:right="25"/>
              <w:spacing w:after="0" w:line="196" w:lineRule="exact"/>
              <w:rPr>
                <w:sz w:val="20"/>
                <w:szCs w:val="20"/>
                <w:color w:val="auto"/>
              </w:rPr>
            </w:pPr>
            <w:r>
              <w:rPr>
                <w:rFonts w:ascii="Arial" w:cs="Arial" w:eastAsia="Arial" w:hAnsi="Arial"/>
                <w:sz w:val="18"/>
                <w:szCs w:val="18"/>
                <w:color w:val="auto"/>
              </w:rPr>
              <w:t>207,881</w:t>
            </w:r>
          </w:p>
        </w:tc>
        <w:tc>
          <w:tcPr>
            <w:tcW w:w="178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   1,218,918,146</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November 1 – November 30, 2025</w:t>
            </w:r>
          </w:p>
        </w:tc>
        <w:tc>
          <w:tcPr>
            <w:tcW w:w="16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162,873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82.92</w:t>
            </w:r>
          </w:p>
        </w:tc>
        <w:tc>
          <w:tcPr>
            <w:tcW w:w="1780" w:type="dxa"/>
            <w:vAlign w:val="bottom"/>
            <w:gridSpan w:val="2"/>
          </w:tcPr>
          <w:p>
            <w:pPr>
              <w:jc w:val="right"/>
              <w:ind w:right="25"/>
              <w:spacing w:after="0" w:line="202" w:lineRule="exact"/>
              <w:rPr>
                <w:sz w:val="20"/>
                <w:szCs w:val="20"/>
                <w:color w:val="auto"/>
              </w:rPr>
            </w:pPr>
            <w:r>
              <w:rPr>
                <w:rFonts w:ascii="Arial" w:cs="Arial" w:eastAsia="Arial" w:hAnsi="Arial"/>
                <w:sz w:val="18"/>
                <w:szCs w:val="18"/>
                <w:color w:val="auto"/>
              </w:rPr>
              <w:t>162,873</w:t>
            </w:r>
          </w:p>
        </w:tc>
        <w:tc>
          <w:tcPr>
            <w:tcW w:w="17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1,205,413,180</w:t>
            </w:r>
          </w:p>
        </w:tc>
      </w:tr>
      <w:tr>
        <w:trPr>
          <w:trHeight w:val="203"/>
        </w:trPr>
        <w:tc>
          <w:tcPr>
            <w:tcW w:w="4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December 1 – December 31, 2025</w:t>
            </w:r>
          </w:p>
        </w:tc>
        <w:tc>
          <w:tcPr>
            <w:tcW w:w="166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143,818</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rPr>
              <w:t>96.08</w:t>
            </w:r>
          </w:p>
        </w:tc>
        <w:tc>
          <w:tcPr>
            <w:tcW w:w="14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25"/>
              <w:spacing w:after="0" w:line="202" w:lineRule="exact"/>
              <w:rPr>
                <w:sz w:val="20"/>
                <w:szCs w:val="20"/>
                <w:color w:val="auto"/>
              </w:rPr>
            </w:pPr>
            <w:r>
              <w:rPr>
                <w:rFonts w:ascii="Arial" w:cs="Arial" w:eastAsia="Arial" w:hAnsi="Arial"/>
                <w:sz w:val="18"/>
                <w:szCs w:val="18"/>
                <w:color w:val="auto"/>
              </w:rPr>
              <w:t>143,818</w:t>
            </w:r>
          </w:p>
        </w:tc>
        <w:tc>
          <w:tcPr>
            <w:tcW w:w="1780" w:type="dxa"/>
            <w:vAlign w:val="bottom"/>
            <w:tcBorders>
              <w:bottom w:val="single" w:sz="8" w:color="CFF0FC"/>
            </w:tcBorders>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1,191,595,143</w:t>
            </w:r>
          </w:p>
        </w:tc>
      </w:tr>
      <w:tr>
        <w:trPr>
          <w:trHeight w:val="196"/>
        </w:trPr>
        <w:tc>
          <w:tcPr>
            <w:tcW w:w="4280" w:type="dxa"/>
            <w:vAlign w:val="bottom"/>
          </w:tcPr>
          <w:p>
            <w:pPr>
              <w:ind w:left="120"/>
              <w:spacing w:after="0" w:line="182" w:lineRule="exact"/>
              <w:rPr>
                <w:sz w:val="20"/>
                <w:szCs w:val="20"/>
                <w:color w:val="auto"/>
              </w:rPr>
            </w:pPr>
            <w:r>
              <w:rPr>
                <w:rFonts w:ascii="Arial" w:cs="Arial" w:eastAsia="Arial" w:hAnsi="Arial"/>
                <w:sz w:val="18"/>
                <w:szCs w:val="18"/>
                <w:color w:val="auto"/>
              </w:rPr>
              <w:t>Total</w:t>
            </w:r>
          </w:p>
        </w:tc>
        <w:tc>
          <w:tcPr>
            <w:tcW w:w="1660" w:type="dxa"/>
            <w:vAlign w:val="bottom"/>
          </w:tcPr>
          <w:p>
            <w:pPr>
              <w:jc w:val="right"/>
              <w:ind w:right="38"/>
              <w:spacing w:after="0" w:line="182" w:lineRule="exact"/>
              <w:rPr>
                <w:sz w:val="20"/>
                <w:szCs w:val="20"/>
                <w:color w:val="auto"/>
              </w:rPr>
            </w:pPr>
            <w:r>
              <w:rPr>
                <w:rFonts w:ascii="Arial" w:cs="Arial" w:eastAsia="Arial" w:hAnsi="Arial"/>
                <w:sz w:val="18"/>
                <w:szCs w:val="18"/>
                <w:color w:val="auto"/>
              </w:rPr>
              <w:t>514,572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6"/>
              <w:spacing w:after="0" w:line="182" w:lineRule="exact"/>
              <w:rPr>
                <w:sz w:val="20"/>
                <w:szCs w:val="20"/>
                <w:color w:val="auto"/>
              </w:rPr>
            </w:pPr>
            <w:r>
              <w:rPr>
                <w:rFonts w:ascii="Arial" w:cs="Arial" w:eastAsia="Arial" w:hAnsi="Arial"/>
                <w:sz w:val="18"/>
                <w:szCs w:val="18"/>
                <w:color w:val="auto"/>
              </w:rPr>
              <w:t>86.62</w:t>
            </w:r>
          </w:p>
        </w:tc>
        <w:tc>
          <w:tcPr>
            <w:tcW w:w="1780" w:type="dxa"/>
            <w:vAlign w:val="bottom"/>
            <w:gridSpan w:val="2"/>
          </w:tcPr>
          <w:p>
            <w:pPr>
              <w:jc w:val="right"/>
              <w:ind w:right="25"/>
              <w:spacing w:after="0" w:line="182" w:lineRule="exact"/>
              <w:rPr>
                <w:sz w:val="20"/>
                <w:szCs w:val="20"/>
                <w:color w:val="auto"/>
              </w:rPr>
            </w:pPr>
            <w:r>
              <w:rPr>
                <w:rFonts w:ascii="Arial" w:cs="Arial" w:eastAsia="Arial" w:hAnsi="Arial"/>
                <w:sz w:val="18"/>
                <w:szCs w:val="18"/>
                <w:color w:val="auto"/>
              </w:rPr>
              <w:t>514,572</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-161925</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-161925</wp:posOffset>
            </wp:positionV>
            <wp:extent cx="102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3"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24"/>
          <w:szCs w:val="24"/>
          <w:color w:val="auto"/>
          <w:vertAlign w:val="superscript"/>
        </w:rPr>
      </w:pPr>
      <w:r>
        <w:rPr>
          <w:rFonts w:ascii="Arial" w:cs="Arial" w:eastAsia="Arial" w:hAnsi="Arial"/>
          <w:sz w:val="18"/>
          <w:szCs w:val="18"/>
          <w:color w:val="auto"/>
        </w:rPr>
        <w:t>These values reflect repurchases made under the Repurchase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Under Equity Compensation Plans</w:t>
      </w:r>
    </w:p>
    <w:p>
      <w:pPr>
        <w:spacing w:after="0" w:line="158" w:lineRule="exact"/>
        <w:rPr>
          <w:sz w:val="20"/>
          <w:szCs w:val="20"/>
          <w:color w:val="auto"/>
        </w:rPr>
      </w:pPr>
    </w:p>
    <w:p>
      <w:pPr>
        <w:ind w:right="440" w:firstLine="494"/>
        <w:spacing w:after="0" w:line="271" w:lineRule="auto"/>
        <w:rPr>
          <w:sz w:val="20"/>
          <w:szCs w:val="20"/>
          <w:color w:val="auto"/>
        </w:rPr>
      </w:pPr>
      <w:r>
        <w:rPr>
          <w:rFonts w:ascii="Arial" w:cs="Arial" w:eastAsia="Arial" w:hAnsi="Arial"/>
          <w:sz w:val="18"/>
          <w:szCs w:val="18"/>
          <w:color w:val="auto"/>
        </w:rPr>
        <w:t>For information regarding the securities authorized for issuance under our equity compensation plans, see Part III, Item 12. of this Annual Report on Form 10-K.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58"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20" w:lineRule="exact"/>
        <w:rPr>
          <w:sz w:val="20"/>
          <w:szCs w:val="20"/>
          <w:color w:val="auto"/>
        </w:rPr>
      </w:pPr>
    </w:p>
    <w:p>
      <w:pPr>
        <w:ind w:right="340" w:firstLine="494"/>
        <w:spacing w:after="0" w:line="247" w:lineRule="auto"/>
        <w:rPr>
          <w:sz w:val="20"/>
          <w:szCs w:val="20"/>
          <w:color w:val="auto"/>
        </w:rPr>
      </w:pPr>
      <w:r>
        <w:rPr>
          <w:rFonts w:ascii="Arial" w:cs="Arial" w:eastAsia="Arial" w:hAnsi="Arial"/>
          <w:sz w:val="18"/>
          <w:szCs w:val="18"/>
          <w:color w:val="auto"/>
        </w:rPr>
        <w:t>Set forth below is a graph comparing the total cumulative returns of ALSN, the S&amp;P 500 Index and an index of peer companies selected by us. Our peer group includes Donaldson Company, Inc., Graco Inc., Roper Technologies, Inc., Gentex Corporation, Rockwell Automation, Inc. and Sensata Technologies Holding PLC. The graph assumes $100 was invested on December 31, 2020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88265</wp:posOffset>
            </wp:positionV>
            <wp:extent cx="5863590" cy="3351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359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As of</w:t>
            </w:r>
          </w:p>
        </w:tc>
      </w:tr>
      <w:tr>
        <w:trPr>
          <w:trHeight w:val="162"/>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17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2025</w:t>
            </w:r>
          </w:p>
        </w:tc>
      </w:tr>
      <w:tr>
        <w:trPr>
          <w:trHeight w:val="177"/>
        </w:trPr>
        <w:tc>
          <w:tcPr>
            <w:tcW w:w="268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Allison Transmission</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221"/>
        </w:trPr>
        <w:tc>
          <w:tcPr>
            <w:tcW w:w="2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Holdings, Inc.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85.92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100.39</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142.82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268.48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8"/>
                <w:szCs w:val="18"/>
                <w:b w:val="1"/>
                <w:bCs w:val="1"/>
                <w:color w:val="auto"/>
              </w:rPr>
              <w:t>246.04</w:t>
            </w:r>
          </w:p>
        </w:tc>
      </w:tr>
      <w:tr>
        <w:trPr>
          <w:trHeight w:val="203"/>
        </w:trPr>
        <w:tc>
          <w:tcPr>
            <w:tcW w:w="2680" w:type="dxa"/>
            <w:vAlign w:val="bottom"/>
          </w:tcPr>
          <w:p>
            <w:pPr>
              <w:spacing w:after="0" w:line="202" w:lineRule="exact"/>
              <w:rPr>
                <w:sz w:val="20"/>
                <w:szCs w:val="20"/>
                <w:color w:val="auto"/>
              </w:rPr>
            </w:pPr>
            <w:r>
              <w:rPr>
                <w:rFonts w:ascii="Arial" w:cs="Arial" w:eastAsia="Arial" w:hAnsi="Arial"/>
                <w:sz w:val="18"/>
                <w:szCs w:val="18"/>
                <w:color w:val="auto"/>
              </w:rPr>
              <w:t>S&amp;P 500 Index</w:t>
            </w:r>
          </w:p>
        </w:tc>
        <w:tc>
          <w:tcPr>
            <w:tcW w:w="120" w:type="dxa"/>
            <w:vAlign w:val="bottom"/>
          </w:tcPr>
          <w:p>
            <w:pPr>
              <w:spacing w:after="0"/>
              <w:rPr>
                <w:sz w:val="17"/>
                <w:szCs w:val="17"/>
                <w:color w:val="auto"/>
              </w:rPr>
            </w:pPr>
          </w:p>
        </w:tc>
        <w:tc>
          <w:tcPr>
            <w:tcW w:w="1240" w:type="dxa"/>
            <w:vAlign w:val="bottom"/>
          </w:tcPr>
          <w:p>
            <w:pPr>
              <w:jc w:val="right"/>
              <w:ind w:right="59"/>
              <w:spacing w:after="0" w:line="202" w:lineRule="exact"/>
              <w:rPr>
                <w:sz w:val="20"/>
                <w:szCs w:val="20"/>
                <w:color w:val="auto"/>
              </w:rPr>
            </w:pPr>
            <w:r>
              <w:rPr>
                <w:rFonts w:ascii="Arial" w:cs="Arial" w:eastAsia="Arial" w:hAnsi="Arial"/>
                <w:sz w:val="18"/>
                <w:szCs w:val="18"/>
                <w:color w:val="auto"/>
              </w:rPr>
              <w:t>100.00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128.71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105.40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133.10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166.40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b w:val="1"/>
                <w:bCs w:val="1"/>
                <w:color w:val="auto"/>
              </w:rPr>
              <w:t>196.16</w:t>
            </w:r>
          </w:p>
        </w:tc>
      </w:tr>
      <w:tr>
        <w:trPr>
          <w:trHeight w:val="203"/>
        </w:trPr>
        <w:tc>
          <w:tcPr>
            <w:tcW w:w="2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Peer Group</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120.37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99.13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121.93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115.48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9"/>
              <w:spacing w:after="0" w:line="202" w:lineRule="exact"/>
              <w:rPr>
                <w:sz w:val="20"/>
                <w:szCs w:val="20"/>
                <w:color w:val="auto"/>
              </w:rPr>
            </w:pPr>
            <w:r>
              <w:rPr>
                <w:rFonts w:ascii="Arial" w:cs="Arial" w:eastAsia="Arial" w:hAnsi="Arial"/>
                <w:sz w:val="18"/>
                <w:szCs w:val="18"/>
                <w:b w:val="1"/>
                <w:bCs w:val="1"/>
                <w:color w:val="auto"/>
              </w:rPr>
              <w:t>121.86</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0"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i w:val="1"/>
          <w:iCs w:val="1"/>
          <w:color w:val="auto"/>
        </w:rPr>
        <w:t>The following discussion contains forward-looking statements regarding industry trends, our expectations regarding our future performance, liquidity and capital resources and other non-historical statements that involve risks and uncertainties. Our actual results may differ materially from those discussed in or implied by the forward-looking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w:t>
      </w:r>
    </w:p>
    <w:p>
      <w:pPr>
        <w:spacing w:after="0" w:line="128" w:lineRule="exact"/>
        <w:rPr>
          <w:sz w:val="20"/>
          <w:szCs w:val="20"/>
          <w:color w:val="auto"/>
        </w:rPr>
      </w:pPr>
    </w:p>
    <w:p>
      <w:pPr>
        <w:ind w:right="180" w:firstLine="494"/>
        <w:spacing w:after="0" w:line="247" w:lineRule="auto"/>
        <w:rPr>
          <w:sz w:val="20"/>
          <w:szCs w:val="20"/>
          <w:color w:val="auto"/>
        </w:rPr>
      </w:pPr>
      <w:r>
        <w:rPr>
          <w:rFonts w:ascii="Arial" w:cs="Arial" w:eastAsia="Arial" w:hAnsi="Arial"/>
          <w:sz w:val="18"/>
          <w:szCs w:val="18"/>
          <w:color w:val="auto"/>
        </w:rPr>
        <w:t>This section of this Annual Report on Form 10-K generally discusses 2025 and 2024 items and year-over-year comparisons between 2025 and 2024. A detailed discussion of 2023 items and year-over-year comparisons between 2024 and 2023 that are not included in this Annual Report on Form 10-K can be found in “Management’s Discussion and Analysis of Financial Condition and Results of Operations” in Part II, Item 7. of our Annual Report on Form 10-K for the year ended December 31, 2024, as filed with the SEC on February 13, 2025.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We are a global leader in high-performance mobility and work solutions built for the needs of the modern industrial world. The business was founded in 1915 and has been headquartered in Indianapolis, Indiana since inception. Allison is traded on the New York Stock Exchange under the symbol, “ALSN”.</w:t>
      </w:r>
    </w:p>
    <w:p>
      <w:pPr>
        <w:spacing w:after="0" w:line="115" w:lineRule="exact"/>
        <w:rPr>
          <w:sz w:val="20"/>
          <w:szCs w:val="20"/>
          <w:color w:val="auto"/>
        </w:rPr>
      </w:pPr>
    </w:p>
    <w:p>
      <w:pPr>
        <w:ind w:right="100" w:firstLine="494"/>
        <w:spacing w:after="0" w:line="253" w:lineRule="auto"/>
        <w:rPr>
          <w:sz w:val="20"/>
          <w:szCs w:val="20"/>
          <w:color w:val="auto"/>
        </w:rPr>
      </w:pPr>
      <w:r>
        <w:rPr>
          <w:rFonts w:ascii="Arial" w:cs="Arial" w:eastAsia="Arial" w:hAnsi="Arial"/>
          <w:sz w:val="18"/>
          <w:szCs w:val="18"/>
          <w:color w:val="auto"/>
        </w:rPr>
        <w:t>We have a global presence by serving customers in North America, Asia, Europe, South America, and Africa, with approximately 76% of our revenues being generated in North America in 2025. We serve customers through an independent network of approximately 1,500 independent distributor and dealer locations worldwide as of December 31, 2025.</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4"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On June 11, 2025, we entered into a Stock Purchase Agreement (the “Purchase Agreement”) with Dana to acquire the Acquired Off-Highway Business (the "Acquisition"). Also on June 11, 2025, in connection with the entry into the Purchase Agreement, we entered into a commitment letter (the “Commitment Letter”) with a group of lenders (the "Lenders"), pursuant to which the Lenders committed to provide a 364-day senior unsecured bridge term loan facility (the “Bridge Facility”), in an aggregate principal amount of up to $2,000 million. As of December 31, 2025, the Bridge Facility aggregate commitment principal amount had been reduced to $500 million as a result of the issuance of $500 million aggregate principal amount of our 5.875% Senior Notes due December 2033 (“5.875% Senior Notes 2033”) and our election to voluntarily reduce the aggregate commitments under the facility.</w:t>
      </w:r>
    </w:p>
    <w:p>
      <w:pPr>
        <w:spacing w:after="0" w:line="77"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On January 1, 2026, the Acquisition was completed for a purchase price of approximately $2,732 million, subject to certain adjustments, using a combination of cash on hand, the $500 million of proceeds from the issuance of the 5.875% Senior Notes 2033, $1,200 million of proceeds from the Incremental Term Loan, and $300 million borrowed under the Revolving Credit Facility. No amount was drawn from the Bridge Facility, and it was terminated upon the completion of the Acquisition.</w:t>
      </w:r>
    </w:p>
    <w:p>
      <w:pPr>
        <w:spacing w:after="0" w:line="66" w:lineRule="exact"/>
        <w:rPr>
          <w:sz w:val="20"/>
          <w:szCs w:val="20"/>
          <w:color w:val="auto"/>
        </w:rPr>
      </w:pPr>
    </w:p>
    <w:p>
      <w:pPr>
        <w:ind w:right="140" w:firstLine="494"/>
        <w:spacing w:after="0" w:line="247" w:lineRule="auto"/>
        <w:rPr>
          <w:sz w:val="20"/>
          <w:szCs w:val="20"/>
          <w:color w:val="auto"/>
        </w:rPr>
      </w:pPr>
      <w:r>
        <w:rPr>
          <w:rFonts w:ascii="Arial" w:cs="Arial" w:eastAsia="Arial" w:hAnsi="Arial"/>
          <w:sz w:val="18"/>
          <w:szCs w:val="18"/>
          <w:color w:val="auto"/>
        </w:rPr>
        <w:t>As a result of the Acquisition, we now offer an expanded portfolio of drivetrain, motion and propulsion solutions, providing complementary product breadth and an enhanced ability to support customers across multiple end markets. The Acquired Off-Highway Business has historically served end markets with demand characteristics that differ from our traditional on-highway markets, contributing to a more diversified portfolio.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Following the Acquisition, we continue to operate under the Allison name, but our operations are now comprised of two business units: Allison Transmission and Allison Off-Highway Drive &amp; Motion Systems. Business unit leadership is located globally, reflecting the international nature of our operations and the importance of local market insights, sourcing, production and customer support.</w:t>
      </w:r>
    </w:p>
    <w:p>
      <w:pPr>
        <w:spacing w:after="0" w:line="61"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Allison Transmission offers more than 200 different models compatible with more than 500 combinations of engine brands, models and ratings, including diesel, gasoline, natural gas and other alternative fuels. In addition, Allison Transmission has developed thousands of proprietary calibrations available for use with our electronic control modules, enabling tailored performance across a broad range of customer applications.</w:t>
      </w:r>
    </w:p>
    <w:p>
      <w:pPr>
        <w:spacing w:after="0" w:line="66" w:lineRule="exact"/>
        <w:rPr>
          <w:sz w:val="20"/>
          <w:szCs w:val="20"/>
          <w:color w:val="auto"/>
        </w:rPr>
      </w:pPr>
    </w:p>
    <w:p>
      <w:pPr>
        <w:ind w:right="100" w:firstLine="494"/>
        <w:spacing w:after="0"/>
        <w:rPr>
          <w:sz w:val="20"/>
          <w:szCs w:val="20"/>
          <w:color w:val="auto"/>
        </w:rPr>
      </w:pPr>
      <w:r>
        <w:rPr>
          <w:rFonts w:ascii="Arial" w:cs="Arial" w:eastAsia="Arial" w:hAnsi="Arial"/>
          <w:sz w:val="18"/>
          <w:szCs w:val="18"/>
          <w:color w:val="auto"/>
        </w:rPr>
        <w:t>Allison Off-Highway Drive &amp; Motion Systems provides drivetrain and motion solutions for a wide range of mobile and stationary off-highway equipment. These solutions include optimized drivetrain systems, propulsion components and motion technologies designed for industries such as construction, agriculture, mining, material handling and other industrial applications. The portfolio encompasses systems that manage power conveyance to machines and power work functions, including axles, gearboxes, transmissions and related components, as well as motion systems tailored to customer performance and efficiency requirements across both conventional and electrified powertrains. The global engineering, manufacturing and service footprint of the Acquired Off-Highway Business supports localized responsiveness and technical support for customers in key off-highway end markets.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04" w:lineRule="exact"/>
        <w:rPr>
          <w:sz w:val="20"/>
          <w:szCs w:val="20"/>
          <w:color w:val="auto"/>
        </w:rPr>
      </w:pPr>
    </w:p>
    <w:p>
      <w:pPr>
        <w:ind w:right="420" w:firstLine="494"/>
        <w:spacing w:after="0" w:line="271" w:lineRule="auto"/>
        <w:rPr>
          <w:sz w:val="20"/>
          <w:szCs w:val="20"/>
          <w:color w:val="auto"/>
        </w:rPr>
      </w:pPr>
      <w:r>
        <w:rPr>
          <w:rFonts w:ascii="Arial" w:cs="Arial" w:eastAsia="Arial" w:hAnsi="Arial"/>
          <w:sz w:val="18"/>
          <w:szCs w:val="18"/>
          <w:color w:val="auto"/>
        </w:rPr>
        <w:t>In 2026, we expect to have higher net sales driven by our North America On-Highway and Defense end markets and net sales for Allison Off-Highway Drive &amp; Motion Systems driven by our Construction &amp; Material Handling end market.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Full Year 2025 and 2024 Net Sales by End Market (dollars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End Market</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Net Sales</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Variance</w:t>
            </w:r>
          </w:p>
        </w:tc>
      </w:tr>
      <w:tr>
        <w:trPr>
          <w:trHeight w:val="196"/>
        </w:trPr>
        <w:tc>
          <w:tcPr>
            <w:tcW w:w="6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North America On-Highway</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1,540</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1,752</w:t>
            </w:r>
          </w:p>
        </w:tc>
        <w:tc>
          <w:tcPr>
            <w:tcW w:w="1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Outside North America On-Highway</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507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493</w:t>
            </w:r>
          </w:p>
        </w:tc>
        <w:tc>
          <w:tcPr>
            <w:tcW w:w="17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3%</w:t>
            </w:r>
          </w:p>
        </w:tc>
      </w:tr>
      <w:tr>
        <w:trPr>
          <w:trHeight w:val="203"/>
        </w:trPr>
        <w:tc>
          <w:tcPr>
            <w:tcW w:w="6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Global Off-Highway</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53</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105</w:t>
            </w:r>
          </w:p>
        </w:tc>
        <w:tc>
          <w:tcPr>
            <w:tcW w:w="1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Defense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267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212</w:t>
            </w:r>
          </w:p>
        </w:tc>
        <w:tc>
          <w:tcPr>
            <w:tcW w:w="17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26%</w:t>
            </w:r>
          </w:p>
        </w:tc>
      </w:tr>
      <w:tr>
        <w:trPr>
          <w:trHeight w:val="203"/>
        </w:trPr>
        <w:tc>
          <w:tcPr>
            <w:tcW w:w="6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Service Parts, Support Equipment and Other</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643</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663</w:t>
            </w:r>
          </w:p>
        </w:tc>
        <w:tc>
          <w:tcPr>
            <w:tcW w:w="170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196"/>
        </w:trPr>
        <w:tc>
          <w:tcPr>
            <w:tcW w:w="6380" w:type="dxa"/>
            <w:vAlign w:val="bottom"/>
          </w:tcPr>
          <w:p>
            <w:pPr>
              <w:spacing w:after="0" w:line="182" w:lineRule="exact"/>
              <w:rPr>
                <w:sz w:val="20"/>
                <w:szCs w:val="20"/>
                <w:color w:val="auto"/>
              </w:rPr>
            </w:pPr>
            <w:r>
              <w:rPr>
                <w:rFonts w:ascii="Arial" w:cs="Arial" w:eastAsia="Arial" w:hAnsi="Arial"/>
                <w:sz w:val="18"/>
                <w:szCs w:val="18"/>
                <w:color w:val="auto"/>
              </w:rPr>
              <w:t>Total Net Sales</w:t>
            </w:r>
          </w:p>
        </w:tc>
        <w:tc>
          <w:tcPr>
            <w:tcW w:w="360" w:type="dxa"/>
            <w:vAlign w:val="bottom"/>
            <w:gridSpan w:val="2"/>
          </w:tcPr>
          <w:p>
            <w:pPr>
              <w:jc w:val="right"/>
              <w:ind w:right="120"/>
              <w:spacing w:after="0" w:line="182"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5"/>
              <w:spacing w:after="0" w:line="182" w:lineRule="exact"/>
              <w:rPr>
                <w:sz w:val="20"/>
                <w:szCs w:val="20"/>
                <w:color w:val="auto"/>
              </w:rPr>
            </w:pPr>
            <w:r>
              <w:rPr>
                <w:rFonts w:ascii="Arial" w:cs="Arial" w:eastAsia="Arial" w:hAnsi="Arial"/>
                <w:sz w:val="18"/>
                <w:szCs w:val="18"/>
                <w:b w:val="1"/>
                <w:bCs w:val="1"/>
                <w:color w:val="auto"/>
              </w:rPr>
              <w:t>3,010</w:t>
            </w:r>
          </w:p>
        </w:tc>
        <w:tc>
          <w:tcPr>
            <w:tcW w:w="3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5"/>
              <w:spacing w:after="0" w:line="182" w:lineRule="exact"/>
              <w:rPr>
                <w:sz w:val="20"/>
                <w:szCs w:val="20"/>
                <w:color w:val="auto"/>
              </w:rPr>
            </w:pPr>
            <w:r>
              <w:rPr>
                <w:rFonts w:ascii="Arial" w:cs="Arial" w:eastAsia="Arial" w:hAnsi="Arial"/>
                <w:sz w:val="18"/>
                <w:szCs w:val="18"/>
                <w:color w:val="auto"/>
              </w:rPr>
              <w:t>3,225</w:t>
            </w:r>
          </w:p>
        </w:tc>
        <w:tc>
          <w:tcPr>
            <w:tcW w:w="17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-162560</wp:posOffset>
            </wp:positionV>
            <wp:extent cx="946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right="60" w:firstLine="494"/>
        <w:spacing w:after="0" w:line="253" w:lineRule="auto"/>
        <w:rPr>
          <w:sz w:val="20"/>
          <w:szCs w:val="20"/>
          <w:color w:val="auto"/>
        </w:rPr>
      </w:pPr>
      <w:r>
        <w:rPr>
          <w:rFonts w:ascii="Arial" w:cs="Arial" w:eastAsia="Arial" w:hAnsi="Arial"/>
          <w:sz w:val="18"/>
          <w:szCs w:val="18"/>
          <w:color w:val="auto"/>
        </w:rPr>
        <w:t>North America On-Highway end market net sales were down 12% for the year ended December 31, 2025 compared to the year ended December 31, 2024, principally driven by lower demand for medium-duty and class 8 vocational trucks, partially offset by price increases on certain products and market share gains for hybrid propulsion systems for transit buses.</w:t>
      </w:r>
    </w:p>
    <w:p>
      <w:pPr>
        <w:spacing w:after="0" w:line="115" w:lineRule="exact"/>
        <w:rPr>
          <w:sz w:val="20"/>
          <w:szCs w:val="20"/>
          <w:color w:val="auto"/>
        </w:rPr>
      </w:pPr>
    </w:p>
    <w:p>
      <w:pPr>
        <w:ind w:right="260" w:firstLine="494"/>
        <w:spacing w:after="0" w:line="253" w:lineRule="auto"/>
        <w:rPr>
          <w:sz w:val="20"/>
          <w:szCs w:val="20"/>
          <w:color w:val="auto"/>
        </w:rPr>
      </w:pPr>
      <w:r>
        <w:rPr>
          <w:rFonts w:ascii="Arial" w:cs="Arial" w:eastAsia="Arial" w:hAnsi="Arial"/>
          <w:sz w:val="18"/>
          <w:szCs w:val="18"/>
          <w:color w:val="auto"/>
        </w:rPr>
        <w:t>Outside North America On-Highway end market net sales were up 3% for the year ended December 31, 2025 compared to the year ended December 31, 2024, principally driven by higher demand in Europe and South America and price increases on certain products, partially offset by lower demand in Asia.</w:t>
      </w:r>
    </w:p>
    <w:p>
      <w:pPr>
        <w:spacing w:after="0" w:line="115"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Global Off-Highway net sales were down 50% for the year ended December 31, 2025 compared to the year ended December 31, 2024, principally driven by lower demand from the energy, mining and construction sectors outside of North America.</w:t>
      </w:r>
    </w:p>
    <w:p>
      <w:pPr>
        <w:spacing w:after="0" w:line="100" w:lineRule="exact"/>
        <w:rPr>
          <w:sz w:val="20"/>
          <w:szCs w:val="20"/>
          <w:color w:val="auto"/>
        </w:rPr>
      </w:pPr>
    </w:p>
    <w:p>
      <w:pPr>
        <w:jc w:val="both"/>
        <w:ind w:right="120" w:firstLine="494"/>
        <w:spacing w:after="0" w:line="253" w:lineRule="auto"/>
        <w:rPr>
          <w:sz w:val="20"/>
          <w:szCs w:val="20"/>
          <w:color w:val="auto"/>
        </w:rPr>
      </w:pPr>
      <w:r>
        <w:rPr>
          <w:rFonts w:ascii="Arial" w:cs="Arial" w:eastAsia="Arial" w:hAnsi="Arial"/>
          <w:sz w:val="18"/>
          <w:szCs w:val="18"/>
          <w:color w:val="auto"/>
        </w:rPr>
        <w:t>Defense end market net sales were up 26% for the year ended December 31, 2025 compared to the year ended December 31, 2024, principally driven by increased demand for Tracked vehicle applications, price increases on certain products and the continued execution of our growth initiatives.</w:t>
      </w:r>
    </w:p>
    <w:p>
      <w:pPr>
        <w:spacing w:after="0" w:line="115"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Service Parts, Support Equipment and Other end market net sales were down 3% for the year ended December 31, 2025 compared to the year ended December 31, 2024, principally driven by lower demand for aluminum die cast components and support equipment, partially offset by higher demand for service parts and price increases on certain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56" w:lineRule="exact"/>
        <w:rPr>
          <w:sz w:val="20"/>
          <w:szCs w:val="20"/>
          <w:color w:val="auto"/>
        </w:rPr>
      </w:pPr>
    </w:p>
    <w:p>
      <w:pPr>
        <w:ind w:right="80" w:firstLine="494"/>
        <w:spacing w:after="0" w:line="261" w:lineRule="auto"/>
        <w:rPr>
          <w:sz w:val="20"/>
          <w:szCs w:val="20"/>
          <w:color w:val="auto"/>
        </w:rPr>
      </w:pPr>
      <w:r>
        <w:rPr>
          <w:rFonts w:ascii="Arial" w:cs="Arial" w:eastAsia="Arial" w:hAnsi="Arial"/>
          <w:sz w:val="17"/>
          <w:szCs w:val="17"/>
          <w:color w:val="auto"/>
        </w:rPr>
        <w:t>We generate our net sales primarily from the sale of vehicle propulsion solutions, service and component parts, support equipment, defense kits, engineering services, royalties and extended transmission coverage to a wide array of OEMs,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w:t>
      </w:r>
    </w:p>
    <w:p>
      <w:pPr>
        <w:spacing w:after="0" w:line="156"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year ended December 31, 2025, direct material costs were approximately 66%, overhead costs were approximately 26% and direct labor costs were approximately 8% of total cost of sales. We are subject to changes in our cost of sales caused by movements in underlying commodity prices. We seek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hedge against this risk by using LTAs. See Part II, Item 7A., “Quantitative and Qualitative Disclosures about Market Risk—Commodity Price Risk” included in this Annual Report on Form 10-K.</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6" w:lineRule="exact"/>
        <w:rPr>
          <w:sz w:val="20"/>
          <w:szCs w:val="20"/>
          <w:color w:val="auto"/>
        </w:rPr>
      </w:pPr>
    </w:p>
    <w:p>
      <w:pPr>
        <w:ind w:right="580" w:firstLine="494"/>
        <w:spacing w:after="0" w:line="253"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56"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56"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Credit Agreement, governing ATI's Senior Secured Credit Facility. Adjusted EBITDA as a percent of net sales is calculated as Adjusted EBITDA divided by net sales.</w:t>
      </w:r>
    </w:p>
    <w:p>
      <w:pPr>
        <w:spacing w:after="0" w:line="129"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3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8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64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(GAAP)</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ind w:right="112"/>
              <w:spacing w:after="0" w:line="196" w:lineRule="exact"/>
              <w:rPr>
                <w:sz w:val="20"/>
                <w:szCs w:val="20"/>
                <w:color w:val="auto"/>
              </w:rPr>
            </w:pPr>
            <w:r>
              <w:rPr>
                <w:rFonts w:ascii="Arial" w:cs="Arial" w:eastAsia="Arial" w:hAnsi="Arial"/>
                <w:sz w:val="18"/>
                <w:szCs w:val="18"/>
                <w:b w:val="1"/>
                <w:bCs w:val="1"/>
                <w:color w:val="auto"/>
              </w:rPr>
              <w:t>623</w:t>
            </w:r>
          </w:p>
        </w:tc>
        <w:tc>
          <w:tcPr>
            <w:tcW w:w="44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91"/>
              <w:spacing w:after="0" w:line="196" w:lineRule="exact"/>
              <w:rPr>
                <w:sz w:val="20"/>
                <w:szCs w:val="20"/>
                <w:color w:val="auto"/>
              </w:rPr>
            </w:pPr>
            <w:r>
              <w:rPr>
                <w:rFonts w:ascii="Arial" w:cs="Arial" w:eastAsia="Arial" w:hAnsi="Arial"/>
                <w:sz w:val="18"/>
                <w:szCs w:val="18"/>
                <w:color w:val="auto"/>
              </w:rPr>
              <w:t>731</w:t>
            </w:r>
          </w:p>
        </w:tc>
        <w:tc>
          <w:tcPr>
            <w:tcW w:w="5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91"/>
              <w:spacing w:after="0" w:line="196"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plus: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2"/>
              <w:spacing w:after="0" w:line="202" w:lineRule="exact"/>
              <w:rPr>
                <w:sz w:val="20"/>
                <w:szCs w:val="20"/>
                <w:color w:val="auto"/>
              </w:rPr>
            </w:pPr>
            <w:r>
              <w:rPr>
                <w:rFonts w:ascii="Arial" w:cs="Arial" w:eastAsia="Arial" w:hAnsi="Arial"/>
                <w:sz w:val="18"/>
                <w:szCs w:val="18"/>
                <w:b w:val="1"/>
                <w:bCs w:val="1"/>
                <w:color w:val="auto"/>
              </w:rPr>
              <w:t>181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166</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300" w:type="dxa"/>
            <w:vAlign w:val="bottom"/>
          </w:tcPr>
          <w:p>
            <w:pPr>
              <w:spacing w:after="0"/>
              <w:rPr>
                <w:sz w:val="17"/>
                <w:szCs w:val="17"/>
                <w:color w:val="auto"/>
              </w:rPr>
            </w:pP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117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111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2"/>
              <w:spacing w:after="0" w:line="202" w:lineRule="exact"/>
              <w:rPr>
                <w:sz w:val="20"/>
                <w:szCs w:val="20"/>
                <w:color w:val="auto"/>
              </w:rPr>
            </w:pPr>
            <w:r>
              <w:rPr>
                <w:rFonts w:ascii="Arial" w:cs="Arial" w:eastAsia="Arial" w:hAnsi="Arial"/>
                <w:sz w:val="18"/>
                <w:szCs w:val="18"/>
                <w:b w:val="1"/>
                <w:bCs w:val="1"/>
                <w:color w:val="auto"/>
              </w:rPr>
              <w:t>92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7"/>
                <w:szCs w:val="17"/>
                <w:color w:val="auto"/>
              </w:rPr>
            </w:pP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Acquisition-related expenses (a)</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2"/>
              <w:spacing w:after="0" w:line="202" w:lineRule="exact"/>
              <w:rPr>
                <w:sz w:val="20"/>
                <w:szCs w:val="20"/>
                <w:color w:val="auto"/>
              </w:rPr>
            </w:pPr>
            <w:r>
              <w:rPr>
                <w:rFonts w:ascii="Arial" w:cs="Arial" w:eastAsia="Arial" w:hAnsi="Arial"/>
                <w:sz w:val="18"/>
                <w:szCs w:val="18"/>
                <w:b w:val="1"/>
                <w:bCs w:val="1"/>
                <w:color w:val="auto"/>
              </w:rPr>
              <w:t>64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line="202" w:lineRule="exact"/>
              <w:rPr>
                <w:sz w:val="20"/>
                <w:szCs w:val="20"/>
                <w:color w:val="auto"/>
              </w:rPr>
            </w:pPr>
            <w:r>
              <w:rPr>
                <w:rFonts w:ascii="Arial" w:cs="Arial" w:eastAsia="Arial" w:hAnsi="Arial"/>
                <w:sz w:val="18"/>
                <w:szCs w:val="18"/>
                <w:color w:val="auto"/>
              </w:rPr>
              <w:t>Loss associated with impairment of long-lived assets (b)</w:t>
            </w:r>
          </w:p>
        </w:tc>
        <w:tc>
          <w:tcPr>
            <w:tcW w:w="300" w:type="dxa"/>
            <w:vAlign w:val="bottom"/>
          </w:tcPr>
          <w:p>
            <w:pPr>
              <w:spacing w:after="0"/>
              <w:rPr>
                <w:sz w:val="17"/>
                <w:szCs w:val="17"/>
                <w:color w:val="auto"/>
              </w:rPr>
            </w:pP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Stock-based compensation expense (c)</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2"/>
              <w:spacing w:after="0" w:line="202" w:lineRule="exact"/>
              <w:rPr>
                <w:sz w:val="20"/>
                <w:szCs w:val="20"/>
                <w:color w:val="auto"/>
              </w:rPr>
            </w:pPr>
            <w:r>
              <w:rPr>
                <w:rFonts w:ascii="Arial" w:cs="Arial" w:eastAsia="Arial" w:hAnsi="Arial"/>
                <w:sz w:val="18"/>
                <w:szCs w:val="18"/>
                <w:b w:val="1"/>
                <w:bCs w:val="1"/>
                <w:color w:val="auto"/>
              </w:rPr>
              <w:t>27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line="202" w:lineRule="exact"/>
              <w:rPr>
                <w:sz w:val="20"/>
                <w:szCs w:val="20"/>
                <w:color w:val="auto"/>
              </w:rPr>
            </w:pPr>
            <w:r>
              <w:rPr>
                <w:rFonts w:ascii="Arial" w:cs="Arial" w:eastAsia="Arial" w:hAnsi="Arial"/>
                <w:sz w:val="18"/>
                <w:szCs w:val="18"/>
                <w:color w:val="auto"/>
              </w:rPr>
              <w:t>Unrealized (gain) loss on marketable securities (d)</w:t>
            </w:r>
          </w:p>
        </w:tc>
        <w:tc>
          <w:tcPr>
            <w:tcW w:w="30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UAW Local 933 contract signing incentives (e)</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line="202" w:lineRule="exact"/>
              <w:rPr>
                <w:sz w:val="20"/>
                <w:szCs w:val="20"/>
                <w:color w:val="auto"/>
              </w:rPr>
            </w:pPr>
            <w:r>
              <w:rPr>
                <w:rFonts w:ascii="Arial" w:cs="Arial" w:eastAsia="Arial" w:hAnsi="Arial"/>
                <w:sz w:val="18"/>
                <w:szCs w:val="18"/>
                <w:color w:val="auto"/>
              </w:rPr>
              <w:t>Pension plan settlement loss (f)</w:t>
            </w:r>
          </w:p>
        </w:tc>
        <w:tc>
          <w:tcPr>
            <w:tcW w:w="300" w:type="dxa"/>
            <w:vAlign w:val="bottom"/>
          </w:tcPr>
          <w:p>
            <w:pPr>
              <w:spacing w:after="0"/>
              <w:rPr>
                <w:sz w:val="17"/>
                <w:szCs w:val="17"/>
                <w:color w:val="auto"/>
              </w:rPr>
            </w:pP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(g)</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12"/>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48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2"/>
              <w:spacing w:after="0" w:line="196" w:lineRule="exact"/>
              <w:rPr>
                <w:sz w:val="20"/>
                <w:szCs w:val="20"/>
                <w:color w:val="auto"/>
              </w:rPr>
            </w:pPr>
            <w:r>
              <w:rPr>
                <w:rFonts w:ascii="Arial" w:cs="Arial" w:eastAsia="Arial" w:hAnsi="Arial"/>
                <w:sz w:val="18"/>
                <w:szCs w:val="18"/>
                <w:b w:val="1"/>
                <w:bCs w:val="1"/>
                <w:color w:val="auto"/>
              </w:rPr>
              <w:t>1,130</w:t>
            </w:r>
          </w:p>
        </w:tc>
        <w:tc>
          <w:tcPr>
            <w:tcW w:w="4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1,165</w:t>
            </w:r>
          </w:p>
        </w:tc>
        <w:tc>
          <w:tcPr>
            <w:tcW w:w="5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line="196" w:lineRule="exact"/>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Net sales (GAAP)</w:t>
            </w:r>
          </w:p>
        </w:tc>
        <w:tc>
          <w:tcPr>
            <w:tcW w:w="300" w:type="dxa"/>
            <w:vAlign w:val="bottom"/>
            <w:shd w:val="clear" w:color="auto" w:fill="CFF0FC"/>
          </w:tcPr>
          <w:p>
            <w:pPr>
              <w:jc w:val="right"/>
              <w:ind w:right="110"/>
              <w:spacing w:after="0" w:line="183" w:lineRule="exact"/>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ind w:right="112"/>
              <w:spacing w:after="0" w:line="183" w:lineRule="exact"/>
              <w:rPr>
                <w:sz w:val="20"/>
                <w:szCs w:val="20"/>
                <w:color w:val="auto"/>
              </w:rPr>
            </w:pPr>
            <w:r>
              <w:rPr>
                <w:rFonts w:ascii="Arial" w:cs="Arial" w:eastAsia="Arial" w:hAnsi="Arial"/>
                <w:sz w:val="18"/>
                <w:szCs w:val="18"/>
                <w:b w:val="1"/>
                <w:bCs w:val="1"/>
                <w:color w:val="auto"/>
              </w:rPr>
              <w:t>3,010</w:t>
            </w:r>
          </w:p>
        </w:tc>
        <w:tc>
          <w:tcPr>
            <w:tcW w:w="440" w:type="dxa"/>
            <w:vAlign w:val="bottom"/>
            <w:gridSpan w:val="2"/>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91"/>
              <w:spacing w:after="0" w:line="183" w:lineRule="exact"/>
              <w:rPr>
                <w:sz w:val="20"/>
                <w:szCs w:val="20"/>
                <w:color w:val="auto"/>
              </w:rPr>
            </w:pPr>
            <w:r>
              <w:rPr>
                <w:rFonts w:ascii="Arial" w:cs="Arial" w:eastAsia="Arial" w:hAnsi="Arial"/>
                <w:sz w:val="18"/>
                <w:szCs w:val="18"/>
                <w:color w:val="auto"/>
              </w:rPr>
              <w:t>3,225</w:t>
            </w:r>
          </w:p>
        </w:tc>
        <w:tc>
          <w:tcPr>
            <w:tcW w:w="50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91"/>
              <w:spacing w:after="0" w:line="183" w:lineRule="exact"/>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b w:val="1"/>
                <w:bCs w:val="1"/>
                <w:color w:val="auto"/>
              </w:rPr>
              <w:t>Net income as a percent of Net sales (GAAP)</w:t>
            </w: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Adjusted EBITDA as a percent of Net sales (Non-GAAP)</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37.5%</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b w:val="1"/>
                <w:bCs w:val="1"/>
                <w:color w:val="auto"/>
              </w:rPr>
              <w:t>Net cash provided by operating activities (GAAP) (h)</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836</w:t>
            </w:r>
          </w:p>
        </w:tc>
        <w:tc>
          <w:tcPr>
            <w:tcW w:w="4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801</w:t>
            </w:r>
          </w:p>
        </w:tc>
        <w:tc>
          <w:tcPr>
            <w:tcW w:w="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Deductions to reconcile to Adjusted free cash flow:</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Additions of long-lived assets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(175)</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(143)</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Adjusted free cash flow (Non-GAAP) (h)</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ind w:right="112"/>
              <w:spacing w:after="0" w:line="196" w:lineRule="exact"/>
              <w:rPr>
                <w:sz w:val="20"/>
                <w:szCs w:val="20"/>
                <w:color w:val="auto"/>
              </w:rPr>
            </w:pPr>
            <w:r>
              <w:rPr>
                <w:rFonts w:ascii="Arial" w:cs="Arial" w:eastAsia="Arial" w:hAnsi="Arial"/>
                <w:sz w:val="18"/>
                <w:szCs w:val="18"/>
                <w:b w:val="1"/>
                <w:bCs w:val="1"/>
                <w:color w:val="auto"/>
              </w:rPr>
              <w:t>661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91"/>
              <w:spacing w:after="0" w:line="196" w:lineRule="exact"/>
              <w:rPr>
                <w:sz w:val="20"/>
                <w:szCs w:val="20"/>
                <w:color w:val="auto"/>
              </w:rPr>
            </w:pPr>
            <w:r>
              <w:rPr>
                <w:rFonts w:ascii="Arial" w:cs="Arial" w:eastAsia="Arial" w:hAnsi="Arial"/>
                <w:sz w:val="18"/>
                <w:szCs w:val="18"/>
                <w:color w:val="auto"/>
              </w:rPr>
              <w:t>658</w:t>
            </w:r>
          </w:p>
        </w:tc>
        <w:tc>
          <w:tcPr>
            <w:tcW w:w="5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91"/>
              <w:spacing w:after="0" w:line="196" w:lineRule="exact"/>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-1096645</wp:posOffset>
            </wp:positionV>
            <wp:extent cx="93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-1096645</wp:posOffset>
            </wp:positionV>
            <wp:extent cx="93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93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93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93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939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7" w:lineRule="exact"/>
        <w:rPr>
          <w:sz w:val="20"/>
          <w:szCs w:val="20"/>
          <w:color w:val="auto"/>
        </w:rPr>
      </w:pPr>
    </w:p>
    <w:p>
      <w:pPr>
        <w:ind w:left="640" w:right="20" w:hanging="377"/>
        <w:spacing w:after="0" w:line="245"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acquisition-related expenses (recorded in Selling, general and administrative), primarily consulting and legal fees, related to the Acquisition.</w:t>
      </w:r>
    </w:p>
    <w:p>
      <w:pPr>
        <w:ind w:left="640" w:hanging="377"/>
        <w:spacing w:after="0" w:line="23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 charge associated with the impairment of long-lived assets related to the production of certain electrified products.</w:t>
      </w:r>
    </w:p>
    <w:p>
      <w:pPr>
        <w:ind w:left="640" w:right="180" w:hanging="377"/>
        <w:spacing w:after="0" w:line="23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spacing w:after="0" w:line="1" w:lineRule="exact"/>
        <w:rPr>
          <w:rFonts w:ascii="Arial" w:cs="Arial" w:eastAsia="Arial" w:hAnsi="Arial"/>
          <w:sz w:val="18"/>
          <w:szCs w:val="18"/>
          <w:color w:val="auto"/>
        </w:rPr>
      </w:pPr>
    </w:p>
    <w:p>
      <w:pPr>
        <w:ind w:left="640" w:right="200" w:hanging="377"/>
        <w:spacing w:after="0" w:line="23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unrealized (gains) losses (recorded in Other income (expense), net) principally related to an investment in the common stock of Jing-Jin Electric Technologies Co. Ltd.</w:t>
      </w:r>
    </w:p>
    <w:p>
      <w:pPr>
        <w:spacing w:after="0" w:line="1" w:lineRule="exact"/>
        <w:rPr>
          <w:rFonts w:ascii="Arial" w:cs="Arial" w:eastAsia="Arial" w:hAnsi="Arial"/>
          <w:sz w:val="18"/>
          <w:szCs w:val="18"/>
          <w:color w:val="auto"/>
        </w:rPr>
      </w:pPr>
    </w:p>
    <w:p>
      <w:pPr>
        <w:ind w:left="640" w:right="140" w:hanging="377"/>
        <w:spacing w:after="0" w:line="23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non-recurring incentives (recorded in Cost of sales, Selling, general and administrative, and Engineering - research and development) to eligible employees as a result of the UAW Local 933 represented employees ratifying a four-year collective bargaining agreement effective through November 2027.</w:t>
      </w:r>
    </w:p>
    <w:p>
      <w:pPr>
        <w:spacing w:after="0" w:line="2" w:lineRule="exact"/>
        <w:rPr>
          <w:rFonts w:ascii="Arial" w:cs="Arial" w:eastAsia="Arial" w:hAnsi="Arial"/>
          <w:sz w:val="18"/>
          <w:szCs w:val="18"/>
          <w:color w:val="auto"/>
        </w:rPr>
      </w:pPr>
    </w:p>
    <w:p>
      <w:pPr>
        <w:ind w:left="640" w:right="240" w:hanging="377"/>
        <w:spacing w:after="0" w:line="23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 non-cash settlement charge (recorded in Other income (expense), net) for a pro rata portion of previously unrecognized pension plan actuarial net losses associated with the pension risk transfer of a portion of our salaried defined benefit pension plan obligations to a third-party insurance company.</w:t>
      </w:r>
    </w:p>
    <w:p>
      <w:pPr>
        <w:spacing w:after="0" w:line="2" w:lineRule="exact"/>
        <w:rPr>
          <w:rFonts w:ascii="Arial" w:cs="Arial" w:eastAsia="Arial" w:hAnsi="Arial"/>
          <w:sz w:val="18"/>
          <w:szCs w:val="18"/>
          <w:color w:val="auto"/>
        </w:rPr>
      </w:pPr>
    </w:p>
    <w:p>
      <w:pPr>
        <w:ind w:left="640" w:hanging="377"/>
        <w:spacing w:after="0" w:line="23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other adjustments as defined by the Credit Agreement.</w:t>
      </w:r>
    </w:p>
    <w:p>
      <w:pPr>
        <w:ind w:left="640" w:right="400" w:hanging="377"/>
        <w:spacing w:after="0" w:line="242"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provided by operating activities (GAAP) and Adjusted free cash flow (Non-GAAP) include $47 million of payments for expenses related to the Acquisition for the year ended December 31, 2025. There were no payments for expenses related to the Acquisition for the year ended December 31, 2024.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ind w:right="220" w:firstLine="494"/>
        <w:spacing w:after="0" w:line="253" w:lineRule="auto"/>
        <w:rPr>
          <w:sz w:val="20"/>
          <w:szCs w:val="20"/>
          <w:color w:val="auto"/>
        </w:rPr>
      </w:pPr>
      <w:r>
        <w:rPr>
          <w:rFonts w:ascii="Arial" w:cs="Arial" w:eastAsia="Arial" w:hAnsi="Arial"/>
          <w:sz w:val="18"/>
          <w:szCs w:val="18"/>
          <w:color w:val="auto"/>
        </w:rPr>
        <w:t>The following table sets forth certain financial information for the years ended December 31, 2025 and 2024. The following table and discussion should be read in conjunction with the information contained in our consolidated financial statements and the notes thereto included in Part II, Item 8., of this Annual Report on Form 10-K.</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years ended December 31, 2025 and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46"/>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gridSpan w:val="2"/>
          </w:tcPr>
          <w:p>
            <w:pPr>
              <w:jc w:val="right"/>
              <w:ind w:right="615"/>
              <w:spacing w:after="0" w:line="147"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gridSpan w:val="2"/>
          </w:tcPr>
          <w:p>
            <w:pPr>
              <w:jc w:val="right"/>
              <w:ind w:right="613"/>
              <w:spacing w:after="0" w:line="147" w:lineRule="exact"/>
              <w:rPr>
                <w:sz w:val="20"/>
                <w:szCs w:val="20"/>
                <w:color w:val="auto"/>
              </w:rPr>
            </w:pPr>
            <w:r>
              <w:rPr>
                <w:rFonts w:ascii="Arial" w:cs="Arial" w:eastAsia="Arial" w:hAnsi="Arial"/>
                <w:sz w:val="14"/>
                <w:szCs w:val="14"/>
                <w:b w:val="1"/>
                <w:bCs w:val="1"/>
                <w:color w:val="auto"/>
              </w:rPr>
              <w:t>%</w:t>
            </w:r>
          </w:p>
        </w:tc>
      </w:tr>
      <w:tr>
        <w:trPr>
          <w:trHeight w:val="171"/>
        </w:trPr>
        <w:tc>
          <w:tcPr>
            <w:tcW w:w="57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of net sales</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of net sales</w:t>
            </w: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3,010</w:t>
            </w:r>
          </w:p>
        </w:tc>
        <w:tc>
          <w:tcPr>
            <w:tcW w:w="1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3,225</w:t>
            </w:r>
          </w:p>
        </w:tc>
        <w:tc>
          <w:tcPr>
            <w:tcW w:w="1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1,547</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5"/>
              <w:spacing w:after="0" w:line="202" w:lineRule="exact"/>
              <w:rPr>
                <w:sz w:val="20"/>
                <w:szCs w:val="20"/>
                <w:color w:val="auto"/>
              </w:rPr>
            </w:pPr>
            <w:r>
              <w:rPr>
                <w:rFonts w:ascii="Arial" w:cs="Arial" w:eastAsia="Arial" w:hAnsi="Arial"/>
                <w:sz w:val="18"/>
                <w:szCs w:val="18"/>
                <w:b w:val="1"/>
                <w:bCs w:val="1"/>
                <w:color w:val="auto"/>
              </w:rPr>
              <w:t>51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1,696</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53</w:t>
            </w: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1,463</w:t>
            </w:r>
          </w:p>
        </w:tc>
        <w:tc>
          <w:tcPr>
            <w:tcW w:w="1460" w:type="dxa"/>
            <w:vAlign w:val="bottom"/>
            <w:gridSpan w:val="2"/>
            <w:shd w:val="clear" w:color="auto" w:fill="CFF0FC"/>
          </w:tcPr>
          <w:p>
            <w:pPr>
              <w:jc w:val="right"/>
              <w:ind w:right="95"/>
              <w:spacing w:after="0" w:line="196" w:lineRule="exact"/>
              <w:rPr>
                <w:sz w:val="20"/>
                <w:szCs w:val="20"/>
                <w:color w:val="auto"/>
              </w:rPr>
            </w:pPr>
            <w:r>
              <w:rPr>
                <w:rFonts w:ascii="Arial" w:cs="Arial" w:eastAsia="Arial" w:hAnsi="Arial"/>
                <w:sz w:val="18"/>
                <w:szCs w:val="18"/>
                <w:b w:val="1"/>
                <w:bCs w:val="1"/>
                <w:color w:val="auto"/>
              </w:rPr>
              <w:t>49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1,529</w:t>
            </w:r>
          </w:p>
        </w:tc>
        <w:tc>
          <w:tcPr>
            <w:tcW w:w="1460" w:type="dxa"/>
            <w:vAlign w:val="bottom"/>
            <w:gridSpan w:val="2"/>
            <w:shd w:val="clear" w:color="auto" w:fill="CFF0FC"/>
          </w:tcPr>
          <w:p>
            <w:pPr>
              <w:jc w:val="right"/>
              <w:ind w:right="93"/>
              <w:spacing w:after="0" w:line="196" w:lineRule="exact"/>
              <w:rPr>
                <w:sz w:val="20"/>
                <w:szCs w:val="20"/>
                <w:color w:val="auto"/>
              </w:rPr>
            </w:pPr>
            <w:r>
              <w:rPr>
                <w:rFonts w:ascii="Arial" w:cs="Arial" w:eastAsia="Arial" w:hAnsi="Arial"/>
                <w:sz w:val="18"/>
                <w:szCs w:val="18"/>
                <w:color w:val="auto"/>
              </w:rPr>
              <w:t>47</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7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380</w:t>
            </w:r>
          </w:p>
        </w:tc>
        <w:tc>
          <w:tcPr>
            <w:tcW w:w="1460" w:type="dxa"/>
            <w:vAlign w:val="bottom"/>
            <w:gridSpan w:val="2"/>
            <w:shd w:val="clear" w:color="auto" w:fill="CFF0FC"/>
          </w:tcPr>
          <w:p>
            <w:pPr>
              <w:jc w:val="right"/>
              <w:ind w:right="95"/>
              <w:spacing w:after="0" w:line="202" w:lineRule="exact"/>
              <w:rPr>
                <w:sz w:val="20"/>
                <w:szCs w:val="20"/>
                <w:color w:val="auto"/>
              </w:rPr>
            </w:pPr>
            <w:r>
              <w:rPr>
                <w:rFonts w:ascii="Arial" w:cs="Arial" w:eastAsia="Arial" w:hAnsi="Arial"/>
                <w:sz w:val="18"/>
                <w:szCs w:val="18"/>
                <w:b w:val="1"/>
                <w:bCs w:val="1"/>
                <w:color w:val="auto"/>
              </w:rPr>
              <w:t>13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336</w:t>
            </w:r>
          </w:p>
        </w:tc>
        <w:tc>
          <w:tcPr>
            <w:tcW w:w="1460" w:type="dxa"/>
            <w:vAlign w:val="bottom"/>
            <w:gridSpan w:val="2"/>
            <w:shd w:val="clear" w:color="auto" w:fill="CFF0FC"/>
          </w:tcPr>
          <w:p>
            <w:pPr>
              <w:jc w:val="right"/>
              <w:ind w:right="93"/>
              <w:spacing w:after="0" w:line="202" w:lineRule="exact"/>
              <w:rPr>
                <w:sz w:val="20"/>
                <w:szCs w:val="20"/>
                <w:color w:val="auto"/>
              </w:rPr>
            </w:pPr>
            <w:r>
              <w:rPr>
                <w:rFonts w:ascii="Arial" w:cs="Arial" w:eastAsia="Arial" w:hAnsi="Arial"/>
                <w:sz w:val="18"/>
                <w:szCs w:val="18"/>
                <w:color w:val="auto"/>
              </w:rPr>
              <w:t>10</w:t>
            </w:r>
          </w:p>
        </w:tc>
      </w:tr>
      <w:tr>
        <w:trPr>
          <w:trHeight w:val="203"/>
        </w:trPr>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Engineering — research and development</w:t>
            </w:r>
          </w:p>
        </w:tc>
        <w:tc>
          <w:tcPr>
            <w:tcW w:w="240" w:type="dxa"/>
            <w:vAlign w:val="bottom"/>
          </w:tcPr>
          <w:p>
            <w:pPr>
              <w:spacing w:after="0"/>
              <w:rPr>
                <w:sz w:val="17"/>
                <w:szCs w:val="17"/>
                <w:color w:val="auto"/>
              </w:rPr>
            </w:pPr>
          </w:p>
        </w:tc>
        <w:tc>
          <w:tcPr>
            <w:tcW w:w="9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174</w:t>
            </w:r>
          </w:p>
        </w:tc>
        <w:tc>
          <w:tcPr>
            <w:tcW w:w="1460" w:type="dxa"/>
            <w:vAlign w:val="bottom"/>
            <w:gridSpan w:val="2"/>
          </w:tcPr>
          <w:p>
            <w:pPr>
              <w:jc w:val="right"/>
              <w:ind w:right="95"/>
              <w:spacing w:after="0" w:line="202" w:lineRule="exact"/>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200</w:t>
            </w:r>
          </w:p>
        </w:tc>
        <w:tc>
          <w:tcPr>
            <w:tcW w:w="1460" w:type="dxa"/>
            <w:vAlign w:val="bottom"/>
            <w:gridSpan w:val="2"/>
          </w:tcPr>
          <w:p>
            <w:pPr>
              <w:jc w:val="right"/>
              <w:ind w:right="93"/>
              <w:spacing w:after="0" w:line="202" w:lineRule="exact"/>
              <w:rPr>
                <w:sz w:val="20"/>
                <w:szCs w:val="20"/>
                <w:color w:val="auto"/>
              </w:rPr>
            </w:pPr>
            <w:r>
              <w:rPr>
                <w:rFonts w:ascii="Arial" w:cs="Arial" w:eastAsia="Arial" w:hAnsi="Arial"/>
                <w:sz w:val="18"/>
                <w:szCs w:val="18"/>
                <w:color w:val="auto"/>
              </w:rPr>
              <w:t>6</w:t>
            </w:r>
          </w:p>
        </w:tc>
      </w:tr>
      <w:tr>
        <w:trPr>
          <w:trHeight w:val="203"/>
        </w:trPr>
        <w:tc>
          <w:tcPr>
            <w:tcW w:w="574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Loss associated with impairment of long-lived assets</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95"/>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93"/>
              <w:spacing w:after="0" w:line="202" w:lineRule="exact"/>
              <w:rPr>
                <w:sz w:val="20"/>
                <w:szCs w:val="20"/>
                <w:color w:val="auto"/>
              </w:rPr>
            </w:pPr>
            <w:r>
              <w:rPr>
                <w:rFonts w:ascii="Arial" w:cs="Arial" w:eastAsia="Arial" w:hAnsi="Arial"/>
                <w:sz w:val="18"/>
                <w:szCs w:val="18"/>
                <w:color w:val="auto"/>
              </w:rPr>
              <w:t>—</w:t>
            </w:r>
          </w:p>
        </w:tc>
      </w:tr>
      <w:tr>
        <w:trPr>
          <w:trHeight w:val="196"/>
        </w:trPr>
        <w:tc>
          <w:tcPr>
            <w:tcW w:w="5740" w:type="dxa"/>
            <w:vAlign w:val="bottom"/>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583</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537</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16</w:t>
            </w: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880</w:t>
            </w:r>
          </w:p>
        </w:tc>
        <w:tc>
          <w:tcPr>
            <w:tcW w:w="1460" w:type="dxa"/>
            <w:vAlign w:val="bottom"/>
            <w:gridSpan w:val="2"/>
            <w:shd w:val="clear" w:color="auto" w:fill="CFF0FC"/>
          </w:tcPr>
          <w:p>
            <w:pPr>
              <w:jc w:val="right"/>
              <w:ind w:right="95"/>
              <w:spacing w:after="0" w:line="196" w:lineRule="exact"/>
              <w:rPr>
                <w:sz w:val="20"/>
                <w:szCs w:val="20"/>
                <w:color w:val="auto"/>
              </w:rPr>
            </w:pPr>
            <w:r>
              <w:rPr>
                <w:rFonts w:ascii="Arial" w:cs="Arial" w:eastAsia="Arial" w:hAnsi="Arial"/>
                <w:sz w:val="18"/>
                <w:szCs w:val="18"/>
                <w:b w:val="1"/>
                <w:bCs w:val="1"/>
                <w:color w:val="auto"/>
              </w:rPr>
              <w:t>29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992</w:t>
            </w:r>
          </w:p>
        </w:tc>
        <w:tc>
          <w:tcPr>
            <w:tcW w:w="1460" w:type="dxa"/>
            <w:vAlign w:val="bottom"/>
            <w:gridSpan w:val="2"/>
            <w:shd w:val="clear" w:color="auto" w:fill="CFF0FC"/>
          </w:tcPr>
          <w:p>
            <w:pPr>
              <w:jc w:val="right"/>
              <w:ind w:right="93"/>
              <w:spacing w:after="0" w:line="196" w:lineRule="exact"/>
              <w:rPr>
                <w:sz w:val="20"/>
                <w:szCs w:val="20"/>
                <w:color w:val="auto"/>
              </w:rPr>
            </w:pPr>
            <w:r>
              <w:rPr>
                <w:rFonts w:ascii="Arial" w:cs="Arial" w:eastAsia="Arial" w:hAnsi="Arial"/>
                <w:sz w:val="18"/>
                <w:szCs w:val="18"/>
                <w:color w:val="auto"/>
              </w:rPr>
              <w:t>31</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7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(92)</w:t>
            </w:r>
          </w:p>
        </w:tc>
        <w:tc>
          <w:tcPr>
            <w:tcW w:w="1460" w:type="dxa"/>
            <w:vAlign w:val="bottom"/>
            <w:gridSpan w:val="2"/>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w:t>
            </w:r>
          </w:p>
        </w:tc>
        <w:tc>
          <w:tcPr>
            <w:tcW w:w="1460" w:type="dxa"/>
            <w:vAlign w:val="bottom"/>
            <w:gridSpan w:val="2"/>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w:t>
            </w:r>
          </w:p>
        </w:tc>
      </w:tr>
      <w:tr>
        <w:trPr>
          <w:trHeight w:val="203"/>
        </w:trPr>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5"/>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w:t>
            </w:r>
          </w:p>
        </w:tc>
      </w:tr>
      <w:tr>
        <w:trPr>
          <w:trHeight w:val="196"/>
        </w:trPr>
        <w:tc>
          <w:tcPr>
            <w:tcW w:w="57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(3)</w:t>
            </w: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7"/>
                <w:szCs w:val="17"/>
                <w:color w:val="auto"/>
              </w:rPr>
            </w:pP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804</w:t>
            </w:r>
          </w:p>
        </w:tc>
        <w:tc>
          <w:tcPr>
            <w:tcW w:w="1460" w:type="dxa"/>
            <w:vAlign w:val="bottom"/>
            <w:gridSpan w:val="2"/>
          </w:tcPr>
          <w:p>
            <w:pPr>
              <w:jc w:val="right"/>
              <w:ind w:right="95"/>
              <w:spacing w:after="0" w:line="196" w:lineRule="exact"/>
              <w:rPr>
                <w:sz w:val="20"/>
                <w:szCs w:val="20"/>
                <w:color w:val="auto"/>
              </w:rPr>
            </w:pPr>
            <w:r>
              <w:rPr>
                <w:rFonts w:ascii="Arial" w:cs="Arial" w:eastAsia="Arial" w:hAnsi="Arial"/>
                <w:sz w:val="18"/>
                <w:szCs w:val="18"/>
                <w:b w:val="1"/>
                <w:bCs w:val="1"/>
                <w:color w:val="auto"/>
              </w:rPr>
              <w:t>27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897</w:t>
            </w:r>
          </w:p>
        </w:tc>
        <w:tc>
          <w:tcPr>
            <w:tcW w:w="1460" w:type="dxa"/>
            <w:vAlign w:val="bottom"/>
            <w:gridSpan w:val="2"/>
          </w:tcPr>
          <w:p>
            <w:pPr>
              <w:jc w:val="right"/>
              <w:ind w:right="93"/>
              <w:spacing w:after="0" w:line="196" w:lineRule="exact"/>
              <w:rPr>
                <w:sz w:val="20"/>
                <w:szCs w:val="20"/>
                <w:color w:val="auto"/>
              </w:rPr>
            </w:pPr>
            <w:r>
              <w:rPr>
                <w:rFonts w:ascii="Arial" w:cs="Arial" w:eastAsia="Arial" w:hAnsi="Arial"/>
                <w:sz w:val="18"/>
                <w:szCs w:val="18"/>
                <w:color w:val="auto"/>
              </w:rPr>
              <w:t>28</w:t>
            </w:r>
          </w:p>
        </w:tc>
      </w:tr>
      <w:tr>
        <w:trPr>
          <w:trHeight w:val="203"/>
        </w:trPr>
        <w:tc>
          <w:tcPr>
            <w:tcW w:w="5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(181)</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(6)</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(166)</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w:t>
            </w: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623</w:t>
            </w: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21%</w:t>
            </w:r>
          </w:p>
        </w:tc>
        <w:tc>
          <w:tcPr>
            <w:tcW w:w="3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731</w:t>
            </w: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-1224915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-1224915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-1224915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-427990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-427990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-427990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-161925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-161925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-161925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56" w:lineRule="exact"/>
        <w:rPr>
          <w:sz w:val="20"/>
          <w:szCs w:val="20"/>
          <w:color w:val="auto"/>
        </w:rPr>
      </w:pPr>
    </w:p>
    <w:p>
      <w:pPr>
        <w:ind w:right="340" w:firstLine="494"/>
        <w:spacing w:after="0" w:line="271" w:lineRule="auto"/>
        <w:rPr>
          <w:sz w:val="20"/>
          <w:szCs w:val="20"/>
          <w:color w:val="auto"/>
        </w:rPr>
      </w:pPr>
      <w:r>
        <w:rPr>
          <w:rFonts w:ascii="Arial" w:cs="Arial" w:eastAsia="Arial" w:hAnsi="Arial"/>
          <w:sz w:val="18"/>
          <w:szCs w:val="18"/>
          <w:color w:val="auto"/>
        </w:rPr>
        <w:t>Net sales for the year ended December 31, 2025 were $3,010 million compared to $3,225 million for the year ended December 31, 2024, a decrease of 7%.</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was principally driven by:</w:t>
      </w:r>
    </w:p>
    <w:p>
      <w:pPr>
        <w:spacing w:after="0" w:line="104" w:lineRule="exact"/>
        <w:rPr>
          <w:sz w:val="20"/>
          <w:szCs w:val="20"/>
          <w:color w:val="auto"/>
        </w:rPr>
      </w:pPr>
    </w:p>
    <w:p>
      <w:pPr>
        <w:jc w:val="both"/>
        <w:ind w:left="1780" w:right="80" w:hanging="515"/>
        <w:spacing w:after="0" w:line="252" w:lineRule="auto"/>
        <w:tabs>
          <w:tab w:leader="none" w:pos="17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North America On-Highway end market net sales decreased $212 million, or 12%, principally driven by lower demand for medium-duty and class 8 vocational trucks, partially offset by price increases on certain products and market share gains for hybrid propulsion systems for transit buses.</w:t>
      </w:r>
    </w:p>
    <w:p>
      <w:pPr>
        <w:spacing w:after="0" w:line="62" w:lineRule="exact"/>
        <w:rPr>
          <w:rFonts w:ascii="Times New Roman" w:cs="Times New Roman" w:eastAsia="Times New Roman" w:hAnsi="Times New Roman"/>
          <w:sz w:val="18"/>
          <w:szCs w:val="18"/>
          <w:color w:val="auto"/>
        </w:rPr>
      </w:pPr>
    </w:p>
    <w:p>
      <w:pPr>
        <w:ind w:left="1780" w:right="140" w:hanging="515"/>
        <w:spacing w:after="0" w:line="270" w:lineRule="auto"/>
        <w:tabs>
          <w:tab w:leader="none" w:pos="17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Global Off-Highway end market net sales decreased $52 million, or 50%, principally driven by lower demand from the energy, mining and construction sectors outside of North America.</w:t>
      </w:r>
    </w:p>
    <w:p>
      <w:pPr>
        <w:spacing w:after="0" w:line="46" w:lineRule="exact"/>
        <w:rPr>
          <w:rFonts w:ascii="Times New Roman" w:cs="Times New Roman" w:eastAsia="Times New Roman" w:hAnsi="Times New Roman"/>
          <w:sz w:val="18"/>
          <w:szCs w:val="18"/>
          <w:color w:val="auto"/>
        </w:rPr>
      </w:pPr>
    </w:p>
    <w:p>
      <w:pPr>
        <w:jc w:val="both"/>
        <w:ind w:left="1780" w:right="80" w:hanging="515"/>
        <w:spacing w:after="0" w:line="252" w:lineRule="auto"/>
        <w:tabs>
          <w:tab w:leader="none" w:pos="17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Service Parts, Support Equipment and Other end market net sales decreased $20 million, or 3%, principally driven by lower demand for aluminum die cast components and support equipment, partially offset by higher demand for service parts and price increases on certain products.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decreases were partially offset by:</w:t>
      </w:r>
    </w:p>
    <w:p>
      <w:pPr>
        <w:spacing w:after="0" w:line="104" w:lineRule="exact"/>
        <w:rPr>
          <w:sz w:val="20"/>
          <w:szCs w:val="20"/>
          <w:color w:val="auto"/>
        </w:rPr>
      </w:pPr>
    </w:p>
    <w:p>
      <w:pPr>
        <w:ind w:left="1780" w:right="500" w:hanging="515"/>
        <w:spacing w:after="0" w:line="300" w:lineRule="auto"/>
        <w:tabs>
          <w:tab w:leader="none" w:pos="178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Defense end market net sales increased $55 million, or 26%, principally driven by increased demand for Tracked vehicle applications, price increases on certain products and the continued execution of our growth initiatives.</w:t>
      </w:r>
    </w:p>
    <w:p>
      <w:pPr>
        <w:spacing w:after="0" w:line="23" w:lineRule="exact"/>
        <w:rPr>
          <w:rFonts w:ascii="Times New Roman" w:cs="Times New Roman" w:eastAsia="Times New Roman" w:hAnsi="Times New Roman"/>
          <w:sz w:val="17"/>
          <w:szCs w:val="17"/>
          <w:color w:val="auto"/>
        </w:rPr>
      </w:pPr>
    </w:p>
    <w:p>
      <w:pPr>
        <w:jc w:val="both"/>
        <w:ind w:left="1780" w:right="340" w:hanging="515"/>
        <w:spacing w:after="0" w:line="252" w:lineRule="auto"/>
        <w:tabs>
          <w:tab w:leader="none" w:pos="17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Outside North America On-Highway end market net sales increased $14 million, or 3%, principally driven by higher demand in Europe and South America and price increases on certain products, partially offset by lower demand in Asia.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w:t>
      </w:r>
    </w:p>
    <w:p>
      <w:pPr>
        <w:spacing w:after="0" w:line="156"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Cost of sales for the year ended December 31, 2025 was $1,547 million compared to $1,696 million for the year ended December 31, 2024, a decrease of 9%. The decrease was principally driven by lower direct material and manufacturing expense commensurate with decreased net sales, $20 million of lower incentive compensation expense and $13 million of UAW Local 933 contract signing incentives recognized in 2024 that did not reoccur in 2025, partially offset by unfavorable direct material costs.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56"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Gross profit for the year ended December 31, 2025 was $1,463 million compared to $1,529 million for the year ended December 31, 2024, a decrease of 4%. The decrease was principally driven by $223 million from decreased net sales and $45 million of unfavorable direct material costs, partially offset by $140 million of price increases on certain products, $29 million of lower manufacturing expense, $20 million of lower incentive compensation expense and $13 million of UAW Local 933 contract signing incentives recognized in 2024 that did not reoccur in 2025. Gross profit as a percent of net sales for the year ended December 31, 2025 increased 120 basis points compared to the same period in 2024, principally driven by price increases on certain products, lower incentive compensation expense and UAW Local 933 contract signing incentives recognized in 2024 that did not reoccur in 2025.</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6"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Selling, general and administrative expenses for the year ended December 31, 2025 were $380 million compared to $336 million for the year ended December 31, 2024, an increase of 13%. The increase was principally driven by $ 64 million of expenses related to the Acquisition and higher product warranty expense, partially offset by lower incentive compensation expense.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56" w:lineRule="exact"/>
        <w:rPr>
          <w:sz w:val="20"/>
          <w:szCs w:val="20"/>
          <w:color w:val="auto"/>
        </w:rPr>
      </w:pPr>
    </w:p>
    <w:p>
      <w:pPr>
        <w:ind w:right="420" w:firstLine="494"/>
        <w:spacing w:after="0" w:line="253" w:lineRule="auto"/>
        <w:rPr>
          <w:sz w:val="20"/>
          <w:szCs w:val="20"/>
          <w:color w:val="auto"/>
        </w:rPr>
      </w:pPr>
      <w:r>
        <w:rPr>
          <w:rFonts w:ascii="Arial" w:cs="Arial" w:eastAsia="Arial" w:hAnsi="Arial"/>
          <w:sz w:val="18"/>
          <w:szCs w:val="18"/>
          <w:color w:val="auto"/>
        </w:rPr>
        <w:t>Engineering expenses for the year ended December 31, 2025 were $174 million compared to $200 million for the year ended December 31, 2024, a decrease of 13%. The decrease was principally driven by reduced product initiatives spending to align costs and programs across our business with end markets demand conditions and lower incentive compensation expense.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56"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During the fourth quarter of 2025, we recorded $ 29 million of losses associated with the impairment of long-lived assets related to the production of certain electrified products. See "Note 5. Property, Plant and Equipment” and "Note 6. Goodwill and Other Intangible Assets” of Notes to Consolidated Financial Statements included in Part II, Item 8 of this Annual Report on Form 10-K for additional details.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56" w:lineRule="exact"/>
        <w:rPr>
          <w:sz w:val="20"/>
          <w:szCs w:val="20"/>
          <w:color w:val="auto"/>
        </w:rPr>
      </w:pPr>
    </w:p>
    <w:p>
      <w:pPr>
        <w:jc w:val="both"/>
        <w:ind w:right="220" w:firstLine="494"/>
        <w:spacing w:after="0" w:line="253" w:lineRule="auto"/>
        <w:rPr>
          <w:sz w:val="20"/>
          <w:szCs w:val="20"/>
          <w:color w:val="auto"/>
        </w:rPr>
      </w:pPr>
      <w:r>
        <w:rPr>
          <w:rFonts w:ascii="Arial" w:cs="Arial" w:eastAsia="Arial" w:hAnsi="Arial"/>
          <w:sz w:val="18"/>
          <w:szCs w:val="18"/>
          <w:color w:val="auto"/>
        </w:rPr>
        <w:t>Interest expense, net for the year ended December 31, 2025 was $92 million compared to $89 million for the year ended December 31, 2024, an increase of 3%. The increase was principally driven by $5 million of increased interest expense from amortization of deferred financing costs related to the Bridge Facility.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6"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Other income (expense), net for the year ended December 31, 2025 was $16 million compared to ($6) million for the year ended December 31, 2024. The change was principally driven by a $21 million change in unrealized mark-to-market adjustments for marketable securities and a $4 million non-cash defined benefit pension plan settlement charge recognized in 2024 that did not reoccur in 2025, partially offset by $5 million of reduced post-retirement benefit plan credits.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6" w:lineRule="exact"/>
        <w:rPr>
          <w:sz w:val="20"/>
          <w:szCs w:val="20"/>
          <w:color w:val="auto"/>
        </w:rPr>
      </w:pPr>
    </w:p>
    <w:p>
      <w:pPr>
        <w:jc w:val="both"/>
        <w:ind w:right="360" w:firstLine="494"/>
        <w:spacing w:after="0" w:line="253" w:lineRule="auto"/>
        <w:rPr>
          <w:sz w:val="20"/>
          <w:szCs w:val="20"/>
          <w:color w:val="auto"/>
        </w:rPr>
      </w:pPr>
      <w:r>
        <w:rPr>
          <w:rFonts w:ascii="Arial" w:cs="Arial" w:eastAsia="Arial" w:hAnsi="Arial"/>
          <w:sz w:val="18"/>
          <w:szCs w:val="18"/>
          <w:color w:val="auto"/>
        </w:rPr>
        <w:t>Income tax expense for the year ended December 31, 2025 was $181 million resulting in an effective tax rate of 23%, compared to $166 million of income tax expense and an effective tax rate of 19% for the year ended December 31, 2024. The increase in income tax expense and effective tax rate was principally driven by elections made under the One Big Beautiful Bill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$1,495 million and $ 781 million as of December 31, 2025 and 2024, respectively. Of the available cash and cash equivalents, $1,361 million was deposited in operating accounts and $134 million was invested primarily in U.S. government backed securities and time deposits as of December 31, 2025, compared to $117 million deposited in operating accounts and $664 million invested primarily in U.S. government backed securities as of December 31, 2024.</w:t>
      </w:r>
    </w:p>
    <w:p>
      <w:pPr>
        <w:spacing w:after="0" w:line="126" w:lineRule="exact"/>
        <w:rPr>
          <w:sz w:val="20"/>
          <w:szCs w:val="20"/>
          <w:color w:val="auto"/>
        </w:rPr>
      </w:pPr>
    </w:p>
    <w:p>
      <w:pPr>
        <w:ind w:right="60" w:firstLine="494"/>
        <w:spacing w:after="0" w:line="244" w:lineRule="auto"/>
        <w:rPr>
          <w:sz w:val="20"/>
          <w:szCs w:val="20"/>
          <w:color w:val="auto"/>
        </w:rPr>
      </w:pPr>
      <w:r>
        <w:rPr>
          <w:rFonts w:ascii="Arial" w:cs="Arial" w:eastAsia="Arial" w:hAnsi="Arial"/>
          <w:sz w:val="18"/>
          <w:szCs w:val="18"/>
          <w:color w:val="auto"/>
        </w:rPr>
        <w:t>As of December 31, 2025, the total of cash held by foreign subsidiaries was $84 million, the majority of which was at our subsidiaries located in China, the Netherlands, Japan, Brazil and Hungary.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expectations or operating needs with local resources.</w:t>
      </w:r>
    </w:p>
    <w:p>
      <w:pPr>
        <w:spacing w:after="0" w:line="122"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22" w:lineRule="exact"/>
        <w:rPr>
          <w:sz w:val="20"/>
          <w:szCs w:val="20"/>
          <w:color w:val="auto"/>
        </w:rPr>
      </w:pPr>
    </w:p>
    <w:p>
      <w:pPr>
        <w:ind w:right="320" w:firstLine="494"/>
        <w:spacing w:after="0" w:line="242" w:lineRule="auto"/>
        <w:rPr>
          <w:sz w:val="20"/>
          <w:szCs w:val="20"/>
          <w:color w:val="auto"/>
        </w:rPr>
      </w:pPr>
      <w:r>
        <w:rPr>
          <w:rFonts w:ascii="Arial" w:cs="Arial" w:eastAsia="Arial" w:hAnsi="Arial"/>
          <w:sz w:val="18"/>
          <w:szCs w:val="18"/>
          <w:color w:val="auto"/>
        </w:rPr>
        <w:t>Our liquidity requirements are significant, primarily due to our debt service requirements. As of December 31, 2025, we had $509 million of indebtedness associated with ATI’s Term Loan, $400 million of indebtedness associated with ATI’s 4.75% Senior Notes due October 2027 (“4.75% Senior Notes”), $500 million of indebtedness associated with ATI’s 5.875% Senior Notes due June 2029 (“5.875% Senior Notes 2029”), $1,000 million of indebtedness associated with ATI’s 3.75% Senior Notes due January 2031 (“3.75% Senior Notes”) and $500 million of indebtedness associated with ATI’s 5.875% Senior Notes due December 2033 ("5.875% Senior Notes 2033", and together with the 4.75% Senior Notes, 5.875% Senior Notes 2029 and 3.75% Senior Notes, the “Senior Notes”).</w:t>
      </w:r>
    </w:p>
    <w:p>
      <w:pPr>
        <w:spacing w:after="0" w:line="125"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Our short-term and long-term debt service liquidity requirements consist of $1 million of minimum required quarterly principal payments on ATI’s Term Loan through its maturity date of March 2031, $3 million of minimum required quarterly principal payments on ATI’s Incremental Term Loan through its maturity date of January 2033 and periodic interest payments on ATI’s Term Loan, ATI's Incremental Term Loan and the Senior Notes. There are no required quarterly principal payments on the Senior Notes. Our long-term debt service liquidity requirements also consist of the payment in full of any remaining principal balance of ATI’s Term Loan, ATI's Incremental Term Loan and the Senior Notes upon their respective maturity dates.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We made $5 million and $ 104 million of principal payments on the Term Loan during the years ended December 31, 2025 and 2024, respectively. Our ability to make payments on and refinance our indebtedness and to fund planned capital expenditures and growth initiatives will depend on our ability to generate cash in the future.</w:t>
      </w:r>
    </w:p>
    <w:p>
      <w:pPr>
        <w:spacing w:after="0" w:line="115"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As of December 31, 2025, the Senior Secured Credit Facility provided for a $750 million Revolving Credit Facility, net of an allowance for up to $75 million in outstanding letter of credit commitments, and we had $745 million available under the Revolving Credit Facility, net of $5 million in letters of credit. As of December 31, 2025,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December 31, 2025, our first lien net leverage ratio was (0.87x).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32"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On January 2, 2026, we entered into Amendment No. 5 (the "Amendment") to the Credit Agreement to provide for the Incremental Term Loan under the Credit Agreement in an aggregate principal amount equal to $1,200 million, which matures on January 2, 2033 (with a springing maturity to the maturity date of the Term Loan in the event that Term Loan matures on any date prior to January 2, 2033), and increased the commitments under the Revolving Credit Facility by $250 million to an aggregate principal amount of up to $1,000 million. The Amendment also extended the maturity date of the Revolving Credit Facility from March 13, 2029 to January 2, 2031. Additionally, on January 2, 2026, we borrowed $300 million under the Revolving Credit Facility. The proceeds from the borrowings under the Incremental Term Loan and the Revolving Credit Facility were used to pay a portion of the consideration for the Acquisition and fees, costs and expenses related to the Acquisition.</w:t>
      </w:r>
    </w:p>
    <w:p>
      <w:pPr>
        <w:spacing w:after="0" w:line="126"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December 31, 2025, we were in compliance with all covenants under the Senior Secured Credit Facility and indentures governing the Senior Notes.</w:t>
      </w:r>
    </w:p>
    <w:p>
      <w:pPr>
        <w:spacing w:after="0" w:line="131" w:lineRule="exact"/>
        <w:rPr>
          <w:sz w:val="20"/>
          <w:szCs w:val="20"/>
          <w:color w:val="auto"/>
        </w:rPr>
      </w:pPr>
    </w:p>
    <w:p>
      <w:pPr>
        <w:ind w:right="160" w:firstLine="494"/>
        <w:spacing w:after="0" w:line="244" w:lineRule="auto"/>
        <w:rPr>
          <w:sz w:val="20"/>
          <w:szCs w:val="20"/>
          <w:color w:val="auto"/>
        </w:rPr>
      </w:pPr>
      <w:r>
        <w:rPr>
          <w:rFonts w:ascii="Arial" w:cs="Arial" w:eastAsia="Arial" w:hAnsi="Arial"/>
          <w:sz w:val="18"/>
          <w:szCs w:val="18"/>
          <w:color w:val="auto"/>
        </w:rPr>
        <w:t>In connection with the Acquisition, we entered into the Commitment Letter, which provided for up to $2,000 million of borrowing capacity under the Bridge Facility. As of December 31, 2025, the Bridge Facility aggregate commitment principal amount had been reduced to $500 million as a result of the issuance of our 5.875% Senior Notes 2033 and our election to voluntarily reduce the aggregate commitments under the facility. No amount was drawn from the Bridge Facility, and it was terminated upon completion of the Acquisition on January 1, 2026.</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ratings and outlook are reviewed periodically by Moody’s Ratings (“Moody’s”) and Fitch Ratings, Inc. (“Fitch”).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our credit ratings from both Moody's and Fitch are shown in the table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Credit Ratings</w:t>
            </w:r>
          </w:p>
        </w:tc>
        <w:tc>
          <w:tcPr>
            <w:tcW w:w="17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55"/>
        </w:trPr>
        <w:tc>
          <w:tcPr>
            <w:tcW w:w="6120" w:type="dxa"/>
            <w:vAlign w:val="bottom"/>
            <w:vMerge w:val="continue"/>
          </w:tcPr>
          <w:p>
            <w:pPr>
              <w:spacing w:after="0"/>
              <w:rPr>
                <w:sz w:val="13"/>
                <w:szCs w:val="13"/>
                <w:color w:val="auto"/>
              </w:rPr>
            </w:pPr>
          </w:p>
        </w:tc>
        <w:tc>
          <w:tcPr>
            <w:tcW w:w="1720" w:type="dxa"/>
            <w:vAlign w:val="bottom"/>
            <w:tcBorders>
              <w:bottom w:val="single" w:sz="8" w:color="auto"/>
            </w:tcBorders>
          </w:tcPr>
          <w:p>
            <w:pPr>
              <w:ind w:left="960"/>
              <w:spacing w:after="0" w:line="155" w:lineRule="exact"/>
              <w:rPr>
                <w:sz w:val="20"/>
                <w:szCs w:val="20"/>
                <w:color w:val="auto"/>
              </w:rPr>
            </w:pPr>
            <w:r>
              <w:rPr>
                <w:rFonts w:ascii="Arial" w:cs="Arial" w:eastAsia="Arial" w:hAnsi="Arial"/>
                <w:sz w:val="14"/>
                <w:szCs w:val="14"/>
                <w:b w:val="1"/>
                <w:bCs w:val="1"/>
                <w:color w:val="auto"/>
              </w:rPr>
              <w:t>Moody's</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9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Corporate Credit</w:t>
            </w:r>
          </w:p>
        </w:tc>
        <w:tc>
          <w:tcPr>
            <w:tcW w:w="1720" w:type="dxa"/>
            <w:vAlign w:val="bottom"/>
            <w:shd w:val="clear" w:color="auto" w:fill="CFF0FC"/>
          </w:tcPr>
          <w:p>
            <w:pPr>
              <w:jc w:val="center"/>
              <w:ind w:left="673"/>
              <w:spacing w:after="0" w:line="196" w:lineRule="exact"/>
              <w:rPr>
                <w:sz w:val="20"/>
                <w:szCs w:val="20"/>
                <w:color w:val="auto"/>
              </w:rPr>
            </w:pPr>
            <w:r>
              <w:rPr>
                <w:rFonts w:ascii="Arial" w:cs="Arial" w:eastAsia="Arial" w:hAnsi="Arial"/>
                <w:sz w:val="18"/>
                <w:szCs w:val="18"/>
                <w:color w:val="auto"/>
                <w:w w:val="99"/>
              </w:rPr>
              <w:t>Ba1</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BB+</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Term Loan due 2031</w:t>
            </w:r>
          </w:p>
        </w:tc>
        <w:tc>
          <w:tcPr>
            <w:tcW w:w="1720" w:type="dxa"/>
            <w:vAlign w:val="bottom"/>
          </w:tcPr>
          <w:p>
            <w:pPr>
              <w:jc w:val="center"/>
              <w:ind w:left="693"/>
              <w:spacing w:after="0" w:line="202" w:lineRule="exact"/>
              <w:rPr>
                <w:sz w:val="20"/>
                <w:szCs w:val="20"/>
                <w:color w:val="auto"/>
              </w:rPr>
            </w:pPr>
            <w:r>
              <w:rPr>
                <w:rFonts w:ascii="Arial" w:cs="Arial" w:eastAsia="Arial" w:hAnsi="Arial"/>
                <w:sz w:val="18"/>
                <w:szCs w:val="18"/>
                <w:color w:val="auto"/>
                <w:w w:val="99"/>
              </w:rPr>
              <w:t>Baa2</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color w:val="auto"/>
                <w:w w:val="99"/>
              </w:rPr>
              <w:t>BBB-</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4.75% Senior Notes due 2027</w:t>
            </w:r>
          </w:p>
        </w:tc>
        <w:tc>
          <w:tcPr>
            <w:tcW w:w="1720" w:type="dxa"/>
            <w:vAlign w:val="bottom"/>
            <w:shd w:val="clear" w:color="auto" w:fill="CFF0FC"/>
          </w:tcPr>
          <w:p>
            <w:pPr>
              <w:jc w:val="center"/>
              <w:ind w:left="673"/>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BB+</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5.875% Senior Notes due 2029</w:t>
            </w:r>
          </w:p>
        </w:tc>
        <w:tc>
          <w:tcPr>
            <w:tcW w:w="1720" w:type="dxa"/>
            <w:vAlign w:val="bottom"/>
          </w:tcPr>
          <w:p>
            <w:pPr>
              <w:jc w:val="center"/>
              <w:ind w:left="673"/>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color w:val="auto"/>
              </w:rPr>
              <w:t>BB+</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3.75% Senior Notes due 2031</w:t>
            </w:r>
          </w:p>
        </w:tc>
        <w:tc>
          <w:tcPr>
            <w:tcW w:w="1720" w:type="dxa"/>
            <w:vAlign w:val="bottom"/>
            <w:shd w:val="clear" w:color="auto" w:fill="CFF0FC"/>
          </w:tcPr>
          <w:p>
            <w:pPr>
              <w:jc w:val="center"/>
              <w:ind w:left="673"/>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BB+</w:t>
            </w:r>
          </w:p>
        </w:tc>
        <w:tc>
          <w:tcPr>
            <w:tcW w:w="0" w:type="dxa"/>
            <w:vAlign w:val="bottom"/>
          </w:tcPr>
          <w:p>
            <w:pPr>
              <w:spacing w:after="0"/>
              <w:rPr>
                <w:sz w:val="1"/>
                <w:szCs w:val="1"/>
                <w:color w:val="auto"/>
              </w:rPr>
            </w:pPr>
          </w:p>
        </w:tc>
      </w:tr>
      <w:tr>
        <w:trPr>
          <w:trHeight w:val="239"/>
        </w:trPr>
        <w:tc>
          <w:tcPr>
            <w:tcW w:w="6120" w:type="dxa"/>
            <w:vAlign w:val="bottom"/>
          </w:tcPr>
          <w:p>
            <w:pPr>
              <w:spacing w:after="0"/>
              <w:rPr>
                <w:sz w:val="20"/>
                <w:szCs w:val="20"/>
                <w:color w:val="auto"/>
              </w:rPr>
            </w:pPr>
            <w:r>
              <w:rPr>
                <w:rFonts w:ascii="Arial" w:cs="Arial" w:eastAsia="Arial" w:hAnsi="Arial"/>
                <w:sz w:val="18"/>
                <w:szCs w:val="18"/>
                <w:color w:val="auto"/>
              </w:rPr>
              <w:t>5.875% Senior Notes due 2033</w:t>
            </w:r>
          </w:p>
        </w:tc>
        <w:tc>
          <w:tcPr>
            <w:tcW w:w="1720" w:type="dxa"/>
            <w:vAlign w:val="bottom"/>
          </w:tcPr>
          <w:p>
            <w:pPr>
              <w:jc w:val="center"/>
              <w:ind w:left="673"/>
              <w:spacing w:after="0"/>
              <w:rPr>
                <w:sz w:val="20"/>
                <w:szCs w:val="20"/>
                <w:color w:val="auto"/>
              </w:rPr>
            </w:pPr>
            <w:r>
              <w:rPr>
                <w:rFonts w:ascii="Arial" w:cs="Arial" w:eastAsia="Arial" w:hAnsi="Arial"/>
                <w:sz w:val="18"/>
                <w:szCs w:val="18"/>
                <w:color w:val="auto"/>
                <w:w w:val="99"/>
              </w:rPr>
              <w:t>Ba2</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rPr>
              <w:t>BB+</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20" w:firstLine="494"/>
        <w:spacing w:after="0" w:line="253" w:lineRule="auto"/>
        <w:rPr>
          <w:sz w:val="20"/>
          <w:szCs w:val="20"/>
          <w:color w:val="auto"/>
        </w:rPr>
      </w:pPr>
      <w:r>
        <w:rPr>
          <w:rFonts w:ascii="Arial" w:cs="Arial" w:eastAsia="Arial" w:hAnsi="Arial"/>
          <w:sz w:val="18"/>
          <w:szCs w:val="18"/>
          <w:color w:val="auto"/>
        </w:rPr>
        <w:t>We anticipate increased capital expenditures and cash income taxes in 2026 compared to 2025. In addition, as disclosed above, we have incurred additional debt on January 2, 2026 to fund the Acquisition. Further information is provided in "Note 25. Subsequent Events" of Notes to Consolidated Financial Statements included in Part II, Item 8., of this Annual Report on Form 10-K.</w:t>
      </w:r>
    </w:p>
    <w:p>
      <w:pPr>
        <w:spacing w:after="0" w:line="115" w:lineRule="exact"/>
        <w:rPr>
          <w:sz w:val="20"/>
          <w:szCs w:val="20"/>
          <w:color w:val="auto"/>
        </w:rPr>
      </w:pPr>
    </w:p>
    <w:p>
      <w:pPr>
        <w:ind w:right="80" w:firstLine="544"/>
        <w:spacing w:after="0" w:line="244" w:lineRule="auto"/>
        <w:rPr>
          <w:sz w:val="20"/>
          <w:szCs w:val="20"/>
          <w:color w:val="auto"/>
        </w:rPr>
      </w:pPr>
      <w:r>
        <w:rPr>
          <w:rFonts w:ascii="Arial" w:cs="Arial" w:eastAsia="Arial" w:hAnsi="Arial"/>
          <w:sz w:val="18"/>
          <w:szCs w:val="18"/>
          <w:color w:val="auto"/>
        </w:rPr>
        <w:t>On February 20, 2025, our Board of Directors authorized us to repurchase an additional $1,000 million of our common stock pursuant to our stock repurchase program (the "Repurchase Program"), bringing the total amount authorized pursuant to the Repurchase Program to $5,000 million. During 2025, we repurchased approximately $328 million of our common stock under the Repurchase Program. All of the repurchase transactions during 2025 were settled in cash during the same period. As of December 31, 2025, we had approximately $1,192 million available under the Repurchase Program.</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years ended December 31, 2025, 2024 and 2023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Pr>
          <w:p>
            <w:pPr>
              <w:spacing w:after="0"/>
              <w:rPr>
                <w:sz w:val="17"/>
                <w:szCs w:val="17"/>
                <w:color w:val="auto"/>
              </w:rPr>
            </w:pPr>
          </w:p>
        </w:tc>
      </w:tr>
      <w:tr>
        <w:trPr>
          <w:trHeight w:val="191"/>
        </w:trPr>
        <w:tc>
          <w:tcPr>
            <w:tcW w:w="5440" w:type="dxa"/>
            <w:vAlign w:val="bottom"/>
          </w:tcPr>
          <w:p>
            <w:pPr>
              <w:spacing w:after="0"/>
              <w:rPr>
                <w:sz w:val="20"/>
                <w:szCs w:val="20"/>
                <w:color w:val="auto"/>
              </w:rPr>
            </w:pPr>
            <w:r>
              <w:rPr>
                <w:rFonts w:ascii="Arial" w:cs="Arial" w:eastAsia="Arial" w:hAnsi="Arial"/>
                <w:sz w:val="14"/>
                <w:szCs w:val="14"/>
                <w:i w:val="1"/>
                <w:iCs w:val="1"/>
                <w:color w:val="auto"/>
              </w:rPr>
              <w:t>Statements of Cash Flows Data</w:t>
            </w:r>
          </w:p>
        </w:tc>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196"/>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15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b w:val="1"/>
                <w:bCs w:val="1"/>
                <w:color w:val="auto"/>
              </w:rPr>
              <w:t>836</w:t>
            </w:r>
          </w:p>
        </w:tc>
        <w:tc>
          <w:tcPr>
            <w:tcW w:w="4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801</w:t>
            </w:r>
          </w:p>
        </w:tc>
        <w:tc>
          <w:tcPr>
            <w:tcW w:w="4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784</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Cash flows used for investing activities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r>
      <w:tr>
        <w:trPr>
          <w:trHeight w:val="203"/>
        </w:trPr>
        <w:tc>
          <w:tcPr>
            <w:tcW w:w="5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flows provided by (used for) financing activities</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7"/>
              <w:spacing w:after="0" w:line="202" w:lineRule="exact"/>
              <w:rPr>
                <w:sz w:val="20"/>
                <w:szCs w:val="20"/>
                <w:color w:val="auto"/>
              </w:rPr>
            </w:pPr>
            <w:r>
              <w:rPr>
                <w:rFonts w:ascii="Arial" w:cs="Arial" w:eastAsia="Arial" w:hAnsi="Arial"/>
                <w:sz w:val="18"/>
                <w:szCs w:val="18"/>
                <w:b w:val="1"/>
                <w:bCs w:val="1"/>
                <w:color w:val="auto"/>
              </w:rPr>
              <w:t>57</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(427)</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w:t>
            </w:r>
          </w:p>
        </w:tc>
      </w:tr>
    </w:tbl>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Generally, cash provided by operating activities has been adequate to fund our operations. We had significant liquidity, including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$1,495 million of cash and cash equivalents and $745 million available under the Revolving Credit Facility, net of $5 million in letters of credit,</w:t>
      </w:r>
    </w:p>
    <w:p>
      <w:pPr>
        <w:spacing w:after="0" w:line="234" w:lineRule="auto"/>
        <w:rPr>
          <w:sz w:val="20"/>
          <w:szCs w:val="20"/>
          <w:color w:val="auto"/>
        </w:rPr>
      </w:pPr>
      <w:r>
        <w:rPr>
          <w:rFonts w:ascii="Arial" w:cs="Arial" w:eastAsia="Arial" w:hAnsi="Arial"/>
          <w:sz w:val="18"/>
          <w:szCs w:val="18"/>
          <w:color w:val="auto"/>
        </w:rPr>
        <w:t>as of December 31, 2025. On January 2, 2026, we entered into the Amendment to the Credit Agreement, which increased the commitments</w:t>
      </w:r>
    </w:p>
    <w:p>
      <w:pPr>
        <w:spacing w:after="0" w:line="235" w:lineRule="auto"/>
        <w:rPr>
          <w:sz w:val="20"/>
          <w:szCs w:val="20"/>
          <w:color w:val="auto"/>
        </w:rPr>
      </w:pPr>
      <w:r>
        <w:rPr>
          <w:rFonts w:ascii="Arial" w:cs="Arial" w:eastAsia="Arial" w:hAnsi="Arial"/>
          <w:sz w:val="18"/>
          <w:szCs w:val="18"/>
          <w:color w:val="auto"/>
        </w:rPr>
        <w:t>under the Revolving Credit Facility by $250 million to an aggregate principal amount of up to $1,000 million, $300 million of which was</w:t>
      </w:r>
    </w:p>
    <w:p>
      <w:pPr>
        <w:spacing w:after="0" w:line="235" w:lineRule="auto"/>
        <w:rPr>
          <w:sz w:val="20"/>
          <w:szCs w:val="20"/>
          <w:color w:val="auto"/>
        </w:rPr>
      </w:pPr>
      <w:r>
        <w:rPr>
          <w:rFonts w:ascii="Arial" w:cs="Arial" w:eastAsia="Arial" w:hAnsi="Arial"/>
          <w:sz w:val="18"/>
          <w:szCs w:val="18"/>
          <w:color w:val="auto"/>
        </w:rPr>
        <w:t>borrowed to pay a portion of the consideration for the Acquisition and fees, costs and expenses related to the Acquisition. Following the</w:t>
      </w:r>
    </w:p>
    <w:p>
      <w:pPr>
        <w:spacing w:after="0" w:line="235" w:lineRule="auto"/>
        <w:rPr>
          <w:sz w:val="20"/>
          <w:szCs w:val="20"/>
          <w:color w:val="auto"/>
        </w:rPr>
      </w:pPr>
      <w:r>
        <w:rPr>
          <w:rFonts w:ascii="Arial" w:cs="Arial" w:eastAsia="Arial" w:hAnsi="Arial"/>
          <w:sz w:val="18"/>
          <w:szCs w:val="18"/>
          <w:color w:val="auto"/>
        </w:rPr>
        <w:t>closing of the Acquisition, we had $263 million of cash and cash equivalents and $695 million available under the Revolving Credit Facility,</w:t>
      </w:r>
    </w:p>
    <w:p>
      <w:pPr>
        <w:spacing w:after="0"/>
        <w:rPr>
          <w:sz w:val="20"/>
          <w:szCs w:val="20"/>
          <w:color w:val="auto"/>
        </w:rPr>
      </w:pPr>
      <w:r>
        <w:rPr>
          <w:rFonts w:ascii="Arial" w:cs="Arial" w:eastAsia="Arial" w:hAnsi="Arial"/>
          <w:sz w:val="18"/>
          <w:szCs w:val="18"/>
          <w:color w:val="auto"/>
        </w:rPr>
        <w:t>net of $5 million in letters of credit.</w:t>
      </w:r>
    </w:p>
    <w:p>
      <w:pPr>
        <w:spacing w:after="0" w:line="180"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At this time, we believe cash provided by operating activities, cash and cash equivalents and borrowing capacity under the Revolving Credit Facility will be sufficient to meet our known and anticipated cash requirements for the next twelve months and thereafter.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56"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Operating activities for the year ended December 31, 2025 generated $836 million of cash compared to $801 million for the year ended December 31, 2024. The increase was principally driven by lower cash income taxes, lower operating working capital funding requirements, UAW Local 933 contract signing incentives recognized in 2024 that did not reoccur in 2025 and decreased defined benefit pension plans funding payments, partially offset by lower gross profit, payments for expenses related to the Acquisition, lower cash interest received on interest rate swaps and higher cash incentive compensation payments.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56" w:lineRule="exact"/>
        <w:rPr>
          <w:sz w:val="20"/>
          <w:szCs w:val="20"/>
          <w:color w:val="auto"/>
        </w:rPr>
      </w:pPr>
    </w:p>
    <w:p>
      <w:pPr>
        <w:ind w:right="300" w:firstLine="494"/>
        <w:spacing w:after="0" w:line="271" w:lineRule="auto"/>
        <w:rPr>
          <w:sz w:val="20"/>
          <w:szCs w:val="20"/>
          <w:color w:val="auto"/>
        </w:rPr>
      </w:pPr>
      <w:r>
        <w:rPr>
          <w:rFonts w:ascii="Arial" w:cs="Arial" w:eastAsia="Arial" w:hAnsi="Arial"/>
          <w:sz w:val="18"/>
          <w:szCs w:val="18"/>
          <w:color w:val="auto"/>
        </w:rPr>
        <w:t>Investing activities for the year ended December 31, 2025 used $184 million of cash compared to $147 million for the year ended December 31, 2024. The increase was principally driven by a $32 million increase in capital expenditures.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(used for) financing activities</w:t>
      </w:r>
    </w:p>
    <w:p>
      <w:pPr>
        <w:spacing w:after="0" w:line="15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Financing activities for the year ended December 31, 2025 provided $57 million of cash compared to using $427 million for the year ended December 31, 2024. The increase was principally driven by $ 500 million of proceeds from the issuance of the 5.875% Senior Notes 2033 and $99 million of decreased payments on our long-term debt, partially offset by $ 74 million of higher stock repurchases under the Repurchase Program, $24 million of lower proceeds from the exercise of stock options, $8 million of increased debt financing fees primarily associated with the issuance of the 5.875% Senior Notes 2033 and the Bridge Facility and $5 million of higher taxes paid related to the net share settlement of equity awards.</w:t>
      </w:r>
    </w:p>
    <w:p>
      <w:pPr>
        <w:spacing w:after="0" w:line="1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58"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correspondingly change our earnings by approximately $8 million.</w:t>
      </w:r>
    </w:p>
    <w:p>
      <w:pPr>
        <w:spacing w:after="0" w:line="126"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Under the terms of certain previous U.S. government contracts, there were price reduction clauses and provisions for potential price reductions which were estimated at the time of sale based upon history and experience, and finalized after completion of U.S. government audits. Given our current price reduction reserve for government contracts, a 10% adjustment in our price reduction reserve would correspondingly change our earnings by approximately $5 million. Since 2014, Allison contracts with the U.S. Government have generally been firm, fixed price contracts and therefore have not required re-calculation of pricing based on cost principles.</w:t>
      </w:r>
    </w:p>
    <w:p>
      <w:pPr>
        <w:spacing w:after="0" w:line="122" w:lineRule="exact"/>
        <w:rPr>
          <w:sz w:val="20"/>
          <w:szCs w:val="20"/>
          <w:color w:val="auto"/>
        </w:rPr>
      </w:pPr>
    </w:p>
    <w:p>
      <w:pPr>
        <w:ind w:right="20" w:firstLine="494"/>
        <w:spacing w:after="0" w:line="271" w:lineRule="auto"/>
        <w:rPr>
          <w:sz w:val="20"/>
          <w:szCs w:val="20"/>
          <w:color w:val="auto"/>
        </w:rPr>
      </w:pPr>
      <w:r>
        <w:rPr>
          <w:rFonts w:ascii="Arial" w:cs="Arial" w:eastAsia="Arial" w:hAnsi="Arial"/>
          <w:sz w:val="18"/>
          <w:szCs w:val="18"/>
          <w:color w:val="auto"/>
        </w:rPr>
        <w:t>Further information is provided in "Note 2. Summary of Significant Accounting Policies” of Notes to Consolidated Financial Statements included in Part II, Item 8., of this Annual Report on Form 10-K.</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5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We have elected to perform our annual impairment tests for goodwill and indefinite-lived intangible assets on October 31 of every year using a multi-step impairment test.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to our carrying value. If the fair value exceeds the carrying value, no impairment is recorded, and we are not required to perform further testing. If the carrying value exceeds fair value, we would record an impairment loss equal to the difference.</w:t>
      </w:r>
    </w:p>
    <w:p>
      <w:pPr>
        <w:spacing w:after="0" w:line="125" w:lineRule="exact"/>
        <w:rPr>
          <w:sz w:val="20"/>
          <w:szCs w:val="20"/>
          <w:color w:val="auto"/>
        </w:rPr>
      </w:pPr>
    </w:p>
    <w:p>
      <w:pPr>
        <w:jc w:val="both"/>
        <w:ind w:right="440" w:firstLine="494"/>
        <w:spacing w:after="0" w:line="253"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15"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A quantitative analysis contains uncertainties because it is performed utilizing a discounted cash flow model which includes key assumptions, such as financial forecasts; net sales growth derived from market information, industry reports, marketing programs and future new product introductions; operating margin improvements derived</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from cost reduction programs and fixed cost leverage driven by higher sales volumes; and a risk-adjusted discount rate.</w:t>
      </w:r>
    </w:p>
    <w:p>
      <w:pPr>
        <w:spacing w:after="0" w:line="158" w:lineRule="exact"/>
        <w:rPr>
          <w:sz w:val="20"/>
          <w:szCs w:val="20"/>
          <w:color w:val="auto"/>
        </w:rPr>
      </w:pPr>
    </w:p>
    <w:p>
      <w:pPr>
        <w:ind w:right="60" w:firstLine="494"/>
        <w:spacing w:after="0" w:line="244" w:lineRule="auto"/>
        <w:rPr>
          <w:sz w:val="20"/>
          <w:szCs w:val="20"/>
          <w:color w:val="auto"/>
        </w:rPr>
      </w:pPr>
      <w:r>
        <w:rPr>
          <w:rFonts w:ascii="Arial" w:cs="Arial" w:eastAsia="Arial" w:hAnsi="Arial"/>
          <w:sz w:val="18"/>
          <w:szCs w:val="18"/>
          <w:color w:val="auto"/>
        </w:rPr>
        <w:t>Goodwill represents the excess of purchase price paid over the fair value of net assets acquired. In accordance with the Financial Accounting Standards Board’s (“FASB”) authoritative accounting guidance on goodwill, we do not amortize goodwill but rather evaluate it for impairment on an annual basis, or more often if events or circumstances change that could cause goodwill to become impaired. Goodwill is tested for impairment at the reporting unit level, which, for 2025, was the same as our one operating and reportable segment. We do not aggregate any components into our reporting unit.</w:t>
      </w:r>
    </w:p>
    <w:p>
      <w:pPr>
        <w:spacing w:after="0" w:line="122"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We elected to perform a Step 1 quantitative impairment analysis of goodwill in 2025, which indicated that the fair value of the reporting unit exceeded its carrying value, indicating no impairment. The fair value was determined utilizing a discounted cash flow model, which includes key assumptions, such as net sales growth derived from market information, industry reports, marketing programs and certain growth initiatives; operating margin improvements derived from cost reduction programs and fixed cost leverage driven by higher sales volumes; and a risk-adjusted discount rate. Events or circumstances that could unfavorably impact the key assumptions include lower net sales driven by market conditions, our inability to execute on marketing programs and/or growth initiatives, lower gross margins as a result of market conditions or failure to obtain forecasted cost reductions, or a higher discount rate as a result of market conditions. While unpredictable and inherently uncertain, management believes the forecast estimates were reasonable and incorporate assumptions that similar market participants would use in their estimates of fair value.</w:t>
      </w:r>
    </w:p>
    <w:p>
      <w:pPr>
        <w:spacing w:after="0" w:line="129"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are not amortized but are tested annually for impairment, or more often if events or circumstances change that could cause intangible assets with indefinite useful lives to become impaired. We elected to perform our annual indefinite-lived intangible assets impairment tests on October 31, 2025 and followed a similar multi-step impairment test that was performed on goodwill. Using the relief-from-royalty method under the income valuation approach, our 2025 annual trade name impairment test indicated that the fair value of the trade name exceeded its carrying value, indicating no impairment. Events or circumstances that could unfavorably impact the key assumptions included lower net sales driven by market conditions, our inability to execute on marketing programs and/or growth initiatives, lower gross margin as a result of market conditions or failure to obtain forecasted cost reductions, or a higher discount rate as a result of market conditions. While unpredictable and inherently uncertain, we believe the forecast estimates are reasonable and incorporate those assumptions that similar market participants would use in their estimates of fair value.</w:t>
      </w:r>
    </w:p>
    <w:p>
      <w:pPr>
        <w:spacing w:after="0" w:line="126"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We evaluate the remaining useful life of the other intangible assets on a periodic basis to determine whether events or circumstances warrant a revision to the remaining useful life. Assumptions and estimates about future values and remaining useful lives of our intangible and other long-lived assets are complex and subjective. Such assumptions and estimates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 Further information is provided in "Note 6. Goodwill and Other Intangible Assets” of Notes to Consolidated Financial Statements included in Part II, Item 8., of this Annual Report on Form 10-K.</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6"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22"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20"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As a result of events and circumstances in the fourth quarter of 2025, primarily deteriorating market conditions, we performed an impairment analysis on certain of our long-lived assets related to the production of certain electrified products. We used a market approach to determine the fair value of the assets, resulting in an $8 million and a $21 million impairment loss recorded for the year ended December 31, 2025 for tangible and intangible assets, respectively.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Warranty</w:t>
      </w:r>
    </w:p>
    <w:p>
      <w:pPr>
        <w:spacing w:after="0" w:line="156"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expense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 recover certain costs from our suppliers and record a receivable from the supplier when we believe a recovery is realizable. Warranty costs may differ from those estimated if actual claim rates are higher or lower than our historical rates. Further information is provided in "Note 10. Product Warranty Liabilities” of Notes to Consolidated Financial Statements included in Part II, Item 8., of this Annual Report on Form 10-K, which contains a summary of the activity in our warranty liability account for 2025, 2024 and 2023, including adjustments to pre-existing warranties.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56"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Pension and 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20"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A change in the discount rate can have a significant impact on determining our benefit obligations. Our current discount rate is determined by matching the plans’ projected cash flows to a yield curve based on long-term, fixed income debt instruments available as of the measurement date of December 31, 2025. The effect of a one percentage point decrease in the assumed discount rate would result in an increase in the December 31, 2025 defined benefit pension plans obligation of approximately $13 million. Similarly, a one percentage point decrease 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assumed discount rate would result in an increase in the December 31, 2025 OPEB obligation of approximately $6 million.</w:t>
      </w:r>
    </w:p>
    <w:p>
      <w:pPr>
        <w:spacing w:after="0" w:line="158"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Further information is provided in "Note 15. Employee Benefit Plans” of Notes to Consolidated Financial Statements included in Part II, Item 8., of this Annual Report on Form 10-K, which contains our review on various actuarial assumptions.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When releasing income tax effects from accumulated other comprehensive loss, we utilize the portfolio securities approach.</w:t>
      </w:r>
    </w:p>
    <w:p>
      <w:pPr>
        <w:spacing w:after="0" w:line="125"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The need to establish a valuation allowance against the deferred tax assets is assessed at least quarterly based on a more-likely-than-not realization threshold, in accordance with the FASB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25"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Further information on income taxes is provided in "Note 16. Income Taxes” of Notes to Consolidated Financial Statements included in Part II, Item 8., of this Annual Report on Form 10-K.</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6"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We use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58"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Refer to "Note 2. Summary of Significant Accounting Policies” of Notes to Consolidated Financial Statements included in Part II, Item 8., of this Annual Report on Form 10-K.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58" w:lineRule="exact"/>
        <w:rPr>
          <w:sz w:val="20"/>
          <w:szCs w:val="20"/>
          <w:color w:val="auto"/>
        </w:rPr>
      </w:pPr>
    </w:p>
    <w:p>
      <w:pPr>
        <w:ind w:right="420" w:firstLine="494"/>
        <w:spacing w:after="0" w:line="271"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6"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Our principal interest rate exposure relates to outstanding amounts under our Senior Secured Credit Facility. As of December 31, 2025, our Senior Secured Credit Facility provided for variable rate borrowings of up to $ 1,254 million, including our $509 million Term Loan and $745 million under our Revolving Credit Facility, net of $5 million of letters of credit. A one-eighth percent increase or decrease in assumed interest rates for the Senior Secured Credit Facility, if fully drawn as of December 31, 2025, would have an impact of approximately $2 million on interest expense per year. As of December 31, 2025, we had no amounts outstanding under the Revolving Credit Facility.</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8. Debt” of Notes to Consolidated Financial Statements included in Part II, Item 8., of this Annual Report on Form 10-K.</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56"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120"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Assuming the levels of foreign currency transactions as of December 31, 2025, a 10% aggregate increase or decrease in the Chinese Yuan Renminbi, Euro, Indian Rupee, and Japanese Yen would correspondingly change our earnings, net of tax, by an estimated $5 million per year. We believe our other direct exposure to foreign currencies was immaterial as of December 31, 2025. The acquisition of the Acquired Off-Highway Business has increased our exposure to foreign currencies.</w:t>
      </w: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56"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December 31, 2025, approximately 66% of our cost of sales consisted of purchased components.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125" w:lineRule="exact"/>
        <w:rPr>
          <w:sz w:val="20"/>
          <w:szCs w:val="20"/>
          <w:color w:val="auto"/>
        </w:rPr>
      </w:pPr>
    </w:p>
    <w:p>
      <w:pPr>
        <w:ind w:right="420" w:firstLine="494"/>
        <w:spacing w:after="0" w:line="271" w:lineRule="auto"/>
        <w:rPr>
          <w:sz w:val="20"/>
          <w:szCs w:val="20"/>
          <w:color w:val="auto"/>
        </w:rPr>
      </w:pPr>
      <w:r>
        <w:rPr>
          <w:rFonts w:ascii="Arial" w:cs="Arial" w:eastAsia="Arial" w:hAnsi="Arial"/>
          <w:sz w:val="18"/>
          <w:szCs w:val="18"/>
          <w:color w:val="auto"/>
        </w:rPr>
        <w:t>Assuming the levels of commodity purchases as of December 31, 2025, a 10% variation in the price of aluminum and steel would correspondingly change our earnings by approximately $7 million and $11 million per year, respectively.</w:t>
      </w:r>
    </w:p>
    <w:p>
      <w:pPr>
        <w:spacing w:after="0" w:line="100" w:lineRule="exact"/>
        <w:rPr>
          <w:sz w:val="20"/>
          <w:szCs w:val="20"/>
          <w:color w:val="auto"/>
        </w:rPr>
      </w:pPr>
    </w:p>
    <w:p>
      <w:pPr>
        <w:ind w:right="20" w:firstLine="494"/>
        <w:spacing w:after="0" w:line="271"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42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920" w:type="dxa"/>
            <w:vAlign w:val="bottom"/>
            <w:gridSpan w:val="6"/>
          </w:tcPr>
          <w:p>
            <w:pPr>
              <w:jc w:val="center"/>
              <w:ind w:right="1680"/>
              <w:spacing w:after="0"/>
              <w:rPr>
                <w:sz w:val="20"/>
                <w:szCs w:val="20"/>
                <w:color w:val="auto"/>
              </w:rPr>
            </w:pPr>
            <w:r>
              <w:rPr>
                <w:rFonts w:ascii="Arial" w:cs="Arial" w:eastAsia="Arial" w:hAnsi="Arial"/>
                <w:sz w:val="18"/>
                <w:szCs w:val="18"/>
                <w:b w:val="1"/>
                <w:bCs w:val="1"/>
                <w:color w:val="auto"/>
              </w:rPr>
              <w:t>INDEX TO CONSOLIDATED FINANCIAL STATEMENTS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20" w:type="dxa"/>
            <w:vAlign w:val="bottom"/>
            <w:gridSpan w:val="4"/>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6040" w:type="dxa"/>
            <w:vAlign w:val="bottom"/>
            <w:gridSpan w:val="6"/>
            <w:vMerge w:val="restart"/>
          </w:tcPr>
          <w:p>
            <w:pPr>
              <w:spacing w:after="0"/>
              <w:rPr>
                <w:sz w:val="20"/>
                <w:szCs w:val="20"/>
                <w:color w:val="auto"/>
              </w:rPr>
            </w:pPr>
            <w:r>
              <w:rPr>
                <w:rFonts w:ascii="Arial" w:cs="Arial" w:eastAsia="Arial" w:hAnsi="Arial"/>
                <w:sz w:val="18"/>
                <w:szCs w:val="18"/>
                <w:color w:val="0000FF"/>
                <w:w w:val="99"/>
              </w:rPr>
              <w:t>Report of Independent Registered Public Accounting Firm (PCAOB: ID 238)</w:t>
            </w:r>
          </w:p>
        </w:tc>
        <w:tc>
          <w:tcPr>
            <w:tcW w:w="4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6040" w:type="dxa"/>
            <w:vAlign w:val="bottom"/>
            <w:tcBorders>
              <w:bottom w:val="single" w:sz="8" w:color="0000FF"/>
            </w:tcBorders>
            <w:gridSpan w:val="6"/>
            <w:vMerge w:val="continue"/>
          </w:tcPr>
          <w:p>
            <w:pPr>
              <w:spacing w:after="0"/>
              <w:rPr>
                <w:sz w:val="18"/>
                <w:szCs w:val="18"/>
                <w:color w:val="auto"/>
              </w:rPr>
            </w:pPr>
          </w:p>
        </w:tc>
        <w:tc>
          <w:tcPr>
            <w:tcW w:w="426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0000FF"/>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0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0000FF"/>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38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300" w:type="dxa"/>
            <w:vAlign w:val="bottom"/>
            <w:gridSpan w:val="7"/>
          </w:tcPr>
          <w:p>
            <w:pPr>
              <w:spacing w:after="0"/>
              <w:rPr>
                <w:sz w:val="20"/>
                <w:szCs w:val="20"/>
                <w:color w:val="auto"/>
              </w:rPr>
            </w:pPr>
            <w:r>
              <w:rPr>
                <w:rFonts w:ascii="Arial" w:cs="Arial" w:eastAsia="Arial" w:hAnsi="Arial"/>
                <w:sz w:val="18"/>
                <w:szCs w:val="18"/>
                <w:color w:val="0000FF"/>
              </w:rPr>
              <w:t>Consolidated Statements of Comprehensive Income</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0000FF"/>
              </w:rPr>
              <w:t>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160" w:type="dxa"/>
            <w:vAlign w:val="bottom"/>
            <w:gridSpan w:val="5"/>
          </w:tcPr>
          <w:p>
            <w:pPr>
              <w:spacing w:after="0"/>
              <w:rPr>
                <w:sz w:val="20"/>
                <w:szCs w:val="20"/>
                <w:color w:val="auto"/>
              </w:rPr>
            </w:pPr>
            <w:r>
              <w:rPr>
                <w:rFonts w:ascii="Arial" w:cs="Arial" w:eastAsia="Arial" w:hAnsi="Arial"/>
                <w:sz w:val="18"/>
                <w:szCs w:val="18"/>
                <w:color w:val="0000FF"/>
              </w:rPr>
              <w:t>Consolidated Statements of Cash Flows</w:t>
            </w:r>
          </w:p>
        </w:tc>
        <w:tc>
          <w:tcPr>
            <w:tcW w:w="614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0000FF"/>
                <w:w w:val="89"/>
              </w:rPr>
              <w:t>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2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300" w:type="dxa"/>
            <w:vAlign w:val="bottom"/>
            <w:gridSpan w:val="7"/>
          </w:tcPr>
          <w:p>
            <w:pPr>
              <w:spacing w:after="0"/>
              <w:rPr>
                <w:sz w:val="20"/>
                <w:szCs w:val="20"/>
                <w:color w:val="auto"/>
              </w:rPr>
            </w:pPr>
            <w:r>
              <w:rPr>
                <w:rFonts w:ascii="Arial" w:cs="Arial" w:eastAsia="Arial" w:hAnsi="Arial"/>
                <w:sz w:val="18"/>
                <w:szCs w:val="18"/>
                <w:color w:val="0000FF"/>
              </w:rPr>
              <w:t>Consolidated Statements of Stockholders' Equity</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0000FF"/>
              </w:rPr>
              <w:t>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880" w:type="dxa"/>
            <w:vAlign w:val="bottom"/>
            <w:gridSpan w:val="4"/>
          </w:tcPr>
          <w:p>
            <w:pPr>
              <w:spacing w:after="0"/>
              <w:rPr>
                <w:sz w:val="20"/>
                <w:szCs w:val="20"/>
                <w:color w:val="auto"/>
              </w:rPr>
            </w:pPr>
            <w:r>
              <w:rPr>
                <w:rFonts w:ascii="Arial" w:cs="Arial" w:eastAsia="Arial" w:hAnsi="Arial"/>
                <w:sz w:val="18"/>
                <w:szCs w:val="18"/>
                <w:color w:val="0000FF"/>
              </w:rPr>
              <w:t>Notes to Consolidated Financial Statements</w:t>
            </w:r>
          </w:p>
        </w:tc>
        <w:tc>
          <w:tcPr>
            <w:tcW w:w="6420" w:type="dxa"/>
            <w:vAlign w:val="bottom"/>
            <w:gridSpan w:val="3"/>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0000FF"/>
                <w:w w:val="89"/>
              </w:rPr>
              <w:t>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6"/>
        </w:trPr>
        <w:tc>
          <w:tcPr>
            <w:tcW w:w="120" w:type="dxa"/>
            <w:vAlign w:val="bottom"/>
          </w:tcPr>
          <w:p>
            <w:pPr>
              <w:spacing w:after="0"/>
              <w:rPr>
                <w:sz w:val="24"/>
                <w:szCs w:val="24"/>
                <w:color w:val="auto"/>
              </w:rPr>
            </w:pPr>
          </w:p>
        </w:tc>
        <w:tc>
          <w:tcPr>
            <w:tcW w:w="3500" w:type="dxa"/>
            <w:vAlign w:val="bottom"/>
            <w:tcBorders>
              <w:top w:val="single" w:sz="8" w:color="0000FF"/>
            </w:tcBorders>
            <w:gridSpan w:val="3"/>
          </w:tcPr>
          <w:p>
            <w:pPr>
              <w:spacing w:after="0"/>
              <w:rPr>
                <w:sz w:val="24"/>
                <w:szCs w:val="24"/>
                <w:color w:val="auto"/>
              </w:rPr>
            </w:pPr>
          </w:p>
        </w:tc>
        <w:tc>
          <w:tcPr>
            <w:tcW w:w="2540" w:type="dxa"/>
            <w:vAlign w:val="bottom"/>
            <w:gridSpan w:val="3"/>
          </w:tcPr>
          <w:p>
            <w:pPr>
              <w:jc w:val="right"/>
              <w:ind w:right="440"/>
              <w:spacing w:after="0"/>
              <w:rPr>
                <w:sz w:val="20"/>
                <w:szCs w:val="20"/>
                <w:color w:val="auto"/>
              </w:rPr>
            </w:pPr>
            <w:r>
              <w:rPr>
                <w:rFonts w:ascii="Arial" w:cs="Arial" w:eastAsia="Arial" w:hAnsi="Arial"/>
                <w:sz w:val="18"/>
                <w:szCs w:val="18"/>
                <w:color w:val="auto"/>
              </w:rPr>
              <w:t>57</w:t>
            </w:r>
          </w:p>
        </w:tc>
        <w:tc>
          <w:tcPr>
            <w:tcW w:w="4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Allison Transmission Holdings, Inc.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2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We have audited the accompanying consolidated balance sheets of Allison Transmission Holdings, Inc. and its subsidiaries (the "Company") as of December 31, 2025 and 2024, and the related consolidated statements of comprehensive income, of stockholders’ equity and of cash flows for each of the three years in the period ended December 31, 2025, including the related notes and financial statement schedule listed in the index appearing under Item 15(a)(2) (collectively referred to as the "consolidated financial statements"). We also have audited the Company's internal control over financial reporting as of December 31,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w:t>
      </w:r>
    </w:p>
    <w:p>
      <w:pPr>
        <w:spacing w:after="0" w:line="111"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2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Warranty Liabilities</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As described in Notes 2 and 10 to the consolidated financial statements, the Company’s consolidated product warranty liability balance was $84 million as of December 31, 2025. Management makes provisions for estimated expenses related to product warranties at the time the products are sold. These estimates are established using historical information including the nature, frequency, and average cost of warranty claims and are adjusted as actual information becomes available.</w:t>
      </w:r>
    </w:p>
    <w:p>
      <w:pPr>
        <w:spacing w:after="0" w:line="10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principal considerations for our determination that performing procedures relating to the product warranty liabilities is a critical audit matter are (i) the significant judgment by management when determining the estimate of the product warranty liabilities; (ii) a high degree of auditor judgment, subjectivity, and effort in performing procedures and evaluating management’s significant assumptions related to the frequency and average cost of warranty claims; and (iii) the audit effort involved the use of professionals with specialized skill and knowledge.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product warranty liabilities, including controls over the significant assumptions and data used to estimate the product warranty liabilities. These procedures also included, among others (i) testing the completeness and accuracy of historical warranty claims data used in the estimate and (ii) the involvement of professionals with specialized skill and knowledge to assist in (a) developing an independent estimate of the product warranty liability, on a test basis, and comparing the independent estimate to management’s estimate and (b) evaluating the reasonableness of significant assumptions related to the frequency and average cost of warranty claims.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rPr>
          <w:sz w:val="20"/>
          <w:szCs w:val="20"/>
          <w:color w:val="auto"/>
        </w:rPr>
      </w:pPr>
      <w:r>
        <w:rPr>
          <w:rFonts w:ascii="Arial" w:cs="Arial" w:eastAsia="Arial" w:hAnsi="Arial"/>
          <w:sz w:val="18"/>
          <w:szCs w:val="18"/>
          <w:color w:val="auto"/>
        </w:rPr>
        <w:t>February 24, 2026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(dollars in millions,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2024</w:t>
            </w:r>
          </w:p>
        </w:tc>
      </w:tr>
      <w:tr>
        <w:trPr>
          <w:trHeight w:val="196"/>
        </w:trPr>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6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1,495</w:t>
            </w:r>
          </w:p>
        </w:tc>
        <w:tc>
          <w:tcPr>
            <w:tcW w:w="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781</w:t>
            </w:r>
          </w:p>
        </w:tc>
      </w:tr>
      <w:tr>
        <w:trPr>
          <w:trHeight w:val="203"/>
        </w:trPr>
        <w:tc>
          <w:tcPr>
            <w:tcW w:w="680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 net of allowance for doubtful accounts of $1</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333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360</w:t>
            </w:r>
          </w:p>
        </w:tc>
      </w:tr>
      <w:tr>
        <w:trPr>
          <w:trHeight w:val="203"/>
        </w:trPr>
        <w:tc>
          <w:tcPr>
            <w:tcW w:w="6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Inventories</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316</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315</w:t>
            </w:r>
          </w:p>
        </w:tc>
      </w:tr>
      <w:tr>
        <w:trPr>
          <w:trHeight w:val="203"/>
        </w:trPr>
        <w:tc>
          <w:tcPr>
            <w:tcW w:w="6800" w:type="dxa"/>
            <w:vAlign w:val="bottom"/>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89</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82</w:t>
            </w:r>
          </w:p>
        </w:tc>
      </w:tr>
      <w:tr>
        <w:trPr>
          <w:trHeight w:val="196"/>
        </w:trPr>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2,233</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1,538</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w:t>
            </w:r>
          </w:p>
        </w:tc>
      </w:tr>
      <w:tr>
        <w:trPr>
          <w:trHeight w:val="203"/>
        </w:trPr>
        <w:tc>
          <w:tcPr>
            <w:tcW w:w="6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862</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803</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794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822</w:t>
            </w:r>
          </w:p>
        </w:tc>
      </w:tr>
      <w:tr>
        <w:trPr>
          <w:trHeight w:val="203"/>
        </w:trPr>
        <w:tc>
          <w:tcPr>
            <w:tcW w:w="6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2,075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2,075</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94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87</w:t>
            </w:r>
          </w:p>
        </w:tc>
      </w:tr>
      <w:tr>
        <w:trPr>
          <w:trHeight w:val="236"/>
        </w:trPr>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114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6,082</w:t>
            </w:r>
          </w:p>
        </w:tc>
        <w:tc>
          <w:tcPr>
            <w:tcW w:w="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5,336</w:t>
            </w:r>
          </w:p>
        </w:tc>
      </w:tr>
      <w:tr>
        <w:trPr>
          <w:trHeight w:val="183"/>
        </w:trPr>
        <w:tc>
          <w:tcPr>
            <w:tcW w:w="680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9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203"/>
        </w:trPr>
        <w:tc>
          <w:tcPr>
            <w:tcW w:w="6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680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190</w:t>
            </w: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212</w:t>
            </w:r>
          </w:p>
        </w:tc>
      </w:tr>
      <w:tr>
        <w:trPr>
          <w:trHeight w:val="203"/>
        </w:trPr>
        <w:tc>
          <w:tcPr>
            <w:tcW w:w="6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 warranty liability</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34</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31</w:t>
            </w:r>
          </w:p>
        </w:tc>
      </w:tr>
      <w:tr>
        <w:trPr>
          <w:trHeight w:val="203"/>
        </w:trPr>
        <w:tc>
          <w:tcPr>
            <w:tcW w:w="680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w:t>
            </w:r>
          </w:p>
        </w:tc>
      </w:tr>
      <w:tr>
        <w:trPr>
          <w:trHeight w:val="203"/>
        </w:trPr>
        <w:tc>
          <w:tcPr>
            <w:tcW w:w="6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34</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41</w:t>
            </w:r>
          </w:p>
        </w:tc>
      </w:tr>
      <w:tr>
        <w:trPr>
          <w:trHeight w:val="203"/>
        </w:trPr>
        <w:tc>
          <w:tcPr>
            <w:tcW w:w="680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197</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217</w:t>
            </w:r>
          </w:p>
        </w:tc>
      </w:tr>
      <w:tr>
        <w:trPr>
          <w:trHeight w:val="196"/>
        </w:trPr>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Liabilities</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460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506</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Product warranty liability</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50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w:t>
            </w:r>
          </w:p>
        </w:tc>
      </w:tr>
      <w:tr>
        <w:trPr>
          <w:trHeight w:val="203"/>
        </w:trPr>
        <w:tc>
          <w:tcPr>
            <w:tcW w:w="6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revenue</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103</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95</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2,885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2,395</w:t>
            </w:r>
          </w:p>
        </w:tc>
      </w:tr>
      <w:tr>
        <w:trPr>
          <w:trHeight w:val="203"/>
        </w:trPr>
        <w:tc>
          <w:tcPr>
            <w:tcW w:w="6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557</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501</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160</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152</w:t>
            </w:r>
          </w:p>
        </w:tc>
      </w:tr>
      <w:tr>
        <w:trPr>
          <w:trHeight w:val="196"/>
        </w:trPr>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4,215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3,685</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(see Note 18)</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68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184"/>
        </w:trPr>
        <w:tc>
          <w:tcPr>
            <w:tcW w:w="6800" w:type="dxa"/>
            <w:vAlign w:val="bottom"/>
          </w:tcPr>
          <w:p>
            <w:pPr>
              <w:ind w:left="200"/>
              <w:spacing w:after="0" w:line="183" w:lineRule="exact"/>
              <w:rPr>
                <w:sz w:val="20"/>
                <w:szCs w:val="20"/>
                <w:color w:val="auto"/>
              </w:rPr>
            </w:pPr>
            <w:r>
              <w:rPr>
                <w:rFonts w:ascii="Arial" w:cs="Arial" w:eastAsia="Arial" w:hAnsi="Arial"/>
                <w:sz w:val="18"/>
                <w:szCs w:val="18"/>
                <w:color w:val="auto"/>
              </w:rPr>
              <w:t>Common stock, $0.01 par value, 1,880,000,000 shares authorized,</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3"/>
        </w:trPr>
        <w:tc>
          <w:tcPr>
            <w:tcW w:w="6800" w:type="dxa"/>
            <w:vAlign w:val="bottom"/>
          </w:tcPr>
          <w:p>
            <w:pPr>
              <w:ind w:left="360"/>
              <w:spacing w:after="0" w:line="202" w:lineRule="exact"/>
              <w:rPr>
                <w:sz w:val="20"/>
                <w:szCs w:val="20"/>
                <w:color w:val="auto"/>
              </w:rPr>
            </w:pPr>
            <w:r>
              <w:rPr>
                <w:rFonts w:ascii="Arial" w:cs="Arial" w:eastAsia="Arial" w:hAnsi="Arial"/>
                <w:sz w:val="18"/>
                <w:szCs w:val="18"/>
                <w:color w:val="auto"/>
              </w:rPr>
              <w:t>82,828,704 shares issued and outstanding and 85,776,801 shares</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1"/>
        </w:trPr>
        <w:tc>
          <w:tcPr>
            <w:tcW w:w="6800" w:type="dxa"/>
            <w:vAlign w:val="bottom"/>
          </w:tcPr>
          <w:p>
            <w:pPr>
              <w:ind w:left="360"/>
              <w:spacing w:after="0"/>
              <w:rPr>
                <w:sz w:val="20"/>
                <w:szCs w:val="20"/>
                <w:color w:val="auto"/>
              </w:rPr>
            </w:pPr>
            <w:r>
              <w:rPr>
                <w:rFonts w:ascii="Arial" w:cs="Arial" w:eastAsia="Arial" w:hAnsi="Arial"/>
                <w:sz w:val="18"/>
                <w:szCs w:val="18"/>
                <w:color w:val="auto"/>
              </w:rPr>
              <w:t>issued and outstanding, respectively</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184"/>
        </w:trPr>
        <w:tc>
          <w:tcPr>
            <w:tcW w:w="680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Non-voting common stock, $0.01 par value, 20,000,000 shares</w:t>
            </w: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r>
      <w:tr>
        <w:trPr>
          <w:trHeight w:val="221"/>
        </w:trPr>
        <w:tc>
          <w:tcPr>
            <w:tcW w:w="6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authorized, none issued and outstanding</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184"/>
        </w:trPr>
        <w:tc>
          <w:tcPr>
            <w:tcW w:w="6800" w:type="dxa"/>
            <w:vAlign w:val="bottom"/>
          </w:tcPr>
          <w:p>
            <w:pPr>
              <w:ind w:left="200"/>
              <w:spacing w:after="0" w:line="183" w:lineRule="exact"/>
              <w:rPr>
                <w:sz w:val="20"/>
                <w:szCs w:val="20"/>
                <w:color w:val="auto"/>
              </w:rPr>
            </w:pPr>
            <w:r>
              <w:rPr>
                <w:rFonts w:ascii="Arial" w:cs="Arial" w:eastAsia="Arial" w:hAnsi="Arial"/>
                <w:sz w:val="18"/>
                <w:szCs w:val="18"/>
                <w:color w:val="auto"/>
              </w:rPr>
              <w:t>Preferred stock, $0.01 par value, 100,000,000 shares authorized, none</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21"/>
        </w:trPr>
        <w:tc>
          <w:tcPr>
            <w:tcW w:w="6800" w:type="dxa"/>
            <w:vAlign w:val="bottom"/>
          </w:tcPr>
          <w:p>
            <w:pPr>
              <w:ind w:left="360"/>
              <w:spacing w:after="0"/>
              <w:rPr>
                <w:sz w:val="20"/>
                <w:szCs w:val="20"/>
                <w:color w:val="auto"/>
              </w:rPr>
            </w:pPr>
            <w:r>
              <w:rPr>
                <w:rFonts w:ascii="Arial" w:cs="Arial" w:eastAsia="Arial" w:hAnsi="Arial"/>
                <w:sz w:val="18"/>
                <w:szCs w:val="18"/>
                <w:color w:val="auto"/>
              </w:rPr>
              <w:t>issued and outstanding</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3"/>
        </w:trPr>
        <w:tc>
          <w:tcPr>
            <w:tcW w:w="6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Paid in capital</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1,960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1,940</w:t>
            </w:r>
          </w:p>
        </w:tc>
      </w:tr>
      <w:tr>
        <w:trPr>
          <w:trHeight w:val="203"/>
        </w:trPr>
        <w:tc>
          <w:tcPr>
            <w:tcW w:w="680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r>
      <w:tr>
        <w:trPr>
          <w:trHeight w:val="203"/>
        </w:trPr>
        <w:tc>
          <w:tcPr>
            <w:tcW w:w="68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9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(56)</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r>
      <w:tr>
        <w:trPr>
          <w:trHeight w:val="196"/>
        </w:trPr>
        <w:tc>
          <w:tcPr>
            <w:tcW w:w="6800" w:type="dxa"/>
            <w:vAlign w:val="bottom"/>
          </w:tcPr>
          <w:p>
            <w:pPr>
              <w:spacing w:after="0" w:line="196" w:lineRule="exact"/>
              <w:rPr>
                <w:sz w:val="20"/>
                <w:szCs w:val="20"/>
                <w:color w:val="auto"/>
              </w:rPr>
            </w:pPr>
            <w:r>
              <w:rPr>
                <w:rFonts w:ascii="Arial" w:cs="Arial" w:eastAsia="Arial" w:hAnsi="Arial"/>
                <w:sz w:val="18"/>
                <w:szCs w:val="18"/>
                <w:color w:val="auto"/>
              </w:rPr>
              <w:t>TOTAL STOCKHOLDERS’ EQUITY</w:t>
            </w:r>
          </w:p>
        </w:tc>
        <w:tc>
          <w:tcPr>
            <w:tcW w:w="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b w:val="1"/>
                <w:bCs w:val="1"/>
                <w:color w:val="auto"/>
              </w:rPr>
              <w:t>1,867</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1,651</w:t>
            </w:r>
          </w:p>
        </w:tc>
      </w:tr>
      <w:tr>
        <w:trPr>
          <w:trHeight w:val="216"/>
        </w:trPr>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 &amp; STOCKHOLDERS’ EQUITY</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6,082</w:t>
            </w:r>
          </w:p>
        </w:tc>
        <w:tc>
          <w:tcPr>
            <w:tcW w:w="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5,336</w:t>
            </w:r>
          </w:p>
        </w:tc>
      </w:tr>
      <w:tr>
        <w:trPr>
          <w:trHeight w:val="20"/>
        </w:trPr>
        <w:tc>
          <w:tcPr>
            <w:tcW w:w="68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-3685540</wp:posOffset>
            </wp:positionV>
            <wp:extent cx="111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-3668395</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-299720</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6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666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3,010</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3,225</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1,547</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1,696</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196"/>
        </w:trPr>
        <w:tc>
          <w:tcPr>
            <w:tcW w:w="666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8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1,463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1,529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7"/>
                <w:szCs w:val="17"/>
                <w:color w:val="auto"/>
              </w:rPr>
            </w:pPr>
          </w:p>
        </w:tc>
        <w:tc>
          <w:tcPr>
            <w:tcW w:w="6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380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336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3"/>
        </w:trPr>
        <w:tc>
          <w:tcPr>
            <w:tcW w:w="666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Engineering — research and development</w:t>
            </w:r>
          </w:p>
        </w:tc>
        <w:tc>
          <w:tcPr>
            <w:tcW w:w="8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174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200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Loss associated with impairment of long-lived assets</w:t>
            </w:r>
          </w:p>
        </w:tc>
        <w:tc>
          <w:tcPr>
            <w:tcW w:w="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66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8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880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992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6660" w:type="dxa"/>
            <w:vAlign w:val="bottom"/>
            <w:tcBorders>
              <w:bottom w:val="single" w:sz="8" w:color="CFF0FC"/>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 net</w:t>
            </w:r>
          </w:p>
        </w:tc>
        <w:tc>
          <w:tcPr>
            <w:tcW w:w="8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16</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6660" w:type="dxa"/>
            <w:vAlign w:val="bottom"/>
          </w:tcPr>
          <w:p>
            <w:pPr>
              <w:spacing w:after="0" w:line="196" w:lineRule="exact"/>
              <w:rPr>
                <w:sz w:val="20"/>
                <w:szCs w:val="20"/>
                <w:color w:val="auto"/>
              </w:rPr>
            </w:pPr>
            <w:r>
              <w:rPr>
                <w:rFonts w:ascii="Arial" w:cs="Arial" w:eastAsia="Arial" w:hAnsi="Arial"/>
                <w:sz w:val="18"/>
                <w:szCs w:val="18"/>
                <w:b w:val="1"/>
                <w:bCs w:val="1"/>
                <w:color w:val="auto"/>
              </w:rPr>
              <w:t>Income before income taxes</w:t>
            </w:r>
          </w:p>
        </w:tc>
        <w:tc>
          <w:tcPr>
            <w:tcW w:w="820" w:type="dxa"/>
            <w:vAlign w:val="bottom"/>
          </w:tcPr>
          <w:p>
            <w:pPr>
              <w:spacing w:after="0"/>
              <w:rPr>
                <w:sz w:val="17"/>
                <w:szCs w:val="17"/>
                <w:color w:val="auto"/>
              </w:rPr>
            </w:pPr>
          </w:p>
        </w:tc>
        <w:tc>
          <w:tcPr>
            <w:tcW w:w="6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804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897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3"/>
        </w:trPr>
        <w:tc>
          <w:tcPr>
            <w:tcW w:w="6660" w:type="dxa"/>
            <w:vAlign w:val="bottom"/>
            <w:tcBorders>
              <w:bottom w:val="single" w:sz="8" w:color="CFF0FC"/>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(181)</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(166)</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6660" w:type="dxa"/>
            <w:vAlign w:val="bottom"/>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820" w:type="dxa"/>
            <w:vAlign w:val="bottom"/>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623</w:t>
            </w:r>
          </w:p>
        </w:tc>
        <w:tc>
          <w:tcPr>
            <w:tcW w:w="4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731</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60" w:type="dxa"/>
            <w:vAlign w:val="bottom"/>
            <w:tcBorders>
              <w:right w:val="single" w:sz="8" w:color="CFF0FC"/>
            </w:tcBorders>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Basic earnings per share attributable to common</w:t>
            </w:r>
          </w:p>
        </w:tc>
        <w:tc>
          <w:tcPr>
            <w:tcW w:w="820" w:type="dxa"/>
            <w:vAlign w:val="bottom"/>
            <w:vMerge w:val="restart"/>
            <w:shd w:val="clear" w:color="auto" w:fill="CFF0FC"/>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6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7.42</w:t>
            </w:r>
          </w:p>
        </w:tc>
        <w:tc>
          <w:tcPr>
            <w:tcW w:w="4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FF0FC"/>
          </w:tcPr>
          <w:p>
            <w:pPr>
              <w:spacing w:after="0"/>
              <w:rPr>
                <w:sz w:val="15"/>
                <w:szCs w:val="15"/>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1"/>
        </w:trPr>
        <w:tc>
          <w:tcPr>
            <w:tcW w:w="6660" w:type="dxa"/>
            <w:vAlign w:val="bottom"/>
            <w:tcBorders>
              <w:right w:val="single" w:sz="8" w:color="CFF0FC"/>
            </w:tcBorders>
            <w:shd w:val="clear" w:color="auto" w:fill="CFF0FC"/>
          </w:tcPr>
          <w:p>
            <w:pPr>
              <w:ind w:left="160"/>
              <w:spacing w:after="0" w:line="161" w:lineRule="exact"/>
              <w:rPr>
                <w:sz w:val="20"/>
                <w:szCs w:val="20"/>
                <w:color w:val="auto"/>
              </w:rPr>
            </w:pPr>
            <w:r>
              <w:rPr>
                <w:rFonts w:ascii="Arial" w:cs="Arial" w:eastAsia="Arial" w:hAnsi="Arial"/>
                <w:sz w:val="18"/>
                <w:szCs w:val="18"/>
                <w:b w:val="1"/>
                <w:bCs w:val="1"/>
                <w:color w:val="auto"/>
              </w:rPr>
              <w:t>stockholders</w:t>
            </w:r>
          </w:p>
        </w:tc>
        <w:tc>
          <w:tcPr>
            <w:tcW w:w="820" w:type="dxa"/>
            <w:vAlign w:val="bottom"/>
            <w:vMerge w:val="continue"/>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440" w:type="dxa"/>
            <w:vAlign w:val="bottom"/>
            <w:gridSpan w:val="2"/>
            <w:vMerge w:val="continue"/>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60" w:type="dxa"/>
            <w:vAlign w:val="bottom"/>
          </w:tcPr>
          <w:p>
            <w:pPr>
              <w:spacing w:after="0" w:line="164" w:lineRule="exact"/>
              <w:rPr>
                <w:sz w:val="20"/>
                <w:szCs w:val="20"/>
                <w:color w:val="auto"/>
              </w:rPr>
            </w:pPr>
            <w:r>
              <w:rPr>
                <w:rFonts w:ascii="Arial" w:cs="Arial" w:eastAsia="Arial" w:hAnsi="Arial"/>
                <w:sz w:val="18"/>
                <w:szCs w:val="18"/>
                <w:b w:val="1"/>
                <w:bCs w:val="1"/>
                <w:color w:val="auto"/>
              </w:rPr>
              <w:t>Diluted earnings per share attributable to common</w:t>
            </w:r>
          </w:p>
        </w:tc>
        <w:tc>
          <w:tcPr>
            <w:tcW w:w="820" w:type="dxa"/>
            <w:vAlign w:val="bottom"/>
            <w:vMerge w:val="restart"/>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6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7.33</w:t>
            </w: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181"/>
        </w:trPr>
        <w:tc>
          <w:tcPr>
            <w:tcW w:w="6660" w:type="dxa"/>
            <w:vAlign w:val="bottom"/>
          </w:tcPr>
          <w:p>
            <w:pPr>
              <w:ind w:left="160"/>
              <w:spacing w:after="0" w:line="161" w:lineRule="exact"/>
              <w:rPr>
                <w:sz w:val="20"/>
                <w:szCs w:val="20"/>
                <w:color w:val="auto"/>
              </w:rPr>
            </w:pPr>
            <w:r>
              <w:rPr>
                <w:rFonts w:ascii="Arial" w:cs="Arial" w:eastAsia="Arial" w:hAnsi="Arial"/>
                <w:sz w:val="18"/>
                <w:szCs w:val="18"/>
                <w:b w:val="1"/>
                <w:bCs w:val="1"/>
                <w:color w:val="auto"/>
              </w:rPr>
              <w:t>stockholders</w:t>
            </w:r>
          </w:p>
        </w:tc>
        <w:tc>
          <w:tcPr>
            <w:tcW w:w="8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6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Other comprehensive (loss) income, net of tax:</w:t>
            </w:r>
          </w:p>
        </w:tc>
        <w:tc>
          <w:tcPr>
            <w:tcW w:w="8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820" w:type="dxa"/>
            <w:vAlign w:val="bottom"/>
          </w:tcPr>
          <w:p>
            <w:pPr>
              <w:spacing w:after="0"/>
              <w:rPr>
                <w:sz w:val="17"/>
                <w:szCs w:val="17"/>
                <w:color w:val="auto"/>
              </w:rPr>
            </w:pPr>
          </w:p>
        </w:tc>
        <w:tc>
          <w:tcPr>
            <w:tcW w:w="6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660" w:type="dxa"/>
            <w:vAlign w:val="bottom"/>
            <w:tcBorders>
              <w:right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Pension and OPEB liability adjustment</w:t>
            </w:r>
          </w:p>
        </w:tc>
        <w:tc>
          <w:tcPr>
            <w:tcW w:w="8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6660" w:type="dxa"/>
            <w:vAlign w:val="bottom"/>
          </w:tcPr>
          <w:p>
            <w:pPr>
              <w:ind w:left="180"/>
              <w:spacing w:after="0" w:line="202" w:lineRule="exact"/>
              <w:rPr>
                <w:sz w:val="20"/>
                <w:szCs w:val="20"/>
                <w:color w:val="auto"/>
              </w:rPr>
            </w:pPr>
            <w:r>
              <w:rPr>
                <w:rFonts w:ascii="Arial" w:cs="Arial" w:eastAsia="Arial" w:hAnsi="Arial"/>
                <w:sz w:val="18"/>
                <w:szCs w:val="18"/>
                <w:color w:val="auto"/>
              </w:rPr>
              <w:t>Interest rate swaps</w:t>
            </w:r>
          </w:p>
        </w:tc>
        <w:tc>
          <w:tcPr>
            <w:tcW w:w="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FF0FC"/>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other comprehensive (loss) income, net of tax</w:t>
            </w:r>
          </w:p>
        </w:tc>
        <w:tc>
          <w:tcPr>
            <w:tcW w:w="8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660" w:type="dxa"/>
            <w:vAlign w:val="bottom"/>
          </w:tcPr>
          <w:p>
            <w:pPr>
              <w:spacing w:after="0" w:line="196" w:lineRule="exact"/>
              <w:rPr>
                <w:sz w:val="20"/>
                <w:szCs w:val="20"/>
                <w:color w:val="auto"/>
              </w:rPr>
            </w:pPr>
            <w:r>
              <w:rPr>
                <w:rFonts w:ascii="Arial" w:cs="Arial" w:eastAsia="Arial" w:hAnsi="Arial"/>
                <w:sz w:val="18"/>
                <w:szCs w:val="18"/>
                <w:b w:val="1"/>
                <w:bCs w:val="1"/>
                <w:color w:val="auto"/>
              </w:rPr>
              <w:t>Comprehensive income, net of tax</w:t>
            </w:r>
          </w:p>
        </w:tc>
        <w:tc>
          <w:tcPr>
            <w:tcW w:w="820" w:type="dxa"/>
            <w:vAlign w:val="bottom"/>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618</w:t>
            </w:r>
          </w:p>
        </w:tc>
        <w:tc>
          <w:tcPr>
            <w:tcW w:w="4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711</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-1739265</wp:posOffset>
            </wp:positionV>
            <wp:extent cx="939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-1739265</wp:posOffset>
            </wp:positionV>
            <wp:extent cx="946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-1473835</wp:posOffset>
            </wp:positionV>
            <wp:extent cx="939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-1473835</wp:posOffset>
            </wp:positionV>
            <wp:extent cx="946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-1096645</wp:posOffset>
            </wp:positionV>
            <wp:extent cx="939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-1079500</wp:posOffset>
            </wp:positionV>
            <wp:extent cx="939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-1096645</wp:posOffset>
            </wp:positionV>
            <wp:extent cx="94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-1079500</wp:posOffset>
            </wp:positionV>
            <wp:extent cx="946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-162560</wp:posOffset>
            </wp:positionV>
            <wp:extent cx="93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-162560</wp:posOffset>
            </wp:positionV>
            <wp:extent cx="946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4"/>
                <w:szCs w:val="14"/>
                <w:color w:val="auto"/>
              </w:rPr>
            </w:pPr>
          </w:p>
        </w:tc>
      </w:tr>
      <w:tr>
        <w:trPr>
          <w:trHeight w:val="169"/>
        </w:trPr>
        <w:tc>
          <w:tcPr>
            <w:tcW w:w="60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39"/>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2023</w:t>
            </w:r>
          </w:p>
        </w:tc>
      </w:tr>
      <w:tr>
        <w:trPr>
          <w:trHeight w:val="183"/>
        </w:trPr>
        <w:tc>
          <w:tcPr>
            <w:tcW w:w="60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r>
      <w:tr>
        <w:trPr>
          <w:trHeight w:val="189"/>
        </w:trPr>
        <w:tc>
          <w:tcPr>
            <w:tcW w:w="6080" w:type="dxa"/>
            <w:vAlign w:val="bottom"/>
          </w:tcPr>
          <w:p>
            <w:pPr>
              <w:spacing w:after="0"/>
              <w:rPr>
                <w:sz w:val="20"/>
                <w:szCs w:val="20"/>
                <w:color w:val="auto"/>
              </w:rPr>
            </w:pPr>
            <w:r>
              <w:rPr>
                <w:rFonts w:ascii="Arial" w:cs="Arial" w:eastAsia="Arial" w:hAnsi="Arial"/>
                <w:sz w:val="16"/>
                <w:szCs w:val="16"/>
                <w:color w:val="auto"/>
              </w:rPr>
              <w:t>Net income</w:t>
            </w:r>
          </w:p>
        </w:tc>
        <w:tc>
          <w:tcPr>
            <w:tcW w:w="17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623</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731</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673</w:t>
            </w:r>
          </w:p>
        </w:tc>
      </w:tr>
      <w:tr>
        <w:trPr>
          <w:trHeight w:val="175"/>
        </w:trPr>
        <w:tc>
          <w:tcPr>
            <w:tcW w:w="60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Adjustments to reconcile net income to net cash provided by</w:t>
            </w:r>
          </w:p>
        </w:tc>
        <w:tc>
          <w:tcPr>
            <w:tcW w:w="9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203"/>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117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109</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64</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Loss associated with impairment of long-lived assets</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29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27</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w:t>
            </w: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Unrealized (gain) loss on marketable securities</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Amortization of deferred financing costs</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8</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45</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Unrealized loss on foreign exchange</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Pension plan settlement loss</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Technology-related investments loss (gain)</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18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Changes in assets and liabilities:</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34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w:t>
            </w:r>
          </w:p>
        </w:tc>
      </w:tr>
      <w:tr>
        <w:trPr>
          <w:trHeight w:val="189"/>
        </w:trPr>
        <w:tc>
          <w:tcPr>
            <w:tcW w:w="60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Other assets and liabilities</w:t>
            </w:r>
          </w:p>
        </w:tc>
        <w:tc>
          <w:tcPr>
            <w:tcW w:w="98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r>
      <w:tr>
        <w:trPr>
          <w:trHeight w:val="183"/>
        </w:trPr>
        <w:tc>
          <w:tcPr>
            <w:tcW w:w="6080" w:type="dxa"/>
            <w:vAlign w:val="bottom"/>
          </w:tcPr>
          <w:p>
            <w:pPr>
              <w:ind w:left="26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836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801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784</w:t>
            </w:r>
          </w:p>
        </w:tc>
      </w:tr>
      <w:tr>
        <w:trPr>
          <w:trHeight w:val="189"/>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Additions of long-lived assets</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(175)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Investment in equity method investee</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Investment in debt securities</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Investment in equities without a readily determinable fair value</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Proceeds from sale of assets</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Proceeds from technology-related investments</w:t>
            </w:r>
          </w:p>
        </w:tc>
        <w:tc>
          <w:tcPr>
            <w:tcW w:w="980" w:type="dxa"/>
            <w:vAlign w:val="bottom"/>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r>
      <w:tr>
        <w:trPr>
          <w:trHeight w:val="183"/>
        </w:trPr>
        <w:tc>
          <w:tcPr>
            <w:tcW w:w="6080" w:type="dxa"/>
            <w:vAlign w:val="bottom"/>
          </w:tcPr>
          <w:p>
            <w:pPr>
              <w:ind w:left="260"/>
              <w:spacing w:after="0" w:line="183" w:lineRule="exact"/>
              <w:rPr>
                <w:sz w:val="20"/>
                <w:szCs w:val="20"/>
                <w:color w:val="auto"/>
              </w:rPr>
            </w:pPr>
            <w:r>
              <w:rPr>
                <w:rFonts w:ascii="Arial" w:cs="Arial" w:eastAsia="Arial" w:hAnsi="Arial"/>
                <w:sz w:val="16"/>
                <w:szCs w:val="16"/>
                <w:color w:val="auto"/>
              </w:rPr>
              <w:t>Net cash used for investing activities</w:t>
            </w: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(184)</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(147)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(129)</w:t>
            </w:r>
          </w:p>
        </w:tc>
      </w:tr>
      <w:tr>
        <w:trPr>
          <w:trHeight w:val="189"/>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Issuance of long-term debt</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500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Repurchases of common stock</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(328)</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Dividend payments</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Debt financing fees</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8</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w:t>
            </w: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Payments on long-term debt</w:t>
            </w:r>
          </w:p>
        </w:tc>
        <w:tc>
          <w:tcPr>
            <w:tcW w:w="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83"/>
        </w:trPr>
        <w:tc>
          <w:tcPr>
            <w:tcW w:w="6080" w:type="dxa"/>
            <w:vAlign w:val="bottom"/>
            <w:shd w:val="clear" w:color="auto" w:fill="CFF0FC"/>
          </w:tcPr>
          <w:p>
            <w:pPr>
              <w:ind w:left="260"/>
              <w:spacing w:after="0" w:line="183" w:lineRule="exact"/>
              <w:rPr>
                <w:sz w:val="20"/>
                <w:szCs w:val="20"/>
                <w:color w:val="auto"/>
              </w:rPr>
            </w:pPr>
            <w:r>
              <w:rPr>
                <w:rFonts w:ascii="Arial" w:cs="Arial" w:eastAsia="Arial" w:hAnsi="Arial"/>
                <w:sz w:val="16"/>
                <w:szCs w:val="16"/>
                <w:color w:val="auto"/>
              </w:rPr>
              <w:t>Net cash provided by (used for) financing activities</w:t>
            </w:r>
          </w:p>
        </w:tc>
        <w:tc>
          <w:tcPr>
            <w:tcW w:w="9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rPr>
              <w:t>57</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(427)</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(332)</w:t>
            </w:r>
          </w:p>
        </w:tc>
      </w:tr>
      <w:tr>
        <w:trPr>
          <w:trHeight w:val="189"/>
        </w:trPr>
        <w:tc>
          <w:tcPr>
            <w:tcW w:w="608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increase in cash and cash equivalents</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714</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226</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323</w:t>
            </w:r>
          </w:p>
        </w:tc>
      </w:tr>
      <w:tr>
        <w:trPr>
          <w:trHeight w:val="189"/>
        </w:trPr>
        <w:tc>
          <w:tcPr>
            <w:tcW w:w="608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781</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555</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w:t>
            </w:r>
          </w:p>
        </w:tc>
      </w:tr>
      <w:tr>
        <w:trPr>
          <w:trHeight w:val="223"/>
        </w:trPr>
        <w:tc>
          <w:tcPr>
            <w:tcW w:w="6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1740" w:type="dxa"/>
            <w:vAlign w:val="bottom"/>
            <w:gridSpan w:val="2"/>
            <w:shd w:val="clear" w:color="auto" w:fill="CFF0FC"/>
          </w:tcPr>
          <w:p>
            <w:pPr>
              <w:jc w:val="right"/>
              <w:ind w:right="660"/>
              <w:spacing w:after="0" w:line="183" w:lineRule="exact"/>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w w:val="99"/>
              </w:rPr>
              <w:t>1,495</w:t>
            </w:r>
          </w:p>
        </w:tc>
        <w:tc>
          <w:tcPr>
            <w:tcW w:w="4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781</w:t>
            </w:r>
          </w:p>
        </w:tc>
        <w:tc>
          <w:tcPr>
            <w:tcW w:w="4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555</w:t>
            </w:r>
          </w:p>
        </w:tc>
      </w:tr>
      <w:tr>
        <w:trPr>
          <w:trHeight w:val="170"/>
        </w:trPr>
        <w:tc>
          <w:tcPr>
            <w:tcW w:w="608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980" w:type="dxa"/>
            <w:vAlign w:val="bottom"/>
            <w:tcBorders>
              <w:top w:val="single" w:sz="8" w:color="CFF0FC"/>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Income taxes paid, net of refunds received:</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189"/>
        </w:trPr>
        <w:tc>
          <w:tcPr>
            <w:tcW w:w="6080" w:type="dxa"/>
            <w:vAlign w:val="bottom"/>
          </w:tcPr>
          <w:p>
            <w:pPr>
              <w:ind w:left="260"/>
              <w:spacing w:after="0"/>
              <w:rPr>
                <w:sz w:val="20"/>
                <w:szCs w:val="20"/>
                <w:color w:val="auto"/>
              </w:rPr>
            </w:pPr>
            <w:r>
              <w:rPr>
                <w:rFonts w:ascii="Arial" w:cs="Arial" w:eastAsia="Arial" w:hAnsi="Arial"/>
                <w:sz w:val="16"/>
                <w:szCs w:val="16"/>
                <w:color w:val="auto"/>
              </w:rPr>
              <w:t>U.S. federal</w:t>
            </w:r>
          </w:p>
        </w:tc>
        <w:tc>
          <w:tcPr>
            <w:tcW w:w="17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(162)</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189"/>
        </w:trPr>
        <w:tc>
          <w:tcPr>
            <w:tcW w:w="6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state and local</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6080" w:type="dxa"/>
            <w:vAlign w:val="bottom"/>
          </w:tcPr>
          <w:p>
            <w:pPr>
              <w:ind w:left="260"/>
              <w:spacing w:after="0"/>
              <w:rPr>
                <w:sz w:val="20"/>
                <w:szCs w:val="20"/>
                <w:color w:val="auto"/>
              </w:rPr>
            </w:pPr>
            <w:r>
              <w:rPr>
                <w:rFonts w:ascii="Arial" w:cs="Arial" w:eastAsia="Arial" w:hAnsi="Arial"/>
                <w:sz w:val="16"/>
                <w:szCs w:val="16"/>
                <w:color w:val="auto"/>
              </w:rPr>
              <w:t>Foreign</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6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Interest paid</w:t>
            </w:r>
          </w:p>
        </w:tc>
        <w:tc>
          <w:tcPr>
            <w:tcW w:w="1740" w:type="dxa"/>
            <w:vAlign w:val="bottom"/>
            <w:gridSpan w:val="2"/>
            <w:shd w:val="clear" w:color="auto" w:fill="CFF0FC"/>
          </w:tcPr>
          <w:p>
            <w:pPr>
              <w:jc w:val="right"/>
              <w:ind w:right="66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(120)</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w:t>
            </w:r>
          </w:p>
        </w:tc>
      </w:tr>
      <w:tr>
        <w:trPr>
          <w:trHeight w:val="189"/>
        </w:trPr>
        <w:tc>
          <w:tcPr>
            <w:tcW w:w="6080" w:type="dxa"/>
            <w:vAlign w:val="bottom"/>
          </w:tcPr>
          <w:p>
            <w:pPr>
              <w:ind w:left="140"/>
              <w:spacing w:after="0"/>
              <w:rPr>
                <w:sz w:val="20"/>
                <w:szCs w:val="20"/>
                <w:color w:val="auto"/>
              </w:rPr>
            </w:pPr>
            <w:r>
              <w:rPr>
                <w:rFonts w:ascii="Arial" w:cs="Arial" w:eastAsia="Arial" w:hAnsi="Arial"/>
                <w:sz w:val="16"/>
                <w:szCs w:val="16"/>
                <w:color w:val="auto"/>
              </w:rPr>
              <w:t>Interest received from interest rate swaps</w:t>
            </w:r>
          </w:p>
        </w:tc>
        <w:tc>
          <w:tcPr>
            <w:tcW w:w="17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6</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18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Non-cash investing activities:</w:t>
            </w:r>
          </w:p>
        </w:tc>
        <w:tc>
          <w:tcPr>
            <w:tcW w:w="9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188"/>
        </w:trPr>
        <w:tc>
          <w:tcPr>
            <w:tcW w:w="6080" w:type="dxa"/>
            <w:vAlign w:val="bottom"/>
          </w:tcPr>
          <w:p>
            <w:pPr>
              <w:ind w:left="140"/>
              <w:spacing w:after="0"/>
              <w:rPr>
                <w:sz w:val="20"/>
                <w:szCs w:val="20"/>
                <w:color w:val="auto"/>
              </w:rPr>
            </w:pPr>
            <w:r>
              <w:rPr>
                <w:rFonts w:ascii="Arial" w:cs="Arial" w:eastAsia="Arial" w:hAnsi="Arial"/>
                <w:sz w:val="16"/>
                <w:szCs w:val="16"/>
                <w:color w:val="auto"/>
              </w:rPr>
              <w:t>Capital expenditures in liabilities</w:t>
            </w:r>
          </w:p>
        </w:tc>
        <w:tc>
          <w:tcPr>
            <w:tcW w:w="17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20</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-3779520</wp:posOffset>
            </wp:positionV>
            <wp:extent cx="102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-3779520</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-1104900</wp:posOffset>
            </wp:positionV>
            <wp:extent cx="102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-1087755</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-1104900</wp:posOffset>
            </wp:positionV>
            <wp:extent cx="102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-1087755</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212"/>
              <w:spacing w:after="0"/>
              <w:rPr>
                <w:sz w:val="20"/>
                <w:szCs w:val="20"/>
                <w:color w:val="auto"/>
              </w:rPr>
            </w:pPr>
            <w:r>
              <w:rPr>
                <w:rFonts w:ascii="Arial" w:cs="Arial" w:eastAsia="Arial" w:hAnsi="Arial"/>
                <w:sz w:val="14"/>
                <w:szCs w:val="14"/>
                <w:b w:val="1"/>
                <w:bCs w:val="1"/>
                <w:color w:val="auto"/>
                <w:w w:val="92"/>
              </w:rPr>
              <w:t>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212"/>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32"/>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Comprehen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32"/>
              <w:spacing w:after="0"/>
              <w:rPr>
                <w:sz w:val="20"/>
                <w:szCs w:val="20"/>
                <w:color w:val="auto"/>
              </w:rPr>
            </w:pPr>
            <w:r>
              <w:rPr>
                <w:rFonts w:ascii="Arial" w:cs="Arial" w:eastAsia="Arial" w:hAnsi="Arial"/>
                <w:sz w:val="14"/>
                <w:szCs w:val="14"/>
                <w:b w:val="1"/>
                <w:bCs w:val="1"/>
                <w:color w:val="auto"/>
                <w:w w:val="99"/>
              </w:rPr>
              <w:t>voting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212"/>
              <w:spacing w:after="0"/>
              <w:rPr>
                <w:sz w:val="20"/>
                <w:szCs w:val="20"/>
                <w:color w:val="auto"/>
              </w:rPr>
            </w:pPr>
            <w:r>
              <w:rPr>
                <w:rFonts w:ascii="Arial" w:cs="Arial" w:eastAsia="Arial" w:hAnsi="Arial"/>
                <w:sz w:val="14"/>
                <w:szCs w:val="14"/>
                <w:b w:val="1"/>
                <w:bCs w:val="1"/>
                <w:color w:val="auto"/>
              </w:rPr>
              <w:t>sive</w:t>
            </w:r>
          </w:p>
        </w:tc>
        <w:tc>
          <w:tcPr>
            <w:tcW w:w="1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71"/>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32"/>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Preferred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 net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rPr>
              <w:t>s’</w:t>
            </w:r>
          </w:p>
        </w:tc>
      </w:tr>
      <w:tr>
        <w:trPr>
          <w:trHeight w:val="171"/>
        </w:trPr>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8"/>
              </w:rPr>
              <w:t>tax</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Equity</w:t>
            </w:r>
          </w:p>
        </w:tc>
      </w:tr>
      <w:tr>
        <w:trPr>
          <w:trHeight w:val="196"/>
        </w:trPr>
        <w:tc>
          <w:tcPr>
            <w:tcW w:w="3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2022</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1,848</w:t>
            </w:r>
          </w:p>
        </w:tc>
        <w:tc>
          <w:tcPr>
            <w:tcW w:w="320" w:type="dxa"/>
            <w:vAlign w:val="bottom"/>
            <w:gridSpan w:val="2"/>
            <w:shd w:val="clear" w:color="auto" w:fill="CFF0FC"/>
          </w:tcPr>
          <w:p>
            <w:pPr>
              <w:ind w:left="16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(953)</w:t>
            </w:r>
          </w:p>
        </w:tc>
        <w:tc>
          <w:tcPr>
            <w:tcW w:w="340" w:type="dxa"/>
            <w:vAlign w:val="bottom"/>
            <w:gridSpan w:val="2"/>
            <w:shd w:val="clear" w:color="auto" w:fill="CFF0FC"/>
          </w:tcPr>
          <w:p>
            <w:pPr>
              <w:ind w:left="16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w:t>
            </w:r>
          </w:p>
        </w:tc>
        <w:tc>
          <w:tcPr>
            <w:tcW w:w="320" w:type="dxa"/>
            <w:vAlign w:val="bottom"/>
            <w:gridSpan w:val="2"/>
            <w:shd w:val="clear" w:color="auto" w:fill="CFF0FC"/>
          </w:tcPr>
          <w:p>
            <w:pPr>
              <w:ind w:left="16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874</w:t>
            </w:r>
          </w:p>
        </w:tc>
      </w:tr>
      <w:tr>
        <w:trPr>
          <w:trHeight w:val="203"/>
        </w:trPr>
        <w:tc>
          <w:tcPr>
            <w:tcW w:w="3360" w:type="dxa"/>
            <w:vAlign w:val="bottom"/>
          </w:tcPr>
          <w:p>
            <w:pPr>
              <w:ind w:left="8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22</w:t>
            </w:r>
          </w:p>
        </w:tc>
      </w:tr>
      <w:tr>
        <w:trPr>
          <w:trHeight w:val="203"/>
        </w:trPr>
        <w:tc>
          <w:tcPr>
            <w:tcW w:w="33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Pension and OPEB liability adjustment</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r>
      <w:tr>
        <w:trPr>
          <w:trHeight w:val="184"/>
        </w:trPr>
        <w:tc>
          <w:tcPr>
            <w:tcW w:w="3360" w:type="dxa"/>
            <w:vAlign w:val="bottom"/>
          </w:tcPr>
          <w:p>
            <w:pPr>
              <w:ind w:left="80"/>
              <w:spacing w:after="0" w:line="183" w:lineRule="exact"/>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1"/>
        </w:trPr>
        <w:tc>
          <w:tcPr>
            <w:tcW w:w="3360" w:type="dxa"/>
            <w:vAlign w:val="bottom"/>
          </w:tcPr>
          <w:p>
            <w:pPr>
              <w:ind w:left="8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03"/>
        </w:trPr>
        <w:tc>
          <w:tcPr>
            <w:tcW w:w="33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3360" w:type="dxa"/>
            <w:vAlign w:val="bottom"/>
          </w:tcPr>
          <w:p>
            <w:pPr>
              <w:ind w:left="80"/>
              <w:spacing w:after="0" w:line="202" w:lineRule="exact"/>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21</w:t>
            </w:r>
          </w:p>
        </w:tc>
      </w:tr>
      <w:tr>
        <w:trPr>
          <w:trHeight w:val="203"/>
        </w:trPr>
        <w:tc>
          <w:tcPr>
            <w:tcW w:w="33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r>
      <w:tr>
        <w:trPr>
          <w:trHeight w:val="184"/>
        </w:trPr>
        <w:tc>
          <w:tcPr>
            <w:tcW w:w="3360" w:type="dxa"/>
            <w:vAlign w:val="bottom"/>
          </w:tcPr>
          <w:p>
            <w:pPr>
              <w:ind w:left="80"/>
              <w:spacing w:after="0" w:line="183" w:lineRule="exact"/>
              <w:rPr>
                <w:sz w:val="20"/>
                <w:szCs w:val="20"/>
                <w:color w:val="auto"/>
              </w:rPr>
            </w:pPr>
            <w:r>
              <w:rPr>
                <w:rFonts w:ascii="Arial" w:cs="Arial" w:eastAsia="Arial" w:hAnsi="Arial"/>
                <w:sz w:val="18"/>
                <w:szCs w:val="18"/>
                <w:color w:val="auto"/>
              </w:rPr>
              <w:t>Dividends on common stock</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1"/>
        </w:trPr>
        <w:tc>
          <w:tcPr>
            <w:tcW w:w="3360" w:type="dxa"/>
            <w:vAlign w:val="bottom"/>
          </w:tcPr>
          <w:p>
            <w:pPr>
              <w:ind w:left="80"/>
              <w:spacing w:after="0"/>
              <w:rPr>
                <w:sz w:val="20"/>
                <w:szCs w:val="20"/>
                <w:color w:val="auto"/>
              </w:rPr>
            </w:pPr>
            <w:r>
              <w:rPr>
                <w:rFonts w:ascii="Arial" w:cs="Arial" w:eastAsia="Arial" w:hAnsi="Arial"/>
                <w:sz w:val="18"/>
                <w:szCs w:val="18"/>
                <w:color w:val="auto"/>
              </w:rPr>
              <w:t>($0.92 per share)</w:t>
            </w:r>
          </w:p>
        </w:tc>
        <w:tc>
          <w:tcPr>
            <w:tcW w:w="1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3"/>
        </w:trPr>
        <w:tc>
          <w:tcPr>
            <w:tcW w:w="336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673</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673</w:t>
            </w:r>
          </w:p>
        </w:tc>
      </w:tr>
      <w:tr>
        <w:trPr>
          <w:trHeight w:val="196"/>
        </w:trPr>
        <w:tc>
          <w:tcPr>
            <w:tcW w:w="3360" w:type="dxa"/>
            <w:vAlign w:val="bottom"/>
          </w:tcPr>
          <w:p>
            <w:pPr>
              <w:spacing w:after="0" w:line="196" w:lineRule="exact"/>
              <w:rPr>
                <w:sz w:val="20"/>
                <w:szCs w:val="20"/>
                <w:color w:val="auto"/>
              </w:rPr>
            </w:pPr>
            <w:r>
              <w:rPr>
                <w:rFonts w:ascii="Arial" w:cs="Arial" w:eastAsia="Arial" w:hAnsi="Arial"/>
                <w:sz w:val="18"/>
                <w:szCs w:val="18"/>
                <w:color w:val="auto"/>
              </w:rPr>
              <w:t>Balance at December 31, 2023</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ind w:left="58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ind w:left="56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1,891</w:t>
            </w:r>
          </w:p>
        </w:tc>
        <w:tc>
          <w:tcPr>
            <w:tcW w:w="3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(628)</w:t>
            </w:r>
          </w:p>
        </w:tc>
        <w:tc>
          <w:tcPr>
            <w:tcW w:w="34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3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1,233</w:t>
            </w:r>
          </w:p>
        </w:tc>
      </w:tr>
      <w:tr>
        <w:trPr>
          <w:trHeight w:val="203"/>
        </w:trPr>
        <w:tc>
          <w:tcPr>
            <w:tcW w:w="33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26</w:t>
            </w:r>
          </w:p>
        </w:tc>
      </w:tr>
      <w:tr>
        <w:trPr>
          <w:trHeight w:val="203"/>
        </w:trPr>
        <w:tc>
          <w:tcPr>
            <w:tcW w:w="3360" w:type="dxa"/>
            <w:vAlign w:val="bottom"/>
          </w:tcPr>
          <w:p>
            <w:pPr>
              <w:ind w:left="80"/>
              <w:spacing w:after="0" w:line="202" w:lineRule="exact"/>
              <w:rPr>
                <w:sz w:val="20"/>
                <w:szCs w:val="20"/>
                <w:color w:val="auto"/>
              </w:rPr>
            </w:pPr>
            <w:r>
              <w:rPr>
                <w:rFonts w:ascii="Arial" w:cs="Arial" w:eastAsia="Arial" w:hAnsi="Arial"/>
                <w:sz w:val="18"/>
                <w:szCs w:val="18"/>
                <w:color w:val="auto"/>
              </w:rPr>
              <w:t>Pension and OPEB liability adjustment</w:t>
            </w:r>
          </w:p>
        </w:tc>
        <w:tc>
          <w:tcPr>
            <w:tcW w:w="10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84"/>
        </w:trPr>
        <w:tc>
          <w:tcPr>
            <w:tcW w:w="3360" w:type="dxa"/>
            <w:vAlign w:val="bottom"/>
            <w:shd w:val="clear" w:color="auto" w:fill="CFF0FC"/>
          </w:tcPr>
          <w:p>
            <w:pPr>
              <w:ind w:left="80"/>
              <w:spacing w:after="0" w:line="183" w:lineRule="exact"/>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221"/>
        </w:trPr>
        <w:tc>
          <w:tcPr>
            <w:tcW w:w="3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adjustment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03"/>
        </w:trPr>
        <w:tc>
          <w:tcPr>
            <w:tcW w:w="3360" w:type="dxa"/>
            <w:vAlign w:val="bottom"/>
          </w:tcPr>
          <w:p>
            <w:pPr>
              <w:ind w:left="80"/>
              <w:spacing w:after="0" w:line="202" w:lineRule="exact"/>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33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23</w:t>
            </w:r>
          </w:p>
        </w:tc>
      </w:tr>
      <w:tr>
        <w:trPr>
          <w:trHeight w:val="203"/>
        </w:trPr>
        <w:tc>
          <w:tcPr>
            <w:tcW w:w="3360" w:type="dxa"/>
            <w:vAlign w:val="bottom"/>
          </w:tcPr>
          <w:p>
            <w:pPr>
              <w:ind w:left="80"/>
              <w:spacing w:after="0" w:line="202" w:lineRule="exact"/>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r>
      <w:tr>
        <w:trPr>
          <w:trHeight w:val="184"/>
        </w:trPr>
        <w:tc>
          <w:tcPr>
            <w:tcW w:w="3360" w:type="dxa"/>
            <w:vAlign w:val="bottom"/>
            <w:shd w:val="clear" w:color="auto" w:fill="CFF0FC"/>
          </w:tcPr>
          <w:p>
            <w:pPr>
              <w:ind w:left="80"/>
              <w:spacing w:after="0" w:line="183" w:lineRule="exact"/>
              <w:rPr>
                <w:sz w:val="20"/>
                <w:szCs w:val="20"/>
                <w:color w:val="auto"/>
              </w:rPr>
            </w:pPr>
            <w:r>
              <w:rPr>
                <w:rFonts w:ascii="Arial" w:cs="Arial" w:eastAsia="Arial" w:hAnsi="Arial"/>
                <w:sz w:val="18"/>
                <w:szCs w:val="18"/>
                <w:color w:val="auto"/>
              </w:rPr>
              <w:t>Dividends on common stock</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221"/>
        </w:trPr>
        <w:tc>
          <w:tcPr>
            <w:tcW w:w="3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($1.00 per share)</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r>
      <w:tr>
        <w:trPr>
          <w:trHeight w:val="203"/>
        </w:trPr>
        <w:tc>
          <w:tcPr>
            <w:tcW w:w="3360" w:type="dxa"/>
            <w:vAlign w:val="bottom"/>
          </w:tcPr>
          <w:p>
            <w:pPr>
              <w:ind w:left="8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731</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731</w:t>
            </w:r>
          </w:p>
        </w:tc>
      </w:tr>
      <w:tr>
        <w:trPr>
          <w:trHeight w:val="196"/>
        </w:trPr>
        <w:tc>
          <w:tcPr>
            <w:tcW w:w="3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2024</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1,940</w:t>
            </w:r>
          </w:p>
        </w:tc>
        <w:tc>
          <w:tcPr>
            <w:tcW w:w="320" w:type="dxa"/>
            <w:vAlign w:val="bottom"/>
            <w:gridSpan w:val="2"/>
            <w:shd w:val="clear" w:color="auto" w:fill="CFF0FC"/>
          </w:tcPr>
          <w:p>
            <w:pPr>
              <w:ind w:left="16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(239)</w:t>
            </w:r>
          </w:p>
        </w:tc>
        <w:tc>
          <w:tcPr>
            <w:tcW w:w="340" w:type="dxa"/>
            <w:vAlign w:val="bottom"/>
            <w:gridSpan w:val="2"/>
            <w:shd w:val="clear" w:color="auto" w:fill="CFF0FC"/>
          </w:tcPr>
          <w:p>
            <w:pPr>
              <w:ind w:left="16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w:t>
            </w:r>
          </w:p>
        </w:tc>
        <w:tc>
          <w:tcPr>
            <w:tcW w:w="320" w:type="dxa"/>
            <w:vAlign w:val="bottom"/>
            <w:gridSpan w:val="2"/>
            <w:shd w:val="clear" w:color="auto" w:fill="CFF0FC"/>
          </w:tcPr>
          <w:p>
            <w:pPr>
              <w:ind w:left="16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1,651</w:t>
            </w:r>
          </w:p>
        </w:tc>
      </w:tr>
      <w:tr>
        <w:trPr>
          <w:trHeight w:val="203"/>
        </w:trPr>
        <w:tc>
          <w:tcPr>
            <w:tcW w:w="3360" w:type="dxa"/>
            <w:vAlign w:val="bottom"/>
          </w:tcPr>
          <w:p>
            <w:pPr>
              <w:ind w:left="8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27</w:t>
            </w:r>
          </w:p>
        </w:tc>
      </w:tr>
      <w:tr>
        <w:trPr>
          <w:trHeight w:val="203"/>
        </w:trPr>
        <w:tc>
          <w:tcPr>
            <w:tcW w:w="33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Pension and OPEB liability adjustment</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w:t>
            </w:r>
          </w:p>
        </w:tc>
      </w:tr>
      <w:tr>
        <w:trPr>
          <w:trHeight w:val="184"/>
        </w:trPr>
        <w:tc>
          <w:tcPr>
            <w:tcW w:w="3360" w:type="dxa"/>
            <w:vAlign w:val="bottom"/>
          </w:tcPr>
          <w:p>
            <w:pPr>
              <w:ind w:left="80"/>
              <w:spacing w:after="0" w:line="183" w:lineRule="exact"/>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1"/>
        </w:trPr>
        <w:tc>
          <w:tcPr>
            <w:tcW w:w="3360" w:type="dxa"/>
            <w:vAlign w:val="bottom"/>
          </w:tcPr>
          <w:p>
            <w:pPr>
              <w:ind w:left="8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17</w:t>
            </w:r>
          </w:p>
        </w:tc>
      </w:tr>
      <w:tr>
        <w:trPr>
          <w:trHeight w:val="203"/>
        </w:trPr>
        <w:tc>
          <w:tcPr>
            <w:tcW w:w="33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w:t>
            </w:r>
          </w:p>
        </w:tc>
      </w:tr>
      <w:tr>
        <w:trPr>
          <w:trHeight w:val="203"/>
        </w:trPr>
        <w:tc>
          <w:tcPr>
            <w:tcW w:w="3360" w:type="dxa"/>
            <w:vAlign w:val="bottom"/>
          </w:tcPr>
          <w:p>
            <w:pPr>
              <w:ind w:left="80"/>
              <w:spacing w:after="0" w:line="202" w:lineRule="exact"/>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r>
      <w:tr>
        <w:trPr>
          <w:trHeight w:val="203"/>
        </w:trPr>
        <w:tc>
          <w:tcPr>
            <w:tcW w:w="33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(331)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(331)</w:t>
            </w:r>
          </w:p>
        </w:tc>
      </w:tr>
      <w:tr>
        <w:trPr>
          <w:trHeight w:val="184"/>
        </w:trPr>
        <w:tc>
          <w:tcPr>
            <w:tcW w:w="3360" w:type="dxa"/>
            <w:vAlign w:val="bottom"/>
          </w:tcPr>
          <w:p>
            <w:pPr>
              <w:ind w:left="80"/>
              <w:spacing w:after="0" w:line="183" w:lineRule="exact"/>
              <w:rPr>
                <w:sz w:val="20"/>
                <w:szCs w:val="20"/>
                <w:color w:val="auto"/>
              </w:rPr>
            </w:pPr>
            <w:r>
              <w:rPr>
                <w:rFonts w:ascii="Arial" w:cs="Arial" w:eastAsia="Arial" w:hAnsi="Arial"/>
                <w:sz w:val="18"/>
                <w:szCs w:val="18"/>
                <w:color w:val="auto"/>
              </w:rPr>
              <w:t>Dividends on common stock</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1"/>
        </w:trPr>
        <w:tc>
          <w:tcPr>
            <w:tcW w:w="3360" w:type="dxa"/>
            <w:vAlign w:val="bottom"/>
          </w:tcPr>
          <w:p>
            <w:pPr>
              <w:ind w:left="80"/>
              <w:spacing w:after="0"/>
              <w:rPr>
                <w:sz w:val="20"/>
                <w:szCs w:val="20"/>
                <w:color w:val="auto"/>
              </w:rPr>
            </w:pPr>
            <w:r>
              <w:rPr>
                <w:rFonts w:ascii="Arial" w:cs="Arial" w:eastAsia="Arial" w:hAnsi="Arial"/>
                <w:sz w:val="18"/>
                <w:szCs w:val="18"/>
                <w:color w:val="auto"/>
              </w:rPr>
              <w:t>($1.08 per share)</w:t>
            </w:r>
          </w:p>
        </w:tc>
        <w:tc>
          <w:tcPr>
            <w:tcW w:w="1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203"/>
        </w:trPr>
        <w:tc>
          <w:tcPr>
            <w:tcW w:w="336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623</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623</w:t>
            </w:r>
          </w:p>
        </w:tc>
      </w:tr>
      <w:tr>
        <w:trPr>
          <w:trHeight w:val="196"/>
        </w:trPr>
        <w:tc>
          <w:tcPr>
            <w:tcW w:w="3360" w:type="dxa"/>
            <w:vAlign w:val="bottom"/>
          </w:tcPr>
          <w:p>
            <w:pPr>
              <w:spacing w:after="0" w:line="196" w:lineRule="exact"/>
              <w:rPr>
                <w:sz w:val="20"/>
                <w:szCs w:val="20"/>
                <w:color w:val="auto"/>
              </w:rPr>
            </w:pPr>
            <w:r>
              <w:rPr>
                <w:rFonts w:ascii="Arial" w:cs="Arial" w:eastAsia="Arial" w:hAnsi="Arial"/>
                <w:sz w:val="18"/>
                <w:szCs w:val="18"/>
                <w:color w:val="auto"/>
              </w:rPr>
              <w:t>Balance at December 31, 2025</w:t>
            </w: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ind w:left="580"/>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ind w:left="56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1,960</w:t>
            </w:r>
          </w:p>
        </w:tc>
        <w:tc>
          <w:tcPr>
            <w:tcW w:w="32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c>
          <w:tcPr>
            <w:tcW w:w="3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(56)</w:t>
            </w:r>
          </w:p>
        </w:tc>
        <w:tc>
          <w:tcPr>
            <w:tcW w:w="32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1,867</w:t>
            </w: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-3007995</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-3007995</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-3007995</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-3007995</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-3007995</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-3007995</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-162560</wp:posOffset>
            </wp:positionV>
            <wp:extent cx="1028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-162560</wp:posOffset>
            </wp:positionV>
            <wp:extent cx="102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-162560</wp:posOffset>
            </wp:positionV>
            <wp:extent cx="1028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-162560</wp:posOffset>
            </wp:positionV>
            <wp:extent cx="102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-162560</wp:posOffset>
            </wp:positionV>
            <wp:extent cx="1028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-162560</wp:posOffset>
            </wp:positionV>
            <wp:extent cx="102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Allison Transmission Holdings,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56"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Allison Transmission Holdings, Inc. and its subsidiaries (“Allison” or the “Company”) is a global leader in high-performance mobility and work solutions built for the needs of the modern industrial world. The business was founded in 1915 and has been headquartered in Indianapolis, Indiana since inception. Allison trades on the New York Stock Exchange under the symbol, “ALSN”.</w:t>
      </w:r>
    </w:p>
    <w:p>
      <w:pPr>
        <w:spacing w:after="0" w:line="115" w:lineRule="exact"/>
        <w:rPr>
          <w:sz w:val="20"/>
          <w:szCs w:val="20"/>
          <w:color w:val="auto"/>
        </w:rPr>
      </w:pPr>
    </w:p>
    <w:p>
      <w:pPr>
        <w:ind w:right="440" w:firstLine="494"/>
        <w:spacing w:after="0" w:line="253" w:lineRule="auto"/>
        <w:rPr>
          <w:sz w:val="20"/>
          <w:szCs w:val="20"/>
          <w:color w:val="auto"/>
        </w:rPr>
      </w:pPr>
      <w:r>
        <w:rPr>
          <w:rFonts w:ascii="Arial" w:cs="Arial" w:eastAsia="Arial" w:hAnsi="Arial"/>
          <w:sz w:val="18"/>
          <w:szCs w:val="18"/>
          <w:color w:val="auto"/>
        </w:rPr>
        <w:t>The Company has a global presence by serving customers in North America, Asia, Europe, South America, and Africa, with approximately 76% of its revenues being generated in North America in 2025. The Company serves customers through an independent network of approximately 1,500 independent distributor and dealer locations worldwide as of December 31,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56"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a fair statement of the results for the periods presented. The Consolidated Financial Statements herein consist of all wholly-owned domestic and foreign subsidiaries with all significant intercompany transactions eliminated.</w:t>
      </w:r>
    </w:p>
    <w:p>
      <w:pPr>
        <w:spacing w:after="0" w:line="120"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These Consolidated Financial Statements present the financial position, results of comprehensive income, cash flows and statements of stockholders’ equity. Certain immaterial reclassifications have been made in the Consolidated Financial Statements of prior periods to conform to the current period presentation. These reclassifications had no material impact on previously reported net income, total stockholders’ equity or cash flows.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determination of discount rate and other assumptions for pension and other post-retirement benefit (“OPEB”) expense,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56"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In accordance with the Financial Accounting Standards Board’s (“FASB”) authoritative accounting guidance on segment reporting, the Company had one operating segment and reportable segment as of December 31, 2025.</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one line of business, which was the manufacture and distribution of vehicle propulsion solutions.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6"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The Company uses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6"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Investments</w:t>
      </w:r>
    </w:p>
    <w:p>
      <w:pPr>
        <w:spacing w:after="0" w:line="156"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Investments in equity securities where the Company is able to exercise significant influence, but not control, are accounted for under the equity method. Significant influence is typically considered to exist when the Company's ownership interest in the investee is between 20% and 50%, although other factors, such as representation on the investee's board of directors and the impact of commercial arrangements, also are considered. Investments in limited partnerships and limited liability companies are also accounted for using the equity method if the Company's investment is more than minor or if the Company is the general partner. Under the equity method of accounting, the investment is initially recorded at cost and subsequently adjusted by the Company's proportionate share of the entity's net income, with adjustments recognized in Other (expense) income, net.</w:t>
      </w:r>
    </w:p>
    <w:p>
      <w:pPr>
        <w:spacing w:after="0" w:line="131"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Investments in equity securities with a readily determinable fair value, not accounted for under the equity method, are recorded at fair value with unrealized gains and losses included in Other (expense) income, net. For equity securities without a readily determinable fair value, the investments are recorded utilizing the measurement alternative at cost, less any impairment, plus or minus adjustments related to observable transactions for the same or similar securities, with gains and losses included in Other (expense) income, net. See "Note 7. Fair Value of Financial Instruments" for more details on the Company's investments in equity securities.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156"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Inventories are stated at the lower of cost or net realizable value.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56" w:lineRule="exact"/>
        <w:rPr>
          <w:sz w:val="20"/>
          <w:szCs w:val="20"/>
          <w:color w:val="auto"/>
        </w:rPr>
      </w:pPr>
    </w:p>
    <w:p>
      <w:pPr>
        <w:ind w:right="640" w:firstLine="494"/>
        <w:spacing w:after="0" w:line="271" w:lineRule="auto"/>
        <w:rPr>
          <w:sz w:val="20"/>
          <w:szCs w:val="20"/>
          <w:color w:val="auto"/>
        </w:rPr>
      </w:pPr>
      <w:r>
        <w:rPr>
          <w:rFonts w:ascii="Arial" w:cs="Arial" w:eastAsia="Arial" w:hAnsi="Arial"/>
          <w:sz w:val="18"/>
          <w:szCs w:val="18"/>
          <w:color w:val="auto"/>
        </w:rPr>
        <w:t>Property, plant and equipment are recorded at cost less accumulated depreciation. Depreciation expense is recorded using the straight-line method over the following estimated lives: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Range in</w:t>
            </w:r>
          </w:p>
        </w:tc>
      </w:tr>
      <w:tr>
        <w:trPr>
          <w:trHeight w:val="171"/>
        </w:trPr>
        <w:tc>
          <w:tcPr>
            <w:tcW w:w="924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Land improvements</w:t>
            </w:r>
          </w:p>
        </w:tc>
        <w:tc>
          <w:tcPr>
            <w:tcW w:w="20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5 – 30</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Buildings and building improvements</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9"/>
              </w:rPr>
              <w:t>10 – 40</w:t>
            </w: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 – 20</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9"/>
              </w:rPr>
              <w:t>2 – 5</w:t>
            </w: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Special tooling</w:t>
            </w:r>
          </w:p>
        </w:tc>
        <w:tc>
          <w:tcPr>
            <w:tcW w:w="2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 – 10</w:t>
            </w:r>
          </w:p>
        </w:tc>
      </w:tr>
    </w:tbl>
    <w:p>
      <w:pPr>
        <w:spacing w:after="0" w:line="170"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22"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Special tooling represents the costs to design and develop tools, dies, jigs and other items owned by the Company and used in the manufacture of components by suppliers under long-term supply agreements. Special tooling is depreciated on a straight-line basis over the tool’s expected useful life. Special tooling used in the development of new technology is expensed as incurred. Engineering, testing and other costs incurred in the design and development of production parts are expensed as incurred.</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6"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22"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20"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As a result of events and circumstances in the fourth quarter of 2025, the Company reviewed its property, plant and equipment long-lived assets related to the production of certain electrified products, resulting in an $8 million impairment loss recorded for the year ended December 31, 2025. Deteriorating market conditions significantly contributed to the future cash flows of the related assets being less than the carrying value of those assets. See "Note 5. Property, Plant and Equipment" for more information.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56"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The Company has elected to perform its annual impairment tests for goodwill and indefinite-lived intangible assets on October 31 of every year using a multi-step impairment test. In Step 0, the Company has the option to evaluate various qualitative factors to determine the likelihood of impairment. If the Company determines that the fair value is more likely than not less than the carrying value, then it is required to perform Step 1. If the Company does not elect to perform Step 0, it can voluntarily proceed directly to Step 1. In Step 1, the Company performs a quantitative analysis to compare the fair value to its carrying value. If the fair value exceeds the carrying value, no impairment is recorded, and the Company is not required to perform further testing. If the carrying value exceeds fair value, the Company would record an impairment loss equal to the difference.</w:t>
      </w:r>
    </w:p>
    <w:p>
      <w:pPr>
        <w:spacing w:after="0" w:line="131" w:lineRule="exact"/>
        <w:rPr>
          <w:sz w:val="20"/>
          <w:szCs w:val="20"/>
          <w:color w:val="auto"/>
        </w:rPr>
      </w:pPr>
    </w:p>
    <w:p>
      <w:pPr>
        <w:jc w:val="both"/>
        <w:ind w:right="440" w:firstLine="494"/>
        <w:spacing w:after="0" w:line="253"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15"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A quantitative analysis contains uncertainties because it is performed utilizing a discounted cash flow model which includes key assumptions, such as financial forecasts;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20"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Goodwill is tested for impairment at the reporting unit level, which, for 2025, is the same as the Company's one operating and reportable segment. The Company does not aggregate any components into its reporting unit.</w:t>
      </w:r>
    </w:p>
    <w:p>
      <w:pPr>
        <w:spacing w:after="0" w:line="122"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The Company elected to perform a Step 1 quantitative impairment analysis of goodwill in 2025, which indicated that the fair value of the reporting unit exceeded its carrying value, indicating no impairment. The fair value was determined utilizing a discounted cash flow model, which includes key assumptions such as net sales growth derived from market information, industry reports, marketing programs and certain growth initiatives; operating margin improvements derived from cost reduction programs and fixed cost leverage driven by higher sales volumes; and a risk-adjusted discount rate. Events or circumstances that could unfavorably impact the key assumptions include lower net sales driven by market conditions, our inability to execute on marketing programs and/or growth initiatives, lower gross margins as a result of market conditions or failure to obtain forecasted cost reductions, or a higher discount rate as a result of market conditions. While unpredictable and inherently uncertain, management believes the forecast estimates were reasonable and incorporate assumptions that similar market participants would use in their estimates of fair value.</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are not amortized but are tested annually for impairment, or more often if events or circumstances change that could cause intangible assets with indefinite useful lives to become impaired. We elected to perform our annual indefinite-lived intangible assets impairment tests on October 31, 2025 and followed a similar multi-step impairment test that was performed on goodwill. Using the relief-from-royalty method under the income valuation approach, our 2025 annual trade name impairment test indicated that the fair value of the trade name exceeded its carrying value, indicating no impairment. Events or circumstances that could unfavorably impact the key assumptions included lower net sales driven by market conditions, our inability to execute on marketing programs and/or growth initiatives, lower gross margin as a result of market conditions or failure to obtain forecasted cost reductions, or a higher discount rate as a result of market conditions. While unpredictable and inherently uncertain, we believe the forecast estimates are reasonable and incorporate those assumptions that similar market participants would use in their estimates of fair value.</w:t>
      </w:r>
    </w:p>
    <w:p>
      <w:pPr>
        <w:spacing w:after="0" w:line="126"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Such assumptions and estimates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w:t>
      </w:r>
    </w:p>
    <w:p>
      <w:pPr>
        <w:spacing w:after="0" w:line="129"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As a result of events and circumstances in the fourth quarter of 2025, the Company reviewed the definite-lived intangible assets related to the production of certain electrified products, resulting in a $21 million impairment loss recorded for the year ended December 31, 2025. Deteriorating market conditions significantly contributed to the future cash flows of the related assets being less than the carrying value of those assets. See "Note 6. Goodwill and Other Intangible Assets" for more information.</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56"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The deferred financing costs related to line-of-credit arrangements are presented as a component of other non-current assets. The deferred financing costs related to other types of debt instruments such as notes and loans are presented as a component of long-term debt. Deferred financing costs continue to be amortized over the life of the related debt using the effective interest method. Amortization of deferred financing costs is recorded as part of interest expense and totaled $8 million, $3 million and $4 million for the years ended December 31, 2025, 2024 and 2023, respectively.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The Company’s cash equivalents are invested in U.S. government backed securities and recorded at fair value in the Consolidated Balance Sheets. The Company's marketable securities are carried at fair value on the Consolidated Balance Sheets. The Company’s financial derivative instruments, including interest rate swaps, are carried at fair value on the Consolidated Balance Sheets. Refer to "Note 7. Fair Value of Financial Instruments” for more detail. The Company’s long-term debt obligations are carried at historical amounts with the Company providing fair value disclosure in "Note 8. Debt”. The carrying values of accounts receivable and accounts payable approximate fair value due to their short-term nature.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Insurable Liabilities</w:t>
      </w:r>
    </w:p>
    <w:p>
      <w:pPr>
        <w:spacing w:after="0" w:line="156" w:lineRule="exact"/>
        <w:rPr>
          <w:sz w:val="20"/>
          <w:szCs w:val="20"/>
          <w:color w:val="auto"/>
        </w:rPr>
      </w:pPr>
    </w:p>
    <w:p>
      <w:pPr>
        <w:jc w:val="both"/>
        <w:ind w:right="220" w:firstLine="494"/>
        <w:spacing w:after="0" w:line="253" w:lineRule="auto"/>
        <w:rPr>
          <w:sz w:val="20"/>
          <w:szCs w:val="20"/>
          <w:color w:val="auto"/>
        </w:rPr>
      </w:pPr>
      <w:r>
        <w:rPr>
          <w:rFonts w:ascii="Arial" w:cs="Arial" w:eastAsia="Arial" w:hAnsi="Arial"/>
          <w:sz w:val="18"/>
          <w:szCs w:val="18"/>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ind w:right="100" w:firstLine="494"/>
        <w:spacing w:after="0"/>
        <w:rPr>
          <w:sz w:val="20"/>
          <w:szCs w:val="20"/>
          <w:color w:val="auto"/>
        </w:rPr>
      </w:pPr>
      <w:r>
        <w:rPr>
          <w:rFonts w:ascii="Arial" w:cs="Arial" w:eastAsia="Arial" w:hAnsi="Arial"/>
          <w:sz w:val="18"/>
          <w:szCs w:val="18"/>
          <w:color w:val="auto"/>
        </w:rPr>
        <w:t>The Company records sales as each distinct performance obligation within a contract is satisfied. The Company sells extended transmission coverage (“ETC”) for which sales are deferred. ETC sales are recognized ratably over the period of coverage, which typically ranges from one to five years after the standard warranty coverage ends. Costs associated with ETC programs are recorded as incurred during the extended period. Distributor and customer sales incentives, consisting of allowances and other rebates, are recorded as a reduction to Net sales when it is determined that the adjustment is not likely to reverse, historically on a quarterly basis. Incentive programs are generally product specific or region specific. Some factors used in estimating when an adjustment is not likely to reverse are the number of transmissions that will be affected by the incentive program and rate of acceptance of any incentive program.</w:t>
      </w:r>
    </w:p>
    <w:p>
      <w:pPr>
        <w:spacing w:after="0" w:line="131"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Sales under U.S. government production contracts are recognized at the point in time when control passes to the customer, or when the U.S. government accepts the transmission and is able to direct its use in certain bill-and-hold arrangements. Deferred revenue arises from cash received in advance of the culmination of the earnings process and is recognized as revenue in future periods when the applicable revenue recognition criteria have been met. Under the terms of certain previous U.S. government contracts, there were certain price reduction clauses and provisions for potential price reductions which were estimated at the time of sale based upon the Company’s history and experience and were recorded as a reduction to Net sales. Potential reductions may be attributed to a change in projected sales volumes or plant efficiencies which impact overall costs. The Company had $54 million recorded in the price reduction reserve account as of both December 31, 2025 and 2024.</w:t>
      </w:r>
    </w:p>
    <w:p>
      <w:pPr>
        <w:spacing w:after="0" w:line="126"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The Company engages in licensing agreements with certain third parties for the use of the Company’s intellectual property. Deferred revenue arises from cash received in advance of the period of use of the intellectual property. Revenue is recognized over the license period as it is earned.</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classifies shipping and handling billed to customers in Net sales and shipping and handling costs in Cost of sales.</w:t>
      </w:r>
    </w:p>
    <w:p>
      <w:pPr>
        <w:spacing w:after="0" w:line="158"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The Company contracts with various third parties to provide engineering services. These services are recorded as Net sales in accordance with the terms of the contract. The saleable engineering services recorded were $10 million, $10 million and $26 million for the years ended December 31, 2025, 2024 and 2023, respectively. The associated costs are recorded in Cost of sales.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Warranty</w:t>
      </w:r>
    </w:p>
    <w:p>
      <w:pPr>
        <w:spacing w:after="0" w:line="156"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Provisions for estimated expenses related to product warranties are made at the time products are sold. Warranty claims arise when a transmission or propulsion solution manufactured by us fails while in service during the relevant warranty period. The warranty reserve is adjusted in Selling, general and administrative expense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 Warranty costs may differ from those estimated if actual claim rates are higher or lower than the Company's historical rates.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incurs costs in connection with research and development programs that are expected to contribute to future earnings.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Such costs are charged to Engineering — research and development as incurred.</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56" w:lineRule="exact"/>
        <w:rPr>
          <w:sz w:val="20"/>
          <w:szCs w:val="20"/>
          <w:color w:val="auto"/>
        </w:rPr>
      </w:pPr>
    </w:p>
    <w:p>
      <w:pPr>
        <w:ind w:right="100" w:firstLine="494"/>
        <w:spacing w:after="0" w:line="261" w:lineRule="auto"/>
        <w:rPr>
          <w:sz w:val="20"/>
          <w:szCs w:val="20"/>
          <w:color w:val="auto"/>
        </w:rPr>
      </w:pPr>
      <w:r>
        <w:rPr>
          <w:rFonts w:ascii="Arial" w:cs="Arial" w:eastAsia="Arial" w:hAnsi="Arial"/>
          <w:sz w:val="17"/>
          <w:szCs w:val="17"/>
          <w:color w:val="auto"/>
        </w:rPr>
        <w:t>Most of the Company’s subsidiaries outside the United States prepare financial statements in currencies other than the U.S. Dollar. The functional currency for all of these subsidiaries is the local currency, except for the Company’s Hong Kong and Middle East subsidiaries which currently use the U.S. Dollar as their functional currency. Balances are translated at period-end exchange rates for assets and liabilities and monthly weighted-average exchange rates for revenues and expenses. The translation gains and losses are stated as a component of Accumulated Other Comprehensive Loss (“AOCL”) as disclosed in "Note 17. Accumulated Other Comprehensive Loss”.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56"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In the normal course of business, the Company is exposed to fluctuations in interest rates, foreign currency exchange rates, and commodity prices. The risk is managed through the use of financial derivative instruments, when appropriate. The Company has qualified for and elected hedge accounting treatment on interest rate swap contracts. As necessary, the Company adjusts the values of the derivative instruments for counter-party or credit risk. "Note 9. Derivatives” provides further information on the accounting treatment of the Company’s derivative instruments.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When releasing income tax effects from AOCL, the Company utilizes the portfolio securities approach.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firstLine="494"/>
        <w:spacing w:after="0" w:line="242"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125"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The Company records uncertain tax positions on the basis of a two-step process whereby (1) it is determined whether it is more likely than not that the tax position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In February 2024, the Company’s Board of Directors adopted, and in May 2024, the Company’s stockholders approved, the Allison Transmission Holdings, Inc. 2024 Equity Incentive Award Plan (“2024 Plan”), which became effective on May 8, 2024. The 2024 Plan was an amendment and restatement of the Allison Transmission Holdings, Inc. 2015 Equity Incentive Award Plan (the “Prior Plan”). Under the 2024 Plan, certain employees (including executive officers), consultants and directors are eligible to receive equity-based compensation, including non-qualified stock options, incentive stock options, restricted stock, dividend equivalents, stock payments, restricted stock units (“RSUs”), performance awards, stock appreciation rights and other equity-based awards, or any combination thereof. The 2024 Plan limits the aggregate number of shares of common stock available for issue to 3,850,000 and will expire on, and no option or other equity award may be granted pursuant to the 2024 Plan after, the tenth anniversary of the date the 2024 Plan was approved by the Board of Directors.</w:t>
      </w:r>
    </w:p>
    <w:p>
      <w:pPr>
        <w:spacing w:after="0" w:line="126" w:lineRule="exact"/>
        <w:rPr>
          <w:sz w:val="20"/>
          <w:szCs w:val="20"/>
          <w:color w:val="auto"/>
        </w:rPr>
      </w:pPr>
    </w:p>
    <w:p>
      <w:pPr>
        <w:ind w:right="60" w:firstLine="494"/>
        <w:spacing w:after="0" w:line="253" w:lineRule="auto"/>
        <w:rPr>
          <w:sz w:val="20"/>
          <w:szCs w:val="20"/>
          <w:color w:val="auto"/>
        </w:rPr>
      </w:pPr>
      <w:r>
        <w:rPr>
          <w:rFonts w:ascii="Arial" w:cs="Arial" w:eastAsia="Arial" w:hAnsi="Arial"/>
          <w:sz w:val="18"/>
          <w:szCs w:val="18"/>
          <w:color w:val="auto"/>
        </w:rPr>
        <w:t>Prior to the adoption of the 2024 Plan, the Company’s equity-based awards were granted under the Prior Plan. As of the effective date of the 2024 Plan, no new awards will be granted under the Prior Plan, but the Prior Plan will continue to govern the equity awards issued under the Prior Plan.</w:t>
      </w:r>
    </w:p>
    <w:p>
      <w:pPr>
        <w:spacing w:after="0" w:line="115"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RSU grants are recorded at fair market value at the date of grant and vest upon continued performance of services by the RSU holder typically over one to three years. Performance unit grants are recorded at fair value based on a Monte-Carlo pricing model, and the restrictions lapse on the date the Compensation Committee of the Board of Directors determines the number of shares that shall vest based on the related performance or market condition achievement. Non-qualified stock option grants are recorded at fair value using a Black-Scholes option pricing model and vest upon the continued performance of services by the option holder typically over one to three years.</w:t>
      </w:r>
    </w:p>
    <w:p>
      <w:pPr>
        <w:spacing w:after="0" w:line="122"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The Company has made a policy election under applicable accounting guidance to account for forfeitures as a reduction of stock-based compensation expense when the forfeiture occurs.</w:t>
      </w:r>
    </w:p>
    <w:p>
      <w:pPr>
        <w:spacing w:after="0" w:line="100" w:lineRule="exact"/>
        <w:rPr>
          <w:sz w:val="20"/>
          <w:szCs w:val="20"/>
          <w:color w:val="auto"/>
        </w:rPr>
      </w:pPr>
    </w:p>
    <w:p>
      <w:pPr>
        <w:jc w:val="both"/>
        <w:ind w:right="80" w:firstLine="494"/>
        <w:spacing w:after="0" w:line="253" w:lineRule="auto"/>
        <w:rPr>
          <w:sz w:val="20"/>
          <w:szCs w:val="20"/>
          <w:color w:val="auto"/>
        </w:rPr>
      </w:pPr>
      <w:r>
        <w:rPr>
          <w:rFonts w:ascii="Arial" w:cs="Arial" w:eastAsia="Arial" w:hAnsi="Arial"/>
          <w:sz w:val="18"/>
          <w:szCs w:val="18"/>
          <w:color w:val="auto"/>
        </w:rPr>
        <w:t>RSUs were granted to certain employees and directors at fair market value on the date of grant. The restrictions lapse upon continued performance by the RSU holder on the vest date which generally occurs over one, two or three years. RSU incentive compensation expense recorded was $13 million, $13 million and $11 million for the years ended December 31, 2025, 2024 and 2023, respectively.</w:t>
      </w:r>
    </w:p>
    <w:p>
      <w:pPr>
        <w:spacing w:after="0" w:line="115" w:lineRule="exact"/>
        <w:rPr>
          <w:sz w:val="20"/>
          <w:szCs w:val="20"/>
          <w:color w:val="auto"/>
        </w:rPr>
      </w:pPr>
    </w:p>
    <w:p>
      <w:pPr>
        <w:ind w:right="380" w:firstLine="494"/>
        <w:spacing w:after="0" w:line="247" w:lineRule="auto"/>
        <w:rPr>
          <w:sz w:val="20"/>
          <w:szCs w:val="20"/>
          <w:color w:val="auto"/>
        </w:rPr>
      </w:pPr>
      <w:r>
        <w:rPr>
          <w:rFonts w:ascii="Arial" w:cs="Arial" w:eastAsia="Arial" w:hAnsi="Arial"/>
          <w:sz w:val="18"/>
          <w:szCs w:val="18"/>
          <w:color w:val="auto"/>
        </w:rPr>
        <w:t>Performance-based awards, including performance units, were granted to certain employees at fair value at the date of grant. The Company records the fair value of each performance-based award based on a Monte-Carlo pricing model. Performance-based award incentive compensation expense recorded was $6 million, $6 million, $5 million for the years ended December 31, 2025, 2024 and 2023,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Stock options were granted to certain employees at fair value on the date of grant using a Black-Scholes option pricing model. Stock option incentive compensation expense recorded was $8 million, $7 million and $6 million for the years ended December 31, 2025, 2024 and 2023, respectively.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56" w:lineRule="exact"/>
        <w:rPr>
          <w:sz w:val="20"/>
          <w:szCs w:val="20"/>
          <w:color w:val="auto"/>
        </w:rPr>
      </w:pPr>
    </w:p>
    <w:p>
      <w:pPr>
        <w:ind w:right="260" w:firstLine="494"/>
        <w:spacing w:after="0" w:line="244" w:lineRule="auto"/>
        <w:rPr>
          <w:sz w:val="20"/>
          <w:szCs w:val="20"/>
          <w:color w:val="auto"/>
        </w:rPr>
      </w:pPr>
      <w:r>
        <w:rPr>
          <w:rFonts w:ascii="Arial" w:cs="Arial" w:eastAsia="Arial" w:hAnsi="Arial"/>
          <w:sz w:val="18"/>
          <w:szCs w:val="18"/>
          <w:color w:val="auto"/>
        </w:rPr>
        <w:t>For pension and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22"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Post-retirement benefit costs consist of service cost and interest cost on accrued obligations. Actuarial gains and losses on liabilities, together with any prior service costs, are charged (or credited) to income over the average remaining service lives of employees.</w:t>
      </w:r>
    </w:p>
    <w:p>
      <w:pPr>
        <w:spacing w:after="0" w:line="100" w:lineRule="exact"/>
        <w:rPr>
          <w:sz w:val="20"/>
          <w:szCs w:val="20"/>
          <w:color w:val="auto"/>
        </w:rPr>
      </w:pPr>
    </w:p>
    <w:p>
      <w:pPr>
        <w:ind w:right="220" w:firstLine="494"/>
        <w:spacing w:after="0" w:line="242" w:lineRule="auto"/>
        <w:rPr>
          <w:sz w:val="20"/>
          <w:szCs w:val="20"/>
          <w:color w:val="auto"/>
        </w:rPr>
      </w:pPr>
      <w:r>
        <w:rPr>
          <w:rFonts w:ascii="Arial" w:cs="Arial" w:eastAsia="Arial" w:hAnsi="Arial"/>
          <w:sz w:val="18"/>
          <w:szCs w:val="18"/>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 Changes in key economic indicators can change these assumptions. These assumptions, along with the actual value of assets at the measurement date, will impact the calculation of pension expenses for the following year.</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2"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In December 2023, the FASB issued authoritative accounting guidance to improve income tax disclosures by requiring disaggregated information about a reporting entity's effective tax rate reconciliation and information on income taxes paid. The guidance became effective for the Company for its fiscal year ended December 31, 2025 and was applied retrospectively. The adoption of this guidance did not have an impact on the Company's Consolidated Financial Statements but resulted in additional disclosures. See the Consolidated Statements of Cash Flows and "Note 16. Income Taxes" for the additional disclosures.</w:t>
      </w:r>
    </w:p>
    <w:p>
      <w:pPr>
        <w:spacing w:after="0" w:line="68"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In July 2025, the FASB issued authoritative accounting guidance providing a practical expedient related to the estimation of expected credit losses for current accounts receivable and current contract assets arising from contracts with customers. The guidance became effective for the Company beginning January 1, 2026 and was applied prospectively. The adoption of this guidance did not have an impact on the Company's Consolidated Financial Statements.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2"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In November 2025, the FASB issued authoritative accounting guidance to amend certain aspects of the existing hedge accounting guidance to more closely align hedge accounting with the economics of an entity's risk management activities. The guidance will become effective for the Company beginning January 1, 2027 with early adoption permitted. Management is currently evaluating the potential impact of this guidance on the Company's Consolidated Financial Statements.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In November 2024, the FASB issued authoritative accounting guidance, which was subsequently amended, requiring additional disaggregation of certain expense and cost line items presented in the financial statements and in the notes to the financial statements. The guidance will become effective for the Company beginning with the fiscal year ending December 31, 2027 and the subsequent interim periods. Early adoption is permitted. Upon adoption, the guidance may be applied prospectively or retrospectively. Management is currently evaluating the impact of this guidance on the Company's Consolidated Financial Statements.</w:t>
      </w:r>
    </w:p>
    <w:p>
      <w:pPr>
        <w:spacing w:after="0" w:line="68" w:lineRule="exact"/>
        <w:rPr>
          <w:sz w:val="20"/>
          <w:szCs w:val="20"/>
          <w:color w:val="auto"/>
        </w:rPr>
      </w:pPr>
    </w:p>
    <w:p>
      <w:pPr>
        <w:ind w:right="140" w:firstLine="494"/>
        <w:spacing w:after="0" w:line="244" w:lineRule="auto"/>
        <w:rPr>
          <w:sz w:val="20"/>
          <w:szCs w:val="20"/>
          <w:color w:val="auto"/>
        </w:rPr>
      </w:pPr>
      <w:r>
        <w:rPr>
          <w:rFonts w:ascii="Arial" w:cs="Arial" w:eastAsia="Arial" w:hAnsi="Arial"/>
          <w:sz w:val="18"/>
          <w:szCs w:val="18"/>
          <w:color w:val="auto"/>
        </w:rPr>
        <w:t>In September 2025, the FASB issued authoritative accounting guidance to modernize the accounting for costs related to internal-use software. The new guidance removes the software project development stages and provides new guidance on evaluating if the probable-to-complete recognition threshold has been met. The guidance will become effective for the Company beginning January 1, 2028 with early adoption permitted. Upon adoption, the guidance may be applied prospectively, retrospectively or using a modified transition approach. Management is currently evaluating the potential impact of this guidance on the Company's Consolidated Financial Statements.</w:t>
      </w:r>
    </w:p>
    <w:p>
      <w:pPr>
        <w:spacing w:after="0" w:line="68"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All other recently issued accounting pronouncements were assessed as either not applicable to the Company or were not expected to have a material impact on the Company's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58"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125" w:lineRule="exact"/>
        <w:rPr>
          <w:sz w:val="20"/>
          <w:szCs w:val="20"/>
          <w:color w:val="auto"/>
        </w:rPr>
      </w:pPr>
    </w:p>
    <w:p>
      <w:pPr>
        <w:jc w:val="both"/>
        <w:ind w:right="60" w:firstLine="494"/>
        <w:spacing w:after="0" w:line="253"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ETC. The Company allocates the contract’s transaction price to each performance obligation based on the standalone selling price of each distinct good or service in the contract.</w:t>
      </w:r>
    </w:p>
    <w:p>
      <w:pPr>
        <w:spacing w:after="0" w:line="115" w:lineRule="exact"/>
        <w:rPr>
          <w:sz w:val="20"/>
          <w:szCs w:val="20"/>
          <w:color w:val="auto"/>
        </w:rPr>
      </w:pPr>
    </w:p>
    <w:p>
      <w:pPr>
        <w:ind w:right="360" w:firstLine="494"/>
        <w:spacing w:after="0" w:line="244" w:lineRule="auto"/>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all other incentives based on the related sales and market conditions in the end market vocation. The Company recorded no material adjustments based on variable consideration during any of the years ended December 31, 2025, 2024 or 2023.</w:t>
      </w:r>
    </w:p>
    <w:p>
      <w:pPr>
        <w:spacing w:after="0" w:line="122" w:lineRule="exact"/>
        <w:rPr>
          <w:sz w:val="20"/>
          <w:szCs w:val="20"/>
          <w:color w:val="auto"/>
        </w:rPr>
      </w:pPr>
    </w:p>
    <w:p>
      <w:pPr>
        <w:ind w:right="60" w:firstLine="494"/>
        <w:spacing w:after="0" w:line="244"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December 31, 2025 and 2024. See "Note 11. Deferred Revenue” for more information including the amount of revenue earned during the year ended December 31, 2025 that had been previously deferred. The Company had no material contract assets as of either December 31, 2025 or 2024.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The Company had one operating segment and reportable segment as of December 31, 2025. The Company was in one line of business, which was the design,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76"/>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76"/>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North America On-Highway</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1,540</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1,752</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1,529</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Outside North America On-Highway</w:t>
            </w: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Global Off-Highway</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Defense</w:t>
            </w: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100" w:type="dxa"/>
            <w:vAlign w:val="bottom"/>
          </w:tcPr>
          <w:p>
            <w:pPr>
              <w:spacing w:after="0"/>
              <w:rPr>
                <w:sz w:val="17"/>
                <w:szCs w:val="17"/>
                <w:color w:val="auto"/>
              </w:rPr>
            </w:pPr>
          </w:p>
        </w:tc>
      </w:tr>
      <w:tr>
        <w:trPr>
          <w:trHeight w:val="203"/>
        </w:trPr>
        <w:tc>
          <w:tcPr>
            <w:tcW w:w="6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Service Parts, Support Equipment and Other</w:t>
            </w: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643</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663</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Total Net Sales</w:t>
            </w: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3,010</w:t>
            </w:r>
          </w:p>
        </w:tc>
        <w:tc>
          <w:tcPr>
            <w:tcW w:w="4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3,225</w:t>
            </w:r>
          </w:p>
        </w:tc>
        <w:tc>
          <w:tcPr>
            <w:tcW w:w="4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3,035</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-161925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-161925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 by end market is further described as follows: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North America On-Highway</w:t>
      </w:r>
    </w:p>
    <w:p>
      <w:pPr>
        <w:spacing w:after="0" w:line="156" w:lineRule="exact"/>
        <w:rPr>
          <w:sz w:val="20"/>
          <w:szCs w:val="20"/>
          <w:color w:val="auto"/>
        </w:rPr>
      </w:pPr>
    </w:p>
    <w:p>
      <w:pPr>
        <w:ind w:right="80" w:firstLine="494"/>
        <w:spacing w:after="0" w:line="247" w:lineRule="auto"/>
        <w:rPr>
          <w:sz w:val="20"/>
          <w:szCs w:val="20"/>
          <w:color w:val="auto"/>
        </w:rPr>
      </w:pPr>
      <w:r>
        <w:rPr>
          <w:rFonts w:ascii="Arial" w:cs="Arial" w:eastAsia="Arial" w:hAnsi="Arial"/>
          <w:sz w:val="18"/>
          <w:szCs w:val="18"/>
          <w:color w:val="auto"/>
        </w:rPr>
        <w:t>Revenue from the North America On-Highway end market is driven by the sale of propulsion solutions to original equipment manufacturers (“OEMs”), distributors and dealers that install the product into Class 4-5, Class 6-7 and Class 8 straight trucks, Class 8 day cab tractors, conventional transit, shuttle and coach buses, school buses and motorhome applications. Revenue is recognized at the point in time when control passes to the customer, which is based on shipping terms when the order is fulfilled by the Company.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Outside North America On-Highway</w:t>
      </w:r>
    </w:p>
    <w:p>
      <w:pPr>
        <w:spacing w:after="0" w:line="156"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Revenue from the Outside North America On-Highway end market is driven by the sale of propulsion solutions to OEMs and distributors that produce vehicles for commercial users in medium- and heavy-duty applications and wheeled defense platforms. Revenue is recognized at the point in time when control passes to the customer, which is based on shipping terms when the order is fulfilled by the Company.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Global Off-Highway</w:t>
      </w:r>
    </w:p>
    <w:p>
      <w:pPr>
        <w:spacing w:after="0" w:line="156" w:lineRule="exact"/>
        <w:rPr>
          <w:sz w:val="20"/>
          <w:szCs w:val="20"/>
          <w:color w:val="auto"/>
        </w:rPr>
      </w:pPr>
    </w:p>
    <w:p>
      <w:pPr>
        <w:jc w:val="both"/>
        <w:ind w:right="260" w:firstLine="494"/>
        <w:spacing w:after="0" w:line="253" w:lineRule="auto"/>
        <w:rPr>
          <w:sz w:val="20"/>
          <w:szCs w:val="20"/>
          <w:color w:val="auto"/>
        </w:rPr>
      </w:pPr>
      <w:r>
        <w:rPr>
          <w:rFonts w:ascii="Arial" w:cs="Arial" w:eastAsia="Arial" w:hAnsi="Arial"/>
          <w:sz w:val="18"/>
          <w:szCs w:val="18"/>
          <w:color w:val="auto"/>
        </w:rPr>
        <w:t>Revenue from the Global Off-Highway end market is driven by sales of transmissions to OEMs and distributors that serve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Defense</w:t>
      </w:r>
    </w:p>
    <w:p>
      <w:pPr>
        <w:spacing w:after="0" w:line="156"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Revenue from the Defense end market is driven by sales of propulsion solutions to the U.S. Government or its contractors and sales to certain government contractors outside of the U.S. for use in both wheeled and tracked defense vehicle applications. Revenue is recognized at the point in time when control passes to the customer, which is based on shipping terms when the order is fulfilled by the Company.</w:t>
      </w:r>
    </w:p>
    <w:p>
      <w:pPr>
        <w:spacing w:after="0" w:line="115" w:lineRule="exact"/>
        <w:rPr>
          <w:sz w:val="20"/>
          <w:szCs w:val="20"/>
          <w:color w:val="auto"/>
        </w:rPr>
      </w:pPr>
    </w:p>
    <w:p>
      <w:pPr>
        <w:ind w:right="420" w:firstLine="494"/>
        <w:spacing w:after="0" w:line="253" w:lineRule="auto"/>
        <w:rPr>
          <w:sz w:val="20"/>
          <w:szCs w:val="20"/>
          <w:color w:val="auto"/>
        </w:rPr>
      </w:pPr>
      <w:r>
        <w:rPr>
          <w:rFonts w:ascii="Arial" w:cs="Arial" w:eastAsia="Arial" w:hAnsi="Arial"/>
          <w:sz w:val="18"/>
          <w:szCs w:val="18"/>
          <w:color w:val="auto"/>
        </w:rPr>
        <w:t>Periodically, the Company and the U.S. Government will enter into a bill-and-hold arrangement where a completed transmission physically remains at the Company’s facility at the request of the U.S. Government. Revenue is recognized at the point in time when it is determined that the U.S. Government accepts the transmission and is able to direct its use.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Service Parts, Support Equipment and Other</w:t>
      </w:r>
    </w:p>
    <w:p>
      <w:pPr>
        <w:spacing w:after="0" w:line="156"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Revenue from the Service Parts, Support Equipment and Other end market is primarily derived from the sale of transmission parts and fluid purchased for the normal maintenance and repair needs of products in service, the sale of aluminum die cast components purchased as original parts and the sale of ETC contracts which extend the warranty coverages of propulsion solutions beyond the standard warranty period.</w:t>
      </w:r>
    </w:p>
    <w:p>
      <w:pPr>
        <w:spacing w:after="0" w:line="120" w:lineRule="exact"/>
        <w:rPr>
          <w:sz w:val="20"/>
          <w:szCs w:val="20"/>
          <w:color w:val="auto"/>
        </w:rPr>
      </w:pPr>
    </w:p>
    <w:p>
      <w:pPr>
        <w:ind w:right="440" w:firstLine="494"/>
        <w:spacing w:after="0" w:line="271" w:lineRule="auto"/>
        <w:rPr>
          <w:sz w:val="20"/>
          <w:szCs w:val="20"/>
          <w:color w:val="auto"/>
        </w:rPr>
      </w:pPr>
      <w:r>
        <w:rPr>
          <w:rFonts w:ascii="Arial" w:cs="Arial" w:eastAsia="Arial" w:hAnsi="Arial"/>
          <w:sz w:val="18"/>
          <w:szCs w:val="18"/>
          <w:color w:val="auto"/>
        </w:rPr>
        <w:t>Revenue is recognized on sales of service parts, support equipment and aluminum die cast components at the point in time when control passes to the customer, which is based on shipping terms when the order is fulfilled by the Company.</w:t>
      </w:r>
    </w:p>
    <w:p>
      <w:pPr>
        <w:spacing w:after="0" w:line="100"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Revenue from the sale of ETC contracts is recognized ratably over the time period that corresponds with the period of coverage, as the Company has determined this method best depicts the progress towards satisfaction of its performance obligation. ETC contracts are typically sold in one to five year durations within the North America On-Highway, Outside North America On-Highway and Global Off-Highway end markets. The ETC contract period begins when the standard warranty coverage period ends. All consideration allocated to an ETC performance obligation is initially deferred until the coverage period begins.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Purchased parts and raw materials</w:t>
            </w:r>
          </w:p>
        </w:tc>
        <w:tc>
          <w:tcPr>
            <w:tcW w:w="25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168</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162</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Work in progress</w:t>
            </w: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w:t>
            </w: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Finished goods</w:t>
            </w:r>
          </w:p>
        </w:tc>
        <w:tc>
          <w:tcPr>
            <w:tcW w:w="2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68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79</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Service parts</w:t>
            </w:r>
          </w:p>
        </w:tc>
        <w:tc>
          <w:tcPr>
            <w:tcW w:w="2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61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57</w:t>
            </w:r>
          </w:p>
        </w:tc>
      </w:tr>
      <w:tr>
        <w:trPr>
          <w:trHeight w:val="216"/>
        </w:trPr>
        <w:tc>
          <w:tcPr>
            <w:tcW w:w="52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inventories</w:t>
            </w:r>
          </w:p>
        </w:tc>
        <w:tc>
          <w:tcPr>
            <w:tcW w:w="25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316</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315</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14. Other Current Liabilities” for more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cost and accumulated depreciation of property, plant and equipment are as follows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Machinery and equipment</w:t>
            </w:r>
          </w:p>
        </w:tc>
        <w:tc>
          <w:tcPr>
            <w:tcW w:w="24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1,038</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1,003</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Buildings and building improvements</w:t>
            </w: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559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537</w:t>
            </w:r>
          </w:p>
        </w:tc>
      </w:tr>
      <w:tr>
        <w:trPr>
          <w:trHeight w:val="203"/>
        </w:trPr>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Special tooling</w:t>
            </w:r>
          </w:p>
        </w:tc>
        <w:tc>
          <w:tcPr>
            <w:tcW w:w="2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273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239</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200</w:t>
            </w:r>
          </w:p>
        </w:tc>
      </w:tr>
      <w:tr>
        <w:trPr>
          <w:trHeight w:val="202"/>
        </w:trPr>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Construction in progress</w:t>
            </w:r>
          </w:p>
        </w:tc>
        <w:tc>
          <w:tcPr>
            <w:tcW w:w="2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119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73</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Land and land improvements</w:t>
            </w:r>
          </w:p>
        </w:tc>
        <w:tc>
          <w:tcPr>
            <w:tcW w:w="2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29</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28</w:t>
            </w:r>
          </w:p>
        </w:tc>
      </w:tr>
      <w:tr>
        <w:trPr>
          <w:trHeight w:val="196"/>
        </w:trPr>
        <w:tc>
          <w:tcPr>
            <w:tcW w:w="53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property, plant and equipment</w:t>
            </w:r>
          </w:p>
        </w:tc>
        <w:tc>
          <w:tcPr>
            <w:tcW w:w="2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2,223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2,080</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2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(1,361)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(1,277)</w:t>
            </w:r>
          </w:p>
        </w:tc>
      </w:tr>
      <w:tr>
        <w:trPr>
          <w:trHeight w:val="216"/>
        </w:trPr>
        <w:tc>
          <w:tcPr>
            <w:tcW w:w="53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Property, plant and equipment, net</w:t>
            </w:r>
          </w:p>
        </w:tc>
        <w:tc>
          <w:tcPr>
            <w:tcW w:w="24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862</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803</w:t>
            </w: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Depreciation of property, plant and equipment was $117 million, $111 million and $109 million for the years ended December 31, 2025, 2024 and 2023,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80" w:firstLine="494"/>
        <w:spacing w:after="0" w:line="242" w:lineRule="auto"/>
        <w:rPr>
          <w:sz w:val="20"/>
          <w:szCs w:val="20"/>
          <w:color w:val="auto"/>
        </w:rPr>
      </w:pPr>
      <w:r>
        <w:rPr>
          <w:rFonts w:ascii="Arial" w:cs="Arial" w:eastAsia="Arial" w:hAnsi="Arial"/>
          <w:sz w:val="18"/>
          <w:szCs w:val="18"/>
          <w:color w:val="auto"/>
        </w:rPr>
        <w:t>As a result of events and circumstances in the fourth quarter of 2025, primarily deteriorating market conditions, the Company performed an impairment analysis on certain of its long-lived, tangible assets related to the production of certain electrified products. The Company used a market approach to determine the fair value of the assets, resulting in an $8 million impairment loss for the year ended December 31, 2025 for long-lived property, plant and equipment assets. There were no impairment charges for the year ended December 31, 2024. See "Note 6. Goodwill and Other Intangible Assets" for more information on the impairment of long-lived intangible assets related to the production of certain electrified products and "Note 2. Summary of Significant Accounting Policies" for more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both December 31, 2025 and 2024, the carrying amount of the Company’s Goodwill was $2,075 million.</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46"/>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ind w:right="295"/>
              <w:spacing w:after="0" w:line="147" w:lineRule="exact"/>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55"/>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295"/>
              <w:spacing w:after="0" w:line="147" w:lineRule="exact"/>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295"/>
              <w:spacing w:after="0" w:line="147" w:lineRule="exact"/>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55"/>
              <w:spacing w:after="0" w:line="14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315"/>
              <w:spacing w:after="0" w:line="147" w:lineRule="exact"/>
              <w:rPr>
                <w:sz w:val="20"/>
                <w:szCs w:val="20"/>
                <w:color w:val="auto"/>
              </w:rPr>
            </w:pPr>
            <w:r>
              <w:rPr>
                <w:rFonts w:ascii="Arial" w:cs="Arial" w:eastAsia="Arial" w:hAnsi="Arial"/>
                <w:sz w:val="14"/>
                <w:szCs w:val="14"/>
                <w:b w:val="1"/>
                <w:bCs w:val="1"/>
                <w:color w:val="auto"/>
              </w:rPr>
              <w:t>Intangible</w:t>
            </w:r>
          </w:p>
        </w:tc>
      </w:tr>
      <w:tr>
        <w:trPr>
          <w:trHeight w:val="171"/>
        </w:trPr>
        <w:tc>
          <w:tcPr>
            <w:tcW w:w="2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assets, gross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assets, net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assets, gross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assets, net</w:t>
            </w:r>
          </w:p>
        </w:tc>
      </w:tr>
      <w:tr>
        <w:trPr>
          <w:trHeight w:val="196"/>
        </w:trPr>
        <w:tc>
          <w:tcPr>
            <w:tcW w:w="2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Trade name</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791</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791</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791</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791</w:t>
            </w:r>
          </w:p>
        </w:tc>
      </w:tr>
      <w:tr>
        <w:trPr>
          <w:trHeight w:val="184"/>
        </w:trPr>
        <w:tc>
          <w:tcPr>
            <w:tcW w:w="27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Customer relationships —</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221"/>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839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Proprietary technology</w:t>
            </w:r>
          </w:p>
        </w:tc>
        <w:tc>
          <w:tcPr>
            <w:tcW w:w="120" w:type="dxa"/>
            <w:vAlign w:val="bottom"/>
          </w:tcPr>
          <w:p>
            <w:pPr>
              <w:spacing w:after="0"/>
              <w:rPr>
                <w:sz w:val="17"/>
                <w:szCs w:val="17"/>
                <w:color w:val="auto"/>
              </w:rPr>
            </w:pPr>
          </w:p>
        </w:tc>
        <w:tc>
          <w:tcPr>
            <w:tcW w:w="11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484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26</w:t>
            </w:r>
          </w:p>
        </w:tc>
      </w:tr>
      <w:tr>
        <w:trPr>
          <w:trHeight w:val="184"/>
        </w:trPr>
        <w:tc>
          <w:tcPr>
            <w:tcW w:w="27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Customer relationships —</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221"/>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defense</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w:t>
            </w:r>
          </w:p>
        </w:tc>
      </w:tr>
      <w:tr>
        <w:trPr>
          <w:trHeight w:val="216"/>
        </w:trPr>
        <w:tc>
          <w:tcPr>
            <w:tcW w:w="276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2,177</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(1,383)</w:t>
            </w:r>
          </w:p>
        </w:tc>
        <w:tc>
          <w:tcPr>
            <w:tcW w:w="3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794</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2,200</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(1,378)</w:t>
            </w:r>
          </w:p>
        </w:tc>
        <w:tc>
          <w:tcPr>
            <w:tcW w:w="2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822</w:t>
            </w:r>
          </w:p>
        </w:tc>
      </w:tr>
      <w:tr>
        <w:trPr>
          <w:trHeight w:val="20"/>
        </w:trPr>
        <w:tc>
          <w:tcPr>
            <w:tcW w:w="2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-24765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12"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Amortization of intangible assets was $7 million, $10 million and $45 million for the years ended December 31, 2025, 2024 and 2023, respectively.</w:t>
      </w:r>
    </w:p>
    <w:p>
      <w:pPr>
        <w:spacing w:after="0" w:line="100" w:lineRule="exact"/>
        <w:rPr>
          <w:sz w:val="20"/>
          <w:szCs w:val="20"/>
          <w:color w:val="auto"/>
        </w:rPr>
      </w:pPr>
    </w:p>
    <w:p>
      <w:pPr>
        <w:jc w:val="both"/>
        <w:ind w:right="320" w:firstLine="494"/>
        <w:spacing w:after="0" w:line="253" w:lineRule="auto"/>
        <w:rPr>
          <w:sz w:val="20"/>
          <w:szCs w:val="20"/>
          <w:color w:val="auto"/>
        </w:rPr>
      </w:pPr>
      <w:r>
        <w:rPr>
          <w:rFonts w:ascii="Arial" w:cs="Arial" w:eastAsia="Arial" w:hAnsi="Arial"/>
          <w:sz w:val="18"/>
          <w:szCs w:val="18"/>
          <w:color w:val="auto"/>
        </w:rPr>
        <w:t>The Company’s 2025 annual goodwill impairment test indicated that the fair value of the reporting unit exceeded its carrying value, indicating no impairment. The Company's 2025 annual indefinite-lived intangible assets impairment test indicated that the fair value of the Company’s indefinite-lived intangible assets exceeded their carrying value, indicating no impairment.</w:t>
      </w:r>
    </w:p>
    <w:p>
      <w:pPr>
        <w:spacing w:after="0" w:line="115" w:lineRule="exact"/>
        <w:rPr>
          <w:sz w:val="20"/>
          <w:szCs w:val="20"/>
          <w:color w:val="auto"/>
        </w:rPr>
      </w:pPr>
    </w:p>
    <w:p>
      <w:pPr>
        <w:ind w:right="140" w:firstLine="494"/>
        <w:spacing w:after="0" w:line="242" w:lineRule="auto"/>
        <w:rPr>
          <w:sz w:val="20"/>
          <w:szCs w:val="20"/>
          <w:color w:val="auto"/>
        </w:rPr>
      </w:pPr>
      <w:r>
        <w:rPr>
          <w:rFonts w:ascii="Arial" w:cs="Arial" w:eastAsia="Arial" w:hAnsi="Arial"/>
          <w:sz w:val="18"/>
          <w:szCs w:val="18"/>
          <w:color w:val="auto"/>
        </w:rPr>
        <w:t>As a result of events and circumstances in the fourth quarter of 2025, primarily deteriorating market conditions, the Company performed an impairment analysis on the long-lived, proprietary technology intangible asset associated with certain electrified products. The Company used a market approach to determine the fair value of the assets, resulting in a $21 million impairment loss for the year ended December 31, 2025 for long-lived, intangible assets. There was a $1 million impairment loss for the year ended December 31, 2024. See "Note 5. Property, Plant and Equipment" for more information on the impairment of property, plant and equipment assets related to the production of certain electrified products and "Note 2. Summary of Significant Accounting Policies" for more information.</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2027</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2028</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2029</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2030</w:t>
            </w:r>
          </w:p>
        </w:tc>
      </w:tr>
      <w:tr>
        <w:trPr>
          <w:trHeight w:val="196"/>
        </w:trPr>
        <w:tc>
          <w:tcPr>
            <w:tcW w:w="36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Amortization expense</w:t>
            </w:r>
          </w:p>
        </w:tc>
        <w:tc>
          <w:tcPr>
            <w:tcW w:w="2520" w:type="dxa"/>
            <w:vAlign w:val="bottom"/>
            <w:gridSpan w:val="2"/>
            <w:shd w:val="clear" w:color="auto" w:fill="CFF0FC"/>
          </w:tcPr>
          <w:p>
            <w:pPr>
              <w:jc w:val="right"/>
              <w:ind w:right="60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w:t>
            </w:r>
          </w:p>
        </w:tc>
        <w:tc>
          <w:tcPr>
            <w:tcW w:w="900" w:type="dxa"/>
            <w:vAlign w:val="bottom"/>
            <w:gridSpan w:val="2"/>
            <w:shd w:val="clear" w:color="auto" w:fill="CFF0FC"/>
          </w:tcPr>
          <w:p>
            <w:pPr>
              <w:jc w:val="right"/>
              <w:ind w:right="608"/>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FF0FC"/>
          </w:tcPr>
          <w:p>
            <w:pPr>
              <w:jc w:val="right"/>
              <w:ind w:right="588"/>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w:t>
            </w:r>
          </w:p>
        </w:tc>
        <w:tc>
          <w:tcPr>
            <w:tcW w:w="840" w:type="dxa"/>
            <w:vAlign w:val="bottom"/>
            <w:gridSpan w:val="2"/>
            <w:shd w:val="clear" w:color="auto" w:fill="CFF0FC"/>
          </w:tcPr>
          <w:p>
            <w:pPr>
              <w:jc w:val="right"/>
              <w:ind w:right="548"/>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CFF0FC"/>
          </w:tcPr>
          <w:p>
            <w:pPr>
              <w:ind w:left="60"/>
              <w:spacing w:after="0" w:line="196" w:lineRule="exact"/>
              <w:rPr>
                <w:sz w:val="20"/>
                <w:szCs w:val="20"/>
                <w:color w:val="auto"/>
              </w:rPr>
            </w:pPr>
            <w:r>
              <w:rPr>
                <w:rFonts w:ascii="Arial" w:cs="Arial" w:eastAsia="Arial" w:hAnsi="Arial"/>
                <w:sz w:val="18"/>
                <w:szCs w:val="18"/>
                <w:color w:val="auto"/>
              </w:rPr>
              <w:t>—  $</w:t>
            </w:r>
          </w:p>
        </w:tc>
        <w:tc>
          <w:tcPr>
            <w:tcW w:w="86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w:t>
            </w:r>
          </w:p>
        </w:tc>
      </w:tr>
      <w:tr>
        <w:trPr>
          <w:trHeight w:val="652"/>
        </w:trPr>
        <w:tc>
          <w:tcPr>
            <w:tcW w:w="3600" w:type="dxa"/>
            <w:vAlign w:val="bottom"/>
          </w:tcPr>
          <w:p>
            <w:pPr>
              <w:spacing w:after="0"/>
              <w:rPr>
                <w:sz w:val="24"/>
                <w:szCs w:val="24"/>
                <w:color w:val="auto"/>
              </w:rPr>
            </w:pPr>
          </w:p>
        </w:tc>
        <w:tc>
          <w:tcPr>
            <w:tcW w:w="2520" w:type="dxa"/>
            <w:vAlign w:val="bottom"/>
            <w:gridSpan w:val="2"/>
          </w:tcPr>
          <w:p>
            <w:pPr>
              <w:jc w:val="right"/>
              <w:ind w:right="328"/>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45"/>
        </w:trPr>
        <w:tc>
          <w:tcPr>
            <w:tcW w:w="36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158"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w:t>
      </w:r>
    </w:p>
    <w:p>
      <w:pPr>
        <w:spacing w:after="0" w:line="158" w:lineRule="exact"/>
        <w:rPr>
          <w:sz w:val="20"/>
          <w:szCs w:val="20"/>
          <w:color w:val="auto"/>
        </w:rPr>
      </w:pPr>
    </w:p>
    <w:p>
      <w:pPr>
        <w:jc w:val="both"/>
        <w:ind w:right="200" w:firstLine="544"/>
        <w:spacing w:after="0" w:line="247" w:lineRule="auto"/>
        <w:rPr>
          <w:sz w:val="20"/>
          <w:szCs w:val="20"/>
          <w:color w:val="auto"/>
        </w:rPr>
      </w:pPr>
      <w:r>
        <w:rPr>
          <w:rFonts w:ascii="Arial" w:cs="Arial" w:eastAsia="Arial" w:hAnsi="Arial"/>
          <w:sz w:val="18"/>
          <w:szCs w:val="18"/>
          <w:color w:val="auto"/>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spacing w:after="0" w:line="120" w:lineRule="exact"/>
        <w:rPr>
          <w:sz w:val="20"/>
          <w:szCs w:val="20"/>
          <w:color w:val="auto"/>
        </w:rPr>
      </w:pPr>
    </w:p>
    <w:p>
      <w:pPr>
        <w:ind w:right="360" w:firstLine="544"/>
        <w:spacing w:after="0" w:line="247" w:lineRule="auto"/>
        <w:rPr>
          <w:sz w:val="20"/>
          <w:szCs w:val="20"/>
          <w:color w:val="auto"/>
        </w:rPr>
      </w:pPr>
      <w:r>
        <w:rPr>
          <w:rFonts w:ascii="Arial" w:cs="Arial" w:eastAsia="Arial" w:hAnsi="Arial"/>
          <w:sz w:val="18"/>
          <w:szCs w:val="18"/>
          <w:color w:val="auto"/>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2025 and 2024, the Company did not have any Level 3 financial assets or liabilities.</w:t>
      </w:r>
    </w:p>
    <w:p>
      <w:pPr>
        <w:spacing w:after="0" w:line="120"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The following table summarizes the Company’s financial assets and (liabilities) measured at fair value as of December 31, 2025 and 2024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6"/>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4"/>
          </w:tcPr>
          <w:p>
            <w:pPr>
              <w:jc w:val="center"/>
              <w:ind w:right="172"/>
              <w:spacing w:after="0" w:line="147" w:lineRule="exact"/>
              <w:rPr>
                <w:sz w:val="20"/>
                <w:szCs w:val="20"/>
                <w:color w:val="auto"/>
              </w:rPr>
            </w:pPr>
            <w:r>
              <w:rPr>
                <w:rFonts w:ascii="Arial" w:cs="Arial" w:eastAsia="Arial" w:hAnsi="Arial"/>
                <w:sz w:val="14"/>
                <w:szCs w:val="14"/>
                <w:b w:val="1"/>
                <w:bCs w:val="1"/>
                <w:color w:val="auto"/>
              </w:rPr>
              <w:t>Quoted Prices in Active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4"/>
          </w:tcPr>
          <w:p>
            <w:pPr>
              <w:jc w:val="center"/>
              <w:ind w:right="232"/>
              <w:spacing w:after="0" w:line="147" w:lineRule="exact"/>
              <w:rPr>
                <w:sz w:val="20"/>
                <w:szCs w:val="20"/>
                <w:color w:val="auto"/>
              </w:rPr>
            </w:pPr>
            <w:r>
              <w:rPr>
                <w:rFonts w:ascii="Arial" w:cs="Arial" w:eastAsia="Arial" w:hAnsi="Arial"/>
                <w:sz w:val="14"/>
                <w:szCs w:val="14"/>
                <w:b w:val="1"/>
                <w:bCs w:val="1"/>
                <w:color w:val="auto"/>
              </w:rPr>
              <w:t>Significant 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rPr>
              <w:t>Markets for Identical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Observable Inputs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4"/>
                <w:szCs w:val="14"/>
                <w:b w:val="1"/>
                <w:bCs w:val="1"/>
                <w:color w:val="auto"/>
              </w:rPr>
              <w:t>Assets (Level 1)</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rPr>
              <w:t>(Level 2)</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tcPr>
          <w:p>
            <w:pPr>
              <w:spacing w:after="0"/>
              <w:rPr>
                <w:sz w:val="14"/>
                <w:szCs w:val="14"/>
                <w:color w:val="auto"/>
              </w:rPr>
            </w:pPr>
          </w:p>
        </w:tc>
      </w:tr>
      <w:tr>
        <w:trPr>
          <w:trHeight w:val="155"/>
        </w:trPr>
        <w:tc>
          <w:tcPr>
            <w:tcW w:w="4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134</w:t>
            </w:r>
          </w:p>
        </w:tc>
        <w:tc>
          <w:tcPr>
            <w:tcW w:w="30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664</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134</w:t>
            </w:r>
          </w:p>
        </w:tc>
        <w:tc>
          <w:tcPr>
            <w:tcW w:w="3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664</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7"/>
                <w:szCs w:val="17"/>
                <w:color w:val="auto"/>
              </w:rPr>
            </w:pPr>
          </w:p>
        </w:tc>
        <w:tc>
          <w:tcPr>
            <w:tcW w:w="86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Rabbi trust assets</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20</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Deferred compensation obligation</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Debt securities</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Derivative assets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w:t>
            </w:r>
          </w:p>
        </w:tc>
      </w:tr>
      <w:tr>
        <w:trPr>
          <w:trHeight w:val="216"/>
        </w:trPr>
        <w:tc>
          <w:tcPr>
            <w:tcW w:w="46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158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675</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3</w:t>
            </w:r>
          </w:p>
        </w:tc>
        <w:tc>
          <w:tcPr>
            <w:tcW w:w="3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w:t>
            </w:r>
          </w:p>
        </w:tc>
        <w:tc>
          <w:tcPr>
            <w:tcW w:w="3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161</w:t>
            </w:r>
          </w:p>
        </w:tc>
        <w:tc>
          <w:tcPr>
            <w:tcW w:w="3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680</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ind w:right="140" w:firstLine="494"/>
        <w:spacing w:after="0" w:line="253" w:lineRule="auto"/>
        <w:rPr>
          <w:sz w:val="20"/>
          <w:szCs w:val="20"/>
          <w:color w:val="auto"/>
        </w:rPr>
      </w:pPr>
      <w:r>
        <w:rPr>
          <w:rFonts w:ascii="Arial" w:cs="Arial" w:eastAsia="Arial" w:hAnsi="Arial"/>
          <w:sz w:val="18"/>
          <w:szCs w:val="18"/>
          <w:color w:val="auto"/>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 A description of the Company’s Level 1 assets is as follows:</w:t>
      </w:r>
    </w:p>
    <w:p>
      <w:pPr>
        <w:spacing w:after="0" w:line="61" w:lineRule="exact"/>
        <w:rPr>
          <w:sz w:val="20"/>
          <w:szCs w:val="20"/>
          <w:color w:val="auto"/>
        </w:rPr>
      </w:pPr>
    </w:p>
    <w:p>
      <w:pPr>
        <w:ind w:left="1260" w:hanging="384"/>
        <w:spacing w:after="0"/>
        <w:tabs>
          <w:tab w:leader="none" w:pos="12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Cash equivalents consist primarily of short-term U.S. government backed securities and time deposits.</w:t>
      </w:r>
    </w:p>
    <w:p>
      <w:pPr>
        <w:spacing w:after="0" w:line="116" w:lineRule="exact"/>
        <w:rPr>
          <w:rFonts w:ascii="Times New Roman" w:cs="Times New Roman" w:eastAsia="Times New Roman" w:hAnsi="Times New Roman"/>
          <w:sz w:val="18"/>
          <w:szCs w:val="18"/>
          <w:color w:val="auto"/>
        </w:rPr>
      </w:pPr>
    </w:p>
    <w:p>
      <w:pPr>
        <w:ind w:left="1260" w:right="860" w:hanging="384"/>
        <w:spacing w:after="0" w:line="270" w:lineRule="auto"/>
        <w:tabs>
          <w:tab w:leader="none" w:pos="12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Marketable securities consist of publicly traded stock of Jing-Jin Electric Technologies Co. Ltd., which has a readily determinable fair value.</w:t>
      </w:r>
    </w:p>
    <w:p>
      <w:pPr>
        <w:spacing w:after="0" w:line="46" w:lineRule="exact"/>
        <w:rPr>
          <w:rFonts w:ascii="Times New Roman" w:cs="Times New Roman" w:eastAsia="Times New Roman" w:hAnsi="Times New Roman"/>
          <w:sz w:val="18"/>
          <w:szCs w:val="18"/>
          <w:color w:val="auto"/>
        </w:rPr>
      </w:pPr>
    </w:p>
    <w:p>
      <w:pPr>
        <w:ind w:left="1260" w:hanging="384"/>
        <w:spacing w:after="0"/>
        <w:tabs>
          <w:tab w:leader="none" w:pos="12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Rabbi trust assets consist principally of publicly available mutual funds and target date retirement funds.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60" w:hanging="384"/>
        <w:spacing w:after="0"/>
        <w:tabs>
          <w:tab w:leader="none" w:pos="12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Deferred compensation obligation is directly related to the fair value of assets held in the rabbi trust.</w:t>
      </w:r>
    </w:p>
    <w:p>
      <w:pPr>
        <w:spacing w:after="0" w:line="116"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The Company's debt securities are classified as available-for-sale and qualify as Level 2 in the fair value hierarchy. The Company’s valuation techniques used to calculate the fair value of derivative instruments represent a market approach with observable inputs that qualify as Level 2 in the fair value hierarchy. The Company used valuations from the issuing financial institutions for the fair value measurement of interest rate swaps. As of December 31, 2025, all of the Company's interest rate swap contracts reached maturity and were terminated. The floating-to-fixed interest rate swaps were based on the Secured Overnight Financing Rate ("SOFR"), which is observable at commonly quoted intervals. The fair values are included in Other current assets in the Consolidated Balance Sheets. See "Note 9. Derivatives” for more information regarding the Company's interest rate swaps.</w:t>
      </w:r>
    </w:p>
    <w:p>
      <w:pPr>
        <w:spacing w:after="0" w:line="77" w:lineRule="exact"/>
        <w:rPr>
          <w:sz w:val="20"/>
          <w:szCs w:val="20"/>
          <w:color w:val="auto"/>
        </w:rPr>
      </w:pPr>
    </w:p>
    <w:p>
      <w:pPr>
        <w:ind w:right="60" w:firstLine="494"/>
        <w:spacing w:after="0" w:line="255" w:lineRule="auto"/>
        <w:rPr>
          <w:sz w:val="20"/>
          <w:szCs w:val="20"/>
          <w:color w:val="auto"/>
        </w:rPr>
      </w:pPr>
      <w:r>
        <w:rPr>
          <w:rFonts w:ascii="Arial" w:cs="Arial" w:eastAsia="Arial" w:hAnsi="Arial"/>
          <w:sz w:val="17"/>
          <w:szCs w:val="17"/>
          <w:color w:val="auto"/>
        </w:rPr>
        <w:t>The Company holds equity securities in unconsolidated entities without a readily determinable fair value. Each of these investments represents a less than 20% ownership interest in the respective privately-held entity, and the Company does not maintain significant influence over or control of any of the entities. The Company has elected the measurement alternative and measures the investments at cost, less any impairment, plus or minus adjustments related to observable price changes in orderly transactions for identical or similar investments of the same issuer. These equity investments are recorded in Other non-current assets in the Consolidated Balance Sheets, with changes in the value recorded in Other income (expense), net in the Consolidated Statements of Comprehensive Income. As of December 31, 2025 and 2024, the Company held equity securities without a readily determinable fair value of $8 million and $7 million, respectively. For the years ended December 31, 2025 and 2024, no adjustments were recorded resulting from observable price changes in orderly transactions for identical or similar investments of the same issuer and no impairment charges occurred for any of these investments.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Senior Notes, fixed 4.75%, due 2027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4"/>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400</w:t>
            </w:r>
          </w:p>
        </w:tc>
        <w:tc>
          <w:tcPr>
            <w:tcW w:w="720" w:type="dxa"/>
            <w:vAlign w:val="bottom"/>
            <w:gridSpan w:val="3"/>
          </w:tcPr>
          <w:p>
            <w:pPr>
              <w:jc w:val="right"/>
              <w:ind w:right="288"/>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400</w:t>
            </w: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Senior Notes, fixed 5.875%, due 2029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500</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Senior Notes, fixed 3.75%, due 2031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Senior Secured Credit Facility Term Loan, variable, due 2031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b w:val="1"/>
                <w:bCs w:val="1"/>
                <w:color w:val="auto"/>
              </w:rPr>
              <w:t>509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514</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Senior Notes, fixed 5.875%, due 2033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196"/>
        </w:trPr>
        <w:tc>
          <w:tcPr>
            <w:tcW w:w="50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long-term debt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4"/>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2,909</w:t>
            </w:r>
          </w:p>
        </w:tc>
        <w:tc>
          <w:tcPr>
            <w:tcW w:w="720" w:type="dxa"/>
            <w:vAlign w:val="bottom"/>
            <w:gridSpan w:val="3"/>
            <w:shd w:val="clear" w:color="auto" w:fill="CFF0FC"/>
          </w:tcPr>
          <w:p>
            <w:pPr>
              <w:jc w:val="right"/>
              <w:ind w:right="288"/>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2,414</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w:t>
            </w:r>
          </w:p>
        </w:tc>
      </w:tr>
      <w:tr>
        <w:trPr>
          <w:trHeight w:val="203"/>
        </w:trPr>
        <w:tc>
          <w:tcPr>
            <w:tcW w:w="508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deferred financing costs, net (see Note 2)</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14</w:t>
            </w:r>
          </w:p>
        </w:tc>
      </w:tr>
      <w:tr>
        <w:trPr>
          <w:trHeight w:val="196"/>
        </w:trPr>
        <w:tc>
          <w:tcPr>
            <w:tcW w:w="5080" w:type="dxa"/>
            <w:vAlign w:val="bottom"/>
          </w:tcPr>
          <w:p>
            <w:pPr>
              <w:ind w:left="200"/>
              <w:spacing w:after="0" w:line="196" w:lineRule="exact"/>
              <w:rPr>
                <w:sz w:val="20"/>
                <w:szCs w:val="20"/>
                <w:color w:val="auto"/>
              </w:rPr>
            </w:pPr>
            <w:r>
              <w:rPr>
                <w:rFonts w:ascii="Arial" w:cs="Arial" w:eastAsia="Arial" w:hAnsi="Arial"/>
                <w:sz w:val="18"/>
                <w:szCs w:val="18"/>
                <w:color w:val="auto"/>
              </w:rPr>
              <w:t>Total long-term debt, net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2,885</w:t>
            </w:r>
          </w:p>
        </w:tc>
        <w:tc>
          <w:tcPr>
            <w:tcW w:w="720" w:type="dxa"/>
            <w:vAlign w:val="bottom"/>
            <w:gridSpan w:val="3"/>
          </w:tcPr>
          <w:p>
            <w:pPr>
              <w:jc w:val="right"/>
              <w:ind w:right="288"/>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2,395</w:t>
            </w:r>
          </w:p>
        </w:tc>
      </w:tr>
      <w:tr>
        <w:trPr>
          <w:trHeight w:val="20"/>
        </w:trPr>
        <w:tc>
          <w:tcPr>
            <w:tcW w:w="52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90"/>
        </w:trPr>
        <w:tc>
          <w:tcPr>
            <w:tcW w:w="9300" w:type="dxa"/>
            <w:vAlign w:val="bottom"/>
            <w:gridSpan w:val="15"/>
          </w:tcPr>
          <w:p>
            <w:pPr>
              <w:jc w:val="right"/>
              <w:ind w:right="300"/>
              <w:spacing w:after="0"/>
              <w:rPr>
                <w:sz w:val="20"/>
                <w:szCs w:val="20"/>
                <w:color w:val="auto"/>
              </w:rPr>
            </w:pPr>
            <w:r>
              <w:rPr>
                <w:rFonts w:ascii="Arial" w:cs="Arial" w:eastAsia="Arial" w:hAnsi="Arial"/>
                <w:sz w:val="18"/>
                <w:szCs w:val="18"/>
                <w:color w:val="auto"/>
              </w:rPr>
              <w:t>Principal payments required on long-term debt during the next five years are as follows (dollars in millions):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3"/>
        </w:trPr>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2028</w:t>
            </w: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2029</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2030</w:t>
            </w:r>
          </w:p>
        </w:tc>
      </w:tr>
      <w:tr>
        <w:trPr>
          <w:trHeight w:val="196"/>
        </w:trPr>
        <w:tc>
          <w:tcPr>
            <w:tcW w:w="508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Payments</w:t>
            </w:r>
          </w:p>
        </w:tc>
        <w:tc>
          <w:tcPr>
            <w:tcW w:w="3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5</w:t>
            </w:r>
          </w:p>
        </w:tc>
        <w:tc>
          <w:tcPr>
            <w:tcW w:w="5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405</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5</w:t>
            </w:r>
          </w:p>
        </w:tc>
        <w:tc>
          <w:tcPr>
            <w:tcW w:w="5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3"/>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505</w:t>
            </w:r>
          </w:p>
        </w:tc>
        <w:tc>
          <w:tcPr>
            <w:tcW w:w="4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-770890</wp:posOffset>
            </wp:positionV>
            <wp:extent cx="111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0"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As of December 31, 2025, the Company had $2,909 million of indebtedness associated with Allison Transmission, Inc.’s (“ATI”), the Company’s wholly-owned subsidiary, 4.75% Senior Notes due October 2027 (“4.75% Senior Notes”), ATI’s 5.875% Senior Notes due June 2029 (“5.875% Senior Notes 2029”), ATI’s 3.75% Senior Notes due January 2031 (“3.75% Senior Notes”), 5.875% Senior Notes due December 2033 ("5.875% Senior Notes 2033”), and together with the 4.75% Senior Notes, 5.875% Senior Notes 2029 and 3.75% Senior Notes, the “Senior Notes”) and the Second Amended and Restated Credit Agreement dated as of March 29, 2019, as amended (the “Credit Agreement”), governing ATI’s term loan facility in the amount of $509 million due March 2031 (“Term Loan”) and ATI’s revolving credit facility with commitments in the amount of $750 million due March 2029 (“Revolving Credit Facility”, and together with the Term Loan, the “Senior Secured Credit Facility”).</w:t>
      </w:r>
    </w:p>
    <w:p>
      <w:pPr>
        <w:spacing w:after="0" w:line="126" w:lineRule="exact"/>
        <w:rPr>
          <w:sz w:val="20"/>
          <w:szCs w:val="20"/>
          <w:color w:val="auto"/>
        </w:rPr>
      </w:pPr>
    </w:p>
    <w:p>
      <w:pPr>
        <w:ind w:right="220" w:firstLine="494"/>
        <w:spacing w:after="0" w:line="253" w:lineRule="auto"/>
        <w:rPr>
          <w:sz w:val="20"/>
          <w:szCs w:val="20"/>
          <w:color w:val="auto"/>
        </w:rPr>
      </w:pPr>
      <w:r>
        <w:rPr>
          <w:rFonts w:ascii="Arial" w:cs="Arial" w:eastAsia="Arial" w:hAnsi="Arial"/>
          <w:sz w:val="18"/>
          <w:szCs w:val="18"/>
          <w:color w:val="auto"/>
        </w:rPr>
        <w:t>The fair value of the Company’s long-term debt obligations as of December 31, 2025 was $2,858 million. The fair value is based on quoted Level 2 market prices of the Company’s debt as of December 31, 2025. The difference between the fair value and carrying value of the long-term debt is driven primarily by trends in the financial markets.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56"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certain existing and future U.S. subsidiary guarantors, as provided in the Credit Agreement. Interest on the Term Loan, as of December 31, 2025, is either (a) 1.75% over a SOFR rate on deposits in U.S. dollars for one-, three- or six-month periods (or a twelve-month period if, at the time of the borrowing, consented to by all relevant lenders and the administrative agent) ("Term SOFR"), or (b) 0.75% over the greater of the prime lending rate as quoted by the administrative agent, the Term SOFR rate for an interest period of one month plus 1.00% and the federal funds effective rate published by the Federal Reserve Bank of New York plus 0.50%, subject to a 1.00% floor (the "Base Rate"). As of December 31, 2025, the Company elected to pay the lowest all-in rate of Term SOFR plus the applicable margin, or 5.50%,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2031 is $1 million. As of December 31, 2025, there had been no payments required for certain net cash proceeds of non-ordinary course asset sales and casualty and condemnation events. The remaining principal balance is due upon maturity.</w:t>
      </w:r>
    </w:p>
    <w:p>
      <w:pPr>
        <w:spacing w:after="0" w:line="129" w:lineRule="exact"/>
        <w:rPr>
          <w:sz w:val="20"/>
          <w:szCs w:val="20"/>
          <w:color w:val="auto"/>
        </w:rPr>
      </w:pPr>
    </w:p>
    <w:p>
      <w:pPr>
        <w:ind w:right="160" w:firstLine="494"/>
        <w:spacing w:after="0" w:line="237" w:lineRule="auto"/>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 letters of credit commitments. Throughout the year ended December 31, 2025, the Company made no withdrawals on the Revolving Credit Facility. As of December 31, 2025, the Company had $745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Term SOFR rate; when the Company’s first lien net leverage ratio is equal to or less than 4.00x and above 3.50x, interest on the Revolving Credit Facility is (i) 0.50% over the Base Rate or (ii) 1.50% over the Term SOFR rate; and when the Company’s first lien net leverage ratio is equal to or below 3.50x, interest on the Revolving Credit Facility is (y)</w:t>
      </w:r>
    </w:p>
    <w:p>
      <w:pPr>
        <w:spacing w:after="0" w:line="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0.25% over the Base Rate or (z) 1.25% over the Term SOFR rate. As of December 31, 2025, the applicable margin for the Revolving Credit Facility was 1.25%. In addition, there is an annual commitment fee, based on the Company’s first lien net leverage ratio, on the average unused revolving credit borrowings available under the Revolving Credit Facility. As of December 31, 2025, the commitment fee was 0.25%. Borrowings under the Revolving Credit Facility are payable at the option of the Company throughout the term of the Revolving Credit Facility with the balance due at the end of the term.</w:t>
      </w:r>
    </w:p>
    <w:p>
      <w:pPr>
        <w:spacing w:after="0" w:line="126" w:lineRule="exact"/>
        <w:rPr>
          <w:sz w:val="20"/>
          <w:szCs w:val="20"/>
          <w:color w:val="auto"/>
        </w:rPr>
      </w:pPr>
    </w:p>
    <w:p>
      <w:pPr>
        <w:ind w:right="120" w:firstLine="494"/>
        <w:spacing w:after="0" w:line="242"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December 31, 2025, the Company had no amounts outstanding under the Revolving Credit Facility; however, the Company would have been in compliance with the maximum first lien net leverage ratio, achieving a (0.87x)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125"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December 31, 2025, the Company was in compliance with all covenants under the Credit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Notes</w:t>
      </w:r>
    </w:p>
    <w:p>
      <w:pPr>
        <w:spacing w:after="0" w:line="102" w:lineRule="exact"/>
        <w:rPr>
          <w:sz w:val="20"/>
          <w:szCs w:val="20"/>
          <w:color w:val="auto"/>
        </w:rPr>
      </w:pPr>
    </w:p>
    <w:p>
      <w:pPr>
        <w:ind w:right="40" w:firstLine="494"/>
        <w:spacing w:after="0" w:line="242" w:lineRule="auto"/>
        <w:rPr>
          <w:sz w:val="20"/>
          <w:szCs w:val="20"/>
          <w:color w:val="auto"/>
        </w:rPr>
      </w:pPr>
      <w:r>
        <w:rPr>
          <w:rFonts w:ascii="Arial" w:cs="Arial" w:eastAsia="Arial" w:hAnsi="Arial"/>
          <w:sz w:val="18"/>
          <w:szCs w:val="18"/>
          <w:color w:val="auto"/>
        </w:rPr>
        <w:t>In November 2025, ATI completed an offering of $500 million of the 5.875% Senior Notes due December 2033. The 5.875% Senior Notes 2033 were offered in a private placement exempt from registration under the Securities Act of 1933, as amended. On June 11, 2025, the Company entered into a Stock Purchase Agreement (the “Purchase Agreement”) with Dana Incorporated (“Dana”) to acquire its off-highway business (the "Acquisition"). The net proceeds from the offering will be used to pay for a portion of the Acquisition. As a result of the offering, the Company recorded $6 million as deferred financing fees in the Consolidated Balance Sheet as of December 31, 2025. See "Note 24. Acquisition” for additional details regarding the Acquisition.</w:t>
      </w:r>
    </w:p>
    <w:p>
      <w:pPr>
        <w:spacing w:after="0" w:line="71"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2025, the Company was in compliance with all covenants under the indentures governing the Senior Notes.</w:t>
      </w:r>
    </w:p>
    <w:p>
      <w:pPr>
        <w:spacing w:after="0" w:line="129"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the 5.875% Senior Notes 2029 and the 3.75% Senior Notes may be redeemed at any time at redemption prices specified in the indentures governing such notes. Prior to December 1, 2028, ATI may redeem some or all of the 5.875% Senior Notes 2033 by paying a price equal to 100.00% of the principal amount being redeemed, plus an “applicable premium”. At any time on or after December 1, 2028, ATI may redeem some or all of the 5.875% Senior Notes 2033 at redemption prices specified in the indenture governing such notes.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w:t>
      </w:r>
    </w:p>
    <w:p>
      <w:pPr>
        <w:spacing w:after="0" w:line="158" w:lineRule="exact"/>
        <w:rPr>
          <w:sz w:val="20"/>
          <w:szCs w:val="20"/>
          <w:color w:val="auto"/>
        </w:rPr>
      </w:pPr>
    </w:p>
    <w:p>
      <w:pPr>
        <w:ind w:right="180" w:firstLine="494"/>
        <w:spacing w:after="0" w:line="247"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entered into interest rate swaps to manage a portion of this exposure. The interest rate swaps were designated as cash flow hedges that qualified for hedge accounting under the hypothetical derivative method and effectively hedged $500 million of the variable rate debt associated with the Term Loan at the Term SOFR weighted average fixed rate of 2.81% through September 2025.</w:t>
      </w:r>
    </w:p>
    <w:p>
      <w:pPr>
        <w:spacing w:after="0" w:line="120" w:lineRule="exact"/>
        <w:rPr>
          <w:sz w:val="20"/>
          <w:szCs w:val="20"/>
          <w:color w:val="auto"/>
        </w:rPr>
      </w:pPr>
    </w:p>
    <w:p>
      <w:pPr>
        <w:jc w:val="both"/>
        <w:ind w:right="200" w:firstLine="494"/>
        <w:spacing w:after="0" w:line="253" w:lineRule="auto"/>
        <w:rPr>
          <w:sz w:val="20"/>
          <w:szCs w:val="20"/>
          <w:color w:val="auto"/>
        </w:rPr>
      </w:pPr>
      <w:r>
        <w:rPr>
          <w:rFonts w:ascii="Arial" w:cs="Arial" w:eastAsia="Arial" w:hAnsi="Arial"/>
          <w:sz w:val="18"/>
          <w:szCs w:val="18"/>
          <w:color w:val="auto"/>
        </w:rPr>
        <w:t>Fair value adjustments associated with the interest rate swaps were recorded as a component of Accumulated other comprehensive loss, net of tax (“AOCL”) in the Consolidated Balance Sheets. Balances in AOCL were reclassified to earnings when transactions related to the underlying risk were settled.</w:t>
      </w:r>
    </w:p>
    <w:p>
      <w:pPr>
        <w:spacing w:after="0" w:line="115"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In September 2025, all of the Company's interest rate swap contracts reached maturity and were terminated. See "Note 7. Fair Value of Financial Instruments” for information regarding the fair value of the Company’s interest rate swaps. The following tabular disclosures further describe the Company’s interest rate swap derivatives qualifying and designated for hedge accounting and their impact on the financial condition of the Company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Balance Sheet</w:t>
            </w: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Fair Value</w:t>
            </w: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241"/>
              <w:spacing w:after="0" w:line="147"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ind w:right="379"/>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4"/>
                <w:szCs w:val="14"/>
                <w:color w:val="auto"/>
              </w:rPr>
            </w:pPr>
          </w:p>
        </w:tc>
        <w:tc>
          <w:tcPr>
            <w:tcW w:w="1520" w:type="dxa"/>
            <w:vAlign w:val="bottom"/>
          </w:tcPr>
          <w:p>
            <w:pPr>
              <w:jc w:val="right"/>
              <w:ind w:right="681"/>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right"/>
              <w:ind w:right="69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Derivative Assets:</w:t>
            </w:r>
          </w:p>
        </w:tc>
        <w:tc>
          <w:tcPr>
            <w:tcW w:w="1040" w:type="dxa"/>
            <w:vAlign w:val="bottom"/>
            <w:shd w:val="clear" w:color="auto" w:fill="CFF0FC"/>
          </w:tcPr>
          <w:p>
            <w:pPr>
              <w:spacing w:after="0"/>
              <w:rPr>
                <w:sz w:val="17"/>
                <w:szCs w:val="17"/>
                <w:color w:val="auto"/>
              </w:rPr>
            </w:pPr>
          </w:p>
        </w:tc>
        <w:tc>
          <w:tcPr>
            <w:tcW w:w="34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line="202" w:lineRule="exact"/>
              <w:rPr>
                <w:sz w:val="20"/>
                <w:szCs w:val="20"/>
                <w:color w:val="auto"/>
              </w:rPr>
            </w:pPr>
            <w:r>
              <w:rPr>
                <w:rFonts w:ascii="Arial" w:cs="Arial" w:eastAsia="Arial" w:hAnsi="Arial"/>
                <w:sz w:val="18"/>
                <w:szCs w:val="18"/>
                <w:color w:val="auto"/>
              </w:rPr>
              <w:t>Interest rate swaps</w:t>
            </w:r>
          </w:p>
        </w:tc>
        <w:tc>
          <w:tcPr>
            <w:tcW w:w="464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520" w:type="dxa"/>
            <w:vAlign w:val="bottom"/>
          </w:tcPr>
          <w:p>
            <w:pPr>
              <w:ind w:left="1220"/>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9"/>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6"/>
        </w:trPr>
        <w:tc>
          <w:tcPr>
            <w:tcW w:w="2920" w:type="dxa"/>
            <w:vAlign w:val="bottom"/>
            <w:tcBorders>
              <w:top w:val="single" w:sz="8" w:color="CFF0FC"/>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derivative assets</w:t>
            </w:r>
          </w:p>
        </w:tc>
        <w:tc>
          <w:tcPr>
            <w:tcW w:w="1040" w:type="dxa"/>
            <w:vAlign w:val="bottom"/>
            <w:tcBorders>
              <w:top w:val="single" w:sz="8" w:color="CFF0FC"/>
              <w:bottom w:val="single" w:sz="8" w:color="CFF0FC"/>
            </w:tcBorders>
            <w:shd w:val="clear" w:color="auto" w:fill="CFF0FC"/>
          </w:tcPr>
          <w:p>
            <w:pPr>
              <w:spacing w:after="0"/>
              <w:rPr>
                <w:sz w:val="20"/>
                <w:szCs w:val="20"/>
                <w:color w:val="auto"/>
              </w:rPr>
            </w:pPr>
          </w:p>
        </w:tc>
        <w:tc>
          <w:tcPr>
            <w:tcW w:w="34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bottom w:val="single" w:sz="8" w:color="auto"/>
            </w:tcBorders>
            <w:shd w:val="clear" w:color="auto" w:fill="CFF0FC"/>
          </w:tcPr>
          <w:p>
            <w:pPr>
              <w:ind w:left="122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1200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200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-161925</wp:posOffset>
            </wp:positionV>
            <wp:extent cx="1200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0"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As of December 31, 2025, all derivative gains recorded in AOCL were reclassified to earnings. There were $5 million of net derivative gains recorded in AOCL as of December 31, 2024. See "Note 17. Accumulated Other Comprehensive Loss” for information regarding activity recorded as a component of AOCL during the years ended December 31, 2025 and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WARRANTY LIABILITIES</w:t>
      </w:r>
    </w:p>
    <w:p>
      <w:pPr>
        <w:spacing w:after="0" w:line="158" w:lineRule="exact"/>
        <w:rPr>
          <w:sz w:val="20"/>
          <w:szCs w:val="20"/>
          <w:color w:val="auto"/>
        </w:rPr>
      </w:pPr>
    </w:p>
    <w:p>
      <w:pPr>
        <w:jc w:val="both"/>
        <w:ind w:right="120" w:firstLine="494"/>
        <w:spacing w:after="0" w:line="253" w:lineRule="auto"/>
        <w:rPr>
          <w:sz w:val="20"/>
          <w:szCs w:val="20"/>
          <w:color w:val="auto"/>
        </w:rPr>
      </w:pPr>
      <w:r>
        <w:rPr>
          <w:rFonts w:ascii="Arial" w:cs="Arial" w:eastAsia="Arial" w:hAnsi="Arial"/>
          <w:sz w:val="18"/>
          <w:szCs w:val="18"/>
          <w:color w:val="auto"/>
        </w:rPr>
        <w:t>As of December 31, 2025, the current and non-current product warranty liabilities were $34 million and $50 million, respectively. As of December 31, 2024, the current and non-current product warranty liabilities were $31 million and $36 million, respectively. Product warranty liability activities consisted of the following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177"/>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17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2023</w:t>
            </w:r>
          </w:p>
        </w:tc>
      </w:tr>
      <w:tr>
        <w:trPr>
          <w:trHeight w:val="196"/>
        </w:trPr>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14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67</w:t>
            </w:r>
          </w:p>
        </w:tc>
        <w:tc>
          <w:tcPr>
            <w:tcW w:w="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59</w:t>
            </w:r>
          </w:p>
        </w:tc>
        <w:tc>
          <w:tcPr>
            <w:tcW w:w="2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57</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2"/>
        </w:trPr>
        <w:tc>
          <w:tcPr>
            <w:tcW w:w="5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Increase in liability (warranty issued during period)</w:t>
            </w: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b w:val="1"/>
                <w:bCs w:val="1"/>
                <w:color w:val="auto"/>
              </w:rPr>
              <w:t>35</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7"/>
              <w:spacing w:after="0" w:line="202" w:lineRule="exact"/>
              <w:rPr>
                <w:sz w:val="20"/>
                <w:szCs w:val="20"/>
                <w:color w:val="auto"/>
              </w:rPr>
            </w:pPr>
            <w:r>
              <w:rPr>
                <w:rFonts w:ascii="Arial" w:cs="Arial" w:eastAsia="Arial" w:hAnsi="Arial"/>
                <w:sz w:val="18"/>
                <w:szCs w:val="18"/>
                <w:color w:val="auto"/>
              </w:rPr>
              <w:t>28</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Net adjustments to liability</w:t>
            </w:r>
          </w:p>
        </w:tc>
        <w:tc>
          <w:tcPr>
            <w:tcW w:w="1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15</w:t>
            </w:r>
          </w:p>
        </w:tc>
      </w:tr>
      <w:tr>
        <w:trPr>
          <w:trHeight w:val="216"/>
        </w:trPr>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Ending balance</w:t>
            </w:r>
          </w:p>
        </w:tc>
        <w:tc>
          <w:tcPr>
            <w:tcW w:w="14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84</w:t>
            </w:r>
          </w:p>
        </w:tc>
        <w:tc>
          <w:tcPr>
            <w:tcW w:w="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67</w:t>
            </w:r>
          </w:p>
        </w:tc>
        <w:tc>
          <w:tcPr>
            <w:tcW w:w="2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59</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The adjustments to the total liability in 2025, 2024 and 2023 were the result of general changes in estimates for various products and specific field action programs as additional claims data and field information became available.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DEFERRED REVENUE</w:t>
      </w:r>
    </w:p>
    <w:p>
      <w:pPr>
        <w:spacing w:after="0" w:line="158"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As of December 31, 2025, the current and non-current deferred revenue were $34 million and $103 million, respectively. As of December 31, 2024, the current and non-current deferred revenue were $41 million and $95 million, respectively. Deferred revenue activity consisted of the following (dollars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5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158"/>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58"/>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15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2023</w:t>
            </w: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b w:val="1"/>
                <w:bCs w:val="1"/>
                <w:color w:val="auto"/>
              </w:rPr>
              <w:t>136</w:t>
            </w:r>
          </w:p>
        </w:tc>
        <w:tc>
          <w:tcPr>
            <w:tcW w:w="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130</w:t>
            </w:r>
          </w:p>
        </w:tc>
        <w:tc>
          <w:tcPr>
            <w:tcW w:w="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131</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Increases</w:t>
            </w:r>
          </w:p>
        </w:tc>
        <w:tc>
          <w:tcPr>
            <w:tcW w:w="140" w:type="dxa"/>
            <w:vAlign w:val="bottom"/>
          </w:tcPr>
          <w:p>
            <w:pPr>
              <w:spacing w:after="0"/>
              <w:rPr>
                <w:sz w:val="17"/>
                <w:szCs w:val="17"/>
                <w:color w:val="auto"/>
              </w:rPr>
            </w:pPr>
          </w:p>
        </w:tc>
        <w:tc>
          <w:tcPr>
            <w:tcW w:w="132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46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51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52</w:t>
            </w:r>
          </w:p>
        </w:tc>
      </w:tr>
      <w:tr>
        <w:trPr>
          <w:trHeight w:val="203"/>
        </w:trPr>
        <w:tc>
          <w:tcPr>
            <w:tcW w:w="6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Revenue earned</w:t>
            </w:r>
          </w:p>
        </w:tc>
        <w:tc>
          <w:tcPr>
            <w:tcW w:w="1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(45)</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38"/>
              <w:spacing w:after="0" w:line="196" w:lineRule="exact"/>
              <w:rPr>
                <w:sz w:val="20"/>
                <w:szCs w:val="20"/>
                <w:color w:val="auto"/>
              </w:rPr>
            </w:pPr>
            <w:r>
              <w:rPr>
                <w:rFonts w:ascii="Arial" w:cs="Arial" w:eastAsia="Arial" w:hAnsi="Arial"/>
                <w:sz w:val="18"/>
                <w:szCs w:val="18"/>
                <w:b w:val="1"/>
                <w:bCs w:val="1"/>
                <w:color w:val="auto"/>
              </w:rPr>
              <w:t>137</w:t>
            </w:r>
          </w:p>
        </w:tc>
        <w:tc>
          <w:tcPr>
            <w:tcW w:w="3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8"/>
              <w:spacing w:after="0" w:line="196" w:lineRule="exact"/>
              <w:rPr>
                <w:sz w:val="20"/>
                <w:szCs w:val="20"/>
                <w:color w:val="auto"/>
              </w:rPr>
            </w:pPr>
            <w:r>
              <w:rPr>
                <w:rFonts w:ascii="Arial" w:cs="Arial" w:eastAsia="Arial" w:hAnsi="Arial"/>
                <w:sz w:val="18"/>
                <w:szCs w:val="18"/>
                <w:color w:val="auto"/>
              </w:rPr>
              <w:t>136</w:t>
            </w:r>
          </w:p>
        </w:tc>
        <w:tc>
          <w:tcPr>
            <w:tcW w:w="3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line="196" w:lineRule="exact"/>
              <w:rPr>
                <w:sz w:val="20"/>
                <w:szCs w:val="20"/>
                <w:color w:val="auto"/>
              </w:rPr>
            </w:pPr>
            <w:r>
              <w:rPr>
                <w:rFonts w:ascii="Arial" w:cs="Arial" w:eastAsia="Arial" w:hAnsi="Arial"/>
                <w:sz w:val="18"/>
                <w:szCs w:val="18"/>
                <w:color w:val="auto"/>
              </w:rPr>
              <w:t>130</w:t>
            </w: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-162560</wp:posOffset>
            </wp:positionV>
            <wp:extent cx="1028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-162560</wp:posOffset>
            </wp:positionV>
            <wp:extent cx="946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50"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Deferred revenue recorded in current and non-current liabilities related to ETC as of December 31, 2025 was $30 million and $103 million, respectively. Deferred revenue recorded in current and non-current liabilities related to ETC as of December 31, 2024 was $29 million and $95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56" w:lineRule="exact"/>
        <w:rPr>
          <w:sz w:val="20"/>
          <w:szCs w:val="20"/>
          <w:color w:val="auto"/>
        </w:rPr>
      </w:pPr>
    </w:p>
    <w:p>
      <w:pPr>
        <w:ind w:right="20" w:firstLine="499"/>
        <w:spacing w:after="0"/>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The Company's operating leases consist of real estate, vehicles and IT equipment. As of both December 31, 2025 and 2024,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126" w:lineRule="exact"/>
        <w:rPr>
          <w:sz w:val="20"/>
          <w:szCs w:val="20"/>
          <w:color w:val="auto"/>
        </w:rPr>
      </w:pPr>
    </w:p>
    <w:p>
      <w:pPr>
        <w:ind w:right="320" w:firstLine="499"/>
        <w:spacing w:after="0" w:line="253"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upon inception of the contract.</w:t>
      </w:r>
    </w:p>
    <w:p>
      <w:pPr>
        <w:spacing w:after="0" w:line="115" w:lineRule="exact"/>
        <w:rPr>
          <w:sz w:val="20"/>
          <w:szCs w:val="20"/>
          <w:color w:val="auto"/>
        </w:rPr>
      </w:pPr>
    </w:p>
    <w:p>
      <w:pPr>
        <w:ind w:right="260" w:firstLine="494"/>
        <w:spacing w:after="0" w:line="244" w:lineRule="auto"/>
        <w:rPr>
          <w:sz w:val="20"/>
          <w:szCs w:val="20"/>
          <w:color w:val="auto"/>
        </w:rPr>
      </w:pPr>
      <w:r>
        <w:rPr>
          <w:rFonts w:ascii="Arial" w:cs="Arial" w:eastAsia="Arial" w:hAnsi="Arial"/>
          <w:sz w:val="18"/>
          <w:szCs w:val="18"/>
          <w:color w:val="auto"/>
        </w:rPr>
        <w:t>ROU assets are calculated as the related lease liability adjusted for lease incentives, any initial direct costs, prepayments and the effect of escalating lease payments on period expense. As of December 31, 2025 and December 31, 2024, total ROU assets were $18 million and $20 million, respectively, and were recorded in Other non-current assets in the Consolidated Balance Sheets. During the years ended December 31, 2025 and 2024, the Company recorded $3 million and $7 million, respectively, of new ROU assets obtained in exchange for lease obligations.</w:t>
      </w:r>
    </w:p>
    <w:p>
      <w:pPr>
        <w:spacing w:after="0" w:line="122" w:lineRule="exact"/>
        <w:rPr>
          <w:sz w:val="20"/>
          <w:szCs w:val="20"/>
          <w:color w:val="auto"/>
        </w:rPr>
      </w:pPr>
    </w:p>
    <w:p>
      <w:pPr>
        <w:ind w:right="140" w:firstLine="499"/>
        <w:spacing w:after="0" w:line="242"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Term SOFR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December 31, 2025 and 2024 was 4.86% and 4.84%,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As of December 31, 2025, the Company recorded current and non-current operating lease liabilities of $5 million and $13 million, respectively. As of December 31, 2024, the Company recorded current and non-current operating lease liabilities of $6 million and $14 million, respectively. The Company's current and non-current operating lease liabilities are recorded in Other current liabilities and Other non-current liabilities, respectively, in the Consolidated Balance Sheets. The following table reconciles future undiscounted cash flows for operating leases to total operating lease liabilities as of December 31, 2025 (dollars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jc w:val="right"/>
              <w:ind w:right="553"/>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2025</w:t>
            </w:r>
          </w:p>
        </w:tc>
      </w:tr>
      <w:tr>
        <w:trPr>
          <w:trHeight w:val="196"/>
        </w:trPr>
        <w:tc>
          <w:tcPr>
            <w:tcW w:w="6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310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6</w:t>
            </w: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2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5</w:t>
            </w:r>
          </w:p>
        </w:tc>
      </w:tr>
      <w:tr>
        <w:trPr>
          <w:trHeight w:val="203"/>
        </w:trPr>
        <w:tc>
          <w:tcPr>
            <w:tcW w:w="6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2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4</w:t>
            </w:r>
          </w:p>
        </w:tc>
      </w:tr>
      <w:tr>
        <w:trPr>
          <w:trHeight w:val="202"/>
        </w:trPr>
        <w:tc>
          <w:tcPr>
            <w:tcW w:w="634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2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1</w:t>
            </w:r>
          </w:p>
        </w:tc>
      </w:tr>
      <w:tr>
        <w:trPr>
          <w:trHeight w:val="203"/>
        </w:trPr>
        <w:tc>
          <w:tcPr>
            <w:tcW w:w="6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2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1</w:t>
            </w: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3</w:t>
            </w:r>
          </w:p>
        </w:tc>
      </w:tr>
      <w:tr>
        <w:trPr>
          <w:trHeight w:val="196"/>
        </w:trPr>
        <w:tc>
          <w:tcPr>
            <w:tcW w:w="6340" w:type="dxa"/>
            <w:vAlign w:val="bottom"/>
            <w:shd w:val="clear" w:color="auto" w:fill="CFF0FC"/>
          </w:tcPr>
          <w:p>
            <w:pPr>
              <w:ind w:left="240"/>
              <w:spacing w:after="0" w:line="196" w:lineRule="exact"/>
              <w:rPr>
                <w:sz w:val="20"/>
                <w:szCs w:val="20"/>
                <w:color w:val="auto"/>
              </w:rPr>
            </w:pPr>
            <w:r>
              <w:rPr>
                <w:rFonts w:ascii="Arial" w:cs="Arial" w:eastAsia="Arial" w:hAnsi="Arial"/>
                <w:sz w:val="18"/>
                <w:szCs w:val="18"/>
                <w:color w:val="auto"/>
              </w:rPr>
              <w:t>Total lease payments</w:t>
            </w:r>
          </w:p>
        </w:tc>
        <w:tc>
          <w:tcPr>
            <w:tcW w:w="310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20</w:t>
            </w:r>
          </w:p>
        </w:tc>
      </w:tr>
      <w:tr>
        <w:trPr>
          <w:trHeight w:val="203"/>
        </w:trPr>
        <w:tc>
          <w:tcPr>
            <w:tcW w:w="6340" w:type="dxa"/>
            <w:vAlign w:val="bottom"/>
          </w:tcPr>
          <w:p>
            <w:pPr>
              <w:ind w:left="460"/>
              <w:spacing w:after="0" w:line="202" w:lineRule="exact"/>
              <w:rPr>
                <w:sz w:val="20"/>
                <w:szCs w:val="20"/>
                <w:color w:val="auto"/>
              </w:rPr>
            </w:pPr>
            <w:r>
              <w:rPr>
                <w:rFonts w:ascii="Arial" w:cs="Arial" w:eastAsia="Arial" w:hAnsi="Arial"/>
                <w:sz w:val="18"/>
                <w:szCs w:val="18"/>
                <w:color w:val="auto"/>
              </w:rPr>
              <w:t>Less: Interest</w:t>
            </w:r>
          </w:p>
        </w:tc>
        <w:tc>
          <w:tcPr>
            <w:tcW w:w="2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r>
      <w:tr>
        <w:trPr>
          <w:trHeight w:val="236"/>
        </w:trPr>
        <w:tc>
          <w:tcPr>
            <w:tcW w:w="634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27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80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18</w:t>
            </w:r>
          </w:p>
        </w:tc>
      </w:tr>
    </w:tbl>
    <w:p>
      <w:pPr>
        <w:spacing w:after="0" w:line="184" w:lineRule="exact"/>
        <w:rPr>
          <w:sz w:val="20"/>
          <w:szCs w:val="20"/>
          <w:color w:val="auto"/>
        </w:rPr>
      </w:pPr>
    </w:p>
    <w:p>
      <w:pPr>
        <w:ind w:right="820" w:firstLine="494"/>
        <w:spacing w:after="0" w:line="271" w:lineRule="auto"/>
        <w:rPr>
          <w:sz w:val="20"/>
          <w:szCs w:val="20"/>
          <w:color w:val="auto"/>
        </w:rPr>
      </w:pPr>
      <w:r>
        <w:rPr>
          <w:rFonts w:ascii="Arial" w:cs="Arial" w:eastAsia="Arial" w:hAnsi="Arial"/>
          <w:sz w:val="18"/>
          <w:szCs w:val="18"/>
          <w:color w:val="auto"/>
        </w:rPr>
        <w:t>The weighted average remaining lease term as of December 31, 2025 and December 31, 2024 was 4.8 years and 5.1 years, respectively.</w:t>
      </w:r>
    </w:p>
    <w:p>
      <w:pPr>
        <w:spacing w:after="0" w:line="100" w:lineRule="exact"/>
        <w:rPr>
          <w:sz w:val="20"/>
          <w:szCs w:val="20"/>
          <w:color w:val="auto"/>
        </w:rPr>
      </w:pPr>
    </w:p>
    <w:p>
      <w:pPr>
        <w:ind w:right="260" w:firstLine="494"/>
        <w:spacing w:after="0" w:line="247" w:lineRule="auto"/>
        <w:rPr>
          <w:sz w:val="20"/>
          <w:szCs w:val="20"/>
          <w:color w:val="auto"/>
        </w:rPr>
      </w:pPr>
      <w:r>
        <w:rPr>
          <w:rFonts w:ascii="Arial" w:cs="Arial" w:eastAsia="Arial" w:hAnsi="Arial"/>
          <w:sz w:val="18"/>
          <w:szCs w:val="18"/>
          <w:color w:val="auto"/>
        </w:rPr>
        <w:t>Operating lease expense was $7 million for each of the years ended December 31, 2025 and 2024 and was recorded within Selling, general and administrative expense and Engineering — research and development on the Company's Consolidated Statements of Comprehensive Income. There was no material short-term operating lease expense for either of the years ended December 31, 2025 or 2024.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INCOME (EXPENSE), NET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(expense), net consisted of the following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ind w:left="100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5"/>
        </w:trPr>
        <w:tc>
          <w:tcPr>
            <w:tcW w:w="6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528"/>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Unrealized gain (loss) on marketable securities</w:t>
            </w:r>
          </w:p>
        </w:tc>
        <w:tc>
          <w:tcPr>
            <w:tcW w:w="680" w:type="dxa"/>
            <w:vAlign w:val="bottom"/>
            <w:gridSpan w:val="3"/>
            <w:shd w:val="clear" w:color="auto" w:fill="CFF0FC"/>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6"/>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Post-retirement benefit plan amendment credits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3"/>
          </w:tcPr>
          <w:p>
            <w:pPr>
              <w:jc w:val="right"/>
              <w:ind w:right="48"/>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w:t>
            </w:r>
          </w:p>
        </w:tc>
      </w:tr>
      <w:tr>
        <w:trPr>
          <w:trHeight w:val="203"/>
        </w:trPr>
        <w:tc>
          <w:tcPr>
            <w:tcW w:w="6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Rabbi trust assets gain</w:t>
            </w: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Loss on foreign exchange</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6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Technology-related investments (loss) gain</w:t>
            </w: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w:t>
            </w:r>
          </w:p>
        </w:tc>
      </w:tr>
      <w:tr>
        <w:trPr>
          <w:trHeight w:val="236"/>
        </w:trPr>
        <w:tc>
          <w:tcPr>
            <w:tcW w:w="62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680" w:type="dxa"/>
            <w:vAlign w:val="bottom"/>
            <w:gridSpan w:val="3"/>
            <w:shd w:val="clear" w:color="auto" w:fill="CFF0FC"/>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6"/>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15</w:t>
            </w:r>
          </w:p>
        </w:tc>
      </w:tr>
      <w:tr>
        <w:trPr>
          <w:trHeight w:val="452"/>
        </w:trPr>
        <w:tc>
          <w:tcPr>
            <w:tcW w:w="628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NOTE 14.  OTHER CURRENT LIABILITIES</w:t>
            </w:r>
          </w:p>
        </w:tc>
        <w:tc>
          <w:tcPr>
            <w:tcW w:w="36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356"/>
        </w:trPr>
        <w:tc>
          <w:tcPr>
            <w:tcW w:w="6280" w:type="dxa"/>
            <w:vAlign w:val="bottom"/>
          </w:tcPr>
          <w:p>
            <w:pPr>
              <w:ind w:left="500"/>
              <w:spacing w:after="0"/>
              <w:rPr>
                <w:sz w:val="20"/>
                <w:szCs w:val="20"/>
                <w:color w:val="auto"/>
              </w:rPr>
            </w:pPr>
            <w:r>
              <w:rPr>
                <w:rFonts w:ascii="Arial" w:cs="Arial" w:eastAsia="Arial" w:hAnsi="Arial"/>
                <w:sz w:val="18"/>
                <w:szCs w:val="18"/>
                <w:color w:val="auto"/>
              </w:rPr>
              <w:t>Other current liabilities consisted of the following (dollars in millions):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spacing w:after="0"/>
              <w:rPr>
                <w:sz w:val="14"/>
                <w:szCs w:val="14"/>
                <w:color w:val="auto"/>
              </w:rPr>
            </w:pPr>
          </w:p>
        </w:tc>
      </w:tr>
      <w:tr>
        <w:trPr>
          <w:trHeight w:val="196"/>
        </w:trPr>
        <w:tc>
          <w:tcPr>
            <w:tcW w:w="6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Sales incentives</w:t>
            </w:r>
          </w:p>
        </w:tc>
        <w:tc>
          <w:tcPr>
            <w:tcW w:w="680" w:type="dxa"/>
            <w:vAlign w:val="bottom"/>
            <w:gridSpan w:val="3"/>
            <w:shd w:val="clear" w:color="auto" w:fill="CFF0FC"/>
          </w:tcPr>
          <w:p>
            <w:pPr>
              <w:jc w:val="right"/>
              <w:ind w:right="20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47</w:t>
            </w:r>
          </w:p>
        </w:tc>
        <w:tc>
          <w:tcPr>
            <w:tcW w:w="940" w:type="dxa"/>
            <w:vAlign w:val="bottom"/>
            <w:gridSpan w:val="3"/>
            <w:shd w:val="clear" w:color="auto" w:fill="CFF0FC"/>
          </w:tcPr>
          <w:p>
            <w:pPr>
              <w:jc w:val="right"/>
              <w:ind w:right="468"/>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42</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Payroll and related costs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90</w:t>
            </w:r>
          </w:p>
        </w:tc>
      </w:tr>
      <w:tr>
        <w:trPr>
          <w:trHeight w:val="203"/>
        </w:trPr>
        <w:tc>
          <w:tcPr>
            <w:tcW w:w="6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interest payable</w:t>
            </w: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25</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Vendor buyback obligation</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19</w:t>
            </w:r>
          </w:p>
        </w:tc>
      </w:tr>
      <w:tr>
        <w:trPr>
          <w:trHeight w:val="203"/>
        </w:trPr>
        <w:tc>
          <w:tcPr>
            <w:tcW w:w="6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Taxes payable</w:t>
            </w: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14</w:t>
            </w:r>
          </w:p>
        </w:tc>
      </w:tr>
      <w:tr>
        <w:trPr>
          <w:trHeight w:val="202"/>
        </w:trPr>
        <w:tc>
          <w:tcPr>
            <w:tcW w:w="6280" w:type="dxa"/>
            <w:vAlign w:val="bottom"/>
          </w:tcPr>
          <w:p>
            <w:pPr>
              <w:spacing w:after="0" w:line="202" w:lineRule="exact"/>
              <w:rPr>
                <w:sz w:val="20"/>
                <w:szCs w:val="20"/>
                <w:color w:val="auto"/>
              </w:rPr>
            </w:pPr>
            <w:r>
              <w:rPr>
                <w:rFonts w:ascii="Arial" w:cs="Arial" w:eastAsia="Arial" w:hAnsi="Arial"/>
                <w:sz w:val="18"/>
                <w:szCs w:val="18"/>
                <w:color w:val="auto"/>
              </w:rPr>
              <w:t>Other accruals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27</w:t>
            </w:r>
          </w:p>
        </w:tc>
      </w:tr>
      <w:tr>
        <w:trPr>
          <w:trHeight w:val="236"/>
        </w:trPr>
        <w:tc>
          <w:tcPr>
            <w:tcW w:w="62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680" w:type="dxa"/>
            <w:vAlign w:val="bottom"/>
            <w:gridSpan w:val="3"/>
            <w:shd w:val="clear" w:color="auto" w:fill="CFF0FC"/>
          </w:tcPr>
          <w:p>
            <w:pPr>
              <w:jc w:val="right"/>
              <w:ind w:right="20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197</w:t>
            </w:r>
          </w:p>
        </w:tc>
        <w:tc>
          <w:tcPr>
            <w:tcW w:w="940" w:type="dxa"/>
            <w:vAlign w:val="bottom"/>
            <w:gridSpan w:val="3"/>
            <w:shd w:val="clear" w:color="auto" w:fill="CFF0FC"/>
          </w:tcPr>
          <w:p>
            <w:pPr>
              <w:jc w:val="right"/>
              <w:ind w:right="468"/>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217</w:t>
            </w:r>
          </w:p>
        </w:tc>
      </w:tr>
      <w:tr>
        <w:trPr>
          <w:trHeight w:val="632"/>
        </w:trPr>
        <w:tc>
          <w:tcPr>
            <w:tcW w:w="6280" w:type="dxa"/>
            <w:vAlign w:val="bottom"/>
            <w:tcBorders>
              <w:top w:val="single" w:sz="8" w:color="CFF0FC"/>
            </w:tcBorders>
          </w:tcPr>
          <w:p>
            <w:pPr>
              <w:ind w:left="5520"/>
              <w:spacing w:after="0"/>
              <w:rPr>
                <w:sz w:val="20"/>
                <w:szCs w:val="20"/>
                <w:color w:val="auto"/>
              </w:rPr>
            </w:pPr>
            <w:r>
              <w:rPr>
                <w:rFonts w:ascii="Arial" w:cs="Arial" w:eastAsia="Arial" w:hAnsi="Arial"/>
                <w:sz w:val="18"/>
                <w:szCs w:val="18"/>
                <w:color w:val="auto"/>
              </w:rPr>
              <w:t>84</w:t>
            </w:r>
          </w:p>
        </w:tc>
        <w:tc>
          <w:tcPr>
            <w:tcW w:w="3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746"/>
        </w:trPr>
        <w:tc>
          <w:tcPr>
            <w:tcW w:w="6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-2708275</wp:posOffset>
            </wp:positionV>
            <wp:extent cx="1028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-2691130</wp:posOffset>
            </wp:positionV>
            <wp:extent cx="1028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-2708275</wp:posOffset>
            </wp:positionV>
            <wp:extent cx="93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-2691130</wp:posOffset>
            </wp:positionV>
            <wp:extent cx="93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-925195</wp:posOffset>
            </wp:positionV>
            <wp:extent cx="1200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-908050</wp:posOffset>
            </wp:positionV>
            <wp:extent cx="1200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PLANS</w:t>
      </w:r>
    </w:p>
    <w:p>
      <w:pPr>
        <w:spacing w:after="0" w:line="158" w:lineRule="exact"/>
        <w:rPr>
          <w:sz w:val="20"/>
          <w:szCs w:val="20"/>
          <w:color w:val="auto"/>
        </w:rPr>
      </w:pPr>
    </w:p>
    <w:p>
      <w:pPr>
        <w:ind w:right="80" w:firstLine="494"/>
        <w:spacing w:after="0" w:line="239" w:lineRule="auto"/>
        <w:rPr>
          <w:sz w:val="20"/>
          <w:szCs w:val="20"/>
          <w:color w:val="auto"/>
        </w:rPr>
      </w:pPr>
      <w:r>
        <w:rPr>
          <w:rFonts w:ascii="Arial" w:cs="Arial" w:eastAsia="Arial" w:hAnsi="Arial"/>
          <w:sz w:val="18"/>
          <w:szCs w:val="18"/>
          <w:color w:val="auto"/>
        </w:rPr>
        <w:t>The Company provides defined benefit pension plans, defined contribution plans and/or other postretirement benefit plans to certain employees globally. However, contributions to the Company’s various international benefit plans are not material for the periods presented. The Company’s defined benefit pension plans generally provide benefits of negotiated, stated amounts for each year of service as well as significant supplemental benefits for eligible employees. The Company sponsors defined contribution retirement savings plans for eligible employees, based on employee location and status. The Company’s salaried defined contribution retirement savings plans provide for a Company match of employee contributions up to certain limits based upon eligible base salary. The charge to expense for the Company’s defined contribution retirement savings plans was $23 million, $23 million and $18 million for the years ended December 31, 2025, 2024 and 2023, respectively. The Company is also responsible for OPEB costs (medical, dental, vision, and life insurance) for hourly employees hired prior to May 19, 2008, excluding those employees eligible to retire at the time of the sale of the Company. The plan is unfunded and any future payments will be funded by the Company’s operating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Funded Status and Recognition in the Consolidated Balance Sheets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reconciliation of the changes in the benefit obligations, funded status and amounts recognized in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for the years ended December 31, 2025 and 2024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Pension Plans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Post-retirement Benefits</w:t>
            </w:r>
          </w:p>
        </w:tc>
      </w:tr>
      <w:tr>
        <w:trPr>
          <w:trHeight w:val="146"/>
        </w:trPr>
        <w:tc>
          <w:tcPr>
            <w:tcW w:w="4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173"/>
              <w:spacing w:after="0" w:line="147"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72"/>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153"/>
              <w:spacing w:after="0" w:line="147"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192"/>
              <w:spacing w:after="0" w:line="147" w:lineRule="exact"/>
              <w:rPr>
                <w:sz w:val="20"/>
                <w:szCs w:val="20"/>
                <w:color w:val="auto"/>
              </w:rPr>
            </w:pPr>
            <w:r>
              <w:rPr>
                <w:rFonts w:ascii="Arial" w:cs="Arial" w:eastAsia="Arial" w:hAnsi="Arial"/>
                <w:sz w:val="14"/>
                <w:szCs w:val="14"/>
                <w:b w:val="1"/>
                <w:bCs w:val="1"/>
                <w:color w:val="auto"/>
              </w:rPr>
              <w:t>Year ended</w:t>
            </w:r>
          </w:p>
        </w:tc>
      </w:tr>
      <w:tr>
        <w:trPr>
          <w:trHeight w:val="162"/>
        </w:trPr>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17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172"/>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15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192"/>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2024</w:t>
            </w:r>
          </w:p>
        </w:tc>
      </w:tr>
      <w:tr>
        <w:trPr>
          <w:trHeight w:val="196"/>
        </w:trPr>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Benefit Obligations:</w:t>
            </w: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130</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169</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59</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64</w:t>
            </w: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Service cost</w:t>
            </w: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w:t>
            </w: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Plan amendments</w:t>
            </w: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2"/>
        </w:trPr>
        <w:tc>
          <w:tcPr>
            <w:tcW w:w="4380" w:type="dxa"/>
            <w:vAlign w:val="bottom"/>
          </w:tcPr>
          <w:p>
            <w:pPr>
              <w:spacing w:after="0" w:line="202" w:lineRule="exact"/>
              <w:rPr>
                <w:sz w:val="20"/>
                <w:szCs w:val="20"/>
                <w:color w:val="auto"/>
              </w:rPr>
            </w:pPr>
            <w:r>
              <w:rPr>
                <w:rFonts w:ascii="Arial" w:cs="Arial" w:eastAsia="Arial" w:hAnsi="Arial"/>
                <w:sz w:val="18"/>
                <w:szCs w:val="18"/>
                <w:color w:val="auto"/>
              </w:rPr>
              <w:t>Plan settlements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Benefits paid</w:t>
            </w: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Actuarial loss (gain)</w:t>
            </w:r>
          </w:p>
        </w:tc>
        <w:tc>
          <w:tcPr>
            <w:tcW w:w="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r>
      <w:tr>
        <w:trPr>
          <w:trHeight w:val="236"/>
        </w:trPr>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Benefit obligation at end of year</w:t>
            </w:r>
          </w:p>
        </w:tc>
        <w:tc>
          <w:tcPr>
            <w:tcW w:w="9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139</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130</w:t>
            </w:r>
          </w:p>
        </w:tc>
        <w:tc>
          <w:tcPr>
            <w:tcW w:w="2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66</w:t>
            </w:r>
          </w:p>
        </w:tc>
        <w:tc>
          <w:tcPr>
            <w:tcW w:w="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59</w:t>
            </w:r>
          </w:p>
        </w:tc>
      </w:tr>
      <w:tr>
        <w:trPr>
          <w:trHeight w:val="183"/>
        </w:trPr>
        <w:tc>
          <w:tcPr>
            <w:tcW w:w="438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Fair Value of Plan Assets:</w:t>
            </w:r>
          </w:p>
        </w:tc>
        <w:tc>
          <w:tcPr>
            <w:tcW w:w="8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132</w:t>
            </w:r>
          </w:p>
        </w:tc>
        <w:tc>
          <w:tcPr>
            <w:tcW w:w="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164</w:t>
            </w:r>
          </w:p>
        </w:tc>
        <w:tc>
          <w:tcPr>
            <w:tcW w:w="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Employer contributions</w:t>
            </w: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Plan settlements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Benefits paid</w:t>
            </w:r>
          </w:p>
        </w:tc>
        <w:tc>
          <w:tcPr>
            <w:tcW w:w="8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r>
      <w:tr>
        <w:trPr>
          <w:trHeight w:val="196"/>
        </w:trPr>
        <w:tc>
          <w:tcPr>
            <w:tcW w:w="4380" w:type="dxa"/>
            <w:vAlign w:val="bottom"/>
          </w:tcPr>
          <w:p>
            <w:pPr>
              <w:spacing w:after="0" w:line="196" w:lineRule="exact"/>
              <w:rPr>
                <w:sz w:val="20"/>
                <w:szCs w:val="20"/>
                <w:color w:val="auto"/>
              </w:rPr>
            </w:pPr>
            <w:r>
              <w:rPr>
                <w:rFonts w:ascii="Arial" w:cs="Arial" w:eastAsia="Arial" w:hAnsi="Arial"/>
                <w:sz w:val="18"/>
                <w:szCs w:val="18"/>
                <w:color w:val="auto"/>
              </w:rPr>
              <w:t>Fair value of plan assets at end of year</w:t>
            </w: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135</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132</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3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Funded Status</w:t>
            </w:r>
          </w:p>
        </w:tc>
        <w:tc>
          <w:tcPr>
            <w:tcW w:w="9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b w:val="1"/>
                <w:bCs w:val="1"/>
                <w:color w:val="auto"/>
              </w:rPr>
              <w:t>(4)</w:t>
            </w:r>
          </w:p>
        </w:tc>
        <w:tc>
          <w:tcPr>
            <w:tcW w:w="2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2</w:t>
            </w:r>
          </w:p>
        </w:tc>
        <w:tc>
          <w:tcPr>
            <w:tcW w:w="2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b w:val="1"/>
                <w:bCs w:val="1"/>
                <w:color w:val="auto"/>
              </w:rPr>
              <w:t>(66)</w:t>
            </w:r>
          </w:p>
        </w:tc>
        <w:tc>
          <w:tcPr>
            <w:tcW w:w="3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(59)</w:t>
            </w:r>
          </w:p>
        </w:tc>
      </w:tr>
      <w:tr>
        <w:trPr>
          <w:trHeight w:val="183"/>
        </w:trPr>
        <w:tc>
          <w:tcPr>
            <w:tcW w:w="438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Amounts Recognized in Balance Sheet:</w:t>
            </w:r>
          </w:p>
        </w:tc>
        <w:tc>
          <w:tcPr>
            <w:tcW w:w="8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Non-current assets</w:t>
            </w: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w:t>
            </w:r>
          </w:p>
        </w:tc>
        <w:tc>
          <w:tcPr>
            <w:tcW w:w="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Non-current liabilities</w:t>
            </w:r>
          </w:p>
        </w:tc>
        <w:tc>
          <w:tcPr>
            <w:tcW w:w="8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(62)</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r>
      <w:tr>
        <w:trPr>
          <w:trHeight w:val="196"/>
        </w:trPr>
        <w:tc>
          <w:tcPr>
            <w:tcW w:w="4380" w:type="dxa"/>
            <w:vAlign w:val="bottom"/>
          </w:tcPr>
          <w:p>
            <w:pPr>
              <w:spacing w:after="0" w:line="196" w:lineRule="exact"/>
              <w:rPr>
                <w:sz w:val="20"/>
                <w:szCs w:val="20"/>
                <w:color w:val="auto"/>
              </w:rPr>
            </w:pPr>
            <w:r>
              <w:rPr>
                <w:rFonts w:ascii="Arial" w:cs="Arial" w:eastAsia="Arial" w:hAnsi="Arial"/>
                <w:sz w:val="18"/>
                <w:szCs w:val="18"/>
                <w:color w:val="auto"/>
              </w:rPr>
              <w:t>Net amount recognized</w:t>
            </w: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(66)</w:t>
            </w:r>
          </w:p>
        </w:tc>
        <w:tc>
          <w:tcPr>
            <w:tcW w:w="3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4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38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Accumulated Other Comprehensive Loss:</w:t>
            </w: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Prior service (credit) cost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w:t>
            </w:r>
          </w:p>
        </w:tc>
      </w:tr>
      <w:tr>
        <w:trPr>
          <w:trHeight w:val="203"/>
        </w:trPr>
        <w:tc>
          <w:tcPr>
            <w:tcW w:w="4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Actuarial (gain) loss</w:t>
            </w:r>
          </w:p>
        </w:tc>
        <w:tc>
          <w:tcPr>
            <w:tcW w:w="8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21</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32</w:t>
            </w:r>
          </w:p>
        </w:tc>
      </w:tr>
      <w:tr>
        <w:trPr>
          <w:trHeight w:val="196"/>
        </w:trPr>
        <w:tc>
          <w:tcPr>
            <w:tcW w:w="43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4</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21</w:t>
            </w:r>
          </w:p>
        </w:tc>
        <w:tc>
          <w:tcPr>
            <w:tcW w:w="3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37</w:t>
            </w:r>
          </w:p>
        </w:tc>
      </w:tr>
      <w:tr>
        <w:trPr>
          <w:trHeight w:val="20"/>
        </w:trPr>
        <w:tc>
          <w:tcPr>
            <w:tcW w:w="4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33"/>
        </w:trPr>
        <w:tc>
          <w:tcPr>
            <w:tcW w:w="4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773"/>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45"/>
        </w:trPr>
        <w:tc>
          <w:tcPr>
            <w:tcW w:w="4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-3239770</wp:posOffset>
            </wp:positionV>
            <wp:extent cx="939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-3222625</wp:posOffset>
            </wp:positionV>
            <wp:extent cx="939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-3239770</wp:posOffset>
            </wp:positionV>
            <wp:extent cx="946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-3222625</wp:posOffset>
            </wp:positionV>
            <wp:extent cx="946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-3239770</wp:posOffset>
            </wp:positionV>
            <wp:extent cx="946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-3222625</wp:posOffset>
            </wp:positionV>
            <wp:extent cx="946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-2442210</wp:posOffset>
            </wp:positionV>
            <wp:extent cx="939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-2442210</wp:posOffset>
            </wp:positionV>
            <wp:extent cx="946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-2442210</wp:posOffset>
            </wp:positionV>
            <wp:extent cx="946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-2150745</wp:posOffset>
            </wp:positionV>
            <wp:extent cx="93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-2133600</wp:posOffset>
            </wp:positionV>
            <wp:extent cx="939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-2150745</wp:posOffset>
            </wp:positionV>
            <wp:extent cx="946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-2133600</wp:posOffset>
            </wp:positionV>
            <wp:extent cx="946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-2150745</wp:posOffset>
            </wp:positionV>
            <wp:extent cx="946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-2133600</wp:posOffset>
            </wp:positionV>
            <wp:extent cx="946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-1610995</wp:posOffset>
            </wp:positionV>
            <wp:extent cx="93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-1610995</wp:posOffset>
            </wp:positionV>
            <wp:extent cx="946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-1610995</wp:posOffset>
            </wp:positionV>
            <wp:extent cx="946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-1062355</wp:posOffset>
            </wp:positionV>
            <wp:extent cx="939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-1062355</wp:posOffset>
            </wp:positionV>
            <wp:extent cx="946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-1062355</wp:posOffset>
            </wp:positionV>
            <wp:extent cx="946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The accumulated benefit obligation for the Company's pension plans as of December 31, 2025 and 2024 was $136 million and $125 million, respectively.</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the weighted-average actuarial assumptions used to determine the benefit obligations of the Company’s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6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Pension Plans</w:t>
            </w:r>
          </w:p>
        </w:tc>
        <w:tc>
          <w:tcPr>
            <w:tcW w:w="140" w:type="dxa"/>
            <w:vAlign w:val="bottom"/>
          </w:tcPr>
          <w:p>
            <w:pPr>
              <w:spacing w:after="0"/>
              <w:rPr>
                <w:sz w:val="14"/>
                <w:szCs w:val="14"/>
                <w:color w:val="auto"/>
              </w:rPr>
            </w:pPr>
          </w:p>
        </w:tc>
        <w:tc>
          <w:tcPr>
            <w:tcW w:w="26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Post-retirement Benefits</w:t>
            </w:r>
          </w:p>
        </w:tc>
      </w:tr>
      <w:tr>
        <w:trPr>
          <w:trHeight w:val="156"/>
        </w:trPr>
        <w:tc>
          <w:tcPr>
            <w:tcW w:w="58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tcPr>
          <w:p>
            <w:pPr>
              <w:ind w:left="660"/>
              <w:spacing w:after="0" w:line="155" w:lineRule="exact"/>
              <w:rPr>
                <w:sz w:val="20"/>
                <w:szCs w:val="20"/>
                <w:color w:val="auto"/>
              </w:rPr>
            </w:pPr>
            <w:r>
              <w:rPr>
                <w:rFonts w:ascii="Arial" w:cs="Arial" w:eastAsia="Arial" w:hAnsi="Arial"/>
                <w:sz w:val="14"/>
                <w:szCs w:val="14"/>
                <w:b w:val="1"/>
                <w:bCs w:val="1"/>
                <w:color w:val="auto"/>
              </w:rPr>
              <w:t>As of December 31,</w:t>
            </w: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5"/>
        </w:trPr>
        <w:tc>
          <w:tcPr>
            <w:tcW w:w="5820" w:type="dxa"/>
            <w:vAlign w:val="bottom"/>
          </w:tcPr>
          <w:p>
            <w:pPr>
              <w:spacing w:after="0"/>
              <w:rPr>
                <w:sz w:val="13"/>
                <w:szCs w:val="13"/>
                <w:color w:val="auto"/>
              </w:rPr>
            </w:pP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240" w:type="dxa"/>
            <w:vAlign w:val="bottom"/>
            <w:tcBorders>
              <w:bottom w:val="single" w:sz="8" w:color="auto"/>
            </w:tcBorders>
          </w:tcPr>
          <w:p>
            <w:pPr>
              <w:jc w:val="right"/>
              <w:ind w:right="382"/>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Discount rate</w:t>
            </w:r>
          </w:p>
        </w:tc>
        <w:tc>
          <w:tcPr>
            <w:tcW w:w="12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b w:val="1"/>
                <w:bCs w:val="1"/>
                <w:color w:val="auto"/>
              </w:rPr>
              <w:t>5.40%</w:t>
            </w:r>
          </w:p>
        </w:tc>
        <w:tc>
          <w:tcPr>
            <w:tcW w:w="140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w w:val="97"/>
              </w:rPr>
              <w:t>5.60%</w:t>
            </w:r>
          </w:p>
        </w:tc>
        <w:tc>
          <w:tcPr>
            <w:tcW w:w="1380" w:type="dxa"/>
            <w:vAlign w:val="bottom"/>
            <w:gridSpan w:val="2"/>
            <w:shd w:val="clear" w:color="auto" w:fill="CFF0FC"/>
          </w:tcPr>
          <w:p>
            <w:pPr>
              <w:jc w:val="right"/>
              <w:ind w:right="282"/>
              <w:spacing w:after="0" w:line="196" w:lineRule="exact"/>
              <w:rPr>
                <w:sz w:val="20"/>
                <w:szCs w:val="20"/>
                <w:color w:val="auto"/>
              </w:rPr>
            </w:pPr>
            <w:r>
              <w:rPr>
                <w:rFonts w:ascii="Arial" w:cs="Arial" w:eastAsia="Arial" w:hAnsi="Arial"/>
                <w:sz w:val="18"/>
                <w:szCs w:val="18"/>
                <w:b w:val="1"/>
                <w:bCs w:val="1"/>
                <w:color w:val="auto"/>
              </w:rPr>
              <w:t>5.30%</w:t>
            </w:r>
          </w:p>
        </w:tc>
        <w:tc>
          <w:tcPr>
            <w:tcW w:w="1400" w:type="dxa"/>
            <w:vAlign w:val="bottom"/>
            <w:gridSpan w:val="2"/>
            <w:shd w:val="clear" w:color="auto" w:fill="CFF0FC"/>
          </w:tcPr>
          <w:p>
            <w:pPr>
              <w:jc w:val="right"/>
              <w:ind w:right="299"/>
              <w:spacing w:after="0" w:line="196" w:lineRule="exact"/>
              <w:rPr>
                <w:sz w:val="20"/>
                <w:szCs w:val="20"/>
                <w:color w:val="auto"/>
              </w:rPr>
            </w:pPr>
            <w:r>
              <w:rPr>
                <w:rFonts w:ascii="Arial" w:cs="Arial" w:eastAsia="Arial" w:hAnsi="Arial"/>
                <w:sz w:val="18"/>
                <w:szCs w:val="18"/>
                <w:color w:val="auto"/>
              </w:rPr>
              <w:t>5.60%</w:t>
            </w:r>
          </w:p>
        </w:tc>
      </w:tr>
      <w:tr>
        <w:trPr>
          <w:trHeight w:val="247"/>
        </w:trPr>
        <w:tc>
          <w:tcPr>
            <w:tcW w:w="5820" w:type="dxa"/>
            <w:vAlign w:val="bottom"/>
          </w:tcPr>
          <w:p>
            <w:pPr>
              <w:spacing w:after="0"/>
              <w:rPr>
                <w:sz w:val="20"/>
                <w:szCs w:val="20"/>
                <w:color w:val="auto"/>
              </w:rPr>
            </w:pPr>
            <w:r>
              <w:rPr>
                <w:rFonts w:ascii="Arial" w:cs="Arial" w:eastAsia="Arial" w:hAnsi="Arial"/>
                <w:sz w:val="18"/>
                <w:szCs w:val="18"/>
                <w:color w:val="auto"/>
              </w:rPr>
              <w:t>Rate of compensation increase (salaried)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rPr>
              <w:t>3.00%</w:t>
            </w:r>
          </w:p>
        </w:tc>
        <w:tc>
          <w:tcPr>
            <w:tcW w:w="1400" w:type="dxa"/>
            <w:vAlign w:val="bottom"/>
            <w:gridSpan w:val="2"/>
          </w:tcPr>
          <w:p>
            <w:pPr>
              <w:jc w:val="center"/>
              <w:ind w:left="50"/>
              <w:spacing w:after="0"/>
              <w:rPr>
                <w:sz w:val="20"/>
                <w:szCs w:val="20"/>
                <w:color w:val="auto"/>
              </w:rPr>
            </w:pPr>
            <w:r>
              <w:rPr>
                <w:rFonts w:ascii="Arial" w:cs="Arial" w:eastAsia="Arial" w:hAnsi="Arial"/>
                <w:sz w:val="18"/>
                <w:szCs w:val="18"/>
                <w:color w:val="auto"/>
                <w:w w:val="97"/>
              </w:rPr>
              <w:t>3.00%</w:t>
            </w:r>
          </w:p>
        </w:tc>
        <w:tc>
          <w:tcPr>
            <w:tcW w:w="140" w:type="dxa"/>
            <w:vAlign w:val="bottom"/>
          </w:tcPr>
          <w:p>
            <w:pPr>
              <w:spacing w:after="0"/>
              <w:rPr>
                <w:sz w:val="21"/>
                <w:szCs w:val="21"/>
                <w:color w:val="auto"/>
              </w:rPr>
            </w:pPr>
          </w:p>
        </w:tc>
        <w:tc>
          <w:tcPr>
            <w:tcW w:w="1240" w:type="dxa"/>
            <w:vAlign w:val="bottom"/>
          </w:tcPr>
          <w:p>
            <w:pPr>
              <w:ind w:left="460"/>
              <w:spacing w:after="0"/>
              <w:rPr>
                <w:sz w:val="20"/>
                <w:szCs w:val="20"/>
                <w:color w:val="auto"/>
              </w:rPr>
            </w:pPr>
            <w:r>
              <w:rPr>
                <w:rFonts w:ascii="Arial" w:cs="Arial" w:eastAsia="Arial" w:hAnsi="Arial"/>
                <w:sz w:val="18"/>
                <w:szCs w:val="18"/>
                <w:b w:val="1"/>
                <w:bCs w:val="1"/>
                <w:color w:val="auto"/>
              </w:rPr>
              <w:t>N/A</w:t>
            </w:r>
          </w:p>
        </w:tc>
        <w:tc>
          <w:tcPr>
            <w:tcW w:w="140" w:type="dxa"/>
            <w:vAlign w:val="bottom"/>
          </w:tcPr>
          <w:p>
            <w:pPr>
              <w:spacing w:after="0"/>
              <w:rPr>
                <w:sz w:val="21"/>
                <w:szCs w:val="21"/>
                <w:color w:val="auto"/>
              </w:rPr>
            </w:pPr>
          </w:p>
        </w:tc>
        <w:tc>
          <w:tcPr>
            <w:tcW w:w="1260" w:type="dxa"/>
            <w:vAlign w:val="bottom"/>
          </w:tcPr>
          <w:p>
            <w:pPr>
              <w:ind w:left="480"/>
              <w:spacing w:after="0"/>
              <w:rPr>
                <w:sz w:val="20"/>
                <w:szCs w:val="20"/>
                <w:color w:val="auto"/>
              </w:rPr>
            </w:pPr>
            <w:r>
              <w:rPr>
                <w:rFonts w:ascii="Arial" w:cs="Arial" w:eastAsia="Arial" w:hAnsi="Arial"/>
                <w:sz w:val="18"/>
                <w:szCs w:val="18"/>
                <w:color w:val="auto"/>
              </w:rPr>
              <w:t>N/A</w:t>
            </w:r>
          </w:p>
        </w:tc>
      </w:tr>
    </w:tbl>
    <w:p>
      <w:pPr>
        <w:spacing w:after="0" w:line="288" w:lineRule="exact"/>
        <w:rPr>
          <w:sz w:val="20"/>
          <w:szCs w:val="20"/>
          <w:color w:val="auto"/>
        </w:rPr>
      </w:pPr>
    </w:p>
    <w:p>
      <w:pPr>
        <w:ind w:right="260" w:firstLine="494"/>
        <w:spacing w:after="0" w:line="247" w:lineRule="auto"/>
        <w:rPr>
          <w:sz w:val="20"/>
          <w:szCs w:val="20"/>
          <w:color w:val="auto"/>
        </w:rPr>
      </w:pPr>
      <w:r>
        <w:rPr>
          <w:rFonts w:ascii="Arial" w:cs="Arial" w:eastAsia="Arial" w:hAnsi="Arial"/>
          <w:sz w:val="18"/>
          <w:szCs w:val="18"/>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2025. The Company reviews all actuarial assumptions on an annual basis and in the case of remeasurement.</w:t>
      </w:r>
    </w:p>
    <w:p>
      <w:pPr>
        <w:spacing w:after="0" w:line="120" w:lineRule="exact"/>
        <w:rPr>
          <w:sz w:val="20"/>
          <w:szCs w:val="20"/>
          <w:color w:val="auto"/>
        </w:rPr>
      </w:pPr>
    </w:p>
    <w:p>
      <w:pPr>
        <w:ind w:right="440" w:firstLine="494"/>
        <w:spacing w:after="0" w:line="253" w:lineRule="auto"/>
        <w:rPr>
          <w:sz w:val="20"/>
          <w:szCs w:val="20"/>
          <w:color w:val="auto"/>
        </w:rPr>
      </w:pPr>
      <w:r>
        <w:rPr>
          <w:rFonts w:ascii="Arial" w:cs="Arial" w:eastAsia="Arial" w:hAnsi="Arial"/>
          <w:sz w:val="18"/>
          <w:szCs w:val="18"/>
          <w:color w:val="auto"/>
        </w:rPr>
        <w:t>As of December 31, 2025 and 2024, the projected benefit obligation, the accumulated benefit obligation, and the fair value of plan assets for pension plans with a projected benefit obligation in excess of plan assets and for pension plans with an accumulated benefit obligation in excess of plan assets were as follows (dollars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color w:val="auto"/>
              </w:rPr>
              <w:t>Hourly Plan</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color w:val="auto"/>
              </w:rPr>
              <w:t>Salary Plan</w:t>
            </w:r>
          </w:p>
        </w:tc>
      </w:tr>
      <w:tr>
        <w:trPr>
          <w:trHeight w:val="156"/>
        </w:trPr>
        <w:tc>
          <w:tcPr>
            <w:tcW w:w="72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ind w:left="220"/>
              <w:spacing w:after="0" w:line="155" w:lineRule="exact"/>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5"/>
        </w:trPr>
        <w:tc>
          <w:tcPr>
            <w:tcW w:w="728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2025</w:t>
            </w:r>
          </w:p>
        </w:tc>
        <w:tc>
          <w:tcPr>
            <w:tcW w:w="1020" w:type="dxa"/>
            <w:vAlign w:val="bottom"/>
            <w:gridSpan w:val="2"/>
          </w:tcPr>
          <w:p>
            <w:pPr>
              <w:jc w:val="right"/>
              <w:ind w:right="196"/>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19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7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Plans with projected benefit obligation in excess of plan assets:</w:t>
            </w: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860" w:type="dxa"/>
            <w:vAlign w:val="bottom"/>
          </w:tcPr>
          <w:p>
            <w:pPr>
              <w:jc w:val="center"/>
              <w:spacing w:after="0" w:line="202" w:lineRule="exact"/>
              <w:rPr>
                <w:sz w:val="20"/>
                <w:szCs w:val="20"/>
                <w:color w:val="auto"/>
              </w:rPr>
            </w:pPr>
            <w:r>
              <w:rPr>
                <w:rFonts w:ascii="Arial" w:cs="Arial" w:eastAsia="Arial" w:hAnsi="Arial"/>
                <w:sz w:val="17"/>
                <w:szCs w:val="17"/>
                <w:b w:val="1"/>
                <w:bCs w:val="1"/>
                <w:color w:val="auto"/>
              </w:rPr>
              <w:t xml:space="preserve">N/A </w:t>
            </w:r>
            <w:r>
              <w:rPr>
                <w:rFonts w:ascii="Arial" w:cs="Arial" w:eastAsia="Arial" w:hAnsi="Arial"/>
                <w:sz w:val="23"/>
                <w:szCs w:val="23"/>
                <w:b w:val="1"/>
                <w:bCs w:val="1"/>
                <w:color w:val="auto"/>
                <w:vertAlign w:val="superscript"/>
              </w:rPr>
              <w:t>1</w:t>
            </w:r>
          </w:p>
        </w:tc>
        <w:tc>
          <w:tcPr>
            <w:tcW w:w="160" w:type="dxa"/>
            <w:vAlign w:val="bottom"/>
          </w:tcPr>
          <w:p>
            <w:pPr>
              <w:spacing w:after="0"/>
              <w:rPr>
                <w:sz w:val="17"/>
                <w:szCs w:val="17"/>
                <w:color w:val="auto"/>
              </w:rPr>
            </w:pPr>
          </w:p>
        </w:tc>
        <w:tc>
          <w:tcPr>
            <w:tcW w:w="860" w:type="dxa"/>
            <w:vAlign w:val="bottom"/>
          </w:tcPr>
          <w:p>
            <w:pPr>
              <w:ind w:left="220"/>
              <w:spacing w:after="0" w:line="202"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color w:val="auto"/>
                <w:vertAlign w:val="superscript"/>
              </w:rPr>
              <w:t>1</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ind w:left="380"/>
              <w:spacing w:after="0" w:line="202" w:lineRule="exact"/>
              <w:rPr>
                <w:sz w:val="20"/>
                <w:szCs w:val="20"/>
                <w:color w:val="auto"/>
              </w:rPr>
            </w:pPr>
            <w:r>
              <w:rPr>
                <w:rFonts w:ascii="Arial" w:cs="Arial" w:eastAsia="Arial" w:hAnsi="Arial"/>
                <w:sz w:val="18"/>
                <w:szCs w:val="18"/>
                <w:b w:val="1"/>
                <w:bCs w:val="1"/>
                <w:color w:val="auto"/>
              </w:rPr>
              <w:t>53</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50</w:t>
            </w:r>
          </w:p>
        </w:tc>
      </w:tr>
      <w:tr>
        <w:trPr>
          <w:trHeight w:val="203"/>
        </w:trPr>
        <w:tc>
          <w:tcPr>
            <w:tcW w:w="7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Fair value of plan assets</w:t>
            </w:r>
          </w:p>
        </w:tc>
        <w:tc>
          <w:tcPr>
            <w:tcW w:w="860" w:type="dxa"/>
            <w:vAlign w:val="bottom"/>
            <w:shd w:val="clear" w:color="auto" w:fill="CFF0FC"/>
          </w:tcPr>
          <w:p>
            <w:pPr>
              <w:jc w:val="center"/>
              <w:spacing w:after="0" w:line="202" w:lineRule="exact"/>
              <w:rPr>
                <w:sz w:val="20"/>
                <w:szCs w:val="20"/>
                <w:color w:val="auto"/>
              </w:rPr>
            </w:pPr>
            <w:r>
              <w:rPr>
                <w:rFonts w:ascii="Arial" w:cs="Arial" w:eastAsia="Arial" w:hAnsi="Arial"/>
                <w:sz w:val="17"/>
                <w:szCs w:val="17"/>
                <w:b w:val="1"/>
                <w:bCs w:val="1"/>
                <w:color w:val="auto"/>
              </w:rPr>
              <w:t xml:space="preserve">N/A </w:t>
            </w:r>
            <w:r>
              <w:rPr>
                <w:rFonts w:ascii="Arial" w:cs="Arial" w:eastAsia="Arial" w:hAnsi="Arial"/>
                <w:sz w:val="23"/>
                <w:szCs w:val="23"/>
                <w:b w:val="1"/>
                <w:bCs w:val="1"/>
                <w:color w:val="auto"/>
                <w:vertAlign w:val="superscript"/>
              </w:rPr>
              <w:t>1</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ind w:left="220"/>
              <w:spacing w:after="0" w:line="202"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color w:val="auto"/>
                <w:vertAlign w:val="superscript"/>
              </w:rPr>
              <w:t>1</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b w:val="1"/>
                <w:bCs w:val="1"/>
                <w:color w:val="auto"/>
              </w:rPr>
              <w:t>50</w:t>
            </w:r>
          </w:p>
        </w:tc>
        <w:tc>
          <w:tcPr>
            <w:tcW w:w="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47</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Plans with accumulated benefit obligation in excess of plan assets: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2"/>
        </w:trPr>
        <w:tc>
          <w:tcPr>
            <w:tcW w:w="7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860" w:type="dxa"/>
            <w:vAlign w:val="bottom"/>
            <w:shd w:val="clear" w:color="auto" w:fill="CFF0FC"/>
          </w:tcPr>
          <w:p>
            <w:pPr>
              <w:jc w:val="center"/>
              <w:spacing w:after="0" w:line="202" w:lineRule="exact"/>
              <w:rPr>
                <w:sz w:val="20"/>
                <w:szCs w:val="20"/>
                <w:color w:val="auto"/>
              </w:rPr>
            </w:pPr>
            <w:r>
              <w:rPr>
                <w:rFonts w:ascii="Arial" w:cs="Arial" w:eastAsia="Arial" w:hAnsi="Arial"/>
                <w:sz w:val="17"/>
                <w:szCs w:val="17"/>
                <w:b w:val="1"/>
                <w:bCs w:val="1"/>
                <w:color w:val="auto"/>
              </w:rPr>
              <w:t xml:space="preserve">N/A </w:t>
            </w:r>
            <w:r>
              <w:rPr>
                <w:rFonts w:ascii="Arial" w:cs="Arial" w:eastAsia="Arial" w:hAnsi="Arial"/>
                <w:sz w:val="23"/>
                <w:szCs w:val="23"/>
                <w:b w:val="1"/>
                <w:bCs w:val="1"/>
                <w:color w:val="auto"/>
                <w:vertAlign w:val="superscript"/>
              </w:rPr>
              <w:t>1</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ind w:left="220"/>
              <w:spacing w:after="0" w:line="202"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color w:val="auto"/>
                <w:vertAlign w:val="superscript"/>
              </w:rPr>
              <w:t>1</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b w:val="1"/>
                <w:bCs w:val="1"/>
                <w:color w:val="auto"/>
              </w:rPr>
              <w:t>50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center"/>
              <w:ind w:right="175"/>
              <w:spacing w:after="0" w:line="202"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b w:val="1"/>
                <w:bCs w:val="1"/>
                <w:color w:val="auto"/>
                <w:vertAlign w:val="superscript"/>
              </w:rPr>
              <w:t>2</w:t>
            </w:r>
          </w:p>
        </w:tc>
      </w:tr>
      <w:tr>
        <w:trPr>
          <w:trHeight w:val="206"/>
        </w:trPr>
        <w:tc>
          <w:tcPr>
            <w:tcW w:w="7280" w:type="dxa"/>
            <w:vAlign w:val="bottom"/>
          </w:tcPr>
          <w:p>
            <w:pPr>
              <w:spacing w:after="0" w:line="206" w:lineRule="exact"/>
              <w:rPr>
                <w:sz w:val="20"/>
                <w:szCs w:val="20"/>
                <w:color w:val="auto"/>
              </w:rPr>
            </w:pPr>
            <w:r>
              <w:rPr>
                <w:rFonts w:ascii="Arial" w:cs="Arial" w:eastAsia="Arial" w:hAnsi="Arial"/>
                <w:sz w:val="18"/>
                <w:szCs w:val="18"/>
                <w:color w:val="auto"/>
              </w:rPr>
              <w:t>Fair value of plan assets</w:t>
            </w:r>
          </w:p>
        </w:tc>
        <w:tc>
          <w:tcPr>
            <w:tcW w:w="860" w:type="dxa"/>
            <w:vAlign w:val="bottom"/>
          </w:tcPr>
          <w:p>
            <w:pPr>
              <w:jc w:val="center"/>
              <w:spacing w:after="0" w:line="205" w:lineRule="exact"/>
              <w:rPr>
                <w:sz w:val="20"/>
                <w:szCs w:val="20"/>
                <w:color w:val="auto"/>
              </w:rPr>
            </w:pPr>
            <w:r>
              <w:rPr>
                <w:rFonts w:ascii="Arial" w:cs="Arial" w:eastAsia="Arial" w:hAnsi="Arial"/>
                <w:sz w:val="17"/>
                <w:szCs w:val="17"/>
                <w:b w:val="1"/>
                <w:bCs w:val="1"/>
                <w:color w:val="auto"/>
              </w:rPr>
              <w:t xml:space="preserve">N/A </w:t>
            </w:r>
            <w:r>
              <w:rPr>
                <w:rFonts w:ascii="Arial" w:cs="Arial" w:eastAsia="Arial" w:hAnsi="Arial"/>
                <w:sz w:val="23"/>
                <w:szCs w:val="23"/>
                <w:b w:val="1"/>
                <w:bCs w:val="1"/>
                <w:color w:val="auto"/>
                <w:vertAlign w:val="superscript"/>
              </w:rPr>
              <w:t>1</w:t>
            </w:r>
          </w:p>
        </w:tc>
        <w:tc>
          <w:tcPr>
            <w:tcW w:w="160" w:type="dxa"/>
            <w:vAlign w:val="bottom"/>
          </w:tcPr>
          <w:p>
            <w:pPr>
              <w:spacing w:after="0"/>
              <w:rPr>
                <w:sz w:val="17"/>
                <w:szCs w:val="17"/>
                <w:color w:val="auto"/>
              </w:rPr>
            </w:pPr>
          </w:p>
        </w:tc>
        <w:tc>
          <w:tcPr>
            <w:tcW w:w="860" w:type="dxa"/>
            <w:vAlign w:val="bottom"/>
          </w:tcPr>
          <w:p>
            <w:pPr>
              <w:ind w:left="220"/>
              <w:spacing w:after="0" w:line="205"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color w:val="auto"/>
                <w:vertAlign w:val="superscript"/>
              </w:rPr>
              <w:t>1</w:t>
            </w:r>
          </w:p>
        </w:tc>
        <w:tc>
          <w:tcPr>
            <w:tcW w:w="320" w:type="dxa"/>
            <w:vAlign w:val="bottom"/>
            <w:gridSpan w:val="2"/>
          </w:tcPr>
          <w:p>
            <w:pPr>
              <w:jc w:val="right"/>
              <w:ind w:right="60"/>
              <w:spacing w:after="0" w:line="206" w:lineRule="exact"/>
              <w:rPr>
                <w:sz w:val="20"/>
                <w:szCs w:val="20"/>
                <w:color w:val="auto"/>
              </w:rPr>
            </w:pPr>
            <w:r>
              <w:rPr>
                <w:rFonts w:ascii="Arial" w:cs="Arial" w:eastAsia="Arial" w:hAnsi="Arial"/>
                <w:sz w:val="18"/>
                <w:szCs w:val="18"/>
                <w:b w:val="1"/>
                <w:bCs w:val="1"/>
                <w:color w:val="auto"/>
              </w:rPr>
              <w:t>$</w:t>
            </w:r>
          </w:p>
        </w:tc>
        <w:tc>
          <w:tcPr>
            <w:tcW w:w="700" w:type="dxa"/>
            <w:vAlign w:val="bottom"/>
          </w:tcPr>
          <w:p>
            <w:pPr>
              <w:ind w:left="380"/>
              <w:spacing w:after="0" w:line="206" w:lineRule="exact"/>
              <w:rPr>
                <w:sz w:val="20"/>
                <w:szCs w:val="20"/>
                <w:color w:val="auto"/>
              </w:rPr>
            </w:pPr>
            <w:r>
              <w:rPr>
                <w:rFonts w:ascii="Arial" w:cs="Arial" w:eastAsia="Arial" w:hAnsi="Arial"/>
                <w:sz w:val="18"/>
                <w:szCs w:val="18"/>
                <w:b w:val="1"/>
                <w:bCs w:val="1"/>
                <w:color w:val="auto"/>
              </w:rPr>
              <w:t>50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175"/>
              <w:spacing w:after="0" w:line="205"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b w:val="1"/>
                <w:bCs w:val="1"/>
                <w:color w:val="auto"/>
                <w:vertAlign w:val="superscript"/>
              </w:rPr>
              <w:t>2</w:t>
            </w:r>
          </w:p>
        </w:tc>
      </w:tr>
    </w:tbl>
    <w:p>
      <w:pPr>
        <w:ind w:left="500" w:right="200" w:hanging="371"/>
        <w:spacing w:after="0" w:line="205" w:lineRule="auto"/>
        <w:tabs>
          <w:tab w:leader="none" w:pos="50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As of December 31, 2025 and 2024, the hourly defined benefit pension plan had plan assets greater than the projected benefit obligation and the accumulated benefit obligation.</w:t>
      </w:r>
    </w:p>
    <w:p>
      <w:pPr>
        <w:spacing w:after="0" w:line="1" w:lineRule="exact"/>
        <w:rPr>
          <w:rFonts w:ascii="Arial" w:cs="Arial" w:eastAsia="Arial" w:hAnsi="Arial"/>
          <w:sz w:val="19"/>
          <w:szCs w:val="19"/>
          <w:color w:val="auto"/>
          <w:vertAlign w:val="superscript"/>
        </w:rPr>
      </w:pPr>
    </w:p>
    <w:p>
      <w:pPr>
        <w:ind w:left="500" w:hanging="371"/>
        <w:spacing w:after="0" w:line="193" w:lineRule="auto"/>
        <w:tabs>
          <w:tab w:leader="none" w:pos="50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As of December 31, 2024, the salary defined benefit pension plan had plan assets greater than the accumulated benefit obligation.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Benefit Cost</w:t>
      </w:r>
    </w:p>
    <w:p>
      <w:pPr>
        <w:spacing w:after="0" w:line="156" w:lineRule="exact"/>
        <w:rPr>
          <w:sz w:val="20"/>
          <w:szCs w:val="20"/>
          <w:color w:val="auto"/>
        </w:rPr>
      </w:pPr>
    </w:p>
    <w:p>
      <w:pPr>
        <w:ind w:right="420" w:firstLine="494"/>
        <w:spacing w:after="0" w:line="271" w:lineRule="auto"/>
        <w:rPr>
          <w:sz w:val="20"/>
          <w:szCs w:val="20"/>
          <w:color w:val="auto"/>
        </w:rPr>
      </w:pPr>
      <w:r>
        <w:rPr>
          <w:rFonts w:ascii="Arial" w:cs="Arial" w:eastAsia="Arial" w:hAnsi="Arial"/>
          <w:sz w:val="18"/>
          <w:szCs w:val="18"/>
          <w:color w:val="auto"/>
        </w:rPr>
        <w:t>Information about the net periodic benefit cost (credit) and other changes recognized in AOCL for the pension and post-retirement benefit plans is as follows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73"/>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4"/>
                <w:szCs w:val="14"/>
                <w:b w:val="1"/>
                <w:bCs w:val="1"/>
                <w:color w:val="auto"/>
              </w:rPr>
              <w:t>Post-retirement Benefits</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73"/>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53"/>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53"/>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54"/>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73"/>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73"/>
              <w:spacing w:after="0" w:line="147"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26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3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Periodic Benefit Cost (Credit):</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cost</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Settlement loss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Prior service credit</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Recognized actuarial loss (gain)</w:t>
            </w: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300" w:type="dxa"/>
            <w:vAlign w:val="bottom"/>
          </w:tcPr>
          <w:p>
            <w:pPr>
              <w:spacing w:after="0" w:line="196" w:lineRule="exact"/>
              <w:rPr>
                <w:sz w:val="20"/>
                <w:szCs w:val="20"/>
                <w:color w:val="auto"/>
              </w:rPr>
            </w:pPr>
            <w:r>
              <w:rPr>
                <w:rFonts w:ascii="Arial" w:cs="Arial" w:eastAsia="Arial" w:hAnsi="Arial"/>
                <w:sz w:val="18"/>
                <w:szCs w:val="18"/>
                <w:color w:val="auto"/>
              </w:rPr>
              <w:t>Net Periodic Benefit Cost (Credit)</w:t>
            </w: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3</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8</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4"/>
        </w:trPr>
        <w:tc>
          <w:tcPr>
            <w:tcW w:w="33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Other changes in other</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3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comprehensive loss (income):</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Net loss (gain)</w:t>
            </w:r>
          </w:p>
        </w:tc>
        <w:tc>
          <w:tcPr>
            <w:tcW w:w="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8</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Incurred prior service cost</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Amortizations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7"/>
        </w:trPr>
        <w:tc>
          <w:tcPr>
            <w:tcW w:w="330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Total recognized – other</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7</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color w:val="auto"/>
              </w:rPr>
              <w:t>6</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16</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10</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1"/>
        </w:trPr>
        <w:tc>
          <w:tcPr>
            <w:tcW w:w="3300" w:type="dxa"/>
            <w:vAlign w:val="bottom"/>
            <w:shd w:val="clear" w:color="auto" w:fill="CFF0FC"/>
          </w:tcPr>
          <w:p>
            <w:pPr>
              <w:ind w:left="160"/>
              <w:spacing w:after="0" w:line="161" w:lineRule="exact"/>
              <w:rPr>
                <w:sz w:val="20"/>
                <w:szCs w:val="20"/>
                <w:color w:val="auto"/>
              </w:rPr>
            </w:pPr>
            <w:r>
              <w:rPr>
                <w:rFonts w:ascii="Arial" w:cs="Arial" w:eastAsia="Arial" w:hAnsi="Arial"/>
                <w:sz w:val="18"/>
                <w:szCs w:val="18"/>
                <w:color w:val="auto"/>
              </w:rPr>
              <w:t>comprehensive loss (income)</w:t>
            </w:r>
          </w:p>
        </w:tc>
        <w:tc>
          <w:tcPr>
            <w:tcW w:w="140" w:type="dxa"/>
            <w:vAlign w:val="bottom"/>
            <w:vMerge w:val="continue"/>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240" w:type="dxa"/>
            <w:vAlign w:val="bottom"/>
            <w:gridSpan w:val="2"/>
            <w:vMerge w:val="continue"/>
            <w:shd w:val="clear" w:color="auto" w:fill="CFF0FC"/>
          </w:tcPr>
          <w:p>
            <w:pPr>
              <w:spacing w:after="0"/>
              <w:rPr>
                <w:sz w:val="17"/>
                <w:szCs w:val="17"/>
                <w:color w:val="auto"/>
              </w:rPr>
            </w:pPr>
          </w:p>
        </w:tc>
        <w:tc>
          <w:tcPr>
            <w:tcW w:w="1100" w:type="dxa"/>
            <w:vAlign w:val="bottom"/>
            <w:vMerge w:val="continue"/>
            <w:shd w:val="clear" w:color="auto" w:fill="CFF0FC"/>
          </w:tcPr>
          <w:p>
            <w:pPr>
              <w:spacing w:after="0"/>
              <w:rPr>
                <w:sz w:val="17"/>
                <w:szCs w:val="17"/>
                <w:color w:val="auto"/>
              </w:rPr>
            </w:pPr>
          </w:p>
        </w:tc>
        <w:tc>
          <w:tcPr>
            <w:tcW w:w="240" w:type="dxa"/>
            <w:vAlign w:val="bottom"/>
            <w:gridSpan w:val="2"/>
            <w:vMerge w:val="continue"/>
            <w:shd w:val="clear" w:color="auto" w:fill="CFF0FC"/>
          </w:tcPr>
          <w:p>
            <w:pPr>
              <w:spacing w:after="0"/>
              <w:rPr>
                <w:sz w:val="17"/>
                <w:szCs w:val="17"/>
                <w:color w:val="auto"/>
              </w:rPr>
            </w:pPr>
          </w:p>
        </w:tc>
        <w:tc>
          <w:tcPr>
            <w:tcW w:w="1100" w:type="dxa"/>
            <w:vAlign w:val="bottom"/>
            <w:vMerge w:val="continue"/>
            <w:shd w:val="clear" w:color="auto" w:fill="CFF0FC"/>
          </w:tcPr>
          <w:p>
            <w:pPr>
              <w:spacing w:after="0"/>
              <w:rPr>
                <w:sz w:val="17"/>
                <w:szCs w:val="17"/>
                <w:color w:val="auto"/>
              </w:rPr>
            </w:pPr>
          </w:p>
        </w:tc>
        <w:tc>
          <w:tcPr>
            <w:tcW w:w="240" w:type="dxa"/>
            <w:vAlign w:val="bottom"/>
            <w:gridSpan w:val="2"/>
            <w:vMerge w:val="continue"/>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260" w:type="dxa"/>
            <w:vAlign w:val="bottom"/>
            <w:gridSpan w:val="2"/>
            <w:vMerge w:val="continue"/>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260" w:type="dxa"/>
            <w:vAlign w:val="bottom"/>
            <w:gridSpan w:val="2"/>
            <w:vMerge w:val="continue"/>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-1045210</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-1045210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-1045210</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-1045210</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-1045210</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-25400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-8255</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-25400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-8255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768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50" w:lineRule="exact"/>
        <w:rPr>
          <w:sz w:val="20"/>
          <w:szCs w:val="20"/>
          <w:color w:val="auto"/>
        </w:rPr>
      </w:pPr>
    </w:p>
    <w:p>
      <w:pPr>
        <w:ind w:right="100" w:firstLine="494"/>
        <w:spacing w:after="0" w:line="271" w:lineRule="auto"/>
        <w:rPr>
          <w:sz w:val="20"/>
          <w:szCs w:val="20"/>
          <w:color w:val="auto"/>
        </w:rPr>
      </w:pPr>
      <w:r>
        <w:rPr>
          <w:rFonts w:ascii="Arial" w:cs="Arial" w:eastAsia="Arial" w:hAnsi="Arial"/>
          <w:sz w:val="18"/>
          <w:szCs w:val="18"/>
          <w:color w:val="auto"/>
        </w:rPr>
        <w:t>The components of net periodic benefit costs (credits) other than the service cost component are included in Other income (expense), net in the Consolidated Statements of Comprehensive Income.</w:t>
      </w:r>
    </w:p>
    <w:p>
      <w:pPr>
        <w:spacing w:after="0" w:line="100" w:lineRule="exact"/>
        <w:rPr>
          <w:sz w:val="20"/>
          <w:szCs w:val="20"/>
          <w:color w:val="auto"/>
        </w:rPr>
      </w:pPr>
    </w:p>
    <w:p>
      <w:pPr>
        <w:ind w:right="240" w:firstLine="494"/>
        <w:spacing w:after="0"/>
        <w:rPr>
          <w:sz w:val="20"/>
          <w:szCs w:val="20"/>
          <w:color w:val="auto"/>
        </w:rPr>
      </w:pPr>
      <w:r>
        <w:rPr>
          <w:rFonts w:ascii="Arial" w:cs="Arial" w:eastAsia="Arial" w:hAnsi="Arial"/>
          <w:sz w:val="18"/>
          <w:szCs w:val="18"/>
          <w:color w:val="auto"/>
        </w:rPr>
        <w:t>In June 2024, the Company completed a pension risk transfer to a third-party insurance company of a portion of its salaried defined benefit pension plan's obligations for certain participants and their beneficiaries. The Company agreed to an annuity contract that was purchased using pension plan assets, resulting in the transfer of $30 million of pension plan assets and $30 million of pension plan benefit obligations to the insurance company. As a result of this transaction, in the second quarter of 2024, the Company recognized a non-recurring, non-cash $4 million settlement charge for a pro rata portion of previously unrecognized pension plan actuarial net losses, which was recorded in Other income (expense), net in the Consolidated Statements of Comprehensive Income for the year ended December 31, 2024.</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the weighted-average actuarial assumptions used to determine the net periodic benefit cost (credit).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Post-retirement Benefits</w:t>
            </w:r>
          </w:p>
        </w:tc>
        <w:tc>
          <w:tcPr>
            <w:tcW w:w="1100" w:type="dxa"/>
            <w:vAlign w:val="bottom"/>
            <w:tcBorders>
              <w:bottom w:val="single" w:sz="8" w:color="auto"/>
            </w:tcBorders>
          </w:tcPr>
          <w:p>
            <w:pPr>
              <w:spacing w:after="0"/>
              <w:rPr>
                <w:sz w:val="14"/>
                <w:szCs w:val="14"/>
                <w:color w:val="auto"/>
              </w:rPr>
            </w:pPr>
          </w:p>
        </w:tc>
      </w:tr>
      <w:tr>
        <w:trPr>
          <w:trHeight w:val="146"/>
        </w:trPr>
        <w:tc>
          <w:tcPr>
            <w:tcW w:w="330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2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080" w:type="dxa"/>
            <w:vAlign w:val="bottom"/>
          </w:tcPr>
          <w:p>
            <w:pPr>
              <w:jc w:val="center"/>
              <w:ind w:left="41"/>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Year ended</w:t>
            </w:r>
          </w:p>
        </w:tc>
        <w:tc>
          <w:tcPr>
            <w:tcW w:w="1100" w:type="dxa"/>
            <w:vAlign w:val="bottom"/>
          </w:tcPr>
          <w:p>
            <w:pPr>
              <w:jc w:val="center"/>
              <w:ind w:right="39"/>
              <w:spacing w:after="0" w:line="147" w:lineRule="exact"/>
              <w:rPr>
                <w:sz w:val="20"/>
                <w:szCs w:val="20"/>
                <w:color w:val="auto"/>
              </w:rPr>
            </w:pPr>
            <w:r>
              <w:rPr>
                <w:rFonts w:ascii="Arial" w:cs="Arial" w:eastAsia="Arial" w:hAnsi="Arial"/>
                <w:sz w:val="14"/>
                <w:szCs w:val="14"/>
                <w:b w:val="1"/>
                <w:bCs w:val="1"/>
                <w:color w:val="auto"/>
              </w:rPr>
              <w:t>Year ended</w:t>
            </w:r>
          </w:p>
        </w:tc>
      </w:tr>
      <w:tr>
        <w:trPr>
          <w:trHeight w:val="162"/>
        </w:trPr>
        <w:tc>
          <w:tcPr>
            <w:tcW w:w="33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tcPr>
          <w:p>
            <w:pPr>
              <w:jc w:val="center"/>
              <w:ind w:left="4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center"/>
              <w:ind w:right="39"/>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3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r>
      <w:tr>
        <w:trPr>
          <w:trHeight w:val="196"/>
        </w:trPr>
        <w:tc>
          <w:tcPr>
            <w:tcW w:w="3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Discount rate</w:t>
            </w:r>
          </w:p>
        </w:tc>
        <w:tc>
          <w:tcPr>
            <w:tcW w:w="12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b w:val="1"/>
                <w:bCs w:val="1"/>
                <w:color w:val="auto"/>
              </w:rPr>
              <w:t>5.60%</w:t>
            </w:r>
          </w:p>
        </w:tc>
        <w:tc>
          <w:tcPr>
            <w:tcW w:w="1360" w:type="dxa"/>
            <w:vAlign w:val="bottom"/>
            <w:gridSpan w:val="2"/>
            <w:shd w:val="clear" w:color="auto" w:fill="CFF0FC"/>
          </w:tcPr>
          <w:p>
            <w:pPr>
              <w:jc w:val="center"/>
              <w:ind w:left="30"/>
              <w:spacing w:after="0" w:line="196" w:lineRule="exact"/>
              <w:rPr>
                <w:sz w:val="20"/>
                <w:szCs w:val="20"/>
                <w:color w:val="auto"/>
              </w:rPr>
            </w:pPr>
            <w:r>
              <w:rPr>
                <w:rFonts w:ascii="Arial" w:cs="Arial" w:eastAsia="Arial" w:hAnsi="Arial"/>
                <w:sz w:val="18"/>
                <w:szCs w:val="18"/>
                <w:color w:val="auto"/>
              </w:rPr>
              <w:t>5.00%</w:t>
            </w:r>
          </w:p>
        </w:tc>
        <w:tc>
          <w:tcPr>
            <w:tcW w:w="1340" w:type="dxa"/>
            <w:vAlign w:val="bottom"/>
            <w:gridSpan w:val="2"/>
            <w:shd w:val="clear" w:color="auto" w:fill="CFF0FC"/>
          </w:tcPr>
          <w:p>
            <w:pPr>
              <w:jc w:val="center"/>
              <w:ind w:left="10"/>
              <w:spacing w:after="0" w:line="196" w:lineRule="exact"/>
              <w:rPr>
                <w:sz w:val="20"/>
                <w:szCs w:val="20"/>
                <w:color w:val="auto"/>
              </w:rPr>
            </w:pPr>
            <w:r>
              <w:rPr>
                <w:rFonts w:ascii="Arial" w:cs="Arial" w:eastAsia="Arial" w:hAnsi="Arial"/>
                <w:sz w:val="18"/>
                <w:szCs w:val="18"/>
                <w:color w:val="auto"/>
              </w:rPr>
              <w:t>5.20%</w:t>
            </w:r>
          </w:p>
        </w:tc>
        <w:tc>
          <w:tcPr>
            <w:tcW w:w="1200" w:type="dxa"/>
            <w:vAlign w:val="bottom"/>
            <w:gridSpan w:val="2"/>
            <w:shd w:val="clear" w:color="auto" w:fill="CFF0FC"/>
          </w:tcPr>
          <w:p>
            <w:pPr>
              <w:jc w:val="right"/>
              <w:ind w:right="141"/>
              <w:spacing w:after="0" w:line="196" w:lineRule="exact"/>
              <w:rPr>
                <w:sz w:val="20"/>
                <w:szCs w:val="20"/>
                <w:color w:val="auto"/>
              </w:rPr>
            </w:pPr>
            <w:r>
              <w:rPr>
                <w:rFonts w:ascii="Arial" w:cs="Arial" w:eastAsia="Arial" w:hAnsi="Arial"/>
                <w:sz w:val="18"/>
                <w:szCs w:val="18"/>
                <w:b w:val="1"/>
                <w:bCs w:val="1"/>
                <w:color w:val="auto"/>
              </w:rPr>
              <w:t>5.60%</w:t>
            </w:r>
          </w:p>
        </w:tc>
        <w:tc>
          <w:tcPr>
            <w:tcW w:w="1460" w:type="dxa"/>
            <w:vAlign w:val="bottom"/>
            <w:gridSpan w:val="3"/>
            <w:shd w:val="clear" w:color="auto" w:fill="CFF0FC"/>
          </w:tcPr>
          <w:p>
            <w:pPr>
              <w:jc w:val="right"/>
              <w:ind w:right="261"/>
              <w:spacing w:after="0" w:line="196" w:lineRule="exact"/>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79"/>
              <w:spacing w:after="0" w:line="196" w:lineRule="exact"/>
              <w:rPr>
                <w:sz w:val="20"/>
                <w:szCs w:val="20"/>
                <w:color w:val="auto"/>
              </w:rPr>
            </w:pPr>
            <w:r>
              <w:rPr>
                <w:rFonts w:ascii="Arial" w:cs="Arial" w:eastAsia="Arial" w:hAnsi="Arial"/>
                <w:sz w:val="18"/>
                <w:szCs w:val="18"/>
                <w:color w:val="auto"/>
              </w:rPr>
              <w:t>5.20%</w:t>
            </w:r>
          </w:p>
        </w:tc>
      </w:tr>
      <w:tr>
        <w:trPr>
          <w:trHeight w:val="184"/>
        </w:trPr>
        <w:tc>
          <w:tcPr>
            <w:tcW w:w="3300" w:type="dxa"/>
            <w:vAlign w:val="bottom"/>
          </w:tcPr>
          <w:p>
            <w:pPr>
              <w:spacing w:after="0" w:line="183" w:lineRule="exact"/>
              <w:rPr>
                <w:sz w:val="20"/>
                <w:szCs w:val="20"/>
                <w:color w:val="auto"/>
              </w:rPr>
            </w:pPr>
            <w:r>
              <w:rPr>
                <w:rFonts w:ascii="Arial" w:cs="Arial" w:eastAsia="Arial" w:hAnsi="Arial"/>
                <w:sz w:val="18"/>
                <w:szCs w:val="18"/>
                <w:color w:val="auto"/>
              </w:rPr>
              <w:t>Rate of compensation</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1"/>
        </w:trPr>
        <w:tc>
          <w:tcPr>
            <w:tcW w:w="3300" w:type="dxa"/>
            <w:vAlign w:val="bottom"/>
          </w:tcPr>
          <w:p>
            <w:pPr>
              <w:ind w:left="160"/>
              <w:spacing w:after="0"/>
              <w:rPr>
                <w:sz w:val="20"/>
                <w:szCs w:val="20"/>
                <w:color w:val="auto"/>
              </w:rPr>
            </w:pPr>
            <w:r>
              <w:rPr>
                <w:rFonts w:ascii="Arial" w:cs="Arial" w:eastAsia="Arial" w:hAnsi="Arial"/>
                <w:sz w:val="18"/>
                <w:szCs w:val="18"/>
                <w:color w:val="auto"/>
              </w:rPr>
              <w:t>increase (salaried)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rPr>
              <w:t>3.00%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3.00%</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1080" w:type="dxa"/>
            <w:vAlign w:val="bottom"/>
          </w:tcPr>
          <w:p>
            <w:pPr>
              <w:jc w:val="center"/>
              <w:ind w:left="41"/>
              <w:spacing w:after="0"/>
              <w:rPr>
                <w:sz w:val="20"/>
                <w:szCs w:val="20"/>
                <w:color w:val="auto"/>
              </w:rPr>
            </w:pPr>
            <w:r>
              <w:rPr>
                <w:rFonts w:ascii="Arial" w:cs="Arial" w:eastAsia="Arial" w:hAnsi="Arial"/>
                <w:sz w:val="18"/>
                <w:szCs w:val="18"/>
                <w:b w:val="1"/>
                <w:bCs w:val="1"/>
                <w:color w:val="auto"/>
              </w:rPr>
              <w:t>N/A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N/A</w:t>
            </w:r>
          </w:p>
        </w:tc>
        <w:tc>
          <w:tcPr>
            <w:tcW w:w="1100" w:type="dxa"/>
            <w:vAlign w:val="bottom"/>
          </w:tcPr>
          <w:p>
            <w:pPr>
              <w:jc w:val="center"/>
              <w:ind w:right="39"/>
              <w:spacing w:after="0"/>
              <w:rPr>
                <w:sz w:val="20"/>
                <w:szCs w:val="20"/>
                <w:color w:val="auto"/>
              </w:rPr>
            </w:pPr>
            <w:r>
              <w:rPr>
                <w:rFonts w:ascii="Arial" w:cs="Arial" w:eastAsia="Arial" w:hAnsi="Arial"/>
                <w:sz w:val="18"/>
                <w:szCs w:val="18"/>
                <w:color w:val="auto"/>
                <w:w w:val="99"/>
              </w:rPr>
              <w:t>N/A</w:t>
            </w:r>
          </w:p>
        </w:tc>
      </w:tr>
      <w:tr>
        <w:trPr>
          <w:trHeight w:val="203"/>
        </w:trPr>
        <w:tc>
          <w:tcPr>
            <w:tcW w:w="3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return on assets</w:t>
            </w:r>
          </w:p>
        </w:tc>
        <w:tc>
          <w:tcPr>
            <w:tcW w:w="12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b w:val="1"/>
                <w:bCs w:val="1"/>
                <w:color w:val="auto"/>
              </w:rPr>
              <w:t>5.30%</w:t>
            </w:r>
          </w:p>
        </w:tc>
        <w:tc>
          <w:tcPr>
            <w:tcW w:w="136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rPr>
              <w:t>5.30%</w:t>
            </w:r>
          </w:p>
        </w:tc>
        <w:tc>
          <w:tcPr>
            <w:tcW w:w="134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rPr>
              <w:t>5.30%</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left="41"/>
              <w:spacing w:after="0" w:line="202" w:lineRule="exact"/>
              <w:rPr>
                <w:sz w:val="20"/>
                <w:szCs w:val="20"/>
                <w:color w:val="auto"/>
              </w:rPr>
            </w:pPr>
            <w:r>
              <w:rPr>
                <w:rFonts w:ascii="Arial" w:cs="Arial" w:eastAsia="Arial" w:hAnsi="Arial"/>
                <w:sz w:val="18"/>
                <w:szCs w:val="18"/>
                <w:b w:val="1"/>
                <w:bCs w:val="1"/>
                <w:color w:val="auto"/>
              </w:rPr>
              <w:t>N/A</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center"/>
              <w:ind w:right="240"/>
              <w:spacing w:after="0" w:line="202" w:lineRule="exact"/>
              <w:rPr>
                <w:sz w:val="20"/>
                <w:szCs w:val="20"/>
                <w:color w:val="auto"/>
              </w:rPr>
            </w:pPr>
            <w:r>
              <w:rPr>
                <w:rFonts w:ascii="Arial" w:cs="Arial" w:eastAsia="Arial" w:hAnsi="Arial"/>
                <w:sz w:val="18"/>
                <w:szCs w:val="18"/>
                <w:color w:val="auto"/>
                <w:w w:val="99"/>
              </w:rPr>
              <w:t>N/A</w:t>
            </w:r>
          </w:p>
        </w:tc>
        <w:tc>
          <w:tcPr>
            <w:tcW w:w="1100" w:type="dxa"/>
            <w:vAlign w:val="bottom"/>
            <w:shd w:val="clear" w:color="auto" w:fill="CFF0FC"/>
          </w:tcPr>
          <w:p>
            <w:pPr>
              <w:jc w:val="center"/>
              <w:ind w:right="39"/>
              <w:spacing w:after="0" w:line="202" w:lineRule="exact"/>
              <w:rPr>
                <w:sz w:val="20"/>
                <w:szCs w:val="20"/>
                <w:color w:val="auto"/>
              </w:rPr>
            </w:pPr>
            <w:r>
              <w:rPr>
                <w:rFonts w:ascii="Arial" w:cs="Arial" w:eastAsia="Arial" w:hAnsi="Arial"/>
                <w:sz w:val="18"/>
                <w:szCs w:val="18"/>
                <w:color w:val="auto"/>
                <w:w w:val="99"/>
              </w:rPr>
              <w:t>N/A</w:t>
            </w:r>
          </w:p>
        </w:tc>
      </w:tr>
      <w:tr>
        <w:trPr>
          <w:trHeight w:val="652"/>
        </w:trPr>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45"/>
        </w:trPr>
        <w:tc>
          <w:tcPr>
            <w:tcW w:w="3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The overall expected rate of return on plan assets is based upon historical and expected future returns consistent with the expected benefit duration of the plan for each asset group adjusted for investment and administrative fees. Health care cost trends are used to project future post-retirement benefits payable from the Company’s plans. As of December 31, 2025, future post-retirement health care costs were forecasted assuming an initial annual increase of up to 7.00%, decreasing to an annual increase of up to 4.00% by the year 2050. The Company reviews all actuarial assumptions on an annual basis and in the case of remeasurement.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156" w:lineRule="exact"/>
        <w:rPr>
          <w:sz w:val="20"/>
          <w:szCs w:val="20"/>
          <w:color w:val="auto"/>
        </w:rPr>
      </w:pPr>
    </w:p>
    <w:p>
      <w:pPr>
        <w:ind w:right="360" w:firstLine="494"/>
        <w:spacing w:after="0" w:line="271" w:lineRule="auto"/>
        <w:rPr>
          <w:sz w:val="20"/>
          <w:szCs w:val="20"/>
          <w:color w:val="auto"/>
        </w:rPr>
      </w:pPr>
      <w:r>
        <w:rPr>
          <w:rFonts w:ascii="Arial" w:cs="Arial" w:eastAsia="Arial" w:hAnsi="Arial"/>
          <w:sz w:val="18"/>
          <w:szCs w:val="18"/>
          <w:color w:val="auto"/>
        </w:rPr>
        <w:t>The Company’s pension plan assets mostly consist of diversified equity securities and diversified debt securities. The fair values of plan assets for the Company’s pension plans as of December 31, 2025 and 2024 are as follows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rPr>
              <w:t>Fair Value Measurements Using</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6"/>
        </w:trPr>
        <w:tc>
          <w:tcPr>
            <w:tcW w:w="4680" w:type="dxa"/>
            <w:vAlign w:val="bottom"/>
          </w:tcPr>
          <w:p>
            <w:pPr>
              <w:spacing w:after="0"/>
              <w:rPr>
                <w:sz w:val="12"/>
                <w:szCs w:val="12"/>
                <w:color w:val="auto"/>
              </w:rPr>
            </w:pPr>
          </w:p>
        </w:tc>
        <w:tc>
          <w:tcPr>
            <w:tcW w:w="2100" w:type="dxa"/>
            <w:vAlign w:val="bottom"/>
            <w:gridSpan w:val="5"/>
          </w:tcPr>
          <w:p>
            <w:pPr>
              <w:jc w:val="center"/>
              <w:ind w:right="30"/>
              <w:spacing w:after="0" w:line="147" w:lineRule="exact"/>
              <w:rPr>
                <w:sz w:val="20"/>
                <w:szCs w:val="20"/>
                <w:color w:val="auto"/>
              </w:rPr>
            </w:pPr>
            <w:r>
              <w:rPr>
                <w:rFonts w:ascii="Arial" w:cs="Arial" w:eastAsia="Arial" w:hAnsi="Arial"/>
                <w:sz w:val="14"/>
                <w:szCs w:val="14"/>
                <w:b w:val="1"/>
                <w:bCs w:val="1"/>
                <w:color w:val="auto"/>
              </w:rPr>
              <w:t>Quoted Prices in Active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5"/>
          </w:tcPr>
          <w:p>
            <w:pPr>
              <w:jc w:val="center"/>
              <w:ind w:right="360"/>
              <w:spacing w:after="0" w:line="147" w:lineRule="exact"/>
              <w:rPr>
                <w:sz w:val="20"/>
                <w:szCs w:val="20"/>
                <w:color w:val="auto"/>
              </w:rPr>
            </w:pPr>
            <w:r>
              <w:rPr>
                <w:rFonts w:ascii="Arial" w:cs="Arial" w:eastAsia="Arial" w:hAnsi="Arial"/>
                <w:sz w:val="14"/>
                <w:szCs w:val="14"/>
                <w:b w:val="1"/>
                <w:bCs w:val="1"/>
                <w:color w:val="auto"/>
              </w:rPr>
              <w:t>Significant Other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2"/>
        </w:trPr>
        <w:tc>
          <w:tcPr>
            <w:tcW w:w="4680" w:type="dxa"/>
            <w:vAlign w:val="bottom"/>
          </w:tcPr>
          <w:p>
            <w:pPr>
              <w:spacing w:after="0"/>
              <w:rPr>
                <w:sz w:val="14"/>
                <w:szCs w:val="14"/>
                <w:color w:val="auto"/>
              </w:rPr>
            </w:pPr>
          </w:p>
        </w:tc>
        <w:tc>
          <w:tcPr>
            <w:tcW w:w="1740" w:type="dxa"/>
            <w:vAlign w:val="bottom"/>
            <w:gridSpan w:val="4"/>
          </w:tcPr>
          <w:p>
            <w:pPr>
              <w:jc w:val="center"/>
              <w:ind w:left="182"/>
              <w:spacing w:after="0"/>
              <w:rPr>
                <w:sz w:val="20"/>
                <w:szCs w:val="20"/>
                <w:color w:val="auto"/>
              </w:rPr>
            </w:pPr>
            <w:r>
              <w:rPr>
                <w:rFonts w:ascii="Arial" w:cs="Arial" w:eastAsia="Arial" w:hAnsi="Arial"/>
                <w:sz w:val="14"/>
                <w:szCs w:val="14"/>
                <w:b w:val="1"/>
                <w:bCs w:val="1"/>
                <w:color w:val="auto"/>
              </w:rPr>
              <w:t>Markets for Identical</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Observable Inputs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4680" w:type="dxa"/>
            <w:vAlign w:val="bottom"/>
          </w:tcPr>
          <w:p>
            <w:pPr>
              <w:spacing w:after="0"/>
              <w:rPr>
                <w:sz w:val="14"/>
                <w:szCs w:val="14"/>
                <w:color w:val="auto"/>
              </w:rPr>
            </w:pPr>
          </w:p>
        </w:tc>
        <w:tc>
          <w:tcPr>
            <w:tcW w:w="1740" w:type="dxa"/>
            <w:vAlign w:val="bottom"/>
            <w:tcBorders>
              <w:bottom w:val="single" w:sz="8" w:color="auto"/>
            </w:tcBorders>
            <w:gridSpan w:val="4"/>
          </w:tcPr>
          <w:p>
            <w:pPr>
              <w:jc w:val="center"/>
              <w:ind w:left="162"/>
              <w:spacing w:after="0"/>
              <w:rPr>
                <w:sz w:val="20"/>
                <w:szCs w:val="20"/>
                <w:color w:val="auto"/>
              </w:rPr>
            </w:pPr>
            <w:r>
              <w:rPr>
                <w:rFonts w:ascii="Arial" w:cs="Arial" w:eastAsia="Arial" w:hAnsi="Arial"/>
                <w:sz w:val="14"/>
                <w:szCs w:val="14"/>
                <w:b w:val="1"/>
                <w:bCs w:val="1"/>
                <w:color w:val="auto"/>
              </w:rPr>
              <w:t>Assets (Level 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rPr>
              <w:t>(Level 2)</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tcPr>
          <w:p>
            <w:pPr>
              <w:spacing w:after="0"/>
              <w:rPr>
                <w:sz w:val="14"/>
                <w:szCs w:val="14"/>
                <w:color w:val="auto"/>
              </w:rPr>
            </w:pPr>
          </w:p>
        </w:tc>
      </w:tr>
      <w:tr>
        <w:trPr>
          <w:trHeight w:val="155"/>
        </w:trPr>
        <w:tc>
          <w:tcPr>
            <w:tcW w:w="468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Diversified debt securities</w:t>
            </w:r>
          </w:p>
        </w:tc>
        <w:tc>
          <w:tcPr>
            <w:tcW w:w="640" w:type="dxa"/>
            <w:vAlign w:val="bottom"/>
            <w:shd w:val="clear" w:color="auto" w:fill="CFF0FC"/>
          </w:tcPr>
          <w:p>
            <w:pPr>
              <w:jc w:val="right"/>
              <w:ind w:right="462"/>
              <w:spacing w:after="0" w:line="196" w:lineRule="exact"/>
              <w:rPr>
                <w:sz w:val="20"/>
                <w:szCs w:val="20"/>
                <w:color w:val="auto"/>
              </w:rPr>
            </w:pPr>
            <w:r>
              <w:rPr>
                <w:rFonts w:ascii="Arial" w:cs="Arial" w:eastAsia="Arial" w:hAnsi="Arial"/>
                <w:sz w:val="18"/>
                <w:szCs w:val="18"/>
                <w:b w:val="1"/>
                <w:bCs w:val="1"/>
                <w:color w:val="auto"/>
                <w:w w:val="79"/>
              </w:rPr>
              <w:t>$</w:t>
            </w:r>
          </w:p>
        </w:tc>
        <w:tc>
          <w:tcPr>
            <w:tcW w:w="3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10</w:t>
            </w:r>
          </w:p>
        </w:tc>
        <w:tc>
          <w:tcPr>
            <w:tcW w:w="760" w:type="dxa"/>
            <w:vAlign w:val="bottom"/>
            <w:gridSpan w:val="2"/>
            <w:shd w:val="clear" w:color="auto" w:fill="CFF0FC"/>
          </w:tcPr>
          <w:p>
            <w:pPr>
              <w:jc w:val="right"/>
              <w:ind w:right="468"/>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w:t>
            </w:r>
          </w:p>
        </w:tc>
        <w:tc>
          <w:tcPr>
            <w:tcW w:w="3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b w:val="1"/>
                <w:bCs w:val="1"/>
                <w:color w:val="auto"/>
              </w:rPr>
              <w:t>100</w:t>
            </w:r>
          </w:p>
        </w:tc>
        <w:tc>
          <w:tcPr>
            <w:tcW w:w="3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96</w:t>
            </w:r>
          </w:p>
        </w:tc>
        <w:tc>
          <w:tcPr>
            <w:tcW w:w="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b w:val="1"/>
                <w:bCs w:val="1"/>
                <w:color w:val="auto"/>
              </w:rPr>
              <w:t>110</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106</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Diversified equity securities</w:t>
            </w:r>
          </w:p>
        </w:tc>
        <w:tc>
          <w:tcPr>
            <w:tcW w:w="640" w:type="dxa"/>
            <w:vAlign w:val="bottom"/>
          </w:tcPr>
          <w:p>
            <w:pPr>
              <w:spacing w:after="0"/>
              <w:rPr>
                <w:sz w:val="17"/>
                <w:szCs w:val="17"/>
                <w:color w:val="auto"/>
              </w:rPr>
            </w:pPr>
          </w:p>
        </w:tc>
        <w:tc>
          <w:tcPr>
            <w:tcW w:w="3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9"/>
              <w:spacing w:after="0" w:line="202"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21</w:t>
            </w:r>
          </w:p>
        </w:tc>
      </w:tr>
      <w:tr>
        <w:trPr>
          <w:trHeight w:val="203"/>
        </w:trPr>
        <w:tc>
          <w:tcPr>
            <w:tcW w:w="46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equivalents</w:t>
            </w:r>
          </w:p>
        </w:tc>
        <w:tc>
          <w:tcPr>
            <w:tcW w:w="64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19"/>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16"/>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5</w:t>
            </w:r>
          </w:p>
        </w:tc>
      </w:tr>
      <w:tr>
        <w:trPr>
          <w:trHeight w:val="196"/>
        </w:trPr>
        <w:tc>
          <w:tcPr>
            <w:tcW w:w="468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640" w:type="dxa"/>
            <w:vAlign w:val="bottom"/>
          </w:tcPr>
          <w:p>
            <w:pPr>
              <w:jc w:val="right"/>
              <w:ind w:right="462"/>
              <w:spacing w:after="0" w:line="196" w:lineRule="exact"/>
              <w:rPr>
                <w:sz w:val="20"/>
                <w:szCs w:val="20"/>
                <w:color w:val="auto"/>
              </w:rPr>
            </w:pPr>
            <w:r>
              <w:rPr>
                <w:rFonts w:ascii="Arial" w:cs="Arial" w:eastAsia="Arial" w:hAnsi="Arial"/>
                <w:sz w:val="18"/>
                <w:szCs w:val="18"/>
                <w:b w:val="1"/>
                <w:bCs w:val="1"/>
                <w:color w:val="auto"/>
                <w:w w:val="79"/>
              </w:rPr>
              <w:t>$</w:t>
            </w:r>
          </w:p>
        </w:tc>
        <w:tc>
          <w:tcPr>
            <w:tcW w:w="34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29</w:t>
            </w:r>
          </w:p>
        </w:tc>
        <w:tc>
          <w:tcPr>
            <w:tcW w:w="760" w:type="dxa"/>
            <w:vAlign w:val="bottom"/>
            <w:gridSpan w:val="2"/>
          </w:tcPr>
          <w:p>
            <w:pPr>
              <w:jc w:val="right"/>
              <w:ind w:right="468"/>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30</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
              <w:spacing w:after="0" w:line="196" w:lineRule="exact"/>
              <w:rPr>
                <w:sz w:val="20"/>
                <w:szCs w:val="20"/>
                <w:color w:val="auto"/>
              </w:rPr>
            </w:pPr>
            <w:r>
              <w:rPr>
                <w:rFonts w:ascii="Arial" w:cs="Arial" w:eastAsia="Arial" w:hAnsi="Arial"/>
                <w:sz w:val="18"/>
                <w:szCs w:val="18"/>
                <w:b w:val="1"/>
                <w:bCs w:val="1"/>
                <w:color w:val="auto"/>
              </w:rPr>
              <w:t>106</w:t>
            </w:r>
          </w:p>
        </w:tc>
        <w:tc>
          <w:tcPr>
            <w:tcW w:w="3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6"/>
              <w:spacing w:after="0" w:line="196" w:lineRule="exact"/>
              <w:rPr>
                <w:sz w:val="20"/>
                <w:szCs w:val="20"/>
                <w:color w:val="auto"/>
              </w:rPr>
            </w:pPr>
            <w:r>
              <w:rPr>
                <w:rFonts w:ascii="Arial" w:cs="Arial" w:eastAsia="Arial" w:hAnsi="Arial"/>
                <w:sz w:val="18"/>
                <w:szCs w:val="18"/>
                <w:b w:val="1"/>
                <w:bCs w:val="1"/>
                <w:color w:val="auto"/>
              </w:rPr>
              <w:t>135</w:t>
            </w:r>
          </w:p>
        </w:tc>
        <w:tc>
          <w:tcPr>
            <w:tcW w:w="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132</w:t>
            </w:r>
          </w:p>
        </w:tc>
      </w:tr>
      <w:tr>
        <w:trPr>
          <w:trHeight w:val="20"/>
        </w:trPr>
        <w:tc>
          <w:tcPr>
            <w:tcW w:w="4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-161925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-161925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-161925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-161925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-161925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620" w:firstLine="494"/>
        <w:spacing w:after="0" w:line="247" w:lineRule="auto"/>
        <w:rPr>
          <w:sz w:val="20"/>
          <w:szCs w:val="20"/>
          <w:color w:val="auto"/>
        </w:rPr>
      </w:pPr>
      <w:r>
        <w:rPr>
          <w:rFonts w:ascii="Arial" w:cs="Arial" w:eastAsia="Arial" w:hAnsi="Arial"/>
          <w:sz w:val="18"/>
          <w:szCs w:val="18"/>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00" w:type="dxa"/>
            <w:vAlign w:val="bottom"/>
            <w:vMerge w:val="restart"/>
          </w:tcPr>
          <w:p>
            <w:pPr>
              <w:spacing w:after="0"/>
              <w:rPr>
                <w:sz w:val="14"/>
                <w:szCs w:val="14"/>
                <w:color w:val="auto"/>
              </w:rPr>
            </w:pPr>
          </w:p>
        </w:tc>
        <w:tc>
          <w:tcPr>
            <w:tcW w:w="2260" w:type="dxa"/>
            <w:vAlign w:val="bottom"/>
            <w:tcBorders>
              <w:bottom w:val="single" w:sz="8" w:color="auto"/>
            </w:tcBorders>
            <w:gridSpan w:val="3"/>
          </w:tcPr>
          <w:p>
            <w:pPr>
              <w:ind w:left="1560"/>
              <w:spacing w:after="0"/>
              <w:rPr>
                <w:sz w:val="20"/>
                <w:szCs w:val="20"/>
                <w:color w:val="auto"/>
              </w:rPr>
            </w:pPr>
            <w:r>
              <w:rPr>
                <w:rFonts w:ascii="Arial" w:cs="Arial" w:eastAsia="Arial" w:hAnsi="Arial"/>
                <w:sz w:val="14"/>
                <w:szCs w:val="14"/>
                <w:b w:val="1"/>
                <w:bCs w:val="1"/>
                <w:color w:val="auto"/>
              </w:rPr>
              <w:t>Target</w:t>
            </w: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0" w:type="dxa"/>
            <w:vAlign w:val="bottom"/>
            <w:tcBorders>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Hourly</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196"/>
        </w:trPr>
        <w:tc>
          <w:tcPr>
            <w:tcW w:w="75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500" w:type="dxa"/>
            <w:vAlign w:val="bottom"/>
            <w:gridSpan w:val="2"/>
          </w:tcPr>
          <w:p>
            <w:pPr>
              <w:spacing w:after="0" w:line="202" w:lineRule="exact"/>
              <w:rPr>
                <w:sz w:val="20"/>
                <w:szCs w:val="20"/>
                <w:color w:val="auto"/>
              </w:rPr>
            </w:pPr>
            <w:r>
              <w:rPr>
                <w:rFonts w:ascii="Arial" w:cs="Arial" w:eastAsia="Arial" w:hAnsi="Arial"/>
                <w:sz w:val="18"/>
                <w:szCs w:val="18"/>
                <w:color w:val="auto"/>
              </w:rPr>
              <w:t>Diversified equity securities</w:t>
            </w:r>
          </w:p>
        </w:tc>
        <w:tc>
          <w:tcPr>
            <w:tcW w:w="180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750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Diversified debt securities</w:t>
            </w:r>
          </w:p>
        </w:tc>
        <w:tc>
          <w:tcPr>
            <w:tcW w:w="1800" w:type="dxa"/>
            <w:vAlign w:val="bottom"/>
            <w:tcBorders>
              <w:bottom w:val="single" w:sz="8" w:color="auto"/>
            </w:tcBorders>
            <w:shd w:val="clear" w:color="auto" w:fill="CFF0FC"/>
          </w:tcPr>
          <w:p>
            <w:pPr>
              <w:jc w:val="right"/>
              <w:ind w:right="76"/>
              <w:spacing w:after="0" w:line="202" w:lineRule="exact"/>
              <w:rPr>
                <w:sz w:val="20"/>
                <w:szCs w:val="20"/>
                <w:color w:val="auto"/>
              </w:rPr>
            </w:pPr>
            <w:r>
              <w:rPr>
                <w:rFonts w:ascii="Arial" w:cs="Arial" w:eastAsia="Arial" w:hAnsi="Arial"/>
                <w:sz w:val="18"/>
                <w:szCs w:val="18"/>
                <w:color w:val="auto"/>
              </w:rPr>
              <w:t>82</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74"/>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750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740" w:firstLine="494"/>
        <w:spacing w:after="0" w:line="271" w:lineRule="auto"/>
        <w:rPr>
          <w:sz w:val="20"/>
          <w:szCs w:val="20"/>
          <w:color w:val="auto"/>
        </w:rPr>
      </w:pPr>
      <w:r>
        <w:rPr>
          <w:rFonts w:ascii="Arial" w:cs="Arial" w:eastAsia="Arial" w:hAnsi="Arial"/>
          <w:sz w:val="18"/>
          <w:szCs w:val="18"/>
          <w:color w:val="auto"/>
        </w:rPr>
        <w:t>Throughout 2025, the Company’s investment committee has continued to evaluate the investments and take steps toward the established targets.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Contributions and Benefit Payments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about expected cash flows for the Company’s pension and post-retirement benefit plans is as follows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auto"/>
              </w:rPr>
              <w:t>Pension</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274"/>
              <w:spacing w:after="0"/>
              <w:rPr>
                <w:sz w:val="20"/>
                <w:szCs w:val="20"/>
                <w:color w:val="auto"/>
              </w:rPr>
            </w:pPr>
            <w:r>
              <w:rPr>
                <w:rFonts w:ascii="Arial" w:cs="Arial" w:eastAsia="Arial" w:hAnsi="Arial"/>
                <w:sz w:val="14"/>
                <w:szCs w:val="14"/>
                <w:b w:val="1"/>
                <w:bCs w:val="1"/>
                <w:color w:val="auto"/>
              </w:rPr>
              <w:t>Post-retirement</w:t>
            </w:r>
          </w:p>
        </w:tc>
      </w:tr>
      <w:tr>
        <w:trPr>
          <w:trHeight w:val="171"/>
        </w:trPr>
        <w:tc>
          <w:tcPr>
            <w:tcW w:w="39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Plans</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Benefits</w:t>
            </w:r>
          </w:p>
        </w:tc>
      </w:tr>
      <w:tr>
        <w:trPr>
          <w:trHeight w:val="196"/>
        </w:trPr>
        <w:tc>
          <w:tcPr>
            <w:tcW w:w="3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Employer Contributions:</w:t>
            </w:r>
          </w:p>
        </w:tc>
        <w:tc>
          <w:tcPr>
            <w:tcW w:w="37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3940" w:type="dxa"/>
            <w:vAlign w:val="bottom"/>
          </w:tcPr>
          <w:p>
            <w:pPr>
              <w:ind w:left="100"/>
              <w:spacing w:after="0" w:line="202" w:lineRule="exact"/>
              <w:rPr>
                <w:sz w:val="20"/>
                <w:szCs w:val="20"/>
                <w:color w:val="auto"/>
              </w:rPr>
            </w:pPr>
            <w:r>
              <w:rPr>
                <w:rFonts w:ascii="Arial" w:cs="Arial" w:eastAsia="Arial" w:hAnsi="Arial"/>
                <w:sz w:val="18"/>
                <w:szCs w:val="18"/>
                <w:color w:val="auto"/>
              </w:rPr>
              <w:t>2026 expected contributions</w:t>
            </w:r>
          </w:p>
        </w:tc>
        <w:tc>
          <w:tcPr>
            <w:tcW w:w="5000" w:type="dxa"/>
            <w:vAlign w:val="bottom"/>
            <w:gridSpan w:val="2"/>
          </w:tcPr>
          <w:p>
            <w:pPr>
              <w:jc w:val="right"/>
              <w:ind w:right="104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   $</w:t>
            </w:r>
          </w:p>
        </w:tc>
        <w:tc>
          <w:tcPr>
            <w:tcW w:w="15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w:t>
            </w:r>
          </w:p>
        </w:tc>
      </w:tr>
      <w:tr>
        <w:trPr>
          <w:trHeight w:val="203"/>
        </w:trPr>
        <w:tc>
          <w:tcPr>
            <w:tcW w:w="3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Benefit Payments:</w:t>
            </w:r>
          </w:p>
        </w:tc>
        <w:tc>
          <w:tcPr>
            <w:tcW w:w="37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3940" w:type="dxa"/>
            <w:vAlign w:val="bottom"/>
          </w:tcPr>
          <w:p>
            <w:pPr>
              <w:ind w:left="100"/>
              <w:spacing w:after="0" w:line="202" w:lineRule="exact"/>
              <w:rPr>
                <w:sz w:val="20"/>
                <w:szCs w:val="20"/>
                <w:color w:val="auto"/>
              </w:rPr>
            </w:pPr>
            <w:r>
              <w:rPr>
                <w:rFonts w:ascii="Arial" w:cs="Arial" w:eastAsia="Arial" w:hAnsi="Arial"/>
                <w:sz w:val="18"/>
                <w:szCs w:val="18"/>
                <w:color w:val="auto"/>
              </w:rPr>
              <w:t>2026</w:t>
            </w:r>
          </w:p>
        </w:tc>
        <w:tc>
          <w:tcPr>
            <w:tcW w:w="3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ind w:left="140"/>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w:t>
            </w:r>
          </w:p>
        </w:tc>
      </w:tr>
      <w:tr>
        <w:trPr>
          <w:trHeight w:val="203"/>
        </w:trPr>
        <w:tc>
          <w:tcPr>
            <w:tcW w:w="39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2027</w:t>
            </w:r>
          </w:p>
        </w:tc>
        <w:tc>
          <w:tcPr>
            <w:tcW w:w="37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5</w:t>
            </w:r>
          </w:p>
        </w:tc>
      </w:tr>
      <w:tr>
        <w:trPr>
          <w:trHeight w:val="203"/>
        </w:trPr>
        <w:tc>
          <w:tcPr>
            <w:tcW w:w="3940" w:type="dxa"/>
            <w:vAlign w:val="bottom"/>
          </w:tcPr>
          <w:p>
            <w:pPr>
              <w:ind w:left="100"/>
              <w:spacing w:after="0" w:line="202" w:lineRule="exact"/>
              <w:rPr>
                <w:sz w:val="20"/>
                <w:szCs w:val="20"/>
                <w:color w:val="auto"/>
              </w:rPr>
            </w:pPr>
            <w:r>
              <w:rPr>
                <w:rFonts w:ascii="Arial" w:cs="Arial" w:eastAsia="Arial" w:hAnsi="Arial"/>
                <w:sz w:val="18"/>
                <w:szCs w:val="18"/>
                <w:color w:val="auto"/>
              </w:rPr>
              <w:t>2028</w:t>
            </w:r>
          </w:p>
        </w:tc>
        <w:tc>
          <w:tcPr>
            <w:tcW w:w="3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ind w:left="140"/>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w:t>
            </w:r>
          </w:p>
        </w:tc>
      </w:tr>
      <w:tr>
        <w:trPr>
          <w:trHeight w:val="203"/>
        </w:trPr>
        <w:tc>
          <w:tcPr>
            <w:tcW w:w="39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2029</w:t>
            </w:r>
          </w:p>
        </w:tc>
        <w:tc>
          <w:tcPr>
            <w:tcW w:w="37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5</w:t>
            </w:r>
          </w:p>
        </w:tc>
      </w:tr>
      <w:tr>
        <w:trPr>
          <w:trHeight w:val="203"/>
        </w:trPr>
        <w:tc>
          <w:tcPr>
            <w:tcW w:w="3940" w:type="dxa"/>
            <w:vAlign w:val="bottom"/>
          </w:tcPr>
          <w:p>
            <w:pPr>
              <w:ind w:left="100"/>
              <w:spacing w:after="0" w:line="202" w:lineRule="exact"/>
              <w:rPr>
                <w:sz w:val="20"/>
                <w:szCs w:val="20"/>
                <w:color w:val="auto"/>
              </w:rPr>
            </w:pPr>
            <w:r>
              <w:rPr>
                <w:rFonts w:ascii="Arial" w:cs="Arial" w:eastAsia="Arial" w:hAnsi="Arial"/>
                <w:sz w:val="18"/>
                <w:szCs w:val="18"/>
                <w:color w:val="auto"/>
              </w:rPr>
              <w:t>2030</w:t>
            </w:r>
          </w:p>
        </w:tc>
        <w:tc>
          <w:tcPr>
            <w:tcW w:w="3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ind w:left="140"/>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w:t>
            </w:r>
          </w:p>
        </w:tc>
      </w:tr>
      <w:tr>
        <w:trPr>
          <w:trHeight w:val="203"/>
        </w:trPr>
        <w:tc>
          <w:tcPr>
            <w:tcW w:w="39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2031-2035</w:t>
            </w:r>
          </w:p>
        </w:tc>
        <w:tc>
          <w:tcPr>
            <w:tcW w:w="37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26</w:t>
            </w:r>
          </w:p>
        </w:tc>
      </w:tr>
      <w:tr>
        <w:trPr>
          <w:trHeight w:val="652"/>
        </w:trPr>
        <w:tc>
          <w:tcPr>
            <w:tcW w:w="3940" w:type="dxa"/>
            <w:vAlign w:val="bottom"/>
          </w:tcPr>
          <w:p>
            <w:pPr>
              <w:spacing w:after="0"/>
              <w:rPr>
                <w:sz w:val="24"/>
                <w:szCs w:val="24"/>
                <w:color w:val="auto"/>
              </w:rPr>
            </w:pPr>
          </w:p>
        </w:tc>
        <w:tc>
          <w:tcPr>
            <w:tcW w:w="3780" w:type="dxa"/>
            <w:vAlign w:val="bottom"/>
          </w:tcPr>
          <w:p>
            <w:pPr>
              <w:jc w:val="right"/>
              <w:ind w:right="1910"/>
              <w:spacing w:after="0"/>
              <w:rPr>
                <w:sz w:val="20"/>
                <w:szCs w:val="20"/>
                <w:color w:val="auto"/>
              </w:rPr>
            </w:pPr>
            <w:r>
              <w:rPr>
                <w:rFonts w:ascii="Arial" w:cs="Arial" w:eastAsia="Arial" w:hAnsi="Arial"/>
                <w:sz w:val="18"/>
                <w:szCs w:val="18"/>
                <w:color w:val="auto"/>
              </w:rPr>
              <w:t>88</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45"/>
        </w:trPr>
        <w:tc>
          <w:tcPr>
            <w:tcW w:w="39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156" w:lineRule="exact"/>
        <w:rPr>
          <w:sz w:val="20"/>
          <w:szCs w:val="20"/>
          <w:color w:val="auto"/>
        </w:rPr>
      </w:pPr>
    </w:p>
    <w:p>
      <w:pPr>
        <w:ind w:right="140" w:firstLine="494"/>
        <w:spacing w:after="0" w:line="239" w:lineRule="auto"/>
        <w:rPr>
          <w:sz w:val="20"/>
          <w:szCs w:val="20"/>
          <w:color w:val="auto"/>
        </w:rPr>
      </w:pPr>
      <w:r>
        <w:rPr>
          <w:rFonts w:ascii="Arial" w:cs="Arial" w:eastAsia="Arial" w:hAnsi="Arial"/>
          <w:sz w:val="18"/>
          <w:szCs w:val="18"/>
          <w:color w:val="auto"/>
        </w:rPr>
        <w:t>The Company maintains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$1 million of expense recorded to the Consolidated Statements of Comprehensive Income for each of the years ended December 31, 2025, 2024 and 2023. The fair value of the rabbi trust plan assets and deferred compensation obligation was $24 million and $20 million as of December 31, 2025 and 2024,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before income taxes included the following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4"/>
                <w:szCs w:val="14"/>
                <w:color w:val="auto"/>
              </w:rPr>
            </w:pPr>
          </w:p>
        </w:tc>
      </w:tr>
      <w:tr>
        <w:trPr>
          <w:trHeight w:val="156"/>
        </w:trPr>
        <w:tc>
          <w:tcPr>
            <w:tcW w:w="45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4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33"/>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income</w:t>
            </w:r>
          </w:p>
        </w:tc>
        <w:tc>
          <w:tcPr>
            <w:tcW w:w="3080" w:type="dxa"/>
            <w:vAlign w:val="bottom"/>
            <w:gridSpan w:val="2"/>
            <w:shd w:val="clear" w:color="auto" w:fill="CFF0FC"/>
          </w:tcPr>
          <w:p>
            <w:pPr>
              <w:jc w:val="right"/>
              <w:ind w:right="742"/>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756</w:t>
            </w:r>
          </w:p>
        </w:tc>
        <w:tc>
          <w:tcPr>
            <w:tcW w:w="540" w:type="dxa"/>
            <w:vAlign w:val="bottom"/>
            <w:gridSpan w:val="3"/>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878</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776</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Foreign income</w:t>
            </w:r>
          </w:p>
        </w:tc>
        <w:tc>
          <w:tcPr>
            <w:tcW w:w="21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51</w:t>
            </w:r>
          </w:p>
        </w:tc>
      </w:tr>
      <w:tr>
        <w:trPr>
          <w:trHeight w:val="216"/>
        </w:trPr>
        <w:tc>
          <w:tcPr>
            <w:tcW w:w="45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2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42"/>
              <w:spacing w:after="0" w:line="196" w:lineRule="exact"/>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804</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897</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827</w:t>
            </w: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r>
        <w:trPr>
          <w:trHeight w:val="390"/>
        </w:trPr>
        <w:tc>
          <w:tcPr>
            <w:tcW w:w="7580" w:type="dxa"/>
            <w:vAlign w:val="bottom"/>
            <w:gridSpan w:val="3"/>
          </w:tcPr>
          <w:p>
            <w:pPr>
              <w:ind w:left="500"/>
              <w:spacing w:after="0"/>
              <w:rPr>
                <w:sz w:val="20"/>
                <w:szCs w:val="20"/>
                <w:color w:val="auto"/>
              </w:rPr>
            </w:pPr>
            <w:r>
              <w:rPr>
                <w:rFonts w:ascii="Arial" w:cs="Arial" w:eastAsia="Arial" w:hAnsi="Arial"/>
                <w:sz w:val="18"/>
                <w:szCs w:val="18"/>
                <w:color w:val="auto"/>
              </w:rPr>
              <w:t>The provision for income tax expense was estimated as follows (dollars in millions):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3"/>
        </w:trPr>
        <w:tc>
          <w:tcPr>
            <w:tcW w:w="45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r>
      <w:tr>
        <w:trPr>
          <w:trHeight w:val="155"/>
        </w:trPr>
        <w:tc>
          <w:tcPr>
            <w:tcW w:w="45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4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33"/>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income taxes:</w:t>
            </w:r>
          </w:p>
        </w:tc>
        <w:tc>
          <w:tcPr>
            <w:tcW w:w="2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U.S. federal</w:t>
            </w:r>
          </w:p>
        </w:tc>
        <w:tc>
          <w:tcPr>
            <w:tcW w:w="3080" w:type="dxa"/>
            <w:vAlign w:val="bottom"/>
            <w:gridSpan w:val="2"/>
          </w:tcPr>
          <w:p>
            <w:pPr>
              <w:jc w:val="right"/>
              <w:ind w:right="742"/>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92</w:t>
            </w:r>
          </w:p>
        </w:tc>
        <w:tc>
          <w:tcPr>
            <w:tcW w:w="5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161</w:t>
            </w:r>
          </w:p>
        </w:tc>
        <w:tc>
          <w:tcPr>
            <w:tcW w:w="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144</w:t>
            </w:r>
          </w:p>
        </w:tc>
      </w:tr>
      <w:tr>
        <w:trPr>
          <w:trHeight w:val="203"/>
        </w:trPr>
        <w:tc>
          <w:tcPr>
            <w:tcW w:w="45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state and local</w:t>
            </w:r>
          </w:p>
        </w:tc>
        <w:tc>
          <w:tcPr>
            <w:tcW w:w="2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16</w:t>
            </w:r>
          </w:p>
        </w:tc>
      </w:tr>
      <w:tr>
        <w:trPr>
          <w:trHeight w:val="202"/>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21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11</w:t>
            </w:r>
          </w:p>
        </w:tc>
      </w:tr>
      <w:tr>
        <w:trPr>
          <w:trHeight w:val="196"/>
        </w:trPr>
        <w:tc>
          <w:tcPr>
            <w:tcW w:w="450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rPr>
              <w:t>Total Current</w:t>
            </w:r>
          </w:p>
        </w:tc>
        <w:tc>
          <w:tcPr>
            <w:tcW w:w="2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183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171</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Deferred income tax expense (benefit), net:</w:t>
            </w:r>
          </w:p>
        </w:tc>
        <w:tc>
          <w:tcPr>
            <w:tcW w:w="2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federal</w:t>
            </w:r>
          </w:p>
        </w:tc>
        <w:tc>
          <w:tcPr>
            <w:tcW w:w="2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U.S. state and local</w:t>
            </w:r>
          </w:p>
        </w:tc>
        <w:tc>
          <w:tcPr>
            <w:tcW w:w="2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w:t>
            </w:r>
          </w:p>
        </w:tc>
      </w:tr>
      <w:tr>
        <w:trPr>
          <w:trHeight w:val="203"/>
        </w:trPr>
        <w:tc>
          <w:tcPr>
            <w:tcW w:w="45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w:t>
            </w:r>
          </w:p>
        </w:tc>
        <w:tc>
          <w:tcPr>
            <w:tcW w:w="2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r>
      <w:tr>
        <w:trPr>
          <w:trHeight w:val="196"/>
        </w:trPr>
        <w:tc>
          <w:tcPr>
            <w:tcW w:w="4500" w:type="dxa"/>
            <w:vAlign w:val="bottom"/>
          </w:tcPr>
          <w:p>
            <w:pPr>
              <w:ind w:left="340"/>
              <w:spacing w:after="0" w:line="196" w:lineRule="exact"/>
              <w:rPr>
                <w:sz w:val="20"/>
                <w:szCs w:val="20"/>
                <w:color w:val="auto"/>
              </w:rPr>
            </w:pPr>
            <w:r>
              <w:rPr>
                <w:rFonts w:ascii="Arial" w:cs="Arial" w:eastAsia="Arial" w:hAnsi="Arial"/>
                <w:sz w:val="18"/>
                <w:szCs w:val="18"/>
                <w:color w:val="auto"/>
              </w:rPr>
              <w:t>Total Deferred</w:t>
            </w:r>
          </w:p>
        </w:tc>
        <w:tc>
          <w:tcPr>
            <w:tcW w:w="21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36"/>
        </w:trPr>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income tax expense</w:t>
            </w:r>
          </w:p>
        </w:tc>
        <w:tc>
          <w:tcPr>
            <w:tcW w:w="3080" w:type="dxa"/>
            <w:vAlign w:val="bottom"/>
            <w:gridSpan w:val="2"/>
            <w:shd w:val="clear" w:color="auto" w:fill="CFF0FC"/>
          </w:tcPr>
          <w:p>
            <w:pPr>
              <w:jc w:val="right"/>
              <w:ind w:right="742"/>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181</w:t>
            </w:r>
          </w:p>
        </w:tc>
        <w:tc>
          <w:tcPr>
            <w:tcW w:w="540" w:type="dxa"/>
            <w:vAlign w:val="bottom"/>
            <w:gridSpan w:val="3"/>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166</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154</w:t>
            </w:r>
          </w:p>
        </w:tc>
      </w:tr>
      <w:tr>
        <w:trPr>
          <w:trHeight w:val="633"/>
        </w:trPr>
        <w:tc>
          <w:tcPr>
            <w:tcW w:w="4500" w:type="dxa"/>
            <w:vAlign w:val="bottom"/>
            <w:tcBorders>
              <w:top w:val="single" w:sz="8" w:color="CFF0FC"/>
            </w:tcBorders>
          </w:tcPr>
          <w:p>
            <w:pPr>
              <w:spacing w:after="0"/>
              <w:rPr>
                <w:sz w:val="24"/>
                <w:szCs w:val="24"/>
                <w:color w:val="auto"/>
              </w:rPr>
            </w:pPr>
          </w:p>
        </w:tc>
        <w:tc>
          <w:tcPr>
            <w:tcW w:w="2140" w:type="dxa"/>
            <w:vAlign w:val="bottom"/>
            <w:tcBorders>
              <w:top w:val="single" w:sz="8" w:color="CFF0FC"/>
            </w:tcBorders>
          </w:tcPr>
          <w:p>
            <w:pPr>
              <w:jc w:val="right"/>
              <w:ind w:right="830"/>
              <w:spacing w:after="0"/>
              <w:rPr>
                <w:sz w:val="20"/>
                <w:szCs w:val="20"/>
                <w:color w:val="auto"/>
              </w:rPr>
            </w:pPr>
            <w:r>
              <w:rPr>
                <w:rFonts w:ascii="Arial" w:cs="Arial" w:eastAsia="Arial" w:hAnsi="Arial"/>
                <w:sz w:val="18"/>
                <w:szCs w:val="18"/>
                <w:color w:val="auto"/>
              </w:rPr>
              <w:t>89</w:t>
            </w:r>
          </w:p>
        </w:tc>
        <w:tc>
          <w:tcPr>
            <w:tcW w:w="9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745"/>
        </w:trPr>
        <w:tc>
          <w:tcPr>
            <w:tcW w:w="45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-2982595</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-2965450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-2982595</wp:posOffset>
            </wp:positionV>
            <wp:extent cx="85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-2965450</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-1199515</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-1199515</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-925195</wp:posOffset>
            </wp:positionV>
            <wp:extent cx="857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-908050</wp:posOffset>
            </wp:positionV>
            <wp:extent cx="857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-925195</wp:posOffset>
            </wp:positionV>
            <wp:extent cx="857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-908050</wp:posOffset>
            </wp:positionV>
            <wp:extent cx="857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700" w:firstLine="494"/>
        <w:spacing w:after="0" w:line="271" w:lineRule="auto"/>
        <w:rPr>
          <w:sz w:val="20"/>
          <w:szCs w:val="20"/>
          <w:color w:val="auto"/>
        </w:rPr>
      </w:pPr>
      <w:r>
        <w:rPr>
          <w:rFonts w:ascii="Arial" w:cs="Arial" w:eastAsia="Arial" w:hAnsi="Arial"/>
          <w:sz w:val="18"/>
          <w:szCs w:val="18"/>
          <w:color w:val="auto"/>
        </w:rPr>
        <w:t>The following table reconciles income tax at the U.S. statutory rate to the reported consolidated income tax expense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32"/>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52"/>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752"/>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9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Percentage</w:t>
            </w: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Tax at U.S. statutory income tax rate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169</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b w:val="1"/>
                <w:bCs w:val="1"/>
                <w:color w:val="auto"/>
              </w:rPr>
              <w:t>21%</w:t>
            </w:r>
          </w:p>
        </w:tc>
        <w:tc>
          <w:tcPr>
            <w:tcW w:w="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189</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440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Domestic U.S. federal reconciling items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Effect of cross-border tax laws</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line="202" w:lineRule="exact"/>
              <w:rPr>
                <w:sz w:val="20"/>
                <w:szCs w:val="20"/>
                <w:color w:val="auto"/>
              </w:rPr>
            </w:pPr>
            <w:r>
              <w:rPr>
                <w:rFonts w:ascii="Arial" w:cs="Arial" w:eastAsia="Arial" w:hAnsi="Arial"/>
                <w:sz w:val="18"/>
                <w:szCs w:val="18"/>
                <w:color w:val="auto"/>
              </w:rPr>
              <w:t>Foreign derived intangible income deduction</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(13)</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w:t>
            </w: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400" w:type="dxa"/>
            <w:vAlign w:val="bottom"/>
          </w:tcPr>
          <w:p>
            <w:pPr>
              <w:ind w:left="120"/>
              <w:spacing w:after="0" w:line="202" w:lineRule="exact"/>
              <w:rPr>
                <w:sz w:val="20"/>
                <w:szCs w:val="20"/>
                <w:color w:val="auto"/>
              </w:rPr>
            </w:pPr>
            <w:r>
              <w:rPr>
                <w:rFonts w:ascii="Arial" w:cs="Arial" w:eastAsia="Arial" w:hAnsi="Arial"/>
                <w:sz w:val="18"/>
                <w:szCs w:val="18"/>
                <w:color w:val="auto"/>
              </w:rPr>
              <w:t>Tax credits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 tax credits</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b w:val="1"/>
                <w:bCs w:val="1"/>
                <w:color w:val="auto"/>
              </w:rPr>
              <w:t>(3)</w:t>
            </w: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400" w:type="dxa"/>
            <w:vAlign w:val="bottom"/>
          </w:tcPr>
          <w:p>
            <w:pPr>
              <w:ind w:left="120"/>
              <w:spacing w:after="0" w:line="202" w:lineRule="exact"/>
              <w:rPr>
                <w:sz w:val="20"/>
                <w:szCs w:val="20"/>
                <w:color w:val="auto"/>
              </w:rPr>
            </w:pPr>
            <w:r>
              <w:rPr>
                <w:rFonts w:ascii="Arial" w:cs="Arial" w:eastAsia="Arial" w:hAnsi="Arial"/>
                <w:sz w:val="18"/>
                <w:szCs w:val="18"/>
                <w:color w:val="auto"/>
              </w:rPr>
              <w:t>Nontaxable and nondeductible items</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Changes in valuation allowances</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11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400" w:type="dxa"/>
            <w:vAlign w:val="bottom"/>
          </w:tcPr>
          <w:p>
            <w:pPr>
              <w:ind w:left="60"/>
              <w:spacing w:after="0" w:line="163" w:lineRule="exact"/>
              <w:rPr>
                <w:sz w:val="20"/>
                <w:szCs w:val="20"/>
                <w:color w:val="auto"/>
              </w:rPr>
            </w:pPr>
            <w:r>
              <w:rPr>
                <w:rFonts w:ascii="Arial" w:cs="Arial" w:eastAsia="Arial" w:hAnsi="Arial"/>
                <w:sz w:val="18"/>
                <w:szCs w:val="18"/>
                <w:b w:val="1"/>
                <w:bCs w:val="1"/>
                <w:color w:val="auto"/>
              </w:rPr>
              <w:t>U.S. state and local taxes, net of federal income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60"/>
              <w:spacing w:after="0" w:line="242" w:lineRule="exact"/>
              <w:rPr>
                <w:sz w:val="20"/>
                <w:szCs w:val="20"/>
                <w:color w:val="auto"/>
              </w:rPr>
            </w:pPr>
            <w:r>
              <w:rPr>
                <w:rFonts w:ascii="Arial" w:cs="Arial" w:eastAsia="Arial" w:hAnsi="Arial"/>
                <w:sz w:val="18"/>
                <w:szCs w:val="18"/>
                <w:b w:val="1"/>
                <w:bCs w:val="1"/>
                <w:color w:val="auto"/>
              </w:rPr>
              <w:t>tax effect</w:t>
            </w:r>
            <w:r>
              <w:rPr>
                <w:rFonts w:ascii="Arial" w:cs="Arial" w:eastAsia="Arial" w:hAnsi="Arial"/>
                <w:sz w:val="24"/>
                <w:szCs w:val="24"/>
                <w:b w:val="1"/>
                <w:bCs w:val="1"/>
                <w:color w:val="auto"/>
                <w:vertAlign w:val="superscript"/>
              </w:rPr>
              <w:t>1</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b w:val="1"/>
                <w:bCs w:val="1"/>
                <w:color w:val="auto"/>
              </w:rPr>
              <w:t>Foreign tax effects</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Total income tax expense</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181</w:t>
            </w:r>
          </w:p>
        </w:tc>
        <w:tc>
          <w:tcPr>
            <w:tcW w:w="220" w:type="dxa"/>
            <w:vAlign w:val="bottom"/>
          </w:tcPr>
          <w:p>
            <w:pPr>
              <w:spacing w:after="0"/>
              <w:rPr>
                <w:sz w:val="17"/>
                <w:szCs w:val="17"/>
                <w:color w:val="auto"/>
              </w:rPr>
            </w:pPr>
          </w:p>
        </w:tc>
        <w:tc>
          <w:tcPr>
            <w:tcW w:w="12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23%</w:t>
            </w:r>
          </w:p>
        </w:tc>
        <w:tc>
          <w:tcPr>
            <w:tcW w:w="6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c>
          <w:tcPr>
            <w:tcW w:w="220" w:type="dxa"/>
            <w:vAlign w:val="bottom"/>
          </w:tcPr>
          <w:p>
            <w:pPr>
              <w:spacing w:after="0"/>
              <w:rPr>
                <w:sz w:val="17"/>
                <w:szCs w:val="17"/>
                <w:color w:val="auto"/>
              </w:rPr>
            </w:pP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19%</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220" w:type="dxa"/>
            <w:vAlign w:val="bottom"/>
          </w:tcPr>
          <w:p>
            <w:pPr>
              <w:spacing w:after="0"/>
              <w:rPr>
                <w:sz w:val="17"/>
                <w:szCs w:val="17"/>
                <w:color w:val="auto"/>
              </w:rPr>
            </w:pPr>
          </w:p>
        </w:tc>
        <w:tc>
          <w:tcPr>
            <w:tcW w:w="11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00" w:right="300" w:hanging="371"/>
        <w:spacing w:after="0" w:line="216" w:lineRule="auto"/>
        <w:tabs>
          <w:tab w:leader="none" w:pos="50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State taxes in California, North Carolina, Pennsylvania and Wisconsin made up the majority (greater than 50 percent) of the tax effect in this category for each of the years ended December 31, 2025, 2024 and 2023.</w:t>
      </w:r>
    </w:p>
    <w:p>
      <w:pPr>
        <w:spacing w:after="0" w:line="153"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The effective tax rate for the years ended December 31, 2025 and 2024 was 23% and 19%, respectively. The increase in the effective tax rate for the year ended December 31, 2025 was principally driven by elections made under the One Big Beautiful Bill Act ("OBBBA").</w:t>
      </w:r>
    </w:p>
    <w:p>
      <w:pPr>
        <w:spacing w:after="0" w:line="46"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On July 4, 2025, the OBBBA was enacted into law. The OBBBA made a number of changes to U.S. federal income tax law that impacted the Company, including: allowing immediate deduction of the full cost of qualified capital investments, suspending the requirement to capitalize and amortize domestic research and development expenditures, and modifying the applicable rules for global intangible low-taxed income and foreign derived intangible income. The OBBBA impact resulted in an estimated $55 million of one-time cash tax savings during the year ending December 31, 2025.</w:t>
      </w:r>
    </w:p>
    <w:p>
      <w:pPr>
        <w:spacing w:after="0" w:line="68" w:lineRule="exact"/>
        <w:rPr>
          <w:sz w:val="20"/>
          <w:szCs w:val="20"/>
          <w:color w:val="auto"/>
        </w:rPr>
      </w:pPr>
    </w:p>
    <w:p>
      <w:pPr>
        <w:ind w:right="140" w:firstLine="494"/>
        <w:spacing w:after="0" w:line="244" w:lineRule="auto"/>
        <w:rPr>
          <w:sz w:val="20"/>
          <w:szCs w:val="20"/>
          <w:color w:val="auto"/>
        </w:rPr>
      </w:pPr>
      <w:r>
        <w:rPr>
          <w:rFonts w:ascii="Arial" w:cs="Arial" w:eastAsia="Arial" w:hAnsi="Arial"/>
          <w:sz w:val="18"/>
          <w:szCs w:val="18"/>
          <w:color w:val="auto"/>
        </w:rPr>
        <w:t>Deferred income tax assets and liabilities as of December 31, 2025 and 2024 reflect the effect of temporary differences between amounts of assets, liabilities and equity for financial reporting purposes and the bases of such assets, liabilities and equity as measured by tax laws, as well as tax loss and tax credit carry forwards. Net deferred tax assets and liabilities are classified as non-current in the Consolidated Balance Sheets. As described above, the deferred tax assets and liabilities are measured based on the enacted tax rates that will apply in the years in which the temporary differences are expected to be recovered or paid.</w:t>
      </w:r>
    </w:p>
    <w:p>
      <w:pPr>
        <w:spacing w:after="0" w:line="122"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The Company has not recognized any deferred tax liabilities associated with earnings in foreign subsidiaries, except for its subsidiary located in China, as they are intended to be permanently reinvested and used to support foreign operations or have no associated tax requirements. As of December 31, 2025, the Company has recorded a deferred tax liability of $3 million for the tax liability associated with the remittance of previously taxed income and unremitted earnings for its subsidiary located in China.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Temporary differences and carryforwards that gave rise to deferred tax assets and liabilities included the following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ind w:right="492"/>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20" w:type="dxa"/>
            <w:vAlign w:val="bottom"/>
          </w:tcPr>
          <w:p>
            <w:pPr>
              <w:spacing w:after="0"/>
              <w:rPr>
                <w:sz w:val="14"/>
                <w:szCs w:val="14"/>
                <w:color w:val="auto"/>
              </w:rPr>
            </w:pPr>
          </w:p>
        </w:tc>
        <w:tc>
          <w:tcPr>
            <w:tcW w:w="14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2024</w:t>
            </w:r>
          </w:p>
        </w:tc>
      </w:tr>
      <w:tr>
        <w:trPr>
          <w:trHeight w:val="196"/>
        </w:trPr>
        <w:tc>
          <w:tcPr>
            <w:tcW w:w="7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1440" w:type="dxa"/>
            <w:vAlign w:val="bottom"/>
          </w:tcPr>
          <w:p>
            <w:pPr>
              <w:jc w:val="right"/>
              <w:ind w:right="1259"/>
              <w:spacing w:after="0" w:line="202" w:lineRule="exact"/>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30</w:t>
            </w:r>
          </w:p>
        </w:tc>
        <w:tc>
          <w:tcPr>
            <w:tcW w:w="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w:t>
            </w:r>
          </w:p>
        </w:tc>
      </w:tr>
      <w:tr>
        <w:trPr>
          <w:trHeight w:val="203"/>
        </w:trPr>
        <w:tc>
          <w:tcPr>
            <w:tcW w:w="7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accrued liabilities</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25</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34</w:t>
            </w: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Warranty accrual</w:t>
            </w:r>
          </w:p>
        </w:tc>
        <w:tc>
          <w:tcPr>
            <w:tcW w:w="1440" w:type="dxa"/>
            <w:vAlign w:val="bottom"/>
          </w:tcPr>
          <w:p>
            <w:pPr>
              <w:spacing w:after="0"/>
              <w:rPr>
                <w:sz w:val="17"/>
                <w:szCs w:val="17"/>
                <w:color w:val="auto"/>
              </w:rPr>
            </w:pPr>
          </w:p>
        </w:tc>
        <w:tc>
          <w:tcPr>
            <w:tcW w:w="5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w:t>
            </w:r>
          </w:p>
        </w:tc>
      </w:tr>
      <w:tr>
        <w:trPr>
          <w:trHeight w:val="203"/>
        </w:trPr>
        <w:tc>
          <w:tcPr>
            <w:tcW w:w="7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w:t>
            </w: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Tax credits</w:t>
            </w:r>
          </w:p>
        </w:tc>
        <w:tc>
          <w:tcPr>
            <w:tcW w:w="1440" w:type="dxa"/>
            <w:vAlign w:val="bottom"/>
          </w:tcPr>
          <w:p>
            <w:pPr>
              <w:spacing w:after="0"/>
              <w:rPr>
                <w:sz w:val="17"/>
                <w:szCs w:val="17"/>
                <w:color w:val="auto"/>
              </w:rPr>
            </w:pPr>
          </w:p>
        </w:tc>
        <w:tc>
          <w:tcPr>
            <w:tcW w:w="5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w:t>
            </w:r>
          </w:p>
        </w:tc>
      </w:tr>
      <w:tr>
        <w:trPr>
          <w:trHeight w:val="203"/>
        </w:trPr>
        <w:tc>
          <w:tcPr>
            <w:tcW w:w="7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Inventories</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w:t>
            </w: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Sales incentives</w:t>
            </w:r>
          </w:p>
        </w:tc>
        <w:tc>
          <w:tcPr>
            <w:tcW w:w="1440" w:type="dxa"/>
            <w:vAlign w:val="bottom"/>
          </w:tcPr>
          <w:p>
            <w:pPr>
              <w:spacing w:after="0"/>
              <w:rPr>
                <w:sz w:val="17"/>
                <w:szCs w:val="17"/>
                <w:color w:val="auto"/>
              </w:rPr>
            </w:pPr>
          </w:p>
        </w:tc>
        <w:tc>
          <w:tcPr>
            <w:tcW w:w="5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w:t>
            </w:r>
          </w:p>
        </w:tc>
      </w:tr>
      <w:tr>
        <w:trPr>
          <w:trHeight w:val="203"/>
        </w:trPr>
        <w:tc>
          <w:tcPr>
            <w:tcW w:w="7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Transaction costs</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Intangibles</w:t>
            </w:r>
          </w:p>
        </w:tc>
        <w:tc>
          <w:tcPr>
            <w:tcW w:w="1440" w:type="dxa"/>
            <w:vAlign w:val="bottom"/>
          </w:tcPr>
          <w:p>
            <w:pPr>
              <w:spacing w:after="0"/>
              <w:rPr>
                <w:sz w:val="17"/>
                <w:szCs w:val="17"/>
                <w:color w:val="auto"/>
              </w:rPr>
            </w:pPr>
          </w:p>
        </w:tc>
        <w:tc>
          <w:tcPr>
            <w:tcW w:w="5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7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Capitalized research</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55</w:t>
            </w: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18</w:t>
            </w:r>
          </w:p>
        </w:tc>
      </w:tr>
      <w:tr>
        <w:trPr>
          <w:trHeight w:val="196"/>
        </w:trPr>
        <w:tc>
          <w:tcPr>
            <w:tcW w:w="7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deferred tax assets</w:t>
            </w:r>
          </w:p>
        </w:tc>
        <w:tc>
          <w:tcPr>
            <w:tcW w:w="14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134</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181</w:t>
            </w:r>
          </w:p>
        </w:tc>
      </w:tr>
      <w:tr>
        <w:trPr>
          <w:trHeight w:val="196"/>
        </w:trPr>
        <w:tc>
          <w:tcPr>
            <w:tcW w:w="7120" w:type="dxa"/>
            <w:vAlign w:val="bottom"/>
          </w:tcPr>
          <w:p>
            <w:pPr>
              <w:spacing w:after="0" w:line="196" w:lineRule="exact"/>
              <w:rPr>
                <w:sz w:val="20"/>
                <w:szCs w:val="20"/>
                <w:color w:val="auto"/>
              </w:rPr>
            </w:pPr>
            <w:r>
              <w:rPr>
                <w:rFonts w:ascii="Arial" w:cs="Arial" w:eastAsia="Arial" w:hAnsi="Arial"/>
                <w:sz w:val="18"/>
                <w:szCs w:val="18"/>
                <w:color w:val="auto"/>
              </w:rPr>
              <w:t>Valuation allowances</w:t>
            </w:r>
          </w:p>
        </w:tc>
        <w:tc>
          <w:tcPr>
            <w:tcW w:w="1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7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liabilities:</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(414)</w:t>
            </w:r>
          </w:p>
        </w:tc>
      </w:tr>
      <w:tr>
        <w:trPr>
          <w:trHeight w:val="203"/>
        </w:trPr>
        <w:tc>
          <w:tcPr>
            <w:tcW w:w="7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Trade name</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(180)</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Property, plant and equipment</w:t>
            </w:r>
          </w:p>
        </w:tc>
        <w:tc>
          <w:tcPr>
            <w:tcW w:w="14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7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Post-retirement</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r>
      <w:tr>
        <w:trPr>
          <w:trHeight w:val="196"/>
        </w:trPr>
        <w:tc>
          <w:tcPr>
            <w:tcW w:w="7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deferred tax liabilities</w:t>
            </w:r>
          </w:p>
        </w:tc>
        <w:tc>
          <w:tcPr>
            <w:tcW w:w="14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(675)</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(663)</w:t>
            </w:r>
          </w:p>
        </w:tc>
      </w:tr>
      <w:tr>
        <w:trPr>
          <w:trHeight w:val="196"/>
        </w:trPr>
        <w:tc>
          <w:tcPr>
            <w:tcW w:w="7120" w:type="dxa"/>
            <w:vAlign w:val="bottom"/>
          </w:tcPr>
          <w:p>
            <w:pPr>
              <w:spacing w:after="0" w:line="196" w:lineRule="exact"/>
              <w:rPr>
                <w:sz w:val="20"/>
                <w:szCs w:val="20"/>
                <w:color w:val="auto"/>
              </w:rPr>
            </w:pPr>
            <w:r>
              <w:rPr>
                <w:rFonts w:ascii="Arial" w:cs="Arial" w:eastAsia="Arial" w:hAnsi="Arial"/>
                <w:sz w:val="18"/>
                <w:szCs w:val="18"/>
                <w:color w:val="auto"/>
              </w:rPr>
              <w:t>Net deferred tax liability</w:t>
            </w:r>
          </w:p>
        </w:tc>
        <w:tc>
          <w:tcPr>
            <w:tcW w:w="1440" w:type="dxa"/>
            <w:vAlign w:val="bottom"/>
          </w:tcPr>
          <w:p>
            <w:pPr>
              <w:jc w:val="right"/>
              <w:ind w:right="1259"/>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(550)</w:t>
            </w:r>
          </w:p>
        </w:tc>
        <w:tc>
          <w:tcPr>
            <w:tcW w:w="4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(491)</w:t>
            </w:r>
          </w:p>
        </w:tc>
      </w:tr>
      <w:tr>
        <w:trPr>
          <w:trHeight w:val="20"/>
        </w:trPr>
        <w:tc>
          <w:tcPr>
            <w:tcW w:w="7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-1216660</wp:posOffset>
            </wp:positionV>
            <wp:extent cx="1111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-162560</wp:posOffset>
            </wp:positionV>
            <wp:extent cx="1111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12" w:lineRule="exact"/>
        <w:rPr>
          <w:sz w:val="20"/>
          <w:szCs w:val="20"/>
          <w:color w:val="auto"/>
        </w:rPr>
      </w:pPr>
    </w:p>
    <w:p>
      <w:pPr>
        <w:jc w:val="both"/>
        <w:ind w:right="60" w:firstLine="494"/>
        <w:spacing w:after="0" w:line="253" w:lineRule="auto"/>
        <w:rPr>
          <w:sz w:val="20"/>
          <w:szCs w:val="20"/>
          <w:color w:val="auto"/>
        </w:rPr>
      </w:pPr>
      <w:r>
        <w:rPr>
          <w:rFonts w:ascii="Arial" w:cs="Arial" w:eastAsia="Arial" w:hAnsi="Arial"/>
          <w:sz w:val="18"/>
          <w:szCs w:val="18"/>
          <w:color w:val="auto"/>
        </w:rPr>
        <w:t>Management has determined, based on an evaluation of available objective and subjective evidence, that it is more likely than not that certain federal and state deferred tax assets will not be realized; therefore, these deferred tax assets are offset with a valuation allowance of $9 million as of both December 31, 2025 and 2024.</w:t>
      </w:r>
    </w:p>
    <w:p>
      <w:pPr>
        <w:spacing w:after="0" w:line="115"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All of the Company's tax returns, once filed, will remain subject to examination by the various taxing authorities for the duration of the applicable statute of limitations (generally three years from the earlier of the date of filing or the due date of the return).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components of AOCL consisted of the following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214"/>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214"/>
              <w:spacing w:after="0"/>
              <w:rPr>
                <w:sz w:val="20"/>
                <w:szCs w:val="20"/>
                <w:color w:val="auto"/>
              </w:rPr>
            </w:pPr>
            <w:r>
              <w:rPr>
                <w:rFonts w:ascii="Arial" w:cs="Arial" w:eastAsia="Arial" w:hAnsi="Arial"/>
                <w:sz w:val="14"/>
                <w:szCs w:val="14"/>
                <w:b w:val="1"/>
                <w:bCs w:val="1"/>
                <w:color w:val="auto"/>
              </w:rPr>
              <w:t>and OPEB</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273"/>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254"/>
              <w:spacing w:after="0"/>
              <w:rPr>
                <w:sz w:val="20"/>
                <w:szCs w:val="20"/>
                <w:color w:val="auto"/>
              </w:rPr>
            </w:pPr>
            <w:r>
              <w:rPr>
                <w:rFonts w:ascii="Arial" w:cs="Arial" w:eastAsia="Arial" w:hAnsi="Arial"/>
                <w:sz w:val="14"/>
                <w:szCs w:val="14"/>
                <w:b w:val="1"/>
                <w:bCs w:val="1"/>
                <w:color w:val="auto"/>
                <w:w w:val="99"/>
              </w:rPr>
              <w:t>liability</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432"/>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273"/>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vMerge w:val="restart"/>
          </w:tcPr>
          <w:p>
            <w:pPr>
              <w:spacing w:after="0"/>
              <w:rPr>
                <w:sz w:val="20"/>
                <w:szCs w:val="20"/>
                <w:color w:val="auto"/>
              </w:rPr>
            </w:pPr>
            <w:r>
              <w:rPr>
                <w:rFonts w:ascii="Arial" w:cs="Arial" w:eastAsia="Arial" w:hAnsi="Arial"/>
                <w:sz w:val="18"/>
                <w:szCs w:val="18"/>
                <w:color w:val="auto"/>
              </w:rPr>
              <w:t>AOCL as of December 31, 2022</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rate swaps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items</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8"/>
                <w:szCs w:val="18"/>
                <w:color w:val="auto"/>
              </w:rPr>
              <w:t>Amounts reclassified from AOCL</w:t>
            </w: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AOCL as of December 31, 2023</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11</w:t>
            </w:r>
          </w:p>
        </w:tc>
        <w:tc>
          <w:tcPr>
            <w:tcW w:w="36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44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7"/>
                <w:szCs w:val="17"/>
                <w:color w:val="auto"/>
              </w:rPr>
            </w:pPr>
          </w:p>
        </w:tc>
        <w:tc>
          <w:tcPr>
            <w:tcW w:w="12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Amounts reclassified from AOCL</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current period other comprehensive loss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36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44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AOCL as of December 31, 2024</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4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comprehensive (loss) income before reclassifications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8"/>
                <w:szCs w:val="18"/>
                <w:color w:val="auto"/>
              </w:rPr>
              <w:t>Amounts reclassified from AOCL</w:t>
            </w: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6</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c>
          <w:tcPr>
            <w:tcW w:w="36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17</w:t>
            </w:r>
          </w:p>
        </w:tc>
        <w:tc>
          <w:tcPr>
            <w:tcW w:w="44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AOCL as of December 31, 2025</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(20)</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(36)</w:t>
            </w:r>
          </w:p>
        </w:tc>
        <w:tc>
          <w:tcPr>
            <w:tcW w:w="44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-1619250</wp:posOffset>
            </wp:positionV>
            <wp:extent cx="1028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-1619250</wp:posOffset>
            </wp:positionV>
            <wp:extent cx="946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-1619250</wp:posOffset>
            </wp:positionV>
            <wp:extent cx="939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-822325</wp:posOffset>
            </wp:positionV>
            <wp:extent cx="1028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-822325</wp:posOffset>
            </wp:positionV>
            <wp:extent cx="946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-822325</wp:posOffset>
            </wp:positionV>
            <wp:extent cx="939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-299720</wp:posOffset>
            </wp:positionV>
            <wp:extent cx="1028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-299720</wp:posOffset>
            </wp:positionV>
            <wp:extent cx="946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-299720</wp:posOffset>
            </wp:positionV>
            <wp:extent cx="939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1028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1028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946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946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939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939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location in the Consolidated Statements of Comprehensive Income affected by reclassifications from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AOCL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Amounts reclassified from AOCL</w:t>
            </w: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314"/>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312"/>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20"/>
                <w:szCs w:val="20"/>
                <w:color w:val="auto"/>
              </w:rPr>
            </w:pPr>
            <w:r>
              <w:rPr>
                <w:rFonts w:ascii="Arial" w:cs="Arial" w:eastAsia="Arial" w:hAnsi="Arial"/>
                <w:sz w:val="14"/>
                <w:szCs w:val="14"/>
                <w:b w:val="1"/>
                <w:bCs w:val="1"/>
                <w:color w:val="auto"/>
              </w:rPr>
              <w:t>AOCL Components</w:t>
            </w: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Pr>
          <w:p>
            <w:pPr>
              <w:spacing w:after="0"/>
              <w:rPr>
                <w:sz w:val="14"/>
                <w:szCs w:val="1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6</w:t>
            </w:r>
          </w:p>
        </w:tc>
        <w:tc>
          <w:tcPr>
            <w:tcW w:w="320" w:type="dxa"/>
            <w:vAlign w:val="bottom"/>
            <w:gridSpan w:val="2"/>
            <w:shd w:val="clear" w:color="auto" w:fill="CFF0FC"/>
          </w:tcPr>
          <w:p>
            <w:pPr>
              <w:ind w:left="14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12</w:t>
            </w:r>
          </w:p>
        </w:tc>
        <w:tc>
          <w:tcPr>
            <w:tcW w:w="380" w:type="dxa"/>
            <w:vAlign w:val="bottom"/>
            <w:gridSpan w:val="2"/>
            <w:shd w:val="clear" w:color="auto" w:fill="CFF0FC"/>
          </w:tcPr>
          <w:p>
            <w:pPr>
              <w:ind w:left="14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7"/>
                <w:szCs w:val="17"/>
                <w:color w:val="auto"/>
              </w:rPr>
            </w:pPr>
          </w:p>
        </w:tc>
        <w:tc>
          <w:tcPr>
            <w:tcW w:w="2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03"/>
        </w:trPr>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Prior service credit</w:t>
            </w:r>
          </w:p>
        </w:tc>
        <w:tc>
          <w:tcPr>
            <w:tcW w:w="160" w:type="dxa"/>
            <w:vAlign w:val="bottom"/>
          </w:tcPr>
          <w:p>
            <w:pPr>
              <w:spacing w:after="0"/>
              <w:rPr>
                <w:sz w:val="17"/>
                <w:szCs w:val="17"/>
                <w:color w:val="auto"/>
              </w:rPr>
            </w:pPr>
          </w:p>
        </w:tc>
        <w:tc>
          <w:tcPr>
            <w:tcW w:w="126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Pension plan settlement loss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03"/>
        </w:trPr>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Recognized actuarial gain</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reclassifications, before tax</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15</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7"/>
                <w:szCs w:val="17"/>
                <w:color w:val="auto"/>
              </w:rPr>
            </w:pPr>
          </w:p>
        </w:tc>
        <w:tc>
          <w:tcPr>
            <w:tcW w:w="2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36"/>
        </w:trPr>
        <w:tc>
          <w:tcPr>
            <w:tcW w:w="37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reclassifications</w:t>
            </w:r>
          </w:p>
        </w:tc>
        <w:tc>
          <w:tcPr>
            <w:tcW w:w="1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12</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shd w:val="clear" w:color="auto" w:fill="CFF0FC"/>
          </w:tcPr>
          <w:p>
            <w:pPr>
              <w:spacing w:after="0"/>
              <w:rPr>
                <w:sz w:val="20"/>
                <w:szCs w:val="20"/>
                <w:color w:val="auto"/>
              </w:rPr>
            </w:pPr>
          </w:p>
        </w:tc>
        <w:tc>
          <w:tcPr>
            <w:tcW w:w="28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-24765</wp:posOffset>
            </wp:positionV>
            <wp:extent cx="939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939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939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939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93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939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jc w:val="both"/>
        <w:ind w:right="440" w:firstLine="494"/>
        <w:spacing w:after="0" w:line="271" w:lineRule="auto"/>
        <w:rPr>
          <w:sz w:val="20"/>
          <w:szCs w:val="20"/>
          <w:color w:val="auto"/>
        </w:rPr>
      </w:pPr>
      <w:r>
        <w:rPr>
          <w:rFonts w:ascii="Arial" w:cs="Arial" w:eastAsia="Arial" w:hAnsi="Arial"/>
          <w:sz w:val="18"/>
          <w:szCs w:val="18"/>
          <w:color w:val="auto"/>
        </w:rPr>
        <w:t>Prior service credits, actuarial gains and pension settlement losses are included in the computation of the Company’s net periodic benefit cost (credit). See "Note 15. Employee Benefit Plans” for additional details.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58" w:lineRule="exact"/>
        <w:rPr>
          <w:sz w:val="20"/>
          <w:szCs w:val="20"/>
          <w:color w:val="auto"/>
        </w:rPr>
      </w:pPr>
    </w:p>
    <w:p>
      <w:pPr>
        <w:ind w:right="140" w:firstLine="494"/>
        <w:spacing w:after="0" w:line="244"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CONCENTRATION OF RISK</w:t>
      </w:r>
    </w:p>
    <w:p>
      <w:pPr>
        <w:spacing w:after="0" w:line="158" w:lineRule="exact"/>
        <w:rPr>
          <w:sz w:val="20"/>
          <w:szCs w:val="20"/>
          <w:color w:val="auto"/>
        </w:rPr>
      </w:pPr>
    </w:p>
    <w:p>
      <w:pPr>
        <w:ind w:right="140" w:firstLine="494"/>
        <w:spacing w:after="0" w:line="261" w:lineRule="auto"/>
        <w:rPr>
          <w:sz w:val="20"/>
          <w:szCs w:val="20"/>
          <w:color w:val="auto"/>
        </w:rPr>
      </w:pPr>
      <w:r>
        <w:rPr>
          <w:rFonts w:ascii="Arial" w:cs="Arial" w:eastAsia="Arial" w:hAnsi="Arial"/>
          <w:sz w:val="17"/>
          <w:szCs w:val="17"/>
          <w:color w:val="auto"/>
        </w:rPr>
        <w:t>As of December 31, 2025, the Company employed approximately 4,000 employees, with 87% of those employees in the U.S. As of December 31, 2024, the Company employed approximately 4,000 employees, with 89% of those employees in the U.S. Approximately 49% and 50% of the Company’s U.S. employees were represented by unions and subject to a collective bargaining agreement as of December 31, 2025 and 2024, respectively. The Company is currently operating under a collective bargaining agreement with the International Union, United Automobile, Aerospace and Agricultural Implement Workers of America (“UAW”) Local 933 that expires in November 2027.</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Three customers accounted for 10% or more of the Company's net sales within the last three years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vMerge w:val="restart"/>
          </w:tcPr>
          <w:p>
            <w:pPr>
              <w:spacing w:after="0"/>
              <w:rPr>
                <w:sz w:val="20"/>
                <w:szCs w:val="20"/>
                <w:color w:val="auto"/>
              </w:rPr>
            </w:pPr>
            <w:r>
              <w:rPr>
                <w:rFonts w:ascii="Arial" w:cs="Arial" w:eastAsia="Arial" w:hAnsi="Arial"/>
                <w:sz w:val="14"/>
                <w:szCs w:val="14"/>
                <w:i w:val="1"/>
                <w:iCs w:val="1"/>
                <w:color w:val="auto"/>
              </w:rPr>
              <w:t>% of net sales</w:t>
            </w:r>
          </w:p>
        </w:tc>
        <w:tc>
          <w:tcPr>
            <w:tcW w:w="3280" w:type="dxa"/>
            <w:vAlign w:val="bottom"/>
            <w:tcBorders>
              <w:bottom w:val="single" w:sz="8" w:color="auto"/>
            </w:tcBorders>
            <w:gridSpan w:val="4"/>
          </w:tcPr>
          <w:p>
            <w:pPr>
              <w:ind w:left="1420"/>
              <w:spacing w:after="0"/>
              <w:rPr>
                <w:sz w:val="20"/>
                <w:szCs w:val="20"/>
                <w:color w:val="auto"/>
              </w:rPr>
            </w:pPr>
            <w:r>
              <w:rPr>
                <w:rFonts w:ascii="Arial" w:cs="Arial" w:eastAsia="Arial" w:hAnsi="Arial"/>
                <w:sz w:val="14"/>
                <w:szCs w:val="14"/>
                <w:b w:val="1"/>
                <w:bCs w:val="1"/>
                <w:color w:val="auto"/>
              </w:rPr>
              <w:t>Years ended December 31,</w:t>
            </w:r>
          </w:p>
        </w:tc>
        <w:tc>
          <w:tcPr>
            <w:tcW w:w="1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20" w:type="dxa"/>
            <w:vAlign w:val="bottom"/>
            <w:vMerge w:val="continue"/>
          </w:tcPr>
          <w:p>
            <w:pPr>
              <w:spacing w:after="0"/>
              <w:rPr>
                <w:sz w:val="13"/>
                <w:szCs w:val="13"/>
                <w:color w:val="auto"/>
              </w:rPr>
            </w:pPr>
          </w:p>
        </w:tc>
        <w:tc>
          <w:tcPr>
            <w:tcW w:w="1560" w:type="dxa"/>
            <w:vAlign w:val="bottom"/>
            <w:tcBorders>
              <w:bottom w:val="single" w:sz="8" w:color="auto"/>
            </w:tcBorders>
          </w:tcPr>
          <w:p>
            <w:pPr>
              <w:jc w:val="right"/>
              <w:ind w:right="617"/>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150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615"/>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6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Daimler AG</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w:t>
            </w:r>
          </w:p>
        </w:tc>
        <w:tc>
          <w:tcPr>
            <w:tcW w:w="16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6420" w:type="dxa"/>
            <w:vAlign w:val="bottom"/>
          </w:tcPr>
          <w:p>
            <w:pPr>
              <w:spacing w:after="0" w:line="202" w:lineRule="exact"/>
              <w:rPr>
                <w:sz w:val="20"/>
                <w:szCs w:val="20"/>
                <w:color w:val="auto"/>
              </w:rPr>
            </w:pPr>
            <w:r>
              <w:rPr>
                <w:rFonts w:ascii="Arial" w:cs="Arial" w:eastAsia="Arial" w:hAnsi="Arial"/>
                <w:sz w:val="18"/>
                <w:szCs w:val="18"/>
                <w:color w:val="auto"/>
              </w:rPr>
              <w:t>PACCAR Inc.</w:t>
            </w: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6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Traton SE</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Two customers accounted for 10% or more of the Company's outstanding accounts receivable within the last two years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580" w:type="dxa"/>
            <w:vAlign w:val="bottom"/>
          </w:tcPr>
          <w:p>
            <w:pPr>
              <w:jc w:val="center"/>
              <w:ind w:left="268"/>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jc w:val="right"/>
              <w:ind w:right="58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60" w:type="dxa"/>
            <w:vAlign w:val="bottom"/>
          </w:tcPr>
          <w:p>
            <w:pPr>
              <w:spacing w:after="0"/>
              <w:rPr>
                <w:sz w:val="20"/>
                <w:szCs w:val="20"/>
                <w:color w:val="auto"/>
              </w:rPr>
            </w:pPr>
            <w:r>
              <w:rPr>
                <w:rFonts w:ascii="Arial" w:cs="Arial" w:eastAsia="Arial" w:hAnsi="Arial"/>
                <w:sz w:val="14"/>
                <w:szCs w:val="14"/>
                <w:i w:val="1"/>
                <w:iCs w:val="1"/>
                <w:color w:val="auto"/>
              </w:rPr>
              <w:t>% of accounts receivable</w:t>
            </w:r>
          </w:p>
        </w:tc>
        <w:tc>
          <w:tcPr>
            <w:tcW w:w="1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2024</w:t>
            </w:r>
          </w:p>
        </w:tc>
      </w:tr>
      <w:tr>
        <w:trPr>
          <w:trHeight w:val="196"/>
        </w:trPr>
        <w:tc>
          <w:tcPr>
            <w:tcW w:w="6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Daimler AG</w:t>
            </w:r>
          </w:p>
        </w:tc>
        <w:tc>
          <w:tcPr>
            <w:tcW w:w="15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14%</w:t>
            </w:r>
          </w:p>
        </w:tc>
        <w:tc>
          <w:tcPr>
            <w:tcW w:w="2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47"/>
        </w:trPr>
        <w:tc>
          <w:tcPr>
            <w:tcW w:w="6960" w:type="dxa"/>
            <w:vAlign w:val="bottom"/>
          </w:tcPr>
          <w:p>
            <w:pPr>
              <w:spacing w:after="0"/>
              <w:rPr>
                <w:sz w:val="20"/>
                <w:szCs w:val="20"/>
                <w:color w:val="auto"/>
              </w:rPr>
            </w:pPr>
            <w:r>
              <w:rPr>
                <w:rFonts w:ascii="Arial" w:cs="Arial" w:eastAsia="Arial" w:hAnsi="Arial"/>
                <w:sz w:val="18"/>
                <w:szCs w:val="18"/>
                <w:color w:val="auto"/>
              </w:rPr>
              <w:t>Traton SE</w:t>
            </w:r>
          </w:p>
        </w:tc>
        <w:tc>
          <w:tcPr>
            <w:tcW w:w="15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11%</w:t>
            </w: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supplier accounted for 10% or more of materials purchased during any of the years ended December 31, 2025, 2024 or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COMMON STOCK</w:t>
      </w:r>
    </w:p>
    <w:p>
      <w:pPr>
        <w:spacing w:after="0" w:line="158" w:lineRule="exact"/>
        <w:rPr>
          <w:sz w:val="20"/>
          <w:szCs w:val="20"/>
          <w:color w:val="auto"/>
        </w:rPr>
      </w:pPr>
    </w:p>
    <w:p>
      <w:pPr>
        <w:ind w:right="100" w:firstLine="494"/>
        <w:spacing w:after="0" w:line="253" w:lineRule="auto"/>
        <w:rPr>
          <w:sz w:val="20"/>
          <w:szCs w:val="20"/>
          <w:color w:val="auto"/>
        </w:rPr>
      </w:pPr>
      <w:r>
        <w:rPr>
          <w:rFonts w:ascii="Arial" w:cs="Arial" w:eastAsia="Arial" w:hAnsi="Arial"/>
          <w:sz w:val="18"/>
          <w:szCs w:val="18"/>
          <w:color w:val="auto"/>
        </w:rPr>
        <w:t>On February 20, 2025, the Board of Directors authorized the Company to repurchase an additional $1,000 million of its common stock pursuant to the Company's stock repurchase program (the "Repurchase Program"), bringing the total amount authorized pursuant to the Repurchase Program to $5,000 million.</w:t>
      </w:r>
    </w:p>
    <w:p>
      <w:pPr>
        <w:spacing w:after="0" w:line="115"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During 2025, the Company repurchased approximately $328 million of its common stock under the Repurchase Program, leaving approximately $1,192 million of authorized repurchases remaining under the Repurchase Program as of December 31, 2025.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158"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tcPr>
          <w:p>
            <w:pPr>
              <w:spacing w:after="0"/>
              <w:rPr>
                <w:sz w:val="13"/>
                <w:szCs w:val="13"/>
                <w:color w:val="auto"/>
              </w:rPr>
            </w:pPr>
          </w:p>
        </w:tc>
        <w:tc>
          <w:tcPr>
            <w:tcW w:w="8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6"/>
        </w:trPr>
        <w:tc>
          <w:tcPr>
            <w:tcW w:w="666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623</w:t>
            </w:r>
          </w:p>
        </w:tc>
        <w:tc>
          <w:tcPr>
            <w:tcW w:w="4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731</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183"/>
        </w:trPr>
        <w:tc>
          <w:tcPr>
            <w:tcW w:w="66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Weighted average shares of common stock outstanding</w:t>
            </w: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33"/>
              <w:spacing w:after="0" w:line="183" w:lineRule="exact"/>
              <w:rPr>
                <w:sz w:val="20"/>
                <w:szCs w:val="20"/>
                <w:color w:val="auto"/>
              </w:rPr>
            </w:pPr>
            <w:r>
              <w:rPr>
                <w:rFonts w:ascii="Arial" w:cs="Arial" w:eastAsia="Arial" w:hAnsi="Arial"/>
                <w:sz w:val="18"/>
                <w:szCs w:val="18"/>
                <w:b w:val="1"/>
                <w:bCs w:val="1"/>
                <w:color w:val="auto"/>
              </w:rPr>
              <w:t>84</w:t>
            </w:r>
          </w:p>
        </w:tc>
        <w:tc>
          <w:tcPr>
            <w:tcW w:w="1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87</w:t>
            </w:r>
          </w:p>
        </w:tc>
        <w:tc>
          <w:tcPr>
            <w:tcW w:w="1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3"/>
              <w:spacing w:after="0" w:line="183"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6660" w:type="dxa"/>
            <w:vAlign w:val="bottom"/>
            <w:tcBorders>
              <w:bottom w:val="single" w:sz="8" w:color="CFF0FC"/>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8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660" w:type="dxa"/>
            <w:vAlign w:val="bottom"/>
          </w:tcPr>
          <w:p>
            <w:pPr>
              <w:ind w:left="180"/>
              <w:spacing w:after="0" w:line="196" w:lineRule="exact"/>
              <w:rPr>
                <w:sz w:val="20"/>
                <w:szCs w:val="20"/>
                <w:color w:val="auto"/>
              </w:rPr>
            </w:pPr>
            <w:r>
              <w:rPr>
                <w:rFonts w:ascii="Arial" w:cs="Arial" w:eastAsia="Arial" w:hAnsi="Arial"/>
                <w:sz w:val="18"/>
                <w:szCs w:val="18"/>
                <w:color w:val="auto"/>
              </w:rPr>
              <w:t>Diluted weighted average shares of common stock outstanding</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85</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88</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Basic earnings per share attributable to common stockholders</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ind w:right="33"/>
              <w:spacing w:after="0" w:line="183" w:lineRule="exact"/>
              <w:rPr>
                <w:sz w:val="20"/>
                <w:szCs w:val="20"/>
                <w:color w:val="auto"/>
              </w:rPr>
            </w:pPr>
            <w:r>
              <w:rPr>
                <w:rFonts w:ascii="Arial" w:cs="Arial" w:eastAsia="Arial" w:hAnsi="Arial"/>
                <w:sz w:val="18"/>
                <w:szCs w:val="18"/>
                <w:b w:val="1"/>
                <w:bCs w:val="1"/>
                <w:color w:val="auto"/>
              </w:rPr>
              <w:t>7.42</w:t>
            </w:r>
          </w:p>
        </w:tc>
        <w:tc>
          <w:tcPr>
            <w:tcW w:w="4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line="183" w:lineRule="exact"/>
              <w:rPr>
                <w:sz w:val="20"/>
                <w:szCs w:val="20"/>
                <w:color w:val="auto"/>
              </w:rPr>
            </w:pPr>
            <w:r>
              <w:rPr>
                <w:rFonts w:ascii="Arial" w:cs="Arial" w:eastAsia="Arial" w:hAnsi="Arial"/>
                <w:sz w:val="18"/>
                <w:szCs w:val="18"/>
                <w:color w:val="auto"/>
              </w:rPr>
              <w:t>8.40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3"/>
              <w:spacing w:after="0" w:line="183" w:lineRule="exact"/>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60" w:type="dxa"/>
            <w:vAlign w:val="bottom"/>
          </w:tcPr>
          <w:p>
            <w:pPr>
              <w:ind w:left="180"/>
              <w:spacing w:after="0" w:line="164" w:lineRule="exact"/>
              <w:rPr>
                <w:sz w:val="20"/>
                <w:szCs w:val="20"/>
                <w:color w:val="auto"/>
              </w:rPr>
            </w:pPr>
            <w:r>
              <w:rPr>
                <w:rFonts w:ascii="Arial" w:cs="Arial" w:eastAsia="Arial" w:hAnsi="Arial"/>
                <w:sz w:val="18"/>
                <w:szCs w:val="18"/>
                <w:color w:val="auto"/>
              </w:rPr>
              <w:t>Diluted earnings per share attributable to common</w:t>
            </w:r>
          </w:p>
        </w:tc>
        <w:tc>
          <w:tcPr>
            <w:tcW w:w="880" w:type="dxa"/>
            <w:vAlign w:val="bottom"/>
            <w:vMerge w:val="restart"/>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5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7.33</w:t>
            </w:r>
          </w:p>
        </w:tc>
        <w:tc>
          <w:tcPr>
            <w:tcW w:w="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181"/>
        </w:trPr>
        <w:tc>
          <w:tcPr>
            <w:tcW w:w="6660" w:type="dxa"/>
            <w:vAlign w:val="bottom"/>
          </w:tcPr>
          <w:p>
            <w:pPr>
              <w:ind w:left="320"/>
              <w:spacing w:after="0" w:line="161" w:lineRule="exact"/>
              <w:rPr>
                <w:sz w:val="20"/>
                <w:szCs w:val="20"/>
                <w:color w:val="auto"/>
              </w:rPr>
            </w:pPr>
            <w:r>
              <w:rPr>
                <w:rFonts w:ascii="Arial" w:cs="Arial" w:eastAsia="Arial" w:hAnsi="Arial"/>
                <w:sz w:val="18"/>
                <w:szCs w:val="18"/>
                <w:color w:val="auto"/>
              </w:rPr>
              <w:t>stockholders</w:t>
            </w:r>
          </w:p>
        </w:tc>
        <w:tc>
          <w:tcPr>
            <w:tcW w:w="8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-856615</wp:posOffset>
            </wp:positionV>
            <wp:extent cx="1028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-839470</wp:posOffset>
            </wp:positionV>
            <wp:extent cx="1028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-856615</wp:posOffset>
            </wp:positionV>
            <wp:extent cx="939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-839470</wp:posOffset>
            </wp:positionV>
            <wp:extent cx="939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-573405</wp:posOffset>
            </wp:positionV>
            <wp:extent cx="1028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-573405</wp:posOffset>
            </wp:positionV>
            <wp:extent cx="939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-282575</wp:posOffset>
            </wp:positionV>
            <wp:extent cx="1028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-264795</wp:posOffset>
            </wp:positionV>
            <wp:extent cx="1028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-282575</wp:posOffset>
            </wp:positionV>
            <wp:extent cx="939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-264795</wp:posOffset>
            </wp:positionV>
            <wp:extent cx="939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3" w:lineRule="exact"/>
        <w:rPr>
          <w:sz w:val="20"/>
          <w:szCs w:val="20"/>
          <w:color w:val="auto"/>
        </w:rPr>
      </w:pPr>
    </w:p>
    <w:p>
      <w:pPr>
        <w:ind w:right="160" w:firstLine="494"/>
        <w:spacing w:after="0" w:line="242" w:lineRule="auto"/>
        <w:rPr>
          <w:sz w:val="20"/>
          <w:szCs w:val="20"/>
          <w:color w:val="auto"/>
        </w:rPr>
      </w:pPr>
      <w:r>
        <w:rPr>
          <w:rFonts w:ascii="Arial" w:cs="Arial" w:eastAsia="Arial" w:hAnsi="Arial"/>
          <w:sz w:val="18"/>
          <w:szCs w:val="18"/>
          <w:color w:val="auto"/>
        </w:rPr>
        <w:t>The dilutive impact of stock-based compensation is calculated using the treasury stock method. The treasury stock method assumes that the Company uses the proceeds from the exercise of awards to repurchase common stock at the average market price during the period. During each of the years ended December 31, 2025, 2024 and 2023, there were no outstanding stock options that were anti-dilutive and excluded from the diluted EPS calculation. Basic and diluted EPS for the full-year are calculated using the weighted average shares of common stock outstanding during the year while quarterly basic and diluted EPS are calculated using the weighted average shares of common stock outstanding during the quarter; therefore, the sum of each quarter's EPS may not equal full-year EPS.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GEOGRAPHIC INFORMATION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the following net sales by country, based on the location of the customer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371"/>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33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32"/>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3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4200" w:type="dxa"/>
            <w:vAlign w:val="bottom"/>
            <w:gridSpan w:val="2"/>
            <w:shd w:val="clear" w:color="auto" w:fill="CFF0FC"/>
          </w:tcPr>
          <w:p>
            <w:pPr>
              <w:jc w:val="right"/>
              <w:ind w:right="688"/>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7"/>
              </w:rPr>
              <w:t>2,132</w:t>
            </w:r>
          </w:p>
        </w:tc>
        <w:tc>
          <w:tcPr>
            <w:tcW w:w="540" w:type="dxa"/>
            <w:vAlign w:val="bottom"/>
            <w:gridSpan w:val="3"/>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2,324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2,171</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China</w:t>
            </w: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164</w:t>
            </w:r>
          </w:p>
        </w:tc>
      </w:tr>
      <w:tr>
        <w:trPr>
          <w:trHeight w:val="203"/>
        </w:trPr>
        <w:tc>
          <w:tcPr>
            <w:tcW w:w="3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Canada</w:t>
            </w:r>
          </w:p>
        </w:tc>
        <w:tc>
          <w:tcPr>
            <w:tcW w:w="3360" w:type="dxa"/>
            <w:vAlign w:val="bottom"/>
            <w:tcBorders>
              <w:right w:val="single" w:sz="8" w:color="CFF0FC"/>
            </w:tcBorders>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65</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102</w:t>
            </w:r>
          </w:p>
        </w:tc>
      </w:tr>
      <w:tr>
        <w:trPr>
          <w:trHeight w:val="203"/>
        </w:trPr>
        <w:tc>
          <w:tcPr>
            <w:tcW w:w="3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Turkey</w:t>
            </w:r>
          </w:p>
        </w:tc>
        <w:tc>
          <w:tcPr>
            <w:tcW w:w="3360" w:type="dxa"/>
            <w:vAlign w:val="bottom"/>
            <w:tcBorders>
              <w:right w:val="single" w:sz="8" w:color="CFF0FC"/>
            </w:tcBorders>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42</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Mexico</w:t>
            </w: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51</w:t>
            </w:r>
          </w:p>
        </w:tc>
      </w:tr>
      <w:tr>
        <w:trPr>
          <w:trHeight w:val="203"/>
        </w:trPr>
        <w:tc>
          <w:tcPr>
            <w:tcW w:w="3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Germany</w:t>
            </w:r>
          </w:p>
        </w:tc>
        <w:tc>
          <w:tcPr>
            <w:tcW w:w="3360" w:type="dxa"/>
            <w:vAlign w:val="bottom"/>
            <w:tcBorders>
              <w:right w:val="single" w:sz="8" w:color="CFF0FC"/>
            </w:tcBorders>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3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389</w:t>
            </w: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358</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391</w:t>
            </w:r>
          </w:p>
        </w:tc>
      </w:tr>
      <w:tr>
        <w:trPr>
          <w:trHeight w:val="216"/>
        </w:trPr>
        <w:tc>
          <w:tcPr>
            <w:tcW w:w="33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4200" w:type="dxa"/>
            <w:vAlign w:val="bottom"/>
            <w:gridSpan w:val="2"/>
            <w:shd w:val="clear" w:color="auto" w:fill="CFF0FC"/>
          </w:tcPr>
          <w:p>
            <w:pPr>
              <w:jc w:val="right"/>
              <w:ind w:right="688"/>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7"/>
              </w:rPr>
              <w:t>3,010</w:t>
            </w:r>
          </w:p>
        </w:tc>
        <w:tc>
          <w:tcPr>
            <w:tcW w:w="540" w:type="dxa"/>
            <w:vAlign w:val="bottom"/>
            <w:gridSpan w:val="3"/>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3,225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3,035</w:t>
            </w:r>
          </w:p>
        </w:tc>
      </w:tr>
      <w:tr>
        <w:trPr>
          <w:trHeight w:val="20"/>
        </w:trPr>
        <w:tc>
          <w:tcPr>
            <w:tcW w:w="3300" w:type="dxa"/>
            <w:vAlign w:val="bottom"/>
            <w:tcBorders>
              <w:top w:val="single" w:sz="8" w:color="CFF0FC"/>
            </w:tcBorders>
            <w:shd w:val="clear" w:color="auto" w:fill="CFF0FC"/>
          </w:tcPr>
          <w:p>
            <w:pPr>
              <w:spacing w:after="0" w:line="20" w:lineRule="exact"/>
              <w:rPr>
                <w:sz w:val="1"/>
                <w:szCs w:val="1"/>
                <w:color w:val="auto"/>
              </w:rPr>
            </w:pPr>
          </w:p>
        </w:tc>
        <w:tc>
          <w:tcPr>
            <w:tcW w:w="33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r>
        <w:trPr>
          <w:trHeight w:val="389"/>
        </w:trPr>
        <w:tc>
          <w:tcPr>
            <w:tcW w:w="7500" w:type="dxa"/>
            <w:vAlign w:val="bottom"/>
            <w:gridSpan w:val="3"/>
          </w:tcPr>
          <w:p>
            <w:pPr>
              <w:ind w:left="500"/>
              <w:spacing w:after="0"/>
              <w:rPr>
                <w:sz w:val="20"/>
                <w:szCs w:val="20"/>
                <w:color w:val="auto"/>
              </w:rPr>
            </w:pPr>
            <w:r>
              <w:rPr>
                <w:rFonts w:ascii="Arial" w:cs="Arial" w:eastAsia="Arial" w:hAnsi="Arial"/>
                <w:sz w:val="18"/>
                <w:szCs w:val="18"/>
                <w:color w:val="auto"/>
              </w:rPr>
              <w:t>The Company had the following net long-lived assets by country (dollars in millions):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4"/>
        </w:trPr>
        <w:tc>
          <w:tcPr>
            <w:tcW w:w="3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r>
      <w:tr>
        <w:trPr>
          <w:trHeight w:val="155"/>
        </w:trPr>
        <w:tc>
          <w:tcPr>
            <w:tcW w:w="33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32"/>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3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4200" w:type="dxa"/>
            <w:vAlign w:val="bottom"/>
            <w:gridSpan w:val="2"/>
            <w:shd w:val="clear" w:color="auto" w:fill="CFF0FC"/>
          </w:tcPr>
          <w:p>
            <w:pPr>
              <w:jc w:val="right"/>
              <w:ind w:right="668"/>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770</w:t>
            </w:r>
          </w:p>
        </w:tc>
        <w:tc>
          <w:tcPr>
            <w:tcW w:w="540" w:type="dxa"/>
            <w:vAlign w:val="bottom"/>
            <w:gridSpan w:val="3"/>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757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738</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India</w:t>
            </w: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w:t>
            </w:r>
          </w:p>
        </w:tc>
      </w:tr>
      <w:tr>
        <w:trPr>
          <w:trHeight w:val="203"/>
        </w:trPr>
        <w:tc>
          <w:tcPr>
            <w:tcW w:w="3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Hungary</w:t>
            </w:r>
          </w:p>
        </w:tc>
        <w:tc>
          <w:tcPr>
            <w:tcW w:w="3360" w:type="dxa"/>
            <w:vAlign w:val="bottom"/>
            <w:tcBorders>
              <w:right w:val="single" w:sz="8" w:color="CFF0FC"/>
            </w:tcBorders>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10</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3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6</w:t>
            </w:r>
          </w:p>
        </w:tc>
      </w:tr>
      <w:tr>
        <w:trPr>
          <w:trHeight w:val="236"/>
        </w:trPr>
        <w:tc>
          <w:tcPr>
            <w:tcW w:w="33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4200" w:type="dxa"/>
            <w:vAlign w:val="bottom"/>
            <w:gridSpan w:val="2"/>
            <w:shd w:val="clear" w:color="auto" w:fill="CFF0FC"/>
          </w:tcPr>
          <w:p>
            <w:pPr>
              <w:jc w:val="right"/>
              <w:ind w:right="668"/>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862</w:t>
            </w:r>
          </w:p>
        </w:tc>
        <w:tc>
          <w:tcPr>
            <w:tcW w:w="540" w:type="dxa"/>
            <w:vAlign w:val="bottom"/>
            <w:gridSpan w:val="3"/>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803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774</w:t>
            </w:r>
          </w:p>
        </w:tc>
      </w:tr>
      <w:tr>
        <w:trPr>
          <w:trHeight w:val="632"/>
        </w:trPr>
        <w:tc>
          <w:tcPr>
            <w:tcW w:w="3300" w:type="dxa"/>
            <w:vAlign w:val="bottom"/>
            <w:tcBorders>
              <w:top w:val="single" w:sz="8" w:color="CFF0FC"/>
            </w:tcBorders>
          </w:tcPr>
          <w:p>
            <w:pPr>
              <w:spacing w:after="0"/>
              <w:rPr>
                <w:sz w:val="24"/>
                <w:szCs w:val="24"/>
                <w:color w:val="auto"/>
              </w:rPr>
            </w:pPr>
          </w:p>
        </w:tc>
        <w:tc>
          <w:tcPr>
            <w:tcW w:w="3360" w:type="dxa"/>
            <w:vAlign w:val="bottom"/>
            <w:tcBorders>
              <w:top w:val="single" w:sz="8" w:color="CFF0FC"/>
            </w:tcBorders>
          </w:tcPr>
          <w:p>
            <w:pPr>
              <w:jc w:val="right"/>
              <w:ind w:right="850"/>
              <w:spacing w:after="0"/>
              <w:rPr>
                <w:sz w:val="20"/>
                <w:szCs w:val="20"/>
                <w:color w:val="auto"/>
              </w:rPr>
            </w:pPr>
            <w:r>
              <w:rPr>
                <w:rFonts w:ascii="Arial" w:cs="Arial" w:eastAsia="Arial" w:hAnsi="Arial"/>
                <w:sz w:val="18"/>
                <w:szCs w:val="18"/>
                <w:color w:val="auto"/>
              </w:rPr>
              <w:t>94</w:t>
            </w:r>
          </w:p>
        </w:tc>
        <w:tc>
          <w:tcPr>
            <w:tcW w:w="8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746"/>
        </w:trPr>
        <w:tc>
          <w:tcPr>
            <w:tcW w:w="33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-2193925</wp:posOffset>
            </wp:positionV>
            <wp:extent cx="939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-2176780</wp:posOffset>
            </wp:positionV>
            <wp:extent cx="939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-2193925</wp:posOffset>
            </wp:positionV>
            <wp:extent cx="946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-2176780</wp:posOffset>
            </wp:positionV>
            <wp:extent cx="946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-925195</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-908050</wp:posOffset>
            </wp:positionV>
            <wp:extent cx="857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-925195</wp:posOffset>
            </wp:positionV>
            <wp:extent cx="857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-908050</wp:posOffset>
            </wp:positionV>
            <wp:extent cx="857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INFORMATION</w:t>
      </w:r>
    </w:p>
    <w:p>
      <w:pPr>
        <w:spacing w:after="0" w:line="117"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In accordance with the FASB’s authoritative accounting guidance on segment reporting, the Company had one operating segment and reportable segment as of December 31, 2025. The Company was managed by the Chief Operating Decision Maker ("CODM") based on its one line of business, the design, manufacture and distribution of vehicle propulsion solutions.</w:t>
      </w:r>
    </w:p>
    <w:p>
      <w:pPr>
        <w:spacing w:after="0" w:line="61"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The Company’s CODM is its Chair, President and Chief Executive Officer. The CODM evaluates Company performance and makes decisions on the allocation of resources based on Net income, a GAAP measure, and Adjusted Earnings before Interest, Taxes, Depreciation, and Amortization (“EBITDA”), a non-GAAP measure. The most directly comparable GAAP measure to Adjusted EBITDA is Net income. The Company believes that Net income and Adjusted EBITDA provide management, investors and creditors with useful measures of the operational results of its business and increase the period-to-period comparability of the Company's operating profitability and comparability with other companies.</w:t>
      </w:r>
    </w:p>
    <w:p>
      <w:pPr>
        <w:spacing w:after="0" w:line="71"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 xml:space="preserve">The CODM assesses Company performance utilizing Net income and Adjusted EBITDA by comparing budget versus actual and year-over-year variances. Certain variances identified in the analysis of Net income and Adjusted EBITDA are evaluated to assist the CODM in assessing Company performance and making decisions on the allocation of Company resources. The following expenses included in Net income and Adjusted EBITDA are identified as significant expenses regularly provided to the CODM: Cost of sales, Selling, general and administrative, and Engineering </w:t>
      </w:r>
      <w:r>
        <w:rPr>
          <w:rFonts w:ascii="Arial" w:cs="Arial" w:eastAsia="Arial" w:hAnsi="Arial"/>
          <w:sz w:val="18"/>
          <w:szCs w:val="18"/>
          <w:i w:val="1"/>
          <w:iCs w:val="1"/>
          <w:color w:val="auto"/>
        </w:rPr>
        <w:t>—</w:t>
      </w:r>
      <w:r>
        <w:rPr>
          <w:rFonts w:ascii="Arial" w:cs="Arial" w:eastAsia="Arial" w:hAnsi="Arial"/>
          <w:sz w:val="18"/>
          <w:szCs w:val="18"/>
          <w:color w:val="auto"/>
        </w:rPr>
        <w:t xml:space="preserve"> research and development.</w:t>
      </w:r>
    </w:p>
    <w:p>
      <w:pPr>
        <w:spacing w:after="0" w:line="68" w:lineRule="exact"/>
        <w:rPr>
          <w:sz w:val="20"/>
          <w:szCs w:val="20"/>
          <w:color w:val="auto"/>
        </w:rPr>
      </w:pPr>
    </w:p>
    <w:p>
      <w:pPr>
        <w:ind w:right="420" w:firstLine="494"/>
        <w:spacing w:after="0" w:line="253" w:lineRule="auto"/>
        <w:rPr>
          <w:sz w:val="20"/>
          <w:szCs w:val="20"/>
          <w:color w:val="auto"/>
        </w:rPr>
      </w:pPr>
      <w:r>
        <w:rPr>
          <w:rFonts w:ascii="Arial" w:cs="Arial" w:eastAsia="Arial" w:hAnsi="Arial"/>
          <w:sz w:val="18"/>
          <w:szCs w:val="18"/>
          <w:color w:val="auto"/>
        </w:rPr>
        <w:t>The Company’s one reportable segment as of December 31, 2025 was the same as its consolidated financial results; therefore, segment information for additions of long-lived assets and asset information can be found in the Company’s Consolidated Statements of Cash Flows and Consolidated Balance Sheets, respectively.</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financial summary of the Company’s one reportable segment (dollars in millions):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6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8"/>
        </w:trPr>
        <w:tc>
          <w:tcPr>
            <w:tcW w:w="4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2040" w:type="dxa"/>
            <w:vAlign w:val="bottom"/>
            <w:gridSpan w:val="2"/>
            <w:shd w:val="clear" w:color="auto" w:fill="CFF0FC"/>
          </w:tcPr>
          <w:p>
            <w:pPr>
              <w:jc w:val="right"/>
              <w:ind w:right="808"/>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3,010</w:t>
            </w:r>
          </w:p>
        </w:tc>
        <w:tc>
          <w:tcPr>
            <w:tcW w:w="66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3,225</w:t>
            </w:r>
          </w:p>
        </w:tc>
        <w:tc>
          <w:tcPr>
            <w:tcW w:w="2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3,035</w:t>
            </w:r>
          </w:p>
        </w:tc>
        <w:tc>
          <w:tcPr>
            <w:tcW w:w="100" w:type="dxa"/>
            <w:vAlign w:val="bottom"/>
            <w:shd w:val="clear" w:color="auto" w:fill="CFF0FC"/>
          </w:tcPr>
          <w:p>
            <w:pPr>
              <w:spacing w:after="0"/>
              <w:rPr>
                <w:sz w:val="17"/>
                <w:szCs w:val="17"/>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less:</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8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Cost of sales</w:t>
            </w:r>
          </w:p>
        </w:tc>
        <w:tc>
          <w:tcPr>
            <w:tcW w:w="10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1,547</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1,696</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1,565</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357</w:t>
            </w: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Engineering — research and development</w:t>
            </w:r>
          </w:p>
        </w:tc>
        <w:tc>
          <w:tcPr>
            <w:tcW w:w="10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174</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160"/>
              <w:spacing w:after="0" w:line="202" w:lineRule="exact"/>
              <w:rPr>
                <w:sz w:val="20"/>
                <w:szCs w:val="20"/>
                <w:color w:val="auto"/>
              </w:rPr>
            </w:pPr>
            <w:r>
              <w:rPr>
                <w:rFonts w:ascii="Arial" w:cs="Arial" w:eastAsia="Arial" w:hAnsi="Arial"/>
                <w:sz w:val="18"/>
                <w:szCs w:val="18"/>
                <w:color w:val="auto"/>
              </w:rPr>
              <w:t>Other segment items (a)</w:t>
            </w:r>
          </w:p>
        </w:tc>
        <w:tc>
          <w:tcPr>
            <w:tcW w:w="10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286</w:t>
            </w: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w:t>
            </w:r>
          </w:p>
        </w:tc>
        <w:tc>
          <w:tcPr>
            <w:tcW w:w="100" w:type="dxa"/>
            <w:vAlign w:val="bottom"/>
          </w:tcPr>
          <w:p>
            <w:pPr>
              <w:spacing w:after="0"/>
              <w:rPr>
                <w:sz w:val="17"/>
                <w:szCs w:val="17"/>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10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623</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673</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160"/>
              <w:spacing w:after="0" w:line="202" w:lineRule="exact"/>
              <w:rPr>
                <w:sz w:val="20"/>
                <w:szCs w:val="20"/>
                <w:color w:val="auto"/>
              </w:rPr>
            </w:pPr>
            <w:r>
              <w:rPr>
                <w:rFonts w:ascii="Arial" w:cs="Arial" w:eastAsia="Arial" w:hAnsi="Arial"/>
                <w:sz w:val="18"/>
                <w:szCs w:val="18"/>
                <w:color w:val="auto"/>
              </w:rPr>
              <w:t>plus:</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181</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16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117</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92</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intangible assets</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r>
      <w:tr>
        <w:trPr>
          <w:trHeight w:val="203"/>
        </w:trPr>
        <w:tc>
          <w:tcPr>
            <w:tcW w:w="48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Other adjustments (b)</w:t>
            </w:r>
          </w:p>
        </w:tc>
        <w:tc>
          <w:tcPr>
            <w:tcW w:w="10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110</w:t>
            </w:r>
          </w:p>
        </w:tc>
        <w:tc>
          <w:tcPr>
            <w:tcW w:w="3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80" w:type="dxa"/>
            <w:vAlign w:val="bottom"/>
          </w:tcPr>
          <w:p>
            <w:pPr>
              <w:spacing w:after="0" w:line="182" w:lineRule="exact"/>
              <w:rPr>
                <w:sz w:val="20"/>
                <w:szCs w:val="20"/>
                <w:color w:val="auto"/>
              </w:rPr>
            </w:pPr>
            <w:r>
              <w:rPr>
                <w:rFonts w:ascii="Arial" w:cs="Arial" w:eastAsia="Arial" w:hAnsi="Arial"/>
                <w:sz w:val="18"/>
                <w:szCs w:val="18"/>
                <w:b w:val="1"/>
                <w:bCs w:val="1"/>
                <w:color w:val="auto"/>
              </w:rPr>
              <w:t>Adjusted EBITDA</w:t>
            </w:r>
          </w:p>
        </w:tc>
        <w:tc>
          <w:tcPr>
            <w:tcW w:w="2040" w:type="dxa"/>
            <w:vAlign w:val="bottom"/>
            <w:gridSpan w:val="2"/>
          </w:tcPr>
          <w:p>
            <w:pPr>
              <w:jc w:val="right"/>
              <w:ind w:right="808"/>
              <w:spacing w:after="0" w:line="18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1,130</w:t>
            </w:r>
          </w:p>
        </w:tc>
        <w:tc>
          <w:tcPr>
            <w:tcW w:w="6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1,165</w:t>
            </w:r>
          </w:p>
        </w:tc>
        <w:tc>
          <w:tcPr>
            <w:tcW w:w="220" w:type="dxa"/>
            <w:vAlign w:val="bottom"/>
          </w:tcPr>
          <w:p>
            <w:pPr>
              <w:spacing w:after="0"/>
              <w:rPr>
                <w:sz w:val="17"/>
                <w:szCs w:val="17"/>
                <w:color w:val="auto"/>
              </w:rPr>
            </w:pPr>
          </w:p>
        </w:tc>
        <w:tc>
          <w:tcPr>
            <w:tcW w:w="44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1,108</w:t>
            </w:r>
          </w:p>
        </w:tc>
        <w:tc>
          <w:tcPr>
            <w:tcW w:w="10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88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2040" w:type="dxa"/>
            <w:vAlign w:val="bottom"/>
            <w:gridSpan w:val="2"/>
            <w:shd w:val="clear" w:color="auto" w:fill="CFF0FC"/>
          </w:tcPr>
          <w:p>
            <w:pPr>
              <w:jc w:val="right"/>
              <w:ind w:right="808"/>
              <w:spacing w:after="0" w:line="18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6,082</w:t>
            </w:r>
          </w:p>
        </w:tc>
        <w:tc>
          <w:tcPr>
            <w:tcW w:w="66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5,336</w:t>
            </w:r>
          </w:p>
        </w:tc>
        <w:tc>
          <w:tcPr>
            <w:tcW w:w="2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5,025</w:t>
            </w:r>
          </w:p>
        </w:tc>
        <w:tc>
          <w:tcPr>
            <w:tcW w:w="100" w:type="dxa"/>
            <w:vAlign w:val="bottom"/>
            <w:shd w:val="clear" w:color="auto" w:fill="CFF0FC"/>
          </w:tcPr>
          <w:p>
            <w:pPr>
              <w:spacing w:after="0"/>
              <w:rPr>
                <w:sz w:val="17"/>
                <w:szCs w:val="17"/>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-316230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640" w:right="180" w:hanging="377"/>
        <w:spacing w:after="0" w:line="24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other segment items included in Net income including Income tax expense, Interest expense, net, Loss associated with impairment of long-lived assets, and Other income (expense), net.</w:t>
      </w:r>
    </w:p>
    <w:p>
      <w:pPr>
        <w:ind w:left="640" w:hanging="377"/>
        <w:spacing w:after="0" w:line="24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other reconciling items between Net income and Adjusted EBITDA including Acquisition-related expenses, Loss associated with impairment of long-lived assets, Stock-based compensation expense, Unrealized (gain) loss on marketable securities and other adjustments as defined by the Credit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ACQUISITION</w:t>
      </w:r>
    </w:p>
    <w:p>
      <w:pPr>
        <w:spacing w:after="0" w:line="117" w:lineRule="exact"/>
        <w:rPr>
          <w:sz w:val="20"/>
          <w:szCs w:val="20"/>
          <w:color w:val="auto"/>
        </w:rPr>
      </w:pPr>
    </w:p>
    <w:p>
      <w:pPr>
        <w:ind w:right="120" w:firstLine="494"/>
        <w:spacing w:after="0" w:line="242" w:lineRule="auto"/>
        <w:rPr>
          <w:sz w:val="20"/>
          <w:szCs w:val="20"/>
          <w:color w:val="auto"/>
        </w:rPr>
      </w:pPr>
      <w:r>
        <w:rPr>
          <w:rFonts w:ascii="Arial" w:cs="Arial" w:eastAsia="Arial" w:hAnsi="Arial"/>
          <w:sz w:val="18"/>
          <w:szCs w:val="18"/>
          <w:color w:val="auto"/>
        </w:rPr>
        <w:t>On June 11, 2025, the Company entered into the Purchase Agreement with Dana to acquire its off-highway business, a leading provider of drivetrain and propulsion solutions. In connection with the entry into the Purchase Agreement, the Company entered into a commitment letter (the “Commitment Letter”) with a group of lenders (the "Lenders"), pursuant to which the Lenders committed to provide a 364-day senior unsecured bridge term loan facility (the “Bridge Facility”), in an aggregate principal amount of up to $2,000 million, subject to customary conditions, including the execution and delivery of definitive documentation with respect to the Bridge Facility in accordance with the terms set forth in the Commitment Letter.</w:t>
      </w:r>
    </w:p>
    <w:p>
      <w:pPr>
        <w:spacing w:after="0" w:line="71"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In November 2025, ATI completed an offering of $500 million of the 5.875% Senior Notes 2033. The net proceeds from the offering will be used to pay for a portion of the Acquisition. See "Note 8. Debt” for additional details regarding the new debt.</w:t>
      </w:r>
    </w:p>
    <w:p>
      <w:pPr>
        <w:spacing w:after="0" w:line="46" w:lineRule="exact"/>
        <w:rPr>
          <w:sz w:val="20"/>
          <w:szCs w:val="20"/>
          <w:color w:val="auto"/>
        </w:rPr>
      </w:pPr>
    </w:p>
    <w:p>
      <w:pPr>
        <w:ind w:right="100" w:firstLine="494"/>
        <w:spacing w:after="0" w:line="271" w:lineRule="auto"/>
        <w:rPr>
          <w:sz w:val="20"/>
          <w:szCs w:val="20"/>
          <w:color w:val="auto"/>
        </w:rPr>
      </w:pPr>
      <w:r>
        <w:rPr>
          <w:rFonts w:ascii="Arial" w:cs="Arial" w:eastAsia="Arial" w:hAnsi="Arial"/>
          <w:sz w:val="18"/>
          <w:szCs w:val="18"/>
          <w:color w:val="auto"/>
        </w:rPr>
        <w:t>As of December 31, 2025, the Bridge Facility aggregate commitment principal amount had been reduced to $500 million as a result of the issuance of the 5.875% Senior Notes 2033 and our election to voluntarily reduce the aggregate commitments under the facility.</w:t>
      </w:r>
    </w:p>
    <w:p>
      <w:pPr>
        <w:spacing w:after="0" w:line="46" w:lineRule="exact"/>
        <w:rPr>
          <w:sz w:val="20"/>
          <w:szCs w:val="20"/>
          <w:color w:val="auto"/>
        </w:rPr>
      </w:pPr>
    </w:p>
    <w:p>
      <w:pPr>
        <w:ind w:right="120" w:firstLine="494"/>
        <w:spacing w:after="0" w:line="238" w:lineRule="auto"/>
        <w:rPr>
          <w:sz w:val="20"/>
          <w:szCs w:val="20"/>
          <w:color w:val="auto"/>
        </w:rPr>
      </w:pPr>
      <w:r>
        <w:rPr>
          <w:rFonts w:ascii="Arial" w:cs="Arial" w:eastAsia="Arial" w:hAnsi="Arial"/>
          <w:sz w:val="18"/>
          <w:szCs w:val="18"/>
          <w:color w:val="auto"/>
        </w:rPr>
        <w:t xml:space="preserve">On January 1, 2026, the Company completed the Acquisition and obtained control of the business for a purchase price of approximately $2,732 million, subject to certain adjustments, using a combination of cash on hand, proceeds from the 5.875% Senior Notes 2033, proceeds from the borrowings under the incremental term loan facility under the Credit Agreement in an aggregate principal amount equal to $1,200 million (the “Incremental Term Loan”) and borrowings under the Revolving Credit Facility. </w:t>
      </w:r>
      <w:r>
        <w:rPr>
          <w:rFonts w:ascii="Arial" w:cs="Arial" w:eastAsia="Arial" w:hAnsi="Arial"/>
          <w:sz w:val="18"/>
          <w:szCs w:val="18"/>
          <w:color w:val="212529"/>
        </w:rPr>
        <w:t>The Company will account for the</w:t>
      </w:r>
      <w:r>
        <w:rPr>
          <w:rFonts w:ascii="Arial" w:cs="Arial" w:eastAsia="Arial" w:hAnsi="Arial"/>
          <w:sz w:val="18"/>
          <w:szCs w:val="18"/>
          <w:color w:val="auto"/>
        </w:rPr>
        <w:t xml:space="preserve"> </w:t>
      </w:r>
      <w:r>
        <w:rPr>
          <w:rFonts w:ascii="Arial" w:cs="Arial" w:eastAsia="Arial" w:hAnsi="Arial"/>
          <w:sz w:val="18"/>
          <w:szCs w:val="18"/>
          <w:color w:val="212529"/>
        </w:rPr>
        <w:t xml:space="preserve">Acquisition in accordance with authoritative accounting guidance on business combinations. </w:t>
      </w:r>
      <w:r>
        <w:rPr>
          <w:rFonts w:ascii="Arial" w:cs="Arial" w:eastAsia="Arial" w:hAnsi="Arial"/>
          <w:sz w:val="18"/>
          <w:szCs w:val="18"/>
          <w:color w:val="000000"/>
        </w:rPr>
        <w:t>The off-highway business of Dana will be</w:t>
      </w:r>
      <w:r>
        <w:rPr>
          <w:rFonts w:ascii="Arial" w:cs="Arial" w:eastAsia="Arial" w:hAnsi="Arial"/>
          <w:sz w:val="18"/>
          <w:szCs w:val="18"/>
          <w:color w:val="212529"/>
        </w:rPr>
        <w:t xml:space="preserve"> </w:t>
      </w:r>
      <w:r>
        <w:rPr>
          <w:rFonts w:ascii="Arial" w:cs="Arial" w:eastAsia="Arial" w:hAnsi="Arial"/>
          <w:sz w:val="18"/>
          <w:szCs w:val="18"/>
          <w:color w:val="000000"/>
        </w:rPr>
        <w:t>included in the Company's Consolidated Financial Statements beginning on the date of Acquisition. Due to the limited amount of time since closing the transaction, the preliminary allocation of the purchase price is not yet complete. The Company expects the purchase price allocation for this transaction to result primarily in the recognition of identifiable intangible assets, property, plant and equipment, inventory and goodwill. The initial preliminary purchase price allocation will be provided within the Company's Form 10-Q as of and for the three months ended March 31, 2026. In 2025, the Company recognized $64 million of acquisition-related expenses recorded in Selling, general and administrative in the Company's Consolidated Statements of Comprehensive Income, primarily consisting of consulting and legal fees.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SUBSEQUENT EVENTS</w:t>
      </w:r>
    </w:p>
    <w:p>
      <w:pPr>
        <w:spacing w:after="0" w:line="104" w:lineRule="exact"/>
        <w:rPr>
          <w:sz w:val="20"/>
          <w:szCs w:val="20"/>
          <w:color w:val="auto"/>
        </w:rPr>
      </w:pPr>
    </w:p>
    <w:p>
      <w:pPr>
        <w:ind w:right="520" w:firstLine="494"/>
        <w:spacing w:after="0" w:line="301" w:lineRule="auto"/>
        <w:rPr>
          <w:sz w:val="20"/>
          <w:szCs w:val="20"/>
          <w:color w:val="auto"/>
        </w:rPr>
      </w:pPr>
      <w:r>
        <w:rPr>
          <w:rFonts w:ascii="Arial" w:cs="Arial" w:eastAsia="Arial" w:hAnsi="Arial"/>
          <w:sz w:val="17"/>
          <w:szCs w:val="17"/>
          <w:color w:val="auto"/>
        </w:rPr>
        <w:t>On January 1, 2026, the Company completed the Acquisition of the off-highway business of Dana for a purchase price of approximately $2,732 million, subject to certain adjustments. See “Note 24. Acquisition” for additional details regarding the Acquisition.</w:t>
      </w:r>
    </w:p>
    <w:p>
      <w:pPr>
        <w:spacing w:after="0" w:line="77"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On January 2, 2026, the Company entered into Amendment No.5 ("Amendment") to the Credit Agreement to provide for the Incremental Term Loan under the Credit Agreement in an aggregate principal amount equal to $1,200 million, which matures on January 2, 2033 (with a springing maturity to the maturity date of the Term Loan in the event that the Term Loan matures on any date prior to January 2, 2033), and increased the commitments under the existing Revolving Credit Facility by $250 million to an aggregate principal amount of up to $1,000 million. The Amendment also extended the maturity date of the Revolving Credit Facility from March 13, 2029 to January 2, 2031. Additionally, on January 2, 2026, the Company borrowed $300 million under the Revolving Credit Facility. The proceeds from the borrowings under the Incremental Term Loan and the Revolving Credit Facility were used to pay a portion of the consideration for the Acquisition and fees, costs and expenses related to the Acquisition. Short-term and long-term debt service liquidity requirements consist of $3 million of minimum required quarterly principal payments on ATI’s Incremental Term Loan through its maturity date of January 2033 and periodic interest payments on ATI's Incremental Term Loan and Revolving Credit Facility. No amount was drawn from the Bridge Facility, and it was terminated upon the completion of the Acquisition.</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Balance Sheets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w:t>
            </w:r>
          </w:p>
        </w:tc>
        <w:tc>
          <w:tcPr>
            <w:tcW w:w="1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6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Current Assets</w:t>
            </w:r>
          </w:p>
        </w:tc>
        <w:tc>
          <w:tcPr>
            <w:tcW w:w="16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203"/>
        </w:trPr>
        <w:tc>
          <w:tcPr>
            <w:tcW w:w="6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Investments in and advances to subsidiaries</w:t>
            </w:r>
          </w:p>
        </w:tc>
        <w:tc>
          <w:tcPr>
            <w:tcW w:w="16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1,867</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1,651</w:t>
            </w:r>
          </w:p>
        </w:tc>
      </w:tr>
      <w:tr>
        <w:trPr>
          <w:trHeight w:val="196"/>
        </w:trPr>
        <w:tc>
          <w:tcPr>
            <w:tcW w:w="6060" w:type="dxa"/>
            <w:vAlign w:val="bottom"/>
          </w:tcPr>
          <w:p>
            <w:pPr>
              <w:spacing w:after="0" w:line="196" w:lineRule="exact"/>
              <w:rPr>
                <w:sz w:val="20"/>
                <w:szCs w:val="20"/>
                <w:color w:val="auto"/>
              </w:rPr>
            </w:pPr>
            <w:r>
              <w:rPr>
                <w:rFonts w:ascii="Arial" w:cs="Arial" w:eastAsia="Arial" w:hAnsi="Arial"/>
                <w:sz w:val="18"/>
                <w:szCs w:val="18"/>
                <w:color w:val="auto"/>
              </w:rPr>
              <w:t>TOTAL ASSETS</w:t>
            </w:r>
          </w:p>
        </w:tc>
        <w:tc>
          <w:tcPr>
            <w:tcW w:w="18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1,867</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1,651</w:t>
            </w:r>
          </w:p>
        </w:tc>
      </w:tr>
      <w:tr>
        <w:trPr>
          <w:trHeight w:val="20"/>
        </w:trPr>
        <w:tc>
          <w:tcPr>
            <w:tcW w:w="6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06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6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Current Liabilities</w:t>
            </w:r>
          </w:p>
        </w:tc>
        <w:tc>
          <w:tcPr>
            <w:tcW w:w="16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203"/>
        </w:trPr>
        <w:tc>
          <w:tcPr>
            <w:tcW w:w="6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Capital stock</w:t>
            </w: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w:t>
            </w:r>
          </w:p>
        </w:tc>
      </w:tr>
      <w:tr>
        <w:trPr>
          <w:trHeight w:val="203"/>
        </w:trPr>
        <w:tc>
          <w:tcPr>
            <w:tcW w:w="6060" w:type="dxa"/>
            <w:vAlign w:val="bottom"/>
          </w:tcPr>
          <w:p>
            <w:pPr>
              <w:ind w:left="200"/>
              <w:spacing w:after="0" w:line="202" w:lineRule="exact"/>
              <w:rPr>
                <w:sz w:val="20"/>
                <w:szCs w:val="20"/>
                <w:color w:val="auto"/>
              </w:rPr>
            </w:pPr>
            <w:r>
              <w:rPr>
                <w:rFonts w:ascii="Arial" w:cs="Arial" w:eastAsia="Arial" w:hAnsi="Arial"/>
                <w:sz w:val="18"/>
                <w:szCs w:val="18"/>
                <w:color w:val="auto"/>
              </w:rPr>
              <w:t>Paid in capital</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1,960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1,940</w:t>
            </w:r>
          </w:p>
        </w:tc>
      </w:tr>
      <w:tr>
        <w:trPr>
          <w:trHeight w:val="203"/>
        </w:trPr>
        <w:tc>
          <w:tcPr>
            <w:tcW w:w="6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w:t>
            </w:r>
          </w:p>
        </w:tc>
      </w:tr>
      <w:tr>
        <w:trPr>
          <w:trHeight w:val="203"/>
        </w:trPr>
        <w:tc>
          <w:tcPr>
            <w:tcW w:w="606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1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1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1,867</w:t>
            </w:r>
          </w:p>
        </w:tc>
        <w:tc>
          <w:tcPr>
            <w:tcW w:w="3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1,651</w:t>
            </w: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-1628140</wp:posOffset>
            </wp:positionV>
            <wp:extent cx="1111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-1362710</wp:posOffset>
            </wp:positionV>
            <wp:extent cx="1111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-814070</wp:posOffset>
            </wp:positionV>
            <wp:extent cx="1111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Comprehensive Income</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4"/>
                <w:szCs w:val="14"/>
                <w:color w:val="auto"/>
              </w:rPr>
            </w:pPr>
          </w:p>
        </w:tc>
      </w:tr>
      <w:tr>
        <w:trPr>
          <w:trHeight w:val="156"/>
        </w:trPr>
        <w:tc>
          <w:tcPr>
            <w:tcW w:w="6640" w:type="dxa"/>
            <w:vAlign w:val="bottom"/>
          </w:tcPr>
          <w:p>
            <w:pPr>
              <w:spacing w:after="0"/>
              <w:rPr>
                <w:sz w:val="13"/>
                <w:szCs w:val="13"/>
                <w:color w:val="auto"/>
              </w:rPr>
            </w:pPr>
          </w:p>
        </w:tc>
        <w:tc>
          <w:tcPr>
            <w:tcW w:w="940" w:type="dxa"/>
            <w:vAlign w:val="bottom"/>
            <w:tcBorders>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940" w:type="dxa"/>
            <w:vAlign w:val="bottom"/>
            <w:shd w:val="clear" w:color="auto" w:fill="CFF0FC"/>
          </w:tcPr>
          <w:p>
            <w:pPr>
              <w:jc w:val="right"/>
              <w:ind w:right="735"/>
              <w:spacing w:after="0" w:line="196" w:lineRule="exact"/>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gridSpan w:val="3"/>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General and administrative fees</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66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operating income</w:t>
            </w:r>
          </w:p>
        </w:tc>
        <w:tc>
          <w:tcPr>
            <w:tcW w:w="9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Other income:</w:t>
            </w: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Equity earnings of consolidated subsidiary</w:t>
            </w:r>
          </w:p>
        </w:tc>
        <w:tc>
          <w:tcPr>
            <w:tcW w:w="9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623</w:t>
            </w: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731</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673</w:t>
            </w: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731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673</w:t>
            </w:r>
          </w:p>
        </w:tc>
      </w:tr>
      <w:tr>
        <w:trPr>
          <w:trHeight w:val="203"/>
        </w:trPr>
        <w:tc>
          <w:tcPr>
            <w:tcW w:w="6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6640" w:type="dxa"/>
            <w:vAlign w:val="bottom"/>
          </w:tcPr>
          <w:p>
            <w:pPr>
              <w:spacing w:after="0" w:line="182" w:lineRule="exact"/>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5"/>
              <w:spacing w:after="0" w:line="182" w:lineRule="exact"/>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623</w:t>
            </w:r>
          </w:p>
        </w:tc>
        <w:tc>
          <w:tcPr>
            <w:tcW w:w="540" w:type="dxa"/>
            <w:vAlign w:val="bottom"/>
            <w:gridSpan w:val="3"/>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line="182" w:lineRule="exact"/>
              <w:rPr>
                <w:sz w:val="20"/>
                <w:szCs w:val="20"/>
                <w:color w:val="auto"/>
              </w:rPr>
            </w:pPr>
            <w:r>
              <w:rPr>
                <w:rFonts w:ascii="Arial" w:cs="Arial" w:eastAsia="Arial" w:hAnsi="Arial"/>
                <w:sz w:val="18"/>
                <w:szCs w:val="18"/>
                <w:color w:val="auto"/>
              </w:rPr>
              <w:t>731</w:t>
            </w:r>
          </w:p>
        </w:tc>
        <w:tc>
          <w:tcPr>
            <w:tcW w:w="4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line="182" w:lineRule="exact"/>
              <w:rPr>
                <w:sz w:val="20"/>
                <w:szCs w:val="20"/>
                <w:color w:val="auto"/>
              </w:rPr>
            </w:pPr>
            <w:r>
              <w:rPr>
                <w:rFonts w:ascii="Arial" w:cs="Arial" w:eastAsia="Arial" w:hAnsi="Arial"/>
                <w:sz w:val="18"/>
                <w:szCs w:val="18"/>
                <w:color w:val="auto"/>
              </w:rPr>
              <w:t>673</w:t>
            </w:r>
          </w:p>
        </w:tc>
      </w:tr>
      <w:tr>
        <w:trPr>
          <w:trHeight w:val="20"/>
        </w:trPr>
        <w:tc>
          <w:tcPr>
            <w:tcW w:w="6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6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Comprehensive income</w:t>
            </w:r>
          </w:p>
        </w:tc>
        <w:tc>
          <w:tcPr>
            <w:tcW w:w="940" w:type="dxa"/>
            <w:vAlign w:val="bottom"/>
            <w:shd w:val="clear" w:color="auto" w:fill="CFF0FC"/>
          </w:tcPr>
          <w:p>
            <w:pPr>
              <w:jc w:val="right"/>
              <w:ind w:right="735"/>
              <w:spacing w:after="0" w:line="182" w:lineRule="exact"/>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618</w:t>
            </w: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2"/>
              <w:spacing w:after="0" w:line="182" w:lineRule="exact"/>
              <w:rPr>
                <w:sz w:val="20"/>
                <w:szCs w:val="20"/>
                <w:color w:val="auto"/>
              </w:rPr>
            </w:pPr>
            <w:r>
              <w:rPr>
                <w:rFonts w:ascii="Arial" w:cs="Arial" w:eastAsia="Arial" w:hAnsi="Arial"/>
                <w:sz w:val="18"/>
                <w:szCs w:val="18"/>
                <w:color w:val="auto"/>
              </w:rPr>
              <w:t>711</w:t>
            </w:r>
          </w:p>
        </w:tc>
        <w:tc>
          <w:tcPr>
            <w:tcW w:w="44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2"/>
              <w:spacing w:after="0" w:line="182" w:lineRule="exact"/>
              <w:rPr>
                <w:sz w:val="20"/>
                <w:szCs w:val="20"/>
                <w:color w:val="auto"/>
              </w:rPr>
            </w:pPr>
            <w:r>
              <w:rPr>
                <w:rFonts w:ascii="Arial" w:cs="Arial" w:eastAsia="Arial" w:hAnsi="Arial"/>
                <w:sz w:val="18"/>
                <w:szCs w:val="18"/>
                <w:color w:val="auto"/>
              </w:rPr>
              <w:t>664</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-848360</wp:posOffset>
            </wp:positionV>
            <wp:extent cx="857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-848360</wp:posOffset>
            </wp:positionV>
            <wp:extent cx="857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-582295</wp:posOffset>
            </wp:positionV>
            <wp:extent cx="857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-582295</wp:posOffset>
            </wp:positionV>
            <wp:extent cx="857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-316865</wp:posOffset>
            </wp:positionV>
            <wp:extent cx="857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-316865</wp:posOffset>
            </wp:positionV>
            <wp:extent cx="857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857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857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857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857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Cash Flows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56"/>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728"/>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623</w:t>
            </w: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731</w:t>
            </w:r>
          </w:p>
        </w:tc>
        <w:tc>
          <w:tcPr>
            <w:tcW w:w="1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673</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Deduct items included in net income not providing cash:</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Equity in earnings in consolidated subsidiary</w:t>
            </w: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(623)</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(731)</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(673)</w:t>
            </w:r>
          </w:p>
        </w:tc>
      </w:tr>
      <w:tr>
        <w:trPr>
          <w:trHeight w:val="196"/>
        </w:trPr>
        <w:tc>
          <w:tcPr>
            <w:tcW w:w="664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w:t>
            </w:r>
          </w:p>
        </w:tc>
      </w:tr>
      <w:tr>
        <w:trPr>
          <w:trHeight w:val="196"/>
        </w:trPr>
        <w:tc>
          <w:tcPr>
            <w:tcW w:w="66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Borders>
              <w:top w:val="single" w:sz="8" w:color="CFF0F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03"/>
        </w:trPr>
        <w:tc>
          <w:tcPr>
            <w:tcW w:w="66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Investments in subsidiaries</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91</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87</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83</w:t>
            </w:r>
          </w:p>
        </w:tc>
      </w:tr>
      <w:tr>
        <w:trPr>
          <w:trHeight w:val="196"/>
        </w:trPr>
        <w:tc>
          <w:tcPr>
            <w:tcW w:w="6640" w:type="dxa"/>
            <w:vAlign w:val="bottom"/>
            <w:tcBorders>
              <w:bottom w:val="single" w:sz="8" w:color="CFF0FC"/>
            </w:tcBorders>
            <w:shd w:val="clear" w:color="auto" w:fill="CFF0FC"/>
          </w:tcPr>
          <w:p>
            <w:pPr>
              <w:ind w:left="340"/>
              <w:spacing w:after="0" w:line="196" w:lineRule="exact"/>
              <w:rPr>
                <w:sz w:val="20"/>
                <w:szCs w:val="20"/>
                <w:color w:val="auto"/>
              </w:rPr>
            </w:pPr>
            <w:r>
              <w:rPr>
                <w:rFonts w:ascii="Arial" w:cs="Arial" w:eastAsia="Arial" w:hAnsi="Arial"/>
                <w:sz w:val="18"/>
                <w:szCs w:val="18"/>
                <w:color w:val="auto"/>
              </w:rPr>
              <w:t>Net cash provided by investing activities</w:t>
            </w:r>
          </w:p>
        </w:tc>
        <w:tc>
          <w:tcPr>
            <w:tcW w:w="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83</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55</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55</w:t>
            </w: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6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Capital contributions</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28</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(91)</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w:t>
            </w:r>
          </w:p>
        </w:tc>
      </w:tr>
      <w:tr>
        <w:trPr>
          <w:trHeight w:val="196"/>
        </w:trPr>
        <w:tc>
          <w:tcPr>
            <w:tcW w:w="6640" w:type="dxa"/>
            <w:vAlign w:val="bottom"/>
            <w:tcBorders>
              <w:bottom w:val="single" w:sz="8" w:color="CFF0FC"/>
            </w:tcBorders>
            <w:shd w:val="clear" w:color="auto" w:fill="CFF0FC"/>
          </w:tcPr>
          <w:p>
            <w:pPr>
              <w:ind w:left="340"/>
              <w:spacing w:after="0" w:line="196" w:lineRule="exact"/>
              <w:rPr>
                <w:sz w:val="20"/>
                <w:szCs w:val="20"/>
                <w:color w:val="auto"/>
              </w:rPr>
            </w:pPr>
            <w:r>
              <w:rPr>
                <w:rFonts w:ascii="Arial" w:cs="Arial" w:eastAsia="Arial" w:hAnsi="Arial"/>
                <w:sz w:val="18"/>
                <w:szCs w:val="18"/>
                <w:color w:val="auto"/>
              </w:rPr>
              <w:t>Net cash used in financing activities</w:t>
            </w:r>
          </w:p>
        </w:tc>
        <w:tc>
          <w:tcPr>
            <w:tcW w:w="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(83)</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Net increase (decrease) during period</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900" w:type="dxa"/>
            <w:vAlign w:val="bottom"/>
            <w:gridSpan w:val="2"/>
          </w:tcPr>
          <w:p>
            <w:pPr>
              <w:jc w:val="right"/>
              <w:ind w:right="728"/>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w:t>
            </w: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-1490980</wp:posOffset>
            </wp:positionV>
            <wp:extent cx="1028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-1490980</wp:posOffset>
            </wp:positionV>
            <wp:extent cx="939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-959485</wp:posOffset>
            </wp:positionV>
            <wp:extent cx="1028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-959485</wp:posOffset>
            </wp:positionV>
            <wp:extent cx="939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-427990</wp:posOffset>
            </wp:positionV>
            <wp:extent cx="1028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-427990</wp:posOffset>
            </wp:positionV>
            <wp:extent cx="939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-162560</wp:posOffset>
            </wp:positionV>
            <wp:extent cx="1028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-162560</wp:posOffset>
            </wp:positionV>
            <wp:extent cx="939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Allison Transmission Holdings,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I—Parent Company only Footnote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58" w:lineRule="exact"/>
        <w:rPr>
          <w:sz w:val="20"/>
          <w:szCs w:val="20"/>
          <w:color w:val="auto"/>
        </w:rPr>
      </w:pPr>
    </w:p>
    <w:p>
      <w:pPr>
        <w:ind w:right="100" w:firstLine="494"/>
        <w:spacing w:after="0" w:line="245" w:lineRule="auto"/>
        <w:rPr>
          <w:sz w:val="20"/>
          <w:szCs w:val="20"/>
          <w:color w:val="auto"/>
        </w:rPr>
      </w:pPr>
      <w:r>
        <w:rPr>
          <w:rFonts w:ascii="Arial" w:cs="Arial" w:eastAsia="Arial" w:hAnsi="Arial"/>
          <w:sz w:val="18"/>
          <w:szCs w:val="18"/>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w:t>
      </w:r>
    </w:p>
    <w:p>
      <w:pPr>
        <w:ind w:firstLine="8"/>
        <w:spacing w:after="0" w:line="239" w:lineRule="auto"/>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of Notes to Consolidated Financial Statements). The entire amount of the Parent Company’s consolidated net assets was subject to restrictions on payment of dividends as of December 31, 2025, 2024 and 2023. 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8" w:lineRule="exact"/>
        <w:rPr>
          <w:sz w:val="20"/>
          <w:szCs w:val="20"/>
          <w:color w:val="auto"/>
        </w:rPr>
      </w:pPr>
    </w:p>
    <w:p>
      <w:pPr>
        <w:ind w:right="140" w:firstLine="494"/>
        <w:spacing w:after="0"/>
        <w:rPr>
          <w:sz w:val="20"/>
          <w:szCs w:val="20"/>
          <w:color w:val="auto"/>
        </w:rPr>
      </w:pPr>
      <w:r>
        <w:rPr>
          <w:rFonts w:ascii="Arial" w:cs="Arial" w:eastAsia="Arial" w:hAnsi="Arial"/>
          <w:sz w:val="18"/>
          <w:szCs w:val="18"/>
          <w:color w:val="auto"/>
        </w:rPr>
        <w:t>Our management, with the participation of our Chief Executive Officer, who is our principal executive officer, and our Chief Financial Officer, who is our principal financial officer, evaluated the effectiveness of our disclosure controls and procedures (as defined in Rules 13a-15(e) and 15d-15(e) under the Exchange Act), as of December 31, 2025.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31"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December 31, 2025,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8"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0" w:lineRule="exact"/>
        <w:rPr>
          <w:sz w:val="20"/>
          <w:szCs w:val="20"/>
          <w:color w:val="auto"/>
        </w:rPr>
      </w:pPr>
    </w:p>
    <w:p>
      <w:pPr>
        <w:ind w:right="180" w:firstLine="494"/>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assessment of the effectiveness of our internal control over financial reporting as of December 31, 2025. In making this assessment, our management used the criteria set forth by the Committee of Sponsoring Organizations of the Treadway Commission in Internal Control—Integrated Framework (2013). Based on this assessment, management concluded that our internal control over financial reporting was effective as of December 31, 2025. PricewaterhouseCoopers LLP, our independent registered public accounting firm, has audited the effectiveness of our internal control over financial reporting as of December 31, 2025. Their report is included in Part II, Item 8., “Financial Statements and Supplementary Data” in this Annual Report on Form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8"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Insider Trading Arrangements</w:t>
      </w:r>
    </w:p>
    <w:p>
      <w:pPr>
        <w:spacing w:after="0" w:line="104" w:lineRule="exact"/>
        <w:rPr>
          <w:sz w:val="20"/>
          <w:szCs w:val="20"/>
          <w:color w:val="auto"/>
        </w:rPr>
      </w:pPr>
    </w:p>
    <w:p>
      <w:pPr>
        <w:ind w:right="160" w:firstLine="499"/>
        <w:spacing w:after="0" w:line="247" w:lineRule="auto"/>
        <w:rPr>
          <w:sz w:val="20"/>
          <w:szCs w:val="20"/>
          <w:color w:val="auto"/>
        </w:rPr>
      </w:pPr>
      <w:r>
        <w:rPr>
          <w:rFonts w:ascii="Arial" w:cs="Arial" w:eastAsia="Arial" w:hAnsi="Arial"/>
          <w:sz w:val="18"/>
          <w:szCs w:val="18"/>
          <w:color w:val="auto"/>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December 31, 2025:</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Trading Arrangement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Shares to</w:t>
            </w:r>
          </w:p>
        </w:tc>
        <w:tc>
          <w:tcPr>
            <w:tcW w:w="2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6"/>
        </w:trPr>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Rule</w:t>
            </w:r>
          </w:p>
        </w:tc>
        <w:tc>
          <w:tcPr>
            <w:tcW w:w="1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Non-Rule</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266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Action</w:t>
            </w: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10b5-1*</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10b5-1**</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be Sold</w:t>
            </w: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77"/>
        </w:trPr>
        <w:tc>
          <w:tcPr>
            <w:tcW w:w="1880" w:type="dxa"/>
            <w:vAlign w:val="bottom"/>
            <w:shd w:val="clear" w:color="auto" w:fill="CFF0FC"/>
          </w:tcPr>
          <w:p>
            <w:pPr>
              <w:spacing w:after="0"/>
              <w:rPr>
                <w:sz w:val="15"/>
                <w:szCs w:val="15"/>
                <w:color w:val="auto"/>
              </w:rPr>
            </w:pPr>
          </w:p>
        </w:tc>
        <w:tc>
          <w:tcPr>
            <w:tcW w:w="2820" w:type="dxa"/>
            <w:vAlign w:val="bottom"/>
            <w:gridSpan w:val="2"/>
            <w:shd w:val="clear" w:color="auto" w:fill="CFF0FC"/>
          </w:tcPr>
          <w:p>
            <w:pPr>
              <w:ind w:left="160"/>
              <w:spacing w:after="0" w:line="177" w:lineRule="exact"/>
              <w:rPr>
                <w:sz w:val="20"/>
                <w:szCs w:val="20"/>
                <w:color w:val="auto"/>
              </w:rPr>
            </w:pPr>
            <w:r>
              <w:rPr>
                <w:rFonts w:ascii="Arial" w:cs="Arial" w:eastAsia="Arial" w:hAnsi="Arial"/>
                <w:sz w:val="18"/>
                <w:szCs w:val="18"/>
                <w:color w:val="auto"/>
              </w:rPr>
              <w:t>Vice President, Defense</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Dana J.H. Pittard</w:t>
            </w:r>
          </w:p>
        </w:tc>
        <w:tc>
          <w:tcPr>
            <w:tcW w:w="28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Programs</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Adopted</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10/31/2025</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6,829</w:t>
            </w:r>
          </w:p>
        </w:tc>
        <w:tc>
          <w:tcPr>
            <w:tcW w:w="12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1/29/2027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Intended to satisfy the affirmative defense of Rule 10b5-1(c)</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Not intended to satisfy the affirmative defense of Rule 10b5-1(c)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58"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The information required by this Item concerning our executive officers, directors and nominees for director and Audit Committee members and financial expert(s) and disclosure of delinquent filers under Section 16(a) of the Exchange Act will be set forth under the headings “Executive Officers,” “Proposal No. 1 – To elect nine directors,” “Meetings and Committees of our Board” and “Stock Ownership” in our definitive Proxy Statement for our 2026 annual meeting of stockholders, which will be filed with the SEC pursuant to Regulation 14A within 120 days after the end of our last fiscal year, and such information is incorporated herein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58"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https://ir.allisontransmission.com. We will post on the Investor Relations section of our website any amendment to the Allison Code of Business Conduct, or any grant of a waiver from a provision of the Allison Code of Business Conduct.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58"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We have adopted the Allison Insider Trading Policy and the Addendum to Insider Trading Policy governing the purchase, sale, or other dispositions of our securities by our directors, officers, and employees that we believe are reasonably designed to promote compliance with insider trading laws, rules and regulations, and the New York Stock Exchange listing standards applicable to us. A copy of our insider trading policy and related addendum are filed as exhibits to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58" w:lineRule="exact"/>
        <w:rPr>
          <w:sz w:val="20"/>
          <w:szCs w:val="20"/>
          <w:color w:val="auto"/>
        </w:rPr>
      </w:pPr>
    </w:p>
    <w:p>
      <w:pPr>
        <w:ind w:right="120" w:firstLine="494"/>
        <w:spacing w:after="0" w:line="242" w:lineRule="auto"/>
        <w:rPr>
          <w:sz w:val="20"/>
          <w:szCs w:val="20"/>
          <w:color w:val="auto"/>
        </w:rPr>
      </w:pPr>
      <w:r>
        <w:rPr>
          <w:rFonts w:ascii="Arial" w:cs="Arial" w:eastAsia="Arial" w:hAnsi="Arial"/>
          <w:sz w:val="18"/>
          <w:szCs w:val="18"/>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and CEO pay ratio disclosure, will be set forth under the headings “Executive Compensation,” “Director Compensation,” “Meetings and Committees of our Board” and “Ratio of CEO Compensation to Median of Employees” in our definitive Proxy Statement for our 2026 annual meeting of stockholders, which will be filed with the SEC pursuant to Regulation 14A within 120 days after the end of our last fiscal year, and such information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58"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The information required by this Item concerning the stock ownership of management and five percent beneficial owners and securities authorized for issuance under equity compensation plans will be set forth under the headings “Stock Ownership” and “Equity Compensation Plan Information” in our definitive Proxy Statement for our 2026 annual meeting of stockholders, which will be filed with the SEC pursuant to Regulation 14A within 120 days after the end of our last fiscal year, and such information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58"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The information required by this Item concerning certain relationships and related person transactions, and director independence will be set forth under the headings “Corporate Governance” and “Certain Relationships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Related Person Transactions” in our definitive Proxy Statement for our 2026 annual meeting of stockholders, which will be filed with the SEC pursuant to Regulation 14A within 120 days after the end of our last fiscal year, and such information is incorporated herein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58"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The information required by this Item concerning the fees and services of our independent registered public accounting firm and our Audit Committee actions with respect thereto will be set forth under the heading “Proposal No. 2 – To ratify the appointment of PricewaterhouseCoopers LLP as our independent registered public accounting firm for 2026” in our definitive Proxy Statement for our 2026 annual meeting of stockholders, which will be filed with the SEC pursuant to Regulation 14A within 120 days after the end of our last fiscal year, and such information is incorporated herein by reference.</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response to this item is included in Part II, Item 8., of this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58" w:lineRule="exact"/>
        <w:rPr>
          <w:sz w:val="20"/>
          <w:szCs w:val="20"/>
          <w:color w:val="auto"/>
        </w:rPr>
      </w:pPr>
    </w:p>
    <w:p>
      <w:pPr>
        <w:ind w:right="220" w:firstLine="494"/>
        <w:spacing w:after="0" w:line="244" w:lineRule="auto"/>
        <w:rPr>
          <w:sz w:val="20"/>
          <w:szCs w:val="20"/>
          <w:color w:val="auto"/>
        </w:rPr>
      </w:pPr>
      <w:r>
        <w:rPr>
          <w:rFonts w:ascii="Arial" w:cs="Arial" w:eastAsia="Arial" w:hAnsi="Arial"/>
          <w:sz w:val="18"/>
          <w:szCs w:val="18"/>
          <w:color w:val="auto"/>
        </w:rPr>
        <w:t>Schedule I – Parent Company only Balance Sheets as of the years ended December 31, 2025 and 2024, Schedule I – Parent Company only Statements of Comprehensive Income for the years ended December 31, 2025, 2024 and 2023, Schedule I – Parent Company only Statements of Cash Flows for the years ended December 31, 2025, 2024 and 2023 and Schedule I – Parent Company only Footnote are included in Part II, Item 8., of this Annual Report on Form 10-K. All other schedules have been omitted because they are not required or because the information required is included in the Consolidated Financial Statements and notes thereto.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the response to Item 15.(b)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as part of, or are incorporated by reference into, this Annual Report on Form 10-K: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700" w:type="dxa"/>
            <w:vAlign w:val="bottom"/>
            <w:tcBorders>
              <w:bottom w:val="single" w:sz="8" w:color="auto"/>
            </w:tcBorders>
            <w:gridSpan w:val="16"/>
          </w:tcPr>
          <w:p>
            <w:pPr>
              <w:ind w:left="680"/>
              <w:spacing w:after="0"/>
              <w:rPr>
                <w:sz w:val="20"/>
                <w:szCs w:val="20"/>
                <w:color w:val="auto"/>
              </w:rPr>
            </w:pPr>
            <w:r>
              <w:rPr>
                <w:rFonts w:ascii="Arial" w:cs="Arial" w:eastAsia="Arial" w:hAnsi="Arial"/>
                <w:sz w:val="14"/>
                <w:szCs w:val="14"/>
                <w:b w:val="1"/>
                <w:bCs w:val="1"/>
                <w:color w:val="auto"/>
              </w:rPr>
              <w:t>DESCRIPTION OF EXHIBIT</w:t>
            </w:r>
          </w:p>
        </w:tc>
        <w:tc>
          <w:tcPr>
            <w:tcW w:w="60" w:type="dxa"/>
            <w:vAlign w:val="bottom"/>
          </w:tcPr>
          <w:p>
            <w:pPr>
              <w:spacing w:after="0"/>
              <w:rPr>
                <w:sz w:val="14"/>
                <w:szCs w:val="14"/>
                <w:color w:val="auto"/>
              </w:rPr>
            </w:pPr>
          </w:p>
        </w:tc>
      </w:tr>
      <w:tr>
        <w:trPr>
          <w:trHeight w:val="290"/>
        </w:trPr>
        <w:tc>
          <w:tcPr>
            <w:tcW w:w="880" w:type="dxa"/>
            <w:vAlign w:val="bottom"/>
            <w:gridSpan w:val="2"/>
          </w:tcPr>
          <w:p>
            <w:pPr>
              <w:jc w:val="cente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240" w:type="dxa"/>
            <w:vAlign w:val="bottom"/>
            <w:gridSpan w:val="20"/>
          </w:tcPr>
          <w:p>
            <w:pPr>
              <w:spacing w:after="0"/>
              <w:rPr>
                <w:rFonts w:ascii="Arial" w:cs="Arial" w:eastAsia="Arial" w:hAnsi="Arial"/>
                <w:sz w:val="18"/>
                <w:szCs w:val="18"/>
                <w:color w:val="0000FF"/>
              </w:rPr>
            </w:pPr>
            <w:hyperlink r:id="rId355">
              <w:r>
                <w:rPr>
                  <w:rFonts w:ascii="Arial" w:cs="Arial" w:eastAsia="Arial" w:hAnsi="Arial"/>
                  <w:sz w:val="18"/>
                  <w:szCs w:val="18"/>
                  <w:color w:val="0000FF"/>
                </w:rPr>
                <w:t>Stock Purchase Agreement, dated June 11, 2025, by and between Dana Incorporated and Allison Transmission Holdings, Inc.</w:t>
              </w:r>
            </w:hyperlink>
          </w:p>
        </w:tc>
      </w:tr>
      <w:tr>
        <w:trPr>
          <w:trHeight w:val="183"/>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8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355">
              <w:r>
                <w:rPr>
                  <w:rFonts w:ascii="Arial" w:cs="Arial" w:eastAsia="Arial" w:hAnsi="Arial"/>
                  <w:sz w:val="18"/>
                  <w:szCs w:val="18"/>
                  <w:color w:val="0000FF"/>
                </w:rPr>
                <w:t>(incorporated by reference to Exhibit 2.1 to the Registrant's Current Report on Form 8-K filed June 13, 2025</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0"/>
        </w:trPr>
        <w:tc>
          <w:tcPr>
            <w:tcW w:w="8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880" w:type="dxa"/>
            <w:vAlign w:val="bottom"/>
            <w:gridSpan w:val="2"/>
          </w:tcPr>
          <w:p>
            <w:pPr>
              <w:jc w:val="cente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40" w:type="dxa"/>
            <w:vAlign w:val="bottom"/>
            <w:gridSpan w:val="20"/>
          </w:tcPr>
          <w:p>
            <w:pPr>
              <w:spacing w:after="0"/>
              <w:rPr>
                <w:rFonts w:ascii="Arial" w:cs="Arial" w:eastAsia="Arial" w:hAnsi="Arial"/>
                <w:sz w:val="18"/>
                <w:szCs w:val="18"/>
                <w:color w:val="0000FF"/>
              </w:rPr>
            </w:pPr>
            <w:hyperlink r:id="rId356">
              <w:r>
                <w:rPr>
                  <w:rFonts w:ascii="Arial" w:cs="Arial" w:eastAsia="Arial" w:hAnsi="Arial"/>
                  <w:sz w:val="18"/>
                  <w:szCs w:val="18"/>
                  <w:color w:val="0000FF"/>
                </w:rPr>
                <w:t>Second Amended and Restated Certificate of Incorporation of Allison Transmission Holdings, Inc. (incorporated by reference to</w:t>
              </w:r>
            </w:hyperlink>
          </w:p>
        </w:tc>
      </w:tr>
      <w:tr>
        <w:trPr>
          <w:trHeight w:val="183"/>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356">
              <w:r>
                <w:rPr>
                  <w:rFonts w:ascii="Arial" w:cs="Arial" w:eastAsia="Arial" w:hAnsi="Arial"/>
                  <w:sz w:val="18"/>
                  <w:szCs w:val="18"/>
                  <w:color w:val="0000FF"/>
                </w:rPr>
                <w:t>Exhibit 3.1 to the Registrant’s Quarterly Report on Form 10-Q for the quarter ended March 31, 2012 filed April 26, 2012)</w:t>
              </w:r>
            </w:hyperlink>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0"/>
        </w:trPr>
        <w:tc>
          <w:tcPr>
            <w:tcW w:w="8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880" w:type="dxa"/>
            <w:vAlign w:val="bottom"/>
            <w:gridSpan w:val="2"/>
          </w:tcPr>
          <w:p>
            <w:pPr>
              <w:jc w:val="cente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240" w:type="dxa"/>
            <w:vAlign w:val="bottom"/>
            <w:gridSpan w:val="20"/>
          </w:tcPr>
          <w:p>
            <w:pPr>
              <w:spacing w:after="0"/>
              <w:rPr>
                <w:rFonts w:ascii="Arial" w:cs="Arial" w:eastAsia="Arial" w:hAnsi="Arial"/>
                <w:sz w:val="18"/>
                <w:szCs w:val="18"/>
                <w:color w:val="0000FF"/>
              </w:rPr>
            </w:pPr>
            <w:hyperlink r:id="rId357">
              <w:r>
                <w:rPr>
                  <w:rFonts w:ascii="Arial" w:cs="Arial" w:eastAsia="Arial" w:hAnsi="Arial"/>
                  <w:sz w:val="18"/>
                  <w:szCs w:val="18"/>
                  <w:color w:val="0000FF"/>
                </w:rPr>
                <w:t>Amendment to Second Amended and Restated Certificate of Incorporation of Allison Transmission Holdings, Inc. (incorporated</w:t>
              </w:r>
            </w:hyperlink>
          </w:p>
        </w:tc>
      </w:tr>
      <w:tr>
        <w:trPr>
          <w:trHeight w:val="183"/>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357">
              <w:r>
                <w:rPr>
                  <w:rFonts w:ascii="Arial" w:cs="Arial" w:eastAsia="Arial" w:hAnsi="Arial"/>
                  <w:sz w:val="18"/>
                  <w:szCs w:val="18"/>
                  <w:color w:val="0000FF"/>
                  <w:w w:val="99"/>
                </w:rPr>
                <w:t>by reference to Exhibit 3.1 to the Registrant’s Current Report on Form 8-K filed May 18, 2016)</w:t>
              </w:r>
            </w:hyperlink>
          </w:p>
        </w:tc>
        <w:tc>
          <w:tcPr>
            <w:tcW w:w="20" w:type="dxa"/>
            <w:vAlign w:val="bottom"/>
            <w:tcBorders>
              <w:top w:val="single" w:sz="8" w:color="0000FF"/>
              <w:bottom w:val="single" w:sz="8" w:color="0000EE"/>
            </w:tcBorders>
          </w:tcPr>
          <w:p>
            <w:pPr>
              <w:spacing w:after="0"/>
              <w:rPr>
                <w:sz w:val="15"/>
                <w:szCs w:val="15"/>
                <w:color w:val="auto"/>
              </w:rPr>
            </w:pPr>
          </w:p>
        </w:tc>
        <w:tc>
          <w:tcPr>
            <w:tcW w:w="2660" w:type="dxa"/>
            <w:vAlign w:val="bottom"/>
            <w:tcBorders>
              <w:top w:val="single" w:sz="8" w:color="0000FF"/>
            </w:tcBorders>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04"/>
        </w:trPr>
        <w:tc>
          <w:tcPr>
            <w:tcW w:w="880" w:type="dxa"/>
            <w:vAlign w:val="bottom"/>
            <w:gridSpan w:val="2"/>
          </w:tcPr>
          <w:p>
            <w:pPr>
              <w:jc w:val="cente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240" w:type="dxa"/>
            <w:vAlign w:val="bottom"/>
            <w:gridSpan w:val="20"/>
          </w:tcPr>
          <w:p>
            <w:pPr>
              <w:spacing w:after="0"/>
              <w:rPr>
                <w:rFonts w:ascii="Arial" w:cs="Arial" w:eastAsia="Arial" w:hAnsi="Arial"/>
                <w:sz w:val="18"/>
                <w:szCs w:val="18"/>
                <w:color w:val="0000FF"/>
              </w:rPr>
            </w:pPr>
            <w:hyperlink r:id="rId358">
              <w:r>
                <w:rPr>
                  <w:rFonts w:ascii="Arial" w:cs="Arial" w:eastAsia="Arial" w:hAnsi="Arial"/>
                  <w:sz w:val="18"/>
                  <w:szCs w:val="18"/>
                  <w:color w:val="0000FF"/>
                </w:rPr>
                <w:t>Certificate of Amendment to Second Amended and Restated Certificate of Incorporation of Allison Transmission Holdings, Inc.</w:t>
              </w:r>
            </w:hyperlink>
          </w:p>
        </w:tc>
      </w:tr>
      <w:tr>
        <w:trPr>
          <w:trHeight w:val="183"/>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358">
              <w:r>
                <w:rPr>
                  <w:rFonts w:ascii="Arial" w:cs="Arial" w:eastAsia="Arial" w:hAnsi="Arial"/>
                  <w:sz w:val="18"/>
                  <w:szCs w:val="18"/>
                  <w:color w:val="0000FF"/>
                </w:rPr>
                <w:t>(incorporated by reference to Exhibit 3.1 to the Registrant’s Current Report on Form 8-K filed May 9, 2025)</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0"/>
        </w:trPr>
        <w:tc>
          <w:tcPr>
            <w:tcW w:w="8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40" w:type="dxa"/>
            <w:vAlign w:val="bottom"/>
            <w:tcBorders>
              <w:right w:val="single" w:sz="8" w:color="0000EE"/>
            </w:tcBorders>
            <w:gridSpan w:val="3"/>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880" w:type="dxa"/>
            <w:vAlign w:val="bottom"/>
            <w:gridSpan w:val="2"/>
          </w:tcPr>
          <w:p>
            <w:pPr>
              <w:jc w:val="cente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0240" w:type="dxa"/>
            <w:vAlign w:val="bottom"/>
            <w:gridSpan w:val="20"/>
          </w:tcPr>
          <w:p>
            <w:pPr>
              <w:spacing w:after="0"/>
              <w:rPr>
                <w:rFonts w:ascii="Arial" w:cs="Arial" w:eastAsia="Arial" w:hAnsi="Arial"/>
                <w:sz w:val="18"/>
                <w:szCs w:val="18"/>
                <w:color w:val="0000FF"/>
              </w:rPr>
            </w:pPr>
            <w:hyperlink r:id="rId359">
              <w:r>
                <w:rPr>
                  <w:rFonts w:ascii="Arial" w:cs="Arial" w:eastAsia="Arial" w:hAnsi="Arial"/>
                  <w:sz w:val="18"/>
                  <w:szCs w:val="18"/>
                  <w:color w:val="0000FF"/>
                </w:rPr>
                <w:t>Amended and Restated Bylaws of Allison Transmission Holdings, Inc. (incorporated by reference to Exhibit 3.1 to the</w:t>
              </w:r>
            </w:hyperlink>
          </w:p>
        </w:tc>
      </w:tr>
      <w:tr>
        <w:trPr>
          <w:trHeight w:val="183"/>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359">
              <w:r>
                <w:rPr>
                  <w:rFonts w:ascii="Arial" w:cs="Arial" w:eastAsia="Arial" w:hAnsi="Arial"/>
                  <w:sz w:val="18"/>
                  <w:szCs w:val="18"/>
                  <w:color w:val="0000FF"/>
                  <w:w w:val="99"/>
                </w:rPr>
                <w:t>Registrant’s Current Report on Form 8-K filed May 5, 2023)</w:t>
              </w:r>
            </w:hyperlink>
          </w:p>
        </w:tc>
        <w:tc>
          <w:tcPr>
            <w:tcW w:w="20" w:type="dxa"/>
            <w:vAlign w:val="bottom"/>
            <w:tcBorders>
              <w:top w:val="single" w:sz="8" w:color="0000FF"/>
              <w:bottom w:val="single" w:sz="8" w:color="0000EE"/>
            </w:tcBorders>
          </w:tcPr>
          <w:p>
            <w:pPr>
              <w:spacing w:after="0"/>
              <w:rPr>
                <w:sz w:val="15"/>
                <w:szCs w:val="15"/>
                <w:color w:val="auto"/>
              </w:rPr>
            </w:pPr>
          </w:p>
        </w:tc>
        <w:tc>
          <w:tcPr>
            <w:tcW w:w="4600" w:type="dxa"/>
            <w:vAlign w:val="bottom"/>
            <w:tcBorders>
              <w:top w:val="single" w:sz="8" w:color="0000FF"/>
            </w:tcBorders>
            <w:gridSpan w:val="5"/>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04"/>
        </w:trPr>
        <w:tc>
          <w:tcPr>
            <w:tcW w:w="880" w:type="dxa"/>
            <w:vAlign w:val="bottom"/>
            <w:gridSpan w:val="2"/>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40" w:type="dxa"/>
            <w:vAlign w:val="bottom"/>
            <w:gridSpan w:val="20"/>
          </w:tcPr>
          <w:p>
            <w:pPr>
              <w:spacing w:after="0"/>
              <w:rPr>
                <w:rFonts w:ascii="Arial" w:cs="Arial" w:eastAsia="Arial" w:hAnsi="Arial"/>
                <w:sz w:val="18"/>
                <w:szCs w:val="18"/>
                <w:color w:val="0000FF"/>
              </w:rPr>
            </w:pPr>
            <w:hyperlink r:id="rId360">
              <w:r>
                <w:rPr>
                  <w:rFonts w:ascii="Arial" w:cs="Arial" w:eastAsia="Arial" w:hAnsi="Arial"/>
                  <w:sz w:val="18"/>
                  <w:szCs w:val="18"/>
                  <w:color w:val="0000FF"/>
                </w:rPr>
                <w:t>Form of Stock Certificate (incorporated by reference to Exhibit 4.1 to Amendment No. 3 to the Registrant’s Registration</w:t>
              </w:r>
            </w:hyperlink>
          </w:p>
        </w:tc>
      </w:tr>
      <w:tr>
        <w:trPr>
          <w:trHeight w:val="183"/>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8"/>
              </w:rPr>
            </w:pPr>
            <w:hyperlink r:id="rId360">
              <w:r>
                <w:rPr>
                  <w:rFonts w:ascii="Arial" w:cs="Arial" w:eastAsia="Arial" w:hAnsi="Arial"/>
                  <w:sz w:val="18"/>
                  <w:szCs w:val="18"/>
                  <w:color w:val="0000FF"/>
                  <w:w w:val="98"/>
                </w:rPr>
                <w:t>Statement on Form S-1 filed June 17, 2011)</w:t>
              </w:r>
            </w:hyperlink>
          </w:p>
        </w:tc>
        <w:tc>
          <w:tcPr>
            <w:tcW w:w="5980" w:type="dxa"/>
            <w:vAlign w:val="bottom"/>
            <w:tcBorders>
              <w:top w:val="single" w:sz="8" w:color="0000FF"/>
            </w:tcBorders>
            <w:gridSpan w:val="8"/>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04"/>
        </w:trPr>
        <w:tc>
          <w:tcPr>
            <w:tcW w:w="880" w:type="dxa"/>
            <w:vAlign w:val="bottom"/>
            <w:gridSpan w:val="2"/>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240" w:type="dxa"/>
            <w:vAlign w:val="bottom"/>
            <w:gridSpan w:val="20"/>
          </w:tcPr>
          <w:p>
            <w:pPr>
              <w:spacing w:after="0"/>
              <w:rPr>
                <w:rFonts w:ascii="Arial" w:cs="Arial" w:eastAsia="Arial" w:hAnsi="Arial"/>
                <w:sz w:val="18"/>
                <w:szCs w:val="18"/>
                <w:color w:val="0000FF"/>
              </w:rPr>
            </w:pPr>
            <w:hyperlink r:id="rId361">
              <w:r>
                <w:rPr>
                  <w:rFonts w:ascii="Arial" w:cs="Arial" w:eastAsia="Arial" w:hAnsi="Arial"/>
                  <w:sz w:val="18"/>
                  <w:szCs w:val="18"/>
                  <w:color w:val="0000FF"/>
                </w:rPr>
                <w:t>Indenture, dated as of September 26, 2017, between the Issuer and Wilmington Trust, National Association, as Trustee</w:t>
              </w:r>
            </w:hyperlink>
          </w:p>
        </w:tc>
      </w:tr>
      <w:tr>
        <w:trPr>
          <w:trHeight w:val="20"/>
        </w:trPr>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600" w:type="dxa"/>
            <w:vAlign w:val="bottom"/>
            <w:gridSpan w:val="9"/>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20"/>
          </w:tcPr>
          <w:p>
            <w:pPr>
              <w:spacing w:after="0" w:line="182" w:lineRule="exact"/>
              <w:rPr>
                <w:rFonts w:ascii="Arial" w:cs="Arial" w:eastAsia="Arial" w:hAnsi="Arial"/>
                <w:sz w:val="18"/>
                <w:szCs w:val="18"/>
                <w:color w:val="0000FF"/>
              </w:rPr>
            </w:pPr>
            <w:hyperlink r:id="rId361">
              <w:r>
                <w:rPr>
                  <w:rFonts w:ascii="Arial" w:cs="Arial" w:eastAsia="Arial" w:hAnsi="Arial"/>
                  <w:sz w:val="18"/>
                  <w:szCs w:val="18"/>
                  <w:color w:val="0000FF"/>
                </w:rPr>
                <w:t>(including form of 4.75% Senior Notes due 2027) (incorporated by reference to Exhibit 4.1 to the Registrant’s Current Report on</w:t>
              </w:r>
            </w:hyperlink>
          </w:p>
        </w:tc>
      </w:tr>
      <w:tr>
        <w:trPr>
          <w:trHeight w:val="183"/>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361">
              <w:r>
                <w:rPr>
                  <w:rFonts w:ascii="Arial" w:cs="Arial" w:eastAsia="Arial" w:hAnsi="Arial"/>
                  <w:sz w:val="18"/>
                  <w:szCs w:val="18"/>
                  <w:color w:val="0000FF"/>
                </w:rPr>
                <w:t>Form 8-K filed September 26, 2017)</w:t>
              </w:r>
            </w:hyperlink>
          </w:p>
        </w:tc>
        <w:tc>
          <w:tcPr>
            <w:tcW w:w="80" w:type="dxa"/>
            <w:vAlign w:val="bottom"/>
            <w:gridSpan w:val="2"/>
          </w:tcPr>
          <w:p>
            <w:pPr>
              <w:spacing w:after="0"/>
              <w:rPr>
                <w:sz w:val="15"/>
                <w:szCs w:val="15"/>
                <w:color w:val="auto"/>
              </w:rPr>
            </w:pPr>
          </w:p>
        </w:tc>
      </w:tr>
      <w:tr>
        <w:trPr>
          <w:trHeight w:val="20"/>
        </w:trPr>
        <w:tc>
          <w:tcPr>
            <w:tcW w:w="8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04"/>
        </w:trPr>
        <w:tc>
          <w:tcPr>
            <w:tcW w:w="880" w:type="dxa"/>
            <w:vAlign w:val="bottom"/>
            <w:gridSpan w:val="2"/>
          </w:tcPr>
          <w:p>
            <w:pPr>
              <w:jc w:val="cente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240" w:type="dxa"/>
            <w:vAlign w:val="bottom"/>
            <w:gridSpan w:val="20"/>
          </w:tcPr>
          <w:p>
            <w:pPr>
              <w:spacing w:after="0"/>
              <w:rPr>
                <w:rFonts w:ascii="Arial" w:cs="Arial" w:eastAsia="Arial" w:hAnsi="Arial"/>
                <w:sz w:val="18"/>
                <w:szCs w:val="18"/>
                <w:color w:val="0000FF"/>
              </w:rPr>
            </w:pPr>
            <w:hyperlink r:id="rId362">
              <w:r>
                <w:rPr>
                  <w:rFonts w:ascii="Arial" w:cs="Arial" w:eastAsia="Arial" w:hAnsi="Arial"/>
                  <w:sz w:val="18"/>
                  <w:szCs w:val="18"/>
                  <w:color w:val="0000FF"/>
                </w:rPr>
                <w:t>Indenture, dated as of March 29, 2019, between the Issuer and Wilmington Trust, National Association, as Trustee (including</w:t>
              </w:r>
            </w:hyperlink>
          </w:p>
        </w:tc>
      </w:tr>
      <w:tr>
        <w:trPr>
          <w:trHeight w:val="20"/>
        </w:trPr>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600" w:type="dxa"/>
            <w:vAlign w:val="bottom"/>
            <w:gridSpan w:val="9"/>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362">
              <w:r>
                <w:rPr>
                  <w:rFonts w:ascii="Arial" w:cs="Arial" w:eastAsia="Arial" w:hAnsi="Arial"/>
                  <w:sz w:val="18"/>
                  <w:szCs w:val="18"/>
                  <w:color w:val="0000FF"/>
                  <w:w w:val="99"/>
                </w:rPr>
                <w:t>form of 5.875% Senior Notes due 2029) (incorporated by reference to Exhibit 4.1 to the Registrant’s Current Report on Form 8-</w:t>
              </w:r>
            </w:hyperlink>
          </w:p>
        </w:tc>
        <w:tc>
          <w:tcPr>
            <w:tcW w:w="140" w:type="dxa"/>
            <w:vAlign w:val="bottom"/>
            <w:gridSpan w:val="5"/>
          </w:tcPr>
          <w:p>
            <w:pPr>
              <w:spacing w:after="0"/>
              <w:rPr>
                <w:sz w:val="15"/>
                <w:szCs w:val="15"/>
                <w:color w:val="auto"/>
              </w:rPr>
            </w:pPr>
          </w:p>
        </w:tc>
      </w:tr>
      <w:tr>
        <w:trPr>
          <w:trHeight w:val="183"/>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rPr>
            </w:pPr>
            <w:hyperlink r:id="rId362">
              <w:r>
                <w:rPr>
                  <w:rFonts w:ascii="Arial" w:cs="Arial" w:eastAsia="Arial" w:hAnsi="Arial"/>
                  <w:sz w:val="18"/>
                  <w:szCs w:val="18"/>
                  <w:color w:val="0000FF"/>
                </w:rPr>
                <w:t>K filed March 29, 2019)</w:t>
              </w:r>
            </w:hyperlink>
          </w:p>
        </w:tc>
        <w:tc>
          <w:tcPr>
            <w:tcW w:w="140" w:type="dxa"/>
            <w:vAlign w:val="bottom"/>
            <w:gridSpan w:val="5"/>
          </w:tcPr>
          <w:p>
            <w:pPr>
              <w:spacing w:after="0"/>
              <w:rPr>
                <w:sz w:val="15"/>
                <w:szCs w:val="15"/>
                <w:color w:val="auto"/>
              </w:rPr>
            </w:pPr>
          </w:p>
        </w:tc>
      </w:tr>
      <w:tr>
        <w:trPr>
          <w:trHeight w:val="20"/>
        </w:trPr>
        <w:tc>
          <w:tcPr>
            <w:tcW w:w="8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r>
      <w:tr>
        <w:trPr>
          <w:trHeight w:val="304"/>
        </w:trPr>
        <w:tc>
          <w:tcPr>
            <w:tcW w:w="880" w:type="dxa"/>
            <w:vAlign w:val="bottom"/>
            <w:gridSpan w:val="2"/>
          </w:tcPr>
          <w:p>
            <w:pPr>
              <w:jc w:val="cente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240" w:type="dxa"/>
            <w:vAlign w:val="bottom"/>
            <w:gridSpan w:val="20"/>
          </w:tcPr>
          <w:p>
            <w:pPr>
              <w:spacing w:after="0"/>
              <w:rPr>
                <w:rFonts w:ascii="Arial" w:cs="Arial" w:eastAsia="Arial" w:hAnsi="Arial"/>
                <w:sz w:val="18"/>
                <w:szCs w:val="18"/>
                <w:color w:val="0000FF"/>
              </w:rPr>
            </w:pPr>
            <w:hyperlink r:id="rId363">
              <w:r>
                <w:rPr>
                  <w:rFonts w:ascii="Arial" w:cs="Arial" w:eastAsia="Arial" w:hAnsi="Arial"/>
                  <w:sz w:val="18"/>
                  <w:szCs w:val="18"/>
                  <w:color w:val="0000FF"/>
                </w:rPr>
                <w:t>Indenture, dated as of November 19, 2020, between the Issuer and Wilmington Trust, National Association, as Trustee</w:t>
              </w:r>
            </w:hyperlink>
          </w:p>
        </w:tc>
      </w:tr>
      <w:tr>
        <w:trPr>
          <w:trHeight w:val="20"/>
        </w:trPr>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6600" w:type="dxa"/>
            <w:vAlign w:val="bottom"/>
            <w:gridSpan w:val="9"/>
            <w:shd w:val="clear" w:color="auto" w:fill="0000FF"/>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20"/>
          </w:tcPr>
          <w:p>
            <w:pPr>
              <w:spacing w:after="0" w:line="182" w:lineRule="exact"/>
              <w:rPr>
                <w:rFonts w:ascii="Arial" w:cs="Arial" w:eastAsia="Arial" w:hAnsi="Arial"/>
                <w:sz w:val="18"/>
                <w:szCs w:val="18"/>
                <w:color w:val="0000FF"/>
              </w:rPr>
            </w:pPr>
            <w:hyperlink r:id="rId363">
              <w:r>
                <w:rPr>
                  <w:rFonts w:ascii="Arial" w:cs="Arial" w:eastAsia="Arial" w:hAnsi="Arial"/>
                  <w:sz w:val="18"/>
                  <w:szCs w:val="18"/>
                  <w:color w:val="0000FF"/>
                </w:rPr>
                <w:t>(including form of 3.75% Senior Notes due 2031) (incorporated by reference to Exhibit 4.1 to the Registrant’s Current Report on</w:t>
              </w:r>
            </w:hyperlink>
          </w:p>
        </w:tc>
      </w:tr>
      <w:tr>
        <w:trPr>
          <w:trHeight w:val="183"/>
        </w:trPr>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363">
              <w:r>
                <w:rPr>
                  <w:rFonts w:ascii="Arial" w:cs="Arial" w:eastAsia="Arial" w:hAnsi="Arial"/>
                  <w:sz w:val="18"/>
                  <w:szCs w:val="18"/>
                  <w:color w:val="0000FF"/>
                  <w:w w:val="99"/>
                </w:rPr>
                <w:t>Form 8-K filed November 19, 2020)</w:t>
              </w:r>
            </w:hyperlink>
          </w:p>
        </w:tc>
        <w:tc>
          <w:tcPr>
            <w:tcW w:w="7300" w:type="dxa"/>
            <w:vAlign w:val="bottom"/>
            <w:tcBorders>
              <w:top w:val="single" w:sz="8" w:color="0000FF"/>
            </w:tcBorders>
            <w:gridSpan w:val="16"/>
          </w:tcPr>
          <w:p>
            <w:pPr>
              <w:spacing w:after="0"/>
              <w:rPr>
                <w:sz w:val="15"/>
                <w:szCs w:val="15"/>
                <w:color w:val="auto"/>
              </w:rPr>
            </w:pPr>
          </w:p>
        </w:tc>
        <w:tc>
          <w:tcPr>
            <w:tcW w:w="80" w:type="dxa"/>
            <w:vAlign w:val="bottom"/>
            <w:gridSpan w:val="2"/>
          </w:tcPr>
          <w:p>
            <w:pPr>
              <w:spacing w:after="0"/>
              <w:rPr>
                <w:sz w:val="15"/>
                <w:szCs w:val="15"/>
                <w:color w:val="auto"/>
              </w:rPr>
            </w:pPr>
          </w:p>
        </w:tc>
      </w:tr>
      <w:tr>
        <w:trPr>
          <w:trHeight w:val="564"/>
        </w:trPr>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560" w:type="dxa"/>
            <w:vAlign w:val="bottom"/>
            <w:gridSpan w:val="7"/>
          </w:tcPr>
          <w:p>
            <w:pPr>
              <w:jc w:val="right"/>
              <w:ind w:right="266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6"/>
        </w:trPr>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right="220" w:hanging="630"/>
        <w:spacing w:after="0" w:line="253"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366">
        <w:r>
          <w:rPr>
            <w:rFonts w:ascii="Arial" w:cs="Arial" w:eastAsia="Arial" w:hAnsi="Arial"/>
            <w:sz w:val="18"/>
            <w:szCs w:val="18"/>
            <w:u w:val="single" w:color="auto"/>
            <w:color w:val="0000FF"/>
          </w:rPr>
          <w:t>Indenture, dated as of November 21, 2025, between the Issuer and Wilmington Trust, National Association, as Trustee</w:t>
        </w:r>
      </w:hyperlink>
      <w:r>
        <w:rPr>
          <w:rFonts w:ascii="Arial" w:cs="Arial" w:eastAsia="Arial" w:hAnsi="Arial"/>
          <w:sz w:val="18"/>
          <w:szCs w:val="18"/>
          <w:u w:val="single" w:color="auto"/>
          <w:color w:val="0000FF"/>
        </w:rPr>
        <w:t xml:space="preserve"> </w:t>
      </w:r>
      <w:hyperlink r:id="rId366">
        <w:r>
          <w:rPr>
            <w:rFonts w:ascii="Arial" w:cs="Arial" w:eastAsia="Arial" w:hAnsi="Arial"/>
            <w:sz w:val="18"/>
            <w:szCs w:val="18"/>
            <w:u w:val="single" w:color="auto"/>
            <w:color w:val="0000FF"/>
          </w:rPr>
          <w:t>(including form of 5.875% Senior Notes due 2033) (incorporated by reference to Exhibit 4.1 to the Registrant’s Current Report</w:t>
        </w:r>
      </w:hyperlink>
      <w:r>
        <w:rPr>
          <w:rFonts w:ascii="Arial" w:cs="Arial" w:eastAsia="Arial" w:hAnsi="Arial"/>
          <w:sz w:val="18"/>
          <w:szCs w:val="18"/>
          <w:u w:val="single" w:color="auto"/>
          <w:color w:val="0000FF"/>
        </w:rPr>
        <w:t xml:space="preserve"> </w:t>
      </w:r>
      <w:hyperlink r:id="rId366">
        <w:r>
          <w:rPr>
            <w:rFonts w:ascii="Arial" w:cs="Arial" w:eastAsia="Arial" w:hAnsi="Arial"/>
            <w:sz w:val="18"/>
            <w:szCs w:val="18"/>
            <w:u w:val="single" w:color="auto"/>
            <w:color w:val="0000FF"/>
          </w:rPr>
          <w:t>on Form 8-K filed November 24, 2025)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617855</wp:posOffset>
            </wp:positionH>
            <wp:positionV relativeFrom="paragraph">
              <wp:posOffset>-291465</wp:posOffset>
            </wp:positionV>
            <wp:extent cx="6020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60204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-163195</wp:posOffset>
            </wp:positionV>
            <wp:extent cx="636968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63696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-34290</wp:posOffset>
            </wp:positionV>
            <wp:extent cx="194945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1949450" cy="8255"/>
                    </a:xfrm>
                    <a:prstGeom prst="rect">
                      <a:avLst/>
                    </a:prstGeom>
                    <a:noFill/>
                  </pic:spPr>
                </pic:pic>
              </a:graphicData>
            </a:graphic>
          </wp:anchor>
        </w:drawing>
      </w:r>
    </w:p>
    <w:p>
      <w:pPr>
        <w:spacing w:after="0" w:line="54" w:lineRule="exact"/>
        <w:rPr>
          <w:rFonts w:ascii="Arial" w:cs="Arial" w:eastAsia="Arial" w:hAnsi="Arial"/>
          <w:sz w:val="18"/>
          <w:szCs w:val="18"/>
          <w:u w:val="single" w:color="auto"/>
          <w:color w:val="0000FF"/>
        </w:rPr>
      </w:pPr>
    </w:p>
    <w:p>
      <w:pPr>
        <w:ind w:left="980" w:right="220" w:hanging="630"/>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hyperlink r:id="rId370">
        <w:r>
          <w:rPr>
            <w:rFonts w:ascii="Arial" w:cs="Arial" w:eastAsia="Arial" w:hAnsi="Arial"/>
            <w:sz w:val="18"/>
            <w:szCs w:val="18"/>
            <w:u w:val="single" w:color="auto"/>
            <w:color w:val="0000FF"/>
          </w:rPr>
          <w:t>Description of Securities (incorporated by reference to Exhibit 4.5 to the Registrant's Annual Report on Form 10-K for the year</w:t>
        </w:r>
      </w:hyperlink>
      <w:r>
        <w:rPr>
          <w:rFonts w:ascii="Arial" w:cs="Arial" w:eastAsia="Arial" w:hAnsi="Arial"/>
          <w:sz w:val="18"/>
          <w:szCs w:val="18"/>
          <w:u w:val="single" w:color="auto"/>
          <w:color w:val="0000FF"/>
        </w:rPr>
        <w:t xml:space="preserve"> </w:t>
      </w:r>
      <w:hyperlink r:id="rId370">
        <w:r>
          <w:rPr>
            <w:rFonts w:ascii="Arial" w:cs="Arial" w:eastAsia="Arial" w:hAnsi="Arial"/>
            <w:sz w:val="18"/>
            <w:szCs w:val="18"/>
            <w:u w:val="single" w:color="auto"/>
            <w:color w:val="0000FF"/>
          </w:rPr>
          <w:t>ended December 31, 2023 filed February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3785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6378575"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25977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2597785" cy="8890"/>
                    </a:xfrm>
                    <a:prstGeom prst="rect">
                      <a:avLst/>
                    </a:prstGeom>
                    <a:noFill/>
                  </pic:spPr>
                </pic:pic>
              </a:graphicData>
            </a:graphic>
          </wp:anchor>
        </w:drawing>
      </w:r>
    </w:p>
    <w:p>
      <w:pPr>
        <w:spacing w:after="0" w:line="39" w:lineRule="exact"/>
        <w:rPr>
          <w:sz w:val="20"/>
          <w:szCs w:val="20"/>
          <w:color w:val="auto"/>
        </w:rPr>
      </w:pPr>
    </w:p>
    <w:p>
      <w:pPr>
        <w:jc w:val="both"/>
        <w:ind w:left="980" w:right="360" w:hanging="680"/>
        <w:spacing w:after="0" w:line="24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373">
        <w:r>
          <w:rPr>
            <w:rFonts w:ascii="Arial" w:cs="Arial" w:eastAsia="Arial" w:hAnsi="Arial"/>
            <w:sz w:val="18"/>
            <w:szCs w:val="18"/>
            <w:u w:val="single" w:color="auto"/>
            <w:color w:val="0000FF"/>
          </w:rPr>
          <w:t>Second Amended and Restated Credit Agreement, dated as of March 29, 2019, among Allison Transmission Holdings, Inc.,</w:t>
        </w:r>
      </w:hyperlink>
      <w:r>
        <w:rPr>
          <w:rFonts w:ascii="Arial" w:cs="Arial" w:eastAsia="Arial" w:hAnsi="Arial"/>
          <w:sz w:val="18"/>
          <w:szCs w:val="18"/>
          <w:u w:val="single" w:color="auto"/>
          <w:color w:val="0000FF"/>
        </w:rPr>
        <w:t xml:space="preserve"> </w:t>
      </w:r>
      <w:hyperlink r:id="rId373">
        <w:r>
          <w:rPr>
            <w:rFonts w:ascii="Arial" w:cs="Arial" w:eastAsia="Arial" w:hAnsi="Arial"/>
            <w:sz w:val="18"/>
            <w:szCs w:val="18"/>
            <w:u w:val="single" w:color="auto"/>
            <w:color w:val="0000FF"/>
          </w:rPr>
          <w:t>Allison Transmission, Inc., as Borrower, the several banks and other financial institutions or entities from time to time parties</w:t>
        </w:r>
      </w:hyperlink>
      <w:r>
        <w:rPr>
          <w:rFonts w:ascii="Arial" w:cs="Arial" w:eastAsia="Arial" w:hAnsi="Arial"/>
          <w:sz w:val="18"/>
          <w:szCs w:val="18"/>
          <w:u w:val="single" w:color="auto"/>
          <w:color w:val="0000FF"/>
        </w:rPr>
        <w:t xml:space="preserve"> </w:t>
      </w:r>
      <w:hyperlink r:id="rId373">
        <w:r>
          <w:rPr>
            <w:rFonts w:ascii="Arial" w:cs="Arial" w:eastAsia="Arial" w:hAnsi="Arial"/>
            <w:sz w:val="18"/>
            <w:szCs w:val="18"/>
            <w:u w:val="single" w:color="auto"/>
            <w:color w:val="0000FF"/>
          </w:rPr>
          <w:t>thereto as lenders and Citibank, N.A., as Administrative Agent (incorporated by reference to Exhibit 10.1 to the Registrant’s</w:t>
        </w:r>
      </w:hyperlink>
      <w:r>
        <w:rPr>
          <w:rFonts w:ascii="Arial" w:cs="Arial" w:eastAsia="Arial" w:hAnsi="Arial"/>
          <w:sz w:val="18"/>
          <w:szCs w:val="18"/>
          <w:u w:val="single" w:color="auto"/>
          <w:color w:val="0000FF"/>
        </w:rPr>
        <w:t xml:space="preserve"> </w:t>
      </w:r>
      <w:hyperlink r:id="rId373">
        <w:r>
          <w:rPr>
            <w:rFonts w:ascii="Arial" w:cs="Arial" w:eastAsia="Arial" w:hAnsi="Arial"/>
            <w:sz w:val="18"/>
            <w:szCs w:val="18"/>
            <w:u w:val="single" w:color="auto"/>
            <w:color w:val="0000FF"/>
          </w:rPr>
          <w:t>Current Report on Form 8-K filed March 29,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617855</wp:posOffset>
            </wp:positionH>
            <wp:positionV relativeFrom="paragraph">
              <wp:posOffset>-417195</wp:posOffset>
            </wp:positionV>
            <wp:extent cx="628078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62807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-288290</wp:posOffset>
            </wp:positionV>
            <wp:extent cx="62865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628650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-160020</wp:posOffset>
            </wp:positionV>
            <wp:extent cx="624268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62426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-31115</wp:posOffset>
            </wp:positionV>
            <wp:extent cx="25273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2527300" cy="8255"/>
                    </a:xfrm>
                    <a:prstGeom prst="rect">
                      <a:avLst/>
                    </a:prstGeom>
                    <a:noFill/>
                  </pic:spPr>
                </pic:pic>
              </a:graphicData>
            </a:graphic>
          </wp:anchor>
        </w:drawing>
      </w:r>
    </w:p>
    <w:p>
      <w:pPr>
        <w:spacing w:after="0" w:line="59" w:lineRule="exact"/>
        <w:rPr>
          <w:rFonts w:ascii="Arial" w:cs="Arial" w:eastAsia="Arial" w:hAnsi="Arial"/>
          <w:sz w:val="18"/>
          <w:szCs w:val="18"/>
          <w:u w:val="single" w:color="auto"/>
          <w:color w:val="0000FF"/>
        </w:rPr>
      </w:pPr>
    </w:p>
    <w:p>
      <w:pPr>
        <w:ind w:left="980" w:right="80" w:hanging="680"/>
        <w:spacing w:after="0" w:line="24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378">
        <w:r>
          <w:rPr>
            <w:rFonts w:ascii="Arial" w:cs="Arial" w:eastAsia="Arial" w:hAnsi="Arial"/>
            <w:sz w:val="18"/>
            <w:szCs w:val="18"/>
            <w:u w:val="single" w:color="auto"/>
            <w:color w:val="0000FF"/>
          </w:rPr>
          <w:t>Amendment No. 1 dated October 11, 2019, to the Second Amended and Restated Credit Agreement, dated as of March 29,</w:t>
        </w:r>
      </w:hyperlink>
      <w:r>
        <w:rPr>
          <w:rFonts w:ascii="Arial" w:cs="Arial" w:eastAsia="Arial" w:hAnsi="Arial"/>
          <w:sz w:val="18"/>
          <w:szCs w:val="18"/>
          <w:u w:val="single" w:color="auto"/>
          <w:color w:val="0000FF"/>
        </w:rPr>
        <w:t xml:space="preserve"> </w:t>
      </w:r>
      <w:hyperlink r:id="rId378">
        <w:r>
          <w:rPr>
            <w:rFonts w:ascii="Arial" w:cs="Arial" w:eastAsia="Arial" w:hAnsi="Arial"/>
            <w:sz w:val="18"/>
            <w:szCs w:val="18"/>
            <w:u w:val="single" w:color="auto"/>
            <w:color w:val="0000FF"/>
          </w:rPr>
          <w:t>2019, among Allison Transmission Holdings, Inc., Allison Transmission, Inc., as Borrower, the several banks and other financial</w:t>
        </w:r>
      </w:hyperlink>
      <w:r>
        <w:rPr>
          <w:rFonts w:ascii="Arial" w:cs="Arial" w:eastAsia="Arial" w:hAnsi="Arial"/>
          <w:sz w:val="18"/>
          <w:szCs w:val="18"/>
          <w:u w:val="single" w:color="auto"/>
          <w:color w:val="0000FF"/>
        </w:rPr>
        <w:t xml:space="preserve"> </w:t>
      </w:r>
      <w:hyperlink r:id="rId378">
        <w:r>
          <w:rPr>
            <w:rFonts w:ascii="Arial" w:cs="Arial" w:eastAsia="Arial" w:hAnsi="Arial"/>
            <w:sz w:val="18"/>
            <w:szCs w:val="18"/>
            <w:u w:val="single" w:color="auto"/>
            <w:color w:val="0000FF"/>
          </w:rPr>
          <w:t>institutions or entities from time to time parties thereto as lenders, Citibank, N.A as Administrative Agent and as the 2019</w:t>
        </w:r>
      </w:hyperlink>
      <w:r>
        <w:rPr>
          <w:rFonts w:ascii="Arial" w:cs="Arial" w:eastAsia="Arial" w:hAnsi="Arial"/>
          <w:sz w:val="18"/>
          <w:szCs w:val="18"/>
          <w:u w:val="single" w:color="auto"/>
          <w:color w:val="0000FF"/>
        </w:rPr>
        <w:t xml:space="preserve"> </w:t>
      </w:r>
      <w:hyperlink r:id="rId378">
        <w:r>
          <w:rPr>
            <w:rFonts w:ascii="Arial" w:cs="Arial" w:eastAsia="Arial" w:hAnsi="Arial"/>
            <w:sz w:val="18"/>
            <w:szCs w:val="18"/>
            <w:u w:val="single" w:color="auto"/>
            <w:color w:val="0000FF"/>
          </w:rPr>
          <w:t>refinancing term lender and the other agents and arrangers party thereto (incorporated by reference to Exhibit 10.1 to the</w:t>
        </w:r>
      </w:hyperlink>
      <w:r>
        <w:rPr>
          <w:rFonts w:ascii="Arial" w:cs="Arial" w:eastAsia="Arial" w:hAnsi="Arial"/>
          <w:sz w:val="18"/>
          <w:szCs w:val="18"/>
          <w:u w:val="single" w:color="auto"/>
          <w:color w:val="0000FF"/>
        </w:rPr>
        <w:t xml:space="preserve"> </w:t>
      </w:r>
      <w:hyperlink r:id="rId378">
        <w:r>
          <w:rPr>
            <w:rFonts w:ascii="Arial" w:cs="Arial" w:eastAsia="Arial" w:hAnsi="Arial"/>
            <w:sz w:val="18"/>
            <w:szCs w:val="18"/>
            <w:u w:val="single" w:color="auto"/>
            <w:color w:val="0000FF"/>
          </w:rPr>
          <w:t>Registrant’s Current Report on Form 8-K filed October 15,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617855</wp:posOffset>
            </wp:positionH>
            <wp:positionV relativeFrom="paragraph">
              <wp:posOffset>-544195</wp:posOffset>
            </wp:positionV>
            <wp:extent cx="62814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628142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-415290</wp:posOffset>
            </wp:positionV>
            <wp:extent cx="64643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646430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-287020</wp:posOffset>
            </wp:positionV>
            <wp:extent cx="611568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61156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-158115</wp:posOffset>
            </wp:positionV>
            <wp:extent cx="61417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614172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-29845</wp:posOffset>
            </wp:positionV>
            <wp:extent cx="32512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3251200" cy="8255"/>
                    </a:xfrm>
                    <a:prstGeom prst="rect">
                      <a:avLst/>
                    </a:prstGeom>
                    <a:noFill/>
                  </pic:spPr>
                </pic:pic>
              </a:graphicData>
            </a:graphic>
          </wp:anchor>
        </w:drawing>
      </w:r>
    </w:p>
    <w:p>
      <w:pPr>
        <w:spacing w:after="0" w:line="62" w:lineRule="exact"/>
        <w:rPr>
          <w:rFonts w:ascii="Arial" w:cs="Arial" w:eastAsia="Arial" w:hAnsi="Arial"/>
          <w:sz w:val="18"/>
          <w:szCs w:val="18"/>
          <w:u w:val="single" w:color="auto"/>
          <w:color w:val="0000FF"/>
        </w:rPr>
      </w:pPr>
    </w:p>
    <w:p>
      <w:pPr>
        <w:ind w:left="980" w:right="40" w:hanging="680"/>
        <w:spacing w:after="0"/>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384">
        <w:r>
          <w:rPr>
            <w:rFonts w:ascii="Arial" w:cs="Arial" w:eastAsia="Arial" w:hAnsi="Arial"/>
            <w:sz w:val="18"/>
            <w:szCs w:val="18"/>
            <w:u w:val="single" w:color="auto"/>
            <w:color w:val="0000FF"/>
          </w:rPr>
          <w:t>Amendment No. 2 dated as of November 19, 2020, by and among Allison Transmission Holdings, Inc., Allison Transmission,</w:t>
        </w:r>
      </w:hyperlink>
      <w:r>
        <w:rPr>
          <w:rFonts w:ascii="Arial" w:cs="Arial" w:eastAsia="Arial" w:hAnsi="Arial"/>
          <w:sz w:val="18"/>
          <w:szCs w:val="18"/>
          <w:u w:val="single" w:color="auto"/>
          <w:color w:val="0000FF"/>
        </w:rPr>
        <w:t xml:space="preserve"> </w:t>
      </w:r>
      <w:hyperlink r:id="rId384">
        <w:r>
          <w:rPr>
            <w:rFonts w:ascii="Arial" w:cs="Arial" w:eastAsia="Arial" w:hAnsi="Arial"/>
            <w:sz w:val="18"/>
            <w:szCs w:val="18"/>
            <w:u w:val="single" w:color="auto"/>
            <w:color w:val="0000FF"/>
          </w:rPr>
          <w:t>Inc., as Borrower, the several banks and other financial institutions party thereto, as 2020 Revolving Credit Lenders and</w:t>
        </w:r>
      </w:hyperlink>
      <w:r>
        <w:rPr>
          <w:rFonts w:ascii="Arial" w:cs="Arial" w:eastAsia="Arial" w:hAnsi="Arial"/>
          <w:sz w:val="18"/>
          <w:szCs w:val="18"/>
          <w:u w:val="single" w:color="auto"/>
          <w:color w:val="0000FF"/>
        </w:rPr>
        <w:t xml:space="preserve"> </w:t>
      </w:r>
      <w:hyperlink r:id="rId384">
        <w:r>
          <w:rPr>
            <w:rFonts w:ascii="Arial" w:cs="Arial" w:eastAsia="Arial" w:hAnsi="Arial"/>
            <w:sz w:val="18"/>
            <w:szCs w:val="18"/>
            <w:u w:val="single" w:color="auto"/>
            <w:color w:val="0000FF"/>
          </w:rPr>
          <w:t>Citibank, N.A., as Administrative Agent amending the Second Amended and Restated Credit Agreement, dated as of March 29,</w:t>
        </w:r>
      </w:hyperlink>
      <w:r>
        <w:rPr>
          <w:rFonts w:ascii="Arial" w:cs="Arial" w:eastAsia="Arial" w:hAnsi="Arial"/>
          <w:sz w:val="18"/>
          <w:szCs w:val="18"/>
          <w:u w:val="single" w:color="auto"/>
          <w:color w:val="0000FF"/>
        </w:rPr>
        <w:t xml:space="preserve"> </w:t>
      </w:r>
      <w:hyperlink r:id="rId384">
        <w:r>
          <w:rPr>
            <w:rFonts w:ascii="Arial" w:cs="Arial" w:eastAsia="Arial" w:hAnsi="Arial"/>
            <w:sz w:val="18"/>
            <w:szCs w:val="18"/>
            <w:u w:val="single" w:color="auto"/>
            <w:color w:val="0000FF"/>
          </w:rPr>
          <w:t>2019, among Allison Transmission Holdings, Inc., Allison Transmission, Inc., the several banks and other financial institutions or</w:t>
        </w:r>
      </w:hyperlink>
      <w:r>
        <w:rPr>
          <w:rFonts w:ascii="Arial" w:cs="Arial" w:eastAsia="Arial" w:hAnsi="Arial"/>
          <w:sz w:val="18"/>
          <w:szCs w:val="18"/>
          <w:u w:val="single" w:color="auto"/>
          <w:color w:val="0000FF"/>
        </w:rPr>
        <w:t xml:space="preserve"> </w:t>
      </w:r>
      <w:hyperlink r:id="rId384">
        <w:r>
          <w:rPr>
            <w:rFonts w:ascii="Arial" w:cs="Arial" w:eastAsia="Arial" w:hAnsi="Arial"/>
            <w:sz w:val="18"/>
            <w:szCs w:val="18"/>
            <w:u w:val="single" w:color="auto"/>
            <w:color w:val="0000FF"/>
          </w:rPr>
          <w:t>entities from time to time parties thereto as lenders, Citibank, N.A., as Administrative Agent and Citicorp North America, Inc., as</w:t>
        </w:r>
      </w:hyperlink>
      <w:r>
        <w:rPr>
          <w:rFonts w:ascii="Arial" w:cs="Arial" w:eastAsia="Arial" w:hAnsi="Arial"/>
          <w:sz w:val="18"/>
          <w:szCs w:val="18"/>
          <w:u w:val="single" w:color="auto"/>
          <w:color w:val="0000FF"/>
        </w:rPr>
        <w:t xml:space="preserve"> </w:t>
      </w:r>
      <w:hyperlink r:id="rId384">
        <w:r>
          <w:rPr>
            <w:rFonts w:ascii="Arial" w:cs="Arial" w:eastAsia="Arial" w:hAnsi="Arial"/>
            <w:sz w:val="18"/>
            <w:szCs w:val="18"/>
            <w:u w:val="single" w:color="auto"/>
            <w:color w:val="0000FF"/>
          </w:rPr>
          <w:t>Collateral Agent (incorporated by reference to Exhibit 10.1 to the Registrant’s Current Report on Form 8-K filed November 19,</w:t>
        </w:r>
      </w:hyperlink>
      <w:r>
        <w:rPr>
          <w:rFonts w:ascii="Arial" w:cs="Arial" w:eastAsia="Arial" w:hAnsi="Arial"/>
          <w:sz w:val="18"/>
          <w:szCs w:val="18"/>
          <w:u w:val="single" w:color="auto"/>
          <w:color w:val="0000FF"/>
        </w:rPr>
        <w:t xml:space="preserve"> </w:t>
      </w:r>
      <w:hyperlink r:id="rId384">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617855</wp:posOffset>
            </wp:positionH>
            <wp:positionV relativeFrom="paragraph">
              <wp:posOffset>-796290</wp:posOffset>
            </wp:positionV>
            <wp:extent cx="631888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5">
                      <a:extLst>
                        <a:ext uri="{28A0092B-C50C-407E-A947-70E740481C1C}"/>
                      </a:extLst>
                    </a:blip>
                    <a:srcRect/>
                    <a:stretch>
                      <a:fillRect/>
                    </a:stretch>
                  </pic:blipFill>
                  <pic:spPr bwMode="auto">
                    <a:xfrm>
                      <a:off x="0" y="0"/>
                      <a:ext cx="63188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-667385</wp:posOffset>
            </wp:positionV>
            <wp:extent cx="60712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6">
                      <a:extLst>
                        <a:ext uri="{28A0092B-C50C-407E-A947-70E740481C1C}"/>
                      </a:extLst>
                    </a:blip>
                    <a:srcRect/>
                    <a:stretch>
                      <a:fillRect/>
                    </a:stretch>
                  </pic:blipFill>
                  <pic:spPr bwMode="auto">
                    <a:xfrm>
                      <a:off x="0" y="0"/>
                      <a:ext cx="60712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-539115</wp:posOffset>
            </wp:positionV>
            <wp:extent cx="64649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7">
                      <a:extLst>
                        <a:ext uri="{28A0092B-C50C-407E-A947-70E740481C1C}"/>
                      </a:extLst>
                    </a:blip>
                    <a:srcRect/>
                    <a:stretch>
                      <a:fillRect/>
                    </a:stretch>
                  </pic:blipFill>
                  <pic:spPr bwMode="auto">
                    <a:xfrm>
                      <a:off x="0" y="0"/>
                      <a:ext cx="64649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-410210</wp:posOffset>
            </wp:positionV>
            <wp:extent cx="648081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8">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-281940</wp:posOffset>
            </wp:positionV>
            <wp:extent cx="645795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9">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-153035</wp:posOffset>
            </wp:positionV>
            <wp:extent cx="636968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0">
                      <a:extLst>
                        <a:ext uri="{28A0092B-C50C-407E-A947-70E740481C1C}"/>
                      </a:extLst>
                    </a:blip>
                    <a:srcRect/>
                    <a:stretch>
                      <a:fillRect/>
                    </a:stretch>
                  </pic:blipFill>
                  <pic:spPr bwMode="auto">
                    <a:xfrm>
                      <a:off x="0" y="0"/>
                      <a:ext cx="6369685"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-24765</wp:posOffset>
            </wp:positionV>
            <wp:extent cx="2921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1">
                      <a:extLst>
                        <a:ext uri="{28A0092B-C50C-407E-A947-70E740481C1C}"/>
                      </a:extLst>
                    </a:blip>
                    <a:srcRect/>
                    <a:stretch>
                      <a:fillRect/>
                    </a:stretch>
                  </pic:blipFill>
                  <pic:spPr bwMode="auto">
                    <a:xfrm>
                      <a:off x="0" y="0"/>
                      <a:ext cx="292100" cy="8890"/>
                    </a:xfrm>
                    <a:prstGeom prst="rect">
                      <a:avLst/>
                    </a:prstGeom>
                    <a:noFill/>
                  </pic:spPr>
                </pic:pic>
              </a:graphicData>
            </a:graphic>
          </wp:anchor>
        </w:drawing>
      </w:r>
    </w:p>
    <w:p>
      <w:pPr>
        <w:spacing w:after="0" w:line="70" w:lineRule="exact"/>
        <w:rPr>
          <w:rFonts w:ascii="Arial" w:cs="Arial" w:eastAsia="Arial" w:hAnsi="Arial"/>
          <w:sz w:val="18"/>
          <w:szCs w:val="18"/>
          <w:u w:val="single" w:color="auto"/>
          <w:color w:val="0000FF"/>
        </w:rPr>
      </w:pPr>
    </w:p>
    <w:p>
      <w:pPr>
        <w:ind w:left="980" w:hanging="680"/>
        <w:spacing w:after="0" w:line="242"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392">
        <w:r>
          <w:rPr>
            <w:rFonts w:ascii="Arial" w:cs="Arial" w:eastAsia="Arial" w:hAnsi="Arial"/>
            <w:sz w:val="18"/>
            <w:szCs w:val="18"/>
            <w:u w:val="single" w:color="auto"/>
            <w:color w:val="0000FF"/>
          </w:rPr>
          <w:t>Amendment No. 3 to Credit Agreement, dated February 28, 2023, by and among Allison Transmission Inc., Allison</w:t>
        </w:r>
      </w:hyperlink>
      <w:r>
        <w:rPr>
          <w:rFonts w:ascii="Arial" w:cs="Arial" w:eastAsia="Arial" w:hAnsi="Arial"/>
          <w:sz w:val="18"/>
          <w:szCs w:val="18"/>
          <w:u w:val="single" w:color="auto"/>
          <w:color w:val="0000FF"/>
        </w:rPr>
        <w:t xml:space="preserve"> </w:t>
      </w:r>
      <w:hyperlink r:id="rId392">
        <w:r>
          <w:rPr>
            <w:rFonts w:ascii="Arial" w:cs="Arial" w:eastAsia="Arial" w:hAnsi="Arial"/>
            <w:sz w:val="18"/>
            <w:szCs w:val="18"/>
            <w:u w:val="single" w:color="auto"/>
            <w:color w:val="0000FF"/>
          </w:rPr>
          <w:t>Transmission Holdings, Inc., and Citibank N.A., as administrative agent, to the Second Amended and Restated Credit</w:t>
        </w:r>
      </w:hyperlink>
      <w:r>
        <w:rPr>
          <w:rFonts w:ascii="Arial" w:cs="Arial" w:eastAsia="Arial" w:hAnsi="Arial"/>
          <w:sz w:val="18"/>
          <w:szCs w:val="18"/>
          <w:u w:val="single" w:color="auto"/>
          <w:color w:val="0000FF"/>
        </w:rPr>
        <w:t xml:space="preserve"> </w:t>
      </w:r>
      <w:hyperlink r:id="rId392">
        <w:r>
          <w:rPr>
            <w:rFonts w:ascii="Arial" w:cs="Arial" w:eastAsia="Arial" w:hAnsi="Arial"/>
            <w:sz w:val="18"/>
            <w:szCs w:val="18"/>
            <w:u w:val="single" w:color="auto"/>
            <w:color w:val="0000FF"/>
          </w:rPr>
          <w:t>Agreement, dated as of March 29, 2019, among Allison Transmission Holdings, Inc., Allison Transmission, Inc., as borrower, the</w:t>
        </w:r>
      </w:hyperlink>
      <w:r>
        <w:rPr>
          <w:rFonts w:ascii="Arial" w:cs="Arial" w:eastAsia="Arial" w:hAnsi="Arial"/>
          <w:sz w:val="18"/>
          <w:szCs w:val="18"/>
          <w:u w:val="single" w:color="auto"/>
          <w:color w:val="0000FF"/>
        </w:rPr>
        <w:t xml:space="preserve"> </w:t>
      </w:r>
      <w:hyperlink r:id="rId392">
        <w:r>
          <w:rPr>
            <w:rFonts w:ascii="Arial" w:cs="Arial" w:eastAsia="Arial" w:hAnsi="Arial"/>
            <w:sz w:val="18"/>
            <w:szCs w:val="18"/>
            <w:u w:val="single" w:color="auto"/>
            <w:color w:val="0000FF"/>
          </w:rPr>
          <w:t>several banks and other financial institutions or entities from time to time parties thereto as lenders and Citibank, N.A., as</w:t>
        </w:r>
      </w:hyperlink>
      <w:r>
        <w:rPr>
          <w:rFonts w:ascii="Arial" w:cs="Arial" w:eastAsia="Arial" w:hAnsi="Arial"/>
          <w:sz w:val="18"/>
          <w:szCs w:val="18"/>
          <w:u w:val="single" w:color="auto"/>
          <w:color w:val="0000FF"/>
        </w:rPr>
        <w:t xml:space="preserve"> </w:t>
      </w:r>
      <w:hyperlink r:id="rId392">
        <w:r>
          <w:rPr>
            <w:rFonts w:ascii="Arial" w:cs="Arial" w:eastAsia="Arial" w:hAnsi="Arial"/>
            <w:sz w:val="18"/>
            <w:szCs w:val="18"/>
            <w:u w:val="single" w:color="auto"/>
            <w:color w:val="0000FF"/>
          </w:rPr>
          <w:t>administrative agent (incorporated by reference to Exhibit 10.1 to the Registrant’s Current Report on Form 8-K filed March 6,</w:t>
        </w:r>
      </w:hyperlink>
      <w:r>
        <w:rPr>
          <w:rFonts w:ascii="Arial" w:cs="Arial" w:eastAsia="Arial" w:hAnsi="Arial"/>
          <w:sz w:val="18"/>
          <w:szCs w:val="18"/>
          <w:u w:val="single" w:color="auto"/>
          <w:color w:val="0000FF"/>
        </w:rPr>
        <w:t xml:space="preserve"> </w:t>
      </w:r>
      <w:hyperlink r:id="rId392">
        <w:r>
          <w:rPr>
            <w:rFonts w:ascii="Arial" w:cs="Arial" w:eastAsia="Arial" w:hAnsi="Arial"/>
            <w:sz w:val="18"/>
            <w:szCs w:val="18"/>
            <w:u w:val="single" w:color="auto"/>
            <w:color w:val="0000FF"/>
          </w:rPr>
          <w:t>2023)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617855</wp:posOffset>
            </wp:positionH>
            <wp:positionV relativeFrom="paragraph">
              <wp:posOffset>-671195</wp:posOffset>
            </wp:positionV>
            <wp:extent cx="58045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58045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-542290</wp:posOffset>
            </wp:positionV>
            <wp:extent cx="596328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5963285"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-414020</wp:posOffset>
            </wp:positionV>
            <wp:extent cx="648081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-285115</wp:posOffset>
            </wp:positionV>
            <wp:extent cx="614108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6141085"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-156845</wp:posOffset>
            </wp:positionV>
            <wp:extent cx="630618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6306185"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-27940</wp:posOffset>
            </wp:positionV>
            <wp:extent cx="2921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292100" cy="8890"/>
                    </a:xfrm>
                    <a:prstGeom prst="rect">
                      <a:avLst/>
                    </a:prstGeom>
                    <a:noFill/>
                  </pic:spPr>
                </pic:pic>
              </a:graphicData>
            </a:graphic>
          </wp:anchor>
        </w:drawing>
      </w:r>
    </w:p>
    <w:p>
      <w:pPr>
        <w:spacing w:after="0" w:line="64" w:lineRule="exact"/>
        <w:rPr>
          <w:rFonts w:ascii="Arial" w:cs="Arial" w:eastAsia="Arial" w:hAnsi="Arial"/>
          <w:sz w:val="18"/>
          <w:szCs w:val="18"/>
          <w:u w:val="single" w:color="auto"/>
          <w:color w:val="0000FF"/>
        </w:rPr>
      </w:pPr>
    </w:p>
    <w:p>
      <w:pPr>
        <w:ind w:left="980" w:right="60" w:hanging="680"/>
        <w:spacing w:after="0" w:line="24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399">
        <w:r>
          <w:rPr>
            <w:rFonts w:ascii="Arial" w:cs="Arial" w:eastAsia="Arial" w:hAnsi="Arial"/>
            <w:sz w:val="18"/>
            <w:szCs w:val="18"/>
            <w:u w:val="single" w:color="auto"/>
            <w:color w:val="0000FF"/>
          </w:rPr>
          <w:t>Amendment No. 4 to Credit Agreement, dated March 13, 2024, by and among Allison Transmission Inc., Allison Transmission</w:t>
        </w:r>
      </w:hyperlink>
      <w:r>
        <w:rPr>
          <w:rFonts w:ascii="Arial" w:cs="Arial" w:eastAsia="Arial" w:hAnsi="Arial"/>
          <w:sz w:val="18"/>
          <w:szCs w:val="18"/>
          <w:u w:val="single" w:color="auto"/>
          <w:color w:val="0000FF"/>
        </w:rPr>
        <w:t xml:space="preserve"> </w:t>
      </w:r>
      <w:hyperlink r:id="rId399">
        <w:r>
          <w:rPr>
            <w:rFonts w:ascii="Arial" w:cs="Arial" w:eastAsia="Arial" w:hAnsi="Arial"/>
            <w:sz w:val="18"/>
            <w:szCs w:val="18"/>
            <w:u w:val="single" w:color="auto"/>
            <w:color w:val="0000FF"/>
          </w:rPr>
          <w:t>Holdings, Inc., and Citibank N.A., as administrative agent, to the Second Amended and Restated Credit Agreement, dated as of</w:t>
        </w:r>
      </w:hyperlink>
      <w:r>
        <w:rPr>
          <w:rFonts w:ascii="Arial" w:cs="Arial" w:eastAsia="Arial" w:hAnsi="Arial"/>
          <w:sz w:val="18"/>
          <w:szCs w:val="18"/>
          <w:u w:val="single" w:color="auto"/>
          <w:color w:val="0000FF"/>
        </w:rPr>
        <w:t xml:space="preserve"> </w:t>
      </w:r>
      <w:hyperlink r:id="rId399">
        <w:r>
          <w:rPr>
            <w:rFonts w:ascii="Arial" w:cs="Arial" w:eastAsia="Arial" w:hAnsi="Arial"/>
            <w:sz w:val="18"/>
            <w:szCs w:val="18"/>
            <w:u w:val="single" w:color="auto"/>
            <w:color w:val="0000FF"/>
          </w:rPr>
          <w:t>March 29, 2019, among Allison Transmission Holdings, Inc., Allison Transmission, Inc., as borrower, the several banks and</w:t>
        </w:r>
      </w:hyperlink>
      <w:r>
        <w:rPr>
          <w:rFonts w:ascii="Arial" w:cs="Arial" w:eastAsia="Arial" w:hAnsi="Arial"/>
          <w:sz w:val="18"/>
          <w:szCs w:val="18"/>
          <w:u w:val="single" w:color="auto"/>
          <w:color w:val="0000FF"/>
        </w:rPr>
        <w:t xml:space="preserve"> </w:t>
      </w:r>
      <w:hyperlink r:id="rId399">
        <w:r>
          <w:rPr>
            <w:rFonts w:ascii="Arial" w:cs="Arial" w:eastAsia="Arial" w:hAnsi="Arial"/>
            <w:sz w:val="18"/>
            <w:szCs w:val="18"/>
            <w:u w:val="single" w:color="auto"/>
            <w:color w:val="0000FF"/>
          </w:rPr>
          <w:t>other financial institutions or entities from time to time parties thereto as lenders and Citibank, N.A., as administrative agent</w:t>
        </w:r>
      </w:hyperlink>
      <w:r>
        <w:rPr>
          <w:rFonts w:ascii="Arial" w:cs="Arial" w:eastAsia="Arial" w:hAnsi="Arial"/>
          <w:sz w:val="18"/>
          <w:szCs w:val="18"/>
          <w:u w:val="single" w:color="auto"/>
          <w:color w:val="0000FF"/>
        </w:rPr>
        <w:t xml:space="preserve"> </w:t>
      </w:r>
      <w:hyperlink r:id="rId399">
        <w:r>
          <w:rPr>
            <w:rFonts w:ascii="Arial" w:cs="Arial" w:eastAsia="Arial" w:hAnsi="Arial"/>
            <w:sz w:val="18"/>
            <w:szCs w:val="18"/>
            <w:u w:val="single" w:color="auto"/>
            <w:color w:val="0000FF"/>
          </w:rPr>
          <w:t>(incorporated by reference to Exhibit 10.1 to the Registrant's Current Report on Form 8-K filed March 18, 2024)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617855</wp:posOffset>
            </wp:positionH>
            <wp:positionV relativeFrom="paragraph">
              <wp:posOffset>-544195</wp:posOffset>
            </wp:positionV>
            <wp:extent cx="63760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0">
                      <a:extLst>
                        <a:ext uri="{28A0092B-C50C-407E-A947-70E740481C1C}"/>
                      </a:extLst>
                    </a:blip>
                    <a:srcRect/>
                    <a:stretch>
                      <a:fillRect/>
                    </a:stretch>
                  </pic:blipFill>
                  <pic:spPr bwMode="auto">
                    <a:xfrm>
                      <a:off x="0" y="0"/>
                      <a:ext cx="63760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-415290</wp:posOffset>
            </wp:positionV>
            <wp:extent cx="64719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1">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-287020</wp:posOffset>
            </wp:positionV>
            <wp:extent cx="62484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2">
                      <a:extLst>
                        <a:ext uri="{28A0092B-C50C-407E-A947-70E740481C1C}"/>
                      </a:extLst>
                    </a:blip>
                    <a:srcRect/>
                    <a:stretch>
                      <a:fillRect/>
                    </a:stretch>
                  </pic:blipFill>
                  <pic:spPr bwMode="auto">
                    <a:xfrm>
                      <a:off x="0" y="0"/>
                      <a:ext cx="624840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-158115</wp:posOffset>
            </wp:positionV>
            <wp:extent cx="62363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3">
                      <a:extLst>
                        <a:ext uri="{28A0092B-C50C-407E-A947-70E740481C1C}"/>
                      </a:extLst>
                    </a:blip>
                    <a:srcRect/>
                    <a:stretch>
                      <a:fillRect/>
                    </a:stretch>
                  </pic:blipFill>
                  <pic:spPr bwMode="auto">
                    <a:xfrm>
                      <a:off x="0" y="0"/>
                      <a:ext cx="62363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-29845</wp:posOffset>
            </wp:positionV>
            <wp:extent cx="560387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4">
                      <a:extLst>
                        <a:ext uri="{28A0092B-C50C-407E-A947-70E740481C1C}"/>
                      </a:extLst>
                    </a:blip>
                    <a:srcRect/>
                    <a:stretch>
                      <a:fillRect/>
                    </a:stretch>
                  </pic:blipFill>
                  <pic:spPr bwMode="auto">
                    <a:xfrm>
                      <a:off x="0" y="0"/>
                      <a:ext cx="5603875" cy="8255"/>
                    </a:xfrm>
                    <a:prstGeom prst="rect">
                      <a:avLst/>
                    </a:prstGeom>
                    <a:noFill/>
                  </pic:spPr>
                </pic:pic>
              </a:graphicData>
            </a:graphic>
          </wp:anchor>
        </w:drawing>
      </w:r>
    </w:p>
    <w:p>
      <w:pPr>
        <w:spacing w:after="0" w:line="62" w:lineRule="exact"/>
        <w:rPr>
          <w:rFonts w:ascii="Arial" w:cs="Arial" w:eastAsia="Arial" w:hAnsi="Arial"/>
          <w:sz w:val="18"/>
          <w:szCs w:val="18"/>
          <w:u w:val="single" w:color="auto"/>
          <w:color w:val="0000FF"/>
        </w:rPr>
      </w:pPr>
    </w:p>
    <w:p>
      <w:pPr>
        <w:ind w:left="980" w:hanging="680"/>
        <w:spacing w:after="0" w:line="242"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05">
        <w:r>
          <w:rPr>
            <w:rFonts w:ascii="Arial" w:cs="Arial" w:eastAsia="Arial" w:hAnsi="Arial"/>
            <w:sz w:val="18"/>
            <w:szCs w:val="18"/>
            <w:u w:val="single" w:color="auto"/>
            <w:color w:val="0000FF"/>
          </w:rPr>
          <w:t>Amendment No. 5 to Credit Agreement, dated as of January 2, 2026, by and among Allison Transmission Inc., Allison</w:t>
        </w:r>
      </w:hyperlink>
      <w:r>
        <w:rPr>
          <w:rFonts w:ascii="Arial" w:cs="Arial" w:eastAsia="Arial" w:hAnsi="Arial"/>
          <w:sz w:val="18"/>
          <w:szCs w:val="18"/>
          <w:u w:val="single" w:color="auto"/>
          <w:color w:val="0000FF"/>
        </w:rPr>
        <w:t xml:space="preserve"> </w:t>
      </w:r>
      <w:hyperlink r:id="rId405">
        <w:r>
          <w:rPr>
            <w:rFonts w:ascii="Arial" w:cs="Arial" w:eastAsia="Arial" w:hAnsi="Arial"/>
            <w:sz w:val="18"/>
            <w:szCs w:val="18"/>
            <w:u w:val="single" w:color="auto"/>
            <w:color w:val="0000FF"/>
          </w:rPr>
          <w:t>Transmission Holdings, Inc., and Citibank N.A., as administrative agent, to the Second Amended and Restated Credit</w:t>
        </w:r>
      </w:hyperlink>
      <w:r>
        <w:rPr>
          <w:rFonts w:ascii="Arial" w:cs="Arial" w:eastAsia="Arial" w:hAnsi="Arial"/>
          <w:sz w:val="18"/>
          <w:szCs w:val="18"/>
          <w:u w:val="single" w:color="auto"/>
          <w:color w:val="0000FF"/>
        </w:rPr>
        <w:t xml:space="preserve"> </w:t>
      </w:r>
      <w:hyperlink r:id="rId405">
        <w:r>
          <w:rPr>
            <w:rFonts w:ascii="Arial" w:cs="Arial" w:eastAsia="Arial" w:hAnsi="Arial"/>
            <w:sz w:val="18"/>
            <w:szCs w:val="18"/>
            <w:u w:val="single" w:color="auto"/>
            <w:color w:val="0000FF"/>
          </w:rPr>
          <w:t>Agreement, dated as of March 29, 2019, among Allison Transmission Holdings, Inc., Allison Transmission, Inc., as borrower, the</w:t>
        </w:r>
      </w:hyperlink>
      <w:r>
        <w:rPr>
          <w:rFonts w:ascii="Arial" w:cs="Arial" w:eastAsia="Arial" w:hAnsi="Arial"/>
          <w:sz w:val="18"/>
          <w:szCs w:val="18"/>
          <w:u w:val="single" w:color="auto"/>
          <w:color w:val="0000FF"/>
        </w:rPr>
        <w:t xml:space="preserve"> </w:t>
      </w:r>
      <w:hyperlink r:id="rId405">
        <w:r>
          <w:rPr>
            <w:rFonts w:ascii="Arial" w:cs="Arial" w:eastAsia="Arial" w:hAnsi="Arial"/>
            <w:sz w:val="18"/>
            <w:szCs w:val="18"/>
            <w:u w:val="single" w:color="auto"/>
            <w:color w:val="0000FF"/>
          </w:rPr>
          <w:t>several banks and other financial institutions or entities from time to time parties thereto as lenders and Citibank, N.A., as</w:t>
        </w:r>
      </w:hyperlink>
      <w:r>
        <w:rPr>
          <w:rFonts w:ascii="Arial" w:cs="Arial" w:eastAsia="Arial" w:hAnsi="Arial"/>
          <w:sz w:val="18"/>
          <w:szCs w:val="18"/>
          <w:u w:val="single" w:color="auto"/>
          <w:color w:val="0000FF"/>
        </w:rPr>
        <w:t xml:space="preserve"> </w:t>
      </w:r>
      <w:hyperlink r:id="rId405">
        <w:r>
          <w:rPr>
            <w:rFonts w:ascii="Arial" w:cs="Arial" w:eastAsia="Arial" w:hAnsi="Arial"/>
            <w:sz w:val="18"/>
            <w:szCs w:val="18"/>
            <w:u w:val="single" w:color="auto"/>
            <w:color w:val="0000FF"/>
          </w:rPr>
          <w:t>administrative agent (incorporated by reference to Exhibit 10.1 to the Registrant's Current Report on Form 8-K filed January 2,</w:t>
        </w:r>
      </w:hyperlink>
      <w:r>
        <w:rPr>
          <w:rFonts w:ascii="Arial" w:cs="Arial" w:eastAsia="Arial" w:hAnsi="Arial"/>
          <w:sz w:val="18"/>
          <w:szCs w:val="18"/>
          <w:u w:val="single" w:color="auto"/>
          <w:color w:val="0000FF"/>
        </w:rPr>
        <w:t xml:space="preserve"> </w:t>
      </w:r>
      <w:hyperlink r:id="rId405">
        <w:r>
          <w:rPr>
            <w:rFonts w:ascii="Arial" w:cs="Arial" w:eastAsia="Arial" w:hAnsi="Arial"/>
            <w:sz w:val="18"/>
            <w:szCs w:val="18"/>
            <w:u w:val="single" w:color="auto"/>
            <w:color w:val="0000FF"/>
          </w:rPr>
          <w:t>2026)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617855</wp:posOffset>
            </wp:positionH>
            <wp:positionV relativeFrom="paragraph">
              <wp:posOffset>-671195</wp:posOffset>
            </wp:positionV>
            <wp:extent cx="59696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5969635"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-542290</wp:posOffset>
            </wp:positionV>
            <wp:extent cx="59632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5963285"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-414020</wp:posOffset>
            </wp:positionV>
            <wp:extent cx="648081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-285115</wp:posOffset>
            </wp:positionV>
            <wp:extent cx="614108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6141085"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-156845</wp:posOffset>
            </wp:positionV>
            <wp:extent cx="639127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639127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-27940</wp:posOffset>
            </wp:positionV>
            <wp:extent cx="2921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pacing w:after="0" w:line="64" w:lineRule="exact"/>
        <w:rPr>
          <w:rFonts w:ascii="Arial" w:cs="Arial" w:eastAsia="Arial" w:hAnsi="Arial"/>
          <w:sz w:val="18"/>
          <w:szCs w:val="18"/>
          <w:u w:val="single" w:color="auto"/>
          <w:color w:val="0000FF"/>
        </w:rPr>
      </w:pPr>
    </w:p>
    <w:p>
      <w:pPr>
        <w:ind w:left="980" w:right="60" w:hanging="680"/>
        <w:spacing w:after="0" w:line="275" w:lineRule="auto"/>
        <w:tabs>
          <w:tab w:leader="none" w:pos="960"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hyperlink r:id="rId412">
        <w:r>
          <w:rPr>
            <w:rFonts w:ascii="Arial" w:cs="Arial" w:eastAsia="Arial" w:hAnsi="Arial"/>
            <w:sz w:val="17"/>
            <w:szCs w:val="17"/>
            <w:u w:val="single" w:color="auto"/>
            <w:color w:val="0000FF"/>
          </w:rPr>
          <w:t>Guarantee And Collateral Agreement made by Allison Transmission Holdings, Inc., Allison Transmission, Inc., as Borrower, and</w:t>
        </w:r>
      </w:hyperlink>
      <w:r>
        <w:rPr>
          <w:rFonts w:ascii="Arial" w:cs="Arial" w:eastAsia="Arial" w:hAnsi="Arial"/>
          <w:sz w:val="17"/>
          <w:szCs w:val="17"/>
          <w:u w:val="single" w:color="auto"/>
          <w:color w:val="0000FF"/>
        </w:rPr>
        <w:t xml:space="preserve"> </w:t>
      </w:r>
      <w:hyperlink r:id="rId412">
        <w:r>
          <w:rPr>
            <w:rFonts w:ascii="Arial" w:cs="Arial" w:eastAsia="Arial" w:hAnsi="Arial"/>
            <w:sz w:val="17"/>
            <w:szCs w:val="17"/>
            <w:u w:val="single" w:color="auto"/>
            <w:color w:val="0000FF"/>
          </w:rPr>
          <w:t>the Subsidiary Guarantors party thereto in favor of Citicorp North America, Inc., as Administrative Agent, dated as of August 7,</w:t>
        </w:r>
      </w:hyperlink>
      <w:r>
        <w:rPr>
          <w:rFonts w:ascii="Arial" w:cs="Arial" w:eastAsia="Arial" w:hAnsi="Arial"/>
          <w:sz w:val="17"/>
          <w:szCs w:val="17"/>
          <w:u w:val="single" w:color="auto"/>
          <w:color w:val="0000FF"/>
        </w:rPr>
        <w:t xml:space="preserve"> </w:t>
      </w:r>
      <w:hyperlink r:id="rId412">
        <w:r>
          <w:rPr>
            <w:rFonts w:ascii="Arial" w:cs="Arial" w:eastAsia="Arial" w:hAnsi="Arial"/>
            <w:sz w:val="17"/>
            <w:szCs w:val="17"/>
            <w:u w:val="single" w:color="auto"/>
            <w:color w:val="0000FF"/>
          </w:rPr>
          <w:t>2007 (incorporated by reference to Exhibit 10.3 to the Registrant’s Registration Statement on Form S-1 filed March 18, 2011)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617855</wp:posOffset>
            </wp:positionH>
            <wp:positionV relativeFrom="paragraph">
              <wp:posOffset>-302895</wp:posOffset>
            </wp:positionV>
            <wp:extent cx="64770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3">
                      <a:extLst>
                        <a:ext uri="{28A0092B-C50C-407E-A947-70E740481C1C}"/>
                      </a:extLst>
                    </a:blip>
                    <a:srcRect/>
                    <a:stretch>
                      <a:fillRect/>
                    </a:stretch>
                  </pic:blipFill>
                  <pic:spPr bwMode="auto">
                    <a:xfrm>
                      <a:off x="0" y="0"/>
                      <a:ext cx="647700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-173990</wp:posOffset>
            </wp:positionV>
            <wp:extent cx="64008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4">
                      <a:extLst>
                        <a:ext uri="{28A0092B-C50C-407E-A947-70E740481C1C}"/>
                      </a:extLst>
                    </a:blip>
                    <a:srcRect/>
                    <a:stretch>
                      <a:fillRect/>
                    </a:stretch>
                  </pic:blipFill>
                  <pic:spPr bwMode="auto">
                    <a:xfrm>
                      <a:off x="0" y="0"/>
                      <a:ext cx="640080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-45720</wp:posOffset>
            </wp:positionV>
            <wp:extent cx="6299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5">
                      <a:extLst>
                        <a:ext uri="{28A0092B-C50C-407E-A947-70E740481C1C}"/>
                      </a:extLst>
                    </a:blip>
                    <a:srcRect/>
                    <a:stretch>
                      <a:fillRect/>
                    </a:stretch>
                  </pic:blipFill>
                  <pic:spPr bwMode="auto">
                    <a:xfrm>
                      <a:off x="0" y="0"/>
                      <a:ext cx="6299835" cy="8255"/>
                    </a:xfrm>
                    <a:prstGeom prst="rect">
                      <a:avLst/>
                    </a:prstGeom>
                    <a:noFill/>
                  </pic:spPr>
                </pic:pic>
              </a:graphicData>
            </a:graphic>
          </wp:anchor>
        </w:drawing>
      </w:r>
    </w:p>
    <w:p>
      <w:pPr>
        <w:spacing w:after="0" w:line="37" w:lineRule="exact"/>
        <w:rPr>
          <w:rFonts w:ascii="Arial" w:cs="Arial" w:eastAsia="Arial" w:hAnsi="Arial"/>
          <w:sz w:val="17"/>
          <w:szCs w:val="17"/>
          <w:u w:val="single" w:color="auto"/>
          <w:color w:val="0000FF"/>
        </w:rPr>
      </w:pPr>
    </w:p>
    <w:p>
      <w:pPr>
        <w:ind w:left="980" w:right="40" w:hanging="680"/>
        <w:spacing w:after="0" w:line="253"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416">
        <w:r>
          <w:rPr>
            <w:rFonts w:ascii="Arial" w:cs="Arial" w:eastAsia="Arial" w:hAnsi="Arial"/>
            <w:sz w:val="18"/>
            <w:szCs w:val="18"/>
            <w:u w:val="single" w:color="auto"/>
            <w:color w:val="0000FF"/>
          </w:rPr>
          <w:t>Trademark Security Agreement made by Allison Transmission, Inc. in favor of Citicorp North America, Inc., as Administrative</w:t>
        </w:r>
      </w:hyperlink>
      <w:r>
        <w:rPr>
          <w:rFonts w:ascii="Arial" w:cs="Arial" w:eastAsia="Arial" w:hAnsi="Arial"/>
          <w:sz w:val="18"/>
          <w:szCs w:val="18"/>
          <w:u w:val="single" w:color="auto"/>
          <w:color w:val="0000FF"/>
        </w:rPr>
        <w:t xml:space="preserve"> </w:t>
      </w:r>
      <w:hyperlink r:id="rId416">
        <w:r>
          <w:rPr>
            <w:rFonts w:ascii="Arial" w:cs="Arial" w:eastAsia="Arial" w:hAnsi="Arial"/>
            <w:sz w:val="18"/>
            <w:szCs w:val="18"/>
            <w:u w:val="single" w:color="auto"/>
            <w:color w:val="0000FF"/>
          </w:rPr>
          <w:t>Agent, dated as of August 7, 2007 (incorporated by reference to Exhibit 10.4 to the Registrant’s Registration Statement on Form</w:t>
        </w:r>
      </w:hyperlink>
      <w:r>
        <w:rPr>
          <w:rFonts w:ascii="Arial" w:cs="Arial" w:eastAsia="Arial" w:hAnsi="Arial"/>
          <w:sz w:val="18"/>
          <w:szCs w:val="18"/>
          <w:u w:val="single" w:color="auto"/>
          <w:color w:val="0000FF"/>
        </w:rPr>
        <w:t xml:space="preserve"> </w:t>
      </w:r>
      <w:hyperlink r:id="rId416">
        <w:r>
          <w:rPr>
            <w:rFonts w:ascii="Arial" w:cs="Arial" w:eastAsia="Arial" w:hAnsi="Arial"/>
            <w:sz w:val="18"/>
            <w:szCs w:val="18"/>
            <w:u w:val="single" w:color="auto"/>
            <w:color w:val="0000FF"/>
          </w:rPr>
          <w:t>S-1 filed March 18, 2011)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617855</wp:posOffset>
            </wp:positionH>
            <wp:positionV relativeFrom="paragraph">
              <wp:posOffset>-291465</wp:posOffset>
            </wp:positionV>
            <wp:extent cx="63112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631126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-163195</wp:posOffset>
            </wp:positionV>
            <wp:extent cx="648081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-34290</wp:posOffset>
            </wp:positionV>
            <wp:extent cx="12827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54" w:lineRule="exact"/>
        <w:rPr>
          <w:rFonts w:ascii="Arial" w:cs="Arial" w:eastAsia="Arial" w:hAnsi="Arial"/>
          <w:sz w:val="18"/>
          <w:szCs w:val="18"/>
          <w:u w:val="single" w:color="auto"/>
          <w:color w:val="0000FF"/>
        </w:rPr>
      </w:pPr>
    </w:p>
    <w:p>
      <w:pPr>
        <w:ind w:left="980" w:right="420" w:hanging="680"/>
        <w:spacing w:after="0" w:line="253"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20">
        <w:r>
          <w:rPr>
            <w:rFonts w:ascii="Arial" w:cs="Arial" w:eastAsia="Arial" w:hAnsi="Arial"/>
            <w:sz w:val="18"/>
            <w:szCs w:val="18"/>
            <w:u w:val="single" w:color="auto"/>
            <w:color w:val="0000FF"/>
          </w:rPr>
          <w:t>Copyright Security Agreement made by Allison Transmission, Inc. in favor of Citicorp North America, Inc., as Administrative</w:t>
        </w:r>
      </w:hyperlink>
      <w:r>
        <w:rPr>
          <w:rFonts w:ascii="Arial" w:cs="Arial" w:eastAsia="Arial" w:hAnsi="Arial"/>
          <w:sz w:val="18"/>
          <w:szCs w:val="18"/>
          <w:u w:val="single" w:color="auto"/>
          <w:color w:val="0000FF"/>
        </w:rPr>
        <w:t xml:space="preserve"> </w:t>
      </w:r>
      <w:hyperlink r:id="rId420">
        <w:r>
          <w:rPr>
            <w:rFonts w:ascii="Arial" w:cs="Arial" w:eastAsia="Arial" w:hAnsi="Arial"/>
            <w:sz w:val="18"/>
            <w:szCs w:val="18"/>
            <w:u w:val="single" w:color="auto"/>
            <w:color w:val="0000FF"/>
          </w:rPr>
          <w:t>Agent, dated as of August 7, 2007 (incorporated by reference to Exhibit 10.5 to Amendment No. 2 to the Registrant’s</w:t>
        </w:r>
      </w:hyperlink>
      <w:r>
        <w:rPr>
          <w:rFonts w:ascii="Arial" w:cs="Arial" w:eastAsia="Arial" w:hAnsi="Arial"/>
          <w:sz w:val="18"/>
          <w:szCs w:val="18"/>
          <w:u w:val="single" w:color="auto"/>
          <w:color w:val="0000FF"/>
        </w:rPr>
        <w:t xml:space="preserve"> </w:t>
      </w:r>
      <w:hyperlink r:id="rId420">
        <w:r>
          <w:rPr>
            <w:rFonts w:ascii="Arial" w:cs="Arial" w:eastAsia="Arial" w:hAnsi="Arial"/>
            <w:sz w:val="18"/>
            <w:szCs w:val="18"/>
            <w:u w:val="single" w:color="auto"/>
            <w:color w:val="0000FF"/>
          </w:rPr>
          <w:t>Registration Statement on Form S-1 filed May 16, 2011)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617855</wp:posOffset>
            </wp:positionH>
            <wp:positionV relativeFrom="paragraph">
              <wp:posOffset>-291465</wp:posOffset>
            </wp:positionV>
            <wp:extent cx="62484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1">
                      <a:extLst>
                        <a:ext uri="{28A0092B-C50C-407E-A947-70E740481C1C}"/>
                      </a:extLst>
                    </a:blip>
                    <a:srcRect/>
                    <a:stretch>
                      <a:fillRect/>
                    </a:stretch>
                  </pic:blipFill>
                  <pic:spPr bwMode="auto">
                    <a:xfrm>
                      <a:off x="0" y="0"/>
                      <a:ext cx="624840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-163195</wp:posOffset>
            </wp:positionV>
            <wp:extent cx="59194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2">
                      <a:extLst>
                        <a:ext uri="{28A0092B-C50C-407E-A947-70E740481C1C}"/>
                      </a:extLst>
                    </a:blip>
                    <a:srcRect/>
                    <a:stretch>
                      <a:fillRect/>
                    </a:stretch>
                  </pic:blipFill>
                  <pic:spPr bwMode="auto">
                    <a:xfrm>
                      <a:off x="0" y="0"/>
                      <a:ext cx="5919470"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-34290</wp:posOffset>
            </wp:positionV>
            <wp:extent cx="28321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3">
                      <a:extLst>
                        <a:ext uri="{28A0092B-C50C-407E-A947-70E740481C1C}"/>
                      </a:extLst>
                    </a:blip>
                    <a:srcRect/>
                    <a:stretch>
                      <a:fillRect/>
                    </a:stretch>
                  </pic:blipFill>
                  <pic:spPr bwMode="auto">
                    <a:xfrm>
                      <a:off x="0" y="0"/>
                      <a:ext cx="2832100" cy="8890"/>
                    </a:xfrm>
                    <a:prstGeom prst="rect">
                      <a:avLst/>
                    </a:prstGeom>
                    <a:noFill/>
                  </pic:spPr>
                </pic:pic>
              </a:graphicData>
            </a:graphic>
          </wp:anchor>
        </w:drawing>
      </w:r>
    </w:p>
    <w:p>
      <w:pPr>
        <w:spacing w:after="0" w:line="54" w:lineRule="exact"/>
        <w:rPr>
          <w:rFonts w:ascii="Arial" w:cs="Arial" w:eastAsia="Arial" w:hAnsi="Arial"/>
          <w:sz w:val="18"/>
          <w:szCs w:val="18"/>
          <w:u w:val="single" w:color="auto"/>
          <w:color w:val="0000FF"/>
        </w:rPr>
      </w:pPr>
    </w:p>
    <w:p>
      <w:pPr>
        <w:ind w:left="260" w:right="820" w:firstLine="716"/>
        <w:spacing w:after="0" w:line="271" w:lineRule="auto"/>
        <w:rPr>
          <w:rFonts w:ascii="Arial" w:cs="Arial" w:eastAsia="Arial" w:hAnsi="Arial"/>
          <w:sz w:val="18"/>
          <w:szCs w:val="18"/>
          <w:color w:val="000000"/>
        </w:rPr>
      </w:pPr>
      <w:hyperlink r:id="rId424">
        <w:r>
          <w:rPr>
            <w:rFonts w:ascii="Arial" w:cs="Arial" w:eastAsia="Arial" w:hAnsi="Arial"/>
            <w:sz w:val="18"/>
            <w:szCs w:val="18"/>
            <w:u w:val="single" w:color="auto"/>
            <w:color w:val="0000FF"/>
          </w:rPr>
          <w:t>Allison Transmission Holdings, Inc. 2024 Equity Incentive Award Plan (incorporated by reference to Exhibit 10.1 to the</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 xml:space="preserve">10.10* </w:t>
      </w:r>
      <w:hyperlink r:id="rId424">
        <w:r>
          <w:rPr>
            <w:rFonts w:ascii="Arial" w:cs="Arial" w:eastAsia="Arial" w:hAnsi="Arial"/>
            <w:sz w:val="18"/>
            <w:szCs w:val="18"/>
            <w:u w:val="single" w:color="auto"/>
            <w:color w:val="0000FF"/>
          </w:rPr>
          <w:t>Company's Current Report on Form 8-K filed May 10,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598868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5988685"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302514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3025140" cy="8890"/>
                    </a:xfrm>
                    <a:prstGeom prst="rect">
                      <a:avLst/>
                    </a:prstGeom>
                    <a:noFill/>
                  </pic:spPr>
                </pic:pic>
              </a:graphicData>
            </a:graphic>
          </wp:anchor>
        </w:drawing>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60"/>
        <w:spacing w:after="0"/>
        <w:tabs>
          <w:tab w:leader="none" w:pos="960" w:val="left"/>
        </w:tabs>
        <w:rPr>
          <w:rFonts w:ascii="Arial" w:cs="Arial" w:eastAsia="Arial" w:hAnsi="Arial"/>
          <w:sz w:val="17"/>
          <w:szCs w:val="17"/>
          <w:u w:val="single" w:color="auto"/>
          <w:color w:val="0000FF"/>
        </w:rPr>
      </w:pPr>
      <w:r>
        <w:rPr>
          <w:rFonts w:ascii="Arial" w:cs="Arial" w:eastAsia="Arial" w:hAnsi="Arial"/>
          <w:sz w:val="18"/>
          <w:szCs w:val="18"/>
          <w:color w:val="auto"/>
        </w:rPr>
        <w:t>10.11*</w:t>
      </w:r>
      <w:r>
        <w:rPr>
          <w:sz w:val="20"/>
          <w:szCs w:val="20"/>
          <w:color w:val="auto"/>
        </w:rPr>
        <w:tab/>
      </w:r>
      <w:hyperlink r:id="rId428">
        <w:r>
          <w:rPr>
            <w:rFonts w:ascii="Arial" w:cs="Arial" w:eastAsia="Arial" w:hAnsi="Arial"/>
            <w:sz w:val="17"/>
            <w:szCs w:val="17"/>
            <w:u w:val="single" w:color="auto"/>
            <w:color w:val="0000FF"/>
          </w:rPr>
          <w:t>Form of 2024 Equity Incentive Award Plan Performance Stock Unit Agreement for 2025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-7620</wp:posOffset>
            </wp:positionV>
            <wp:extent cx="631888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6318885" cy="8255"/>
                    </a:xfrm>
                    <a:prstGeom prst="rect">
                      <a:avLst/>
                    </a:prstGeom>
                    <a:noFill/>
                  </pic:spPr>
                </pic:pic>
              </a:graphicData>
            </a:graphic>
          </wp:anchor>
        </w:drawing>
      </w:r>
    </w:p>
    <w:p>
      <w:pPr>
        <w:ind w:left="980"/>
        <w:spacing w:after="0"/>
        <w:rPr>
          <w:rFonts w:ascii="Arial" w:cs="Arial" w:eastAsia="Arial" w:hAnsi="Arial"/>
          <w:sz w:val="18"/>
          <w:szCs w:val="18"/>
          <w:u w:val="single" w:color="auto"/>
          <w:color w:val="0000FF"/>
        </w:rPr>
      </w:pPr>
      <w:hyperlink r:id="rId428">
        <w:r>
          <w:rPr>
            <w:rFonts w:ascii="Arial" w:cs="Arial" w:eastAsia="Arial" w:hAnsi="Arial"/>
            <w:sz w:val="18"/>
            <w:szCs w:val="18"/>
            <w:u w:val="single" w:color="auto"/>
            <w:color w:val="0000FF"/>
          </w:rPr>
          <w:t>10.1 to the Registrant's Quarterly Report on Form 10-Q for the quarter ended March 31, 2025 filed May 2,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-19050</wp:posOffset>
            </wp:positionV>
            <wp:extent cx="565467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extLst>
                        <a:ext uri="{28A0092B-C50C-407E-A947-70E740481C1C}"/>
                      </a:extLst>
                    </a:blip>
                    <a:srcRect/>
                    <a:stretch>
                      <a:fillRect/>
                    </a:stretch>
                  </pic:blipFill>
                  <pic:spPr bwMode="auto">
                    <a:xfrm>
                      <a:off x="0" y="0"/>
                      <a:ext cx="5654675" cy="8890"/>
                    </a:xfrm>
                    <a:prstGeom prst="rect">
                      <a:avLst/>
                    </a:prstGeom>
                    <a:noFill/>
                  </pic:spPr>
                </pic:pic>
              </a:graphicData>
            </a:graphic>
          </wp:anchor>
        </w:drawing>
      </w:r>
    </w:p>
    <w:p>
      <w:pPr>
        <w:spacing w:after="0" w:line="79" w:lineRule="exact"/>
        <w:rPr>
          <w:sz w:val="20"/>
          <w:szCs w:val="20"/>
          <w:color w:val="auto"/>
        </w:rPr>
      </w:pPr>
    </w:p>
    <w:p>
      <w:pPr>
        <w:ind w:left="980" w:right="34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431">
        <w:r>
          <w:rPr>
            <w:rFonts w:ascii="Arial" w:cs="Arial" w:eastAsia="Arial" w:hAnsi="Arial"/>
            <w:sz w:val="18"/>
            <w:szCs w:val="18"/>
            <w:u w:val="single" w:color="auto"/>
            <w:color w:val="0000FF"/>
          </w:rPr>
          <w:t>Form of 2024 Equity Incentive Award Plan Restricted Stock Unit Agreement (incorporated by reference to Exhibit 10.3 to the</w:t>
        </w:r>
      </w:hyperlink>
      <w:r>
        <w:rPr>
          <w:rFonts w:ascii="Arial" w:cs="Arial" w:eastAsia="Arial" w:hAnsi="Arial"/>
          <w:sz w:val="18"/>
          <w:szCs w:val="18"/>
          <w:u w:val="single" w:color="auto"/>
          <w:color w:val="0000FF"/>
        </w:rPr>
        <w:t xml:space="preserve"> </w:t>
      </w:r>
      <w:hyperlink r:id="rId431">
        <w:r>
          <w:rPr>
            <w:rFonts w:ascii="Arial" w:cs="Arial" w:eastAsia="Arial" w:hAnsi="Arial"/>
            <w:sz w:val="18"/>
            <w:szCs w:val="18"/>
            <w:u w:val="single" w:color="auto"/>
            <w:color w:val="0000FF"/>
          </w:rPr>
          <w:t>Registrant’s Quarterly Report on Form 10-Q for the quarter ended June 30, 2024 filed July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299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6299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50679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5067935" cy="8255"/>
                    </a:xfrm>
                    <a:prstGeom prst="rect">
                      <a:avLst/>
                    </a:prstGeom>
                    <a:noFill/>
                  </pic:spPr>
                </pic:pic>
              </a:graphicData>
            </a:graphic>
          </wp:anchor>
        </w:drawing>
      </w:r>
    </w:p>
    <w:p>
      <w:pPr>
        <w:spacing w:after="0" w:line="39" w:lineRule="exact"/>
        <w:rPr>
          <w:sz w:val="20"/>
          <w:szCs w:val="20"/>
          <w:color w:val="auto"/>
        </w:rPr>
      </w:pPr>
    </w:p>
    <w:p>
      <w:pPr>
        <w:ind w:left="980" w:right="98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434">
        <w:r>
          <w:rPr>
            <w:rFonts w:ascii="Arial" w:cs="Arial" w:eastAsia="Arial" w:hAnsi="Arial"/>
            <w:sz w:val="18"/>
            <w:szCs w:val="18"/>
            <w:u w:val="single" w:color="auto"/>
            <w:color w:val="0000FF"/>
          </w:rPr>
          <w:t>Form of 2024 Equity Incentive Award Plan Stock Option Agreement (incorporated by reference to Exhibit 10.4 to the</w:t>
        </w:r>
      </w:hyperlink>
      <w:r>
        <w:rPr>
          <w:rFonts w:ascii="Arial" w:cs="Arial" w:eastAsia="Arial" w:hAnsi="Arial"/>
          <w:sz w:val="18"/>
          <w:szCs w:val="18"/>
          <w:u w:val="single" w:color="auto"/>
          <w:color w:val="0000FF"/>
        </w:rPr>
        <w:t xml:space="preserve"> </w:t>
      </w:r>
      <w:hyperlink r:id="rId434">
        <w:r>
          <w:rPr>
            <w:rFonts w:ascii="Arial" w:cs="Arial" w:eastAsia="Arial" w:hAnsi="Arial"/>
            <w:sz w:val="18"/>
            <w:szCs w:val="18"/>
            <w:u w:val="single" w:color="auto"/>
            <w:color w:val="0000FF"/>
          </w:rPr>
          <w:t>Registrant's Quarterly Report on Form 10-Q for the quarter ended June 30, 2024 filed July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588708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5">
                      <a:extLst>
                        <a:ext uri="{28A0092B-C50C-407E-A947-70E740481C1C}"/>
                      </a:extLst>
                    </a:blip>
                    <a:srcRect/>
                    <a:stretch>
                      <a:fillRect/>
                    </a:stretch>
                  </pic:blipFill>
                  <pic:spPr bwMode="auto">
                    <a:xfrm>
                      <a:off x="0" y="0"/>
                      <a:ext cx="58870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50647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6">
                      <a:extLst>
                        <a:ext uri="{28A0092B-C50C-407E-A947-70E740481C1C}"/>
                      </a:extLst>
                    </a:blip>
                    <a:srcRect/>
                    <a:stretch>
                      <a:fillRect/>
                    </a:stretch>
                  </pic:blipFill>
                  <pic:spPr bwMode="auto">
                    <a:xfrm>
                      <a:off x="0" y="0"/>
                      <a:ext cx="5064760" cy="8255"/>
                    </a:xfrm>
                    <a:prstGeom prst="rect">
                      <a:avLst/>
                    </a:prstGeom>
                    <a:noFill/>
                  </pic:spPr>
                </pic:pic>
              </a:graphicData>
            </a:graphic>
          </wp:anchor>
        </w:drawing>
      </w:r>
    </w:p>
    <w:p>
      <w:pPr>
        <w:spacing w:after="0" w:line="39" w:lineRule="exact"/>
        <w:rPr>
          <w:sz w:val="20"/>
          <w:szCs w:val="20"/>
          <w:color w:val="auto"/>
        </w:rPr>
      </w:pPr>
    </w:p>
    <w:p>
      <w:pPr>
        <w:ind w:left="980" w:right="12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437">
        <w:r>
          <w:rPr>
            <w:rFonts w:ascii="Arial" w:cs="Arial" w:eastAsia="Arial" w:hAnsi="Arial"/>
            <w:sz w:val="18"/>
            <w:szCs w:val="18"/>
            <w:u w:val="single" w:color="auto"/>
            <w:color w:val="0000FF"/>
          </w:rPr>
          <w:t>Form of 2024 Equity Incentive Award Plan Performance Stock Unit Agreement (incorporated by reference to Exhibit 10.5 to the</w:t>
        </w:r>
      </w:hyperlink>
      <w:r>
        <w:rPr>
          <w:rFonts w:ascii="Arial" w:cs="Arial" w:eastAsia="Arial" w:hAnsi="Arial"/>
          <w:sz w:val="18"/>
          <w:szCs w:val="18"/>
          <w:u w:val="single" w:color="auto"/>
          <w:color w:val="0000FF"/>
        </w:rPr>
        <w:t xml:space="preserve"> </w:t>
      </w:r>
      <w:hyperlink r:id="rId437">
        <w:r>
          <w:rPr>
            <w:rFonts w:ascii="Arial" w:cs="Arial" w:eastAsia="Arial" w:hAnsi="Arial"/>
            <w:sz w:val="18"/>
            <w:szCs w:val="18"/>
            <w:u w:val="single" w:color="auto"/>
            <w:color w:val="0000FF"/>
          </w:rPr>
          <w:t>Registrant's Quarterly Report on Form 10-Q for the quarter ended June 30, 2024 filed July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4395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64395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50647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extLst>
                        <a:ext uri="{28A0092B-C50C-407E-A947-70E740481C1C}"/>
                      </a:extLst>
                    </a:blip>
                    <a:srcRect/>
                    <a:stretch>
                      <a:fillRect/>
                    </a:stretch>
                  </pic:blipFill>
                  <pic:spPr bwMode="auto">
                    <a:xfrm>
                      <a:off x="0" y="0"/>
                      <a:ext cx="5064760" cy="8255"/>
                    </a:xfrm>
                    <a:prstGeom prst="rect">
                      <a:avLst/>
                    </a:prstGeom>
                    <a:noFill/>
                  </pic:spPr>
                </pic:pic>
              </a:graphicData>
            </a:graphic>
          </wp:anchor>
        </w:drawing>
      </w:r>
    </w:p>
    <w:p>
      <w:pPr>
        <w:spacing w:after="0" w:line="39" w:lineRule="exact"/>
        <w:rPr>
          <w:sz w:val="20"/>
          <w:szCs w:val="20"/>
          <w:color w:val="auto"/>
        </w:rPr>
      </w:pPr>
    </w:p>
    <w:p>
      <w:pPr>
        <w:ind w:left="980" w:right="84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40">
        <w:r>
          <w:rPr>
            <w:rFonts w:ascii="Arial" w:cs="Arial" w:eastAsia="Arial" w:hAnsi="Arial"/>
            <w:sz w:val="18"/>
            <w:szCs w:val="18"/>
            <w:u w:val="single" w:color="auto"/>
            <w:color w:val="0000FF"/>
          </w:rPr>
          <w:t>Allison Transmission Holdings, Inc. 2015 Equity Incentive Award Plan (incorporated by reference to Appendix A to the</w:t>
        </w:r>
      </w:hyperlink>
      <w:r>
        <w:rPr>
          <w:rFonts w:ascii="Arial" w:cs="Arial" w:eastAsia="Arial" w:hAnsi="Arial"/>
          <w:sz w:val="18"/>
          <w:szCs w:val="18"/>
          <w:u w:val="single" w:color="auto"/>
          <w:color w:val="0000FF"/>
        </w:rPr>
        <w:t xml:space="preserve"> </w:t>
      </w:r>
      <w:hyperlink r:id="rId440">
        <w:r>
          <w:rPr>
            <w:rFonts w:ascii="Arial" w:cs="Arial" w:eastAsia="Arial" w:hAnsi="Arial"/>
            <w:sz w:val="18"/>
            <w:szCs w:val="18"/>
            <w:u w:val="single" w:color="auto"/>
            <w:color w:val="0000FF"/>
          </w:rPr>
          <w:t>Registrant’s Definitive Proxy Statement on Schedule 14A filed April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59759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59759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38360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3836035" cy="8255"/>
                    </a:xfrm>
                    <a:prstGeom prst="rect">
                      <a:avLst/>
                    </a:prstGeom>
                    <a:noFill/>
                  </pic:spPr>
                </pic:pic>
              </a:graphicData>
            </a:graphic>
          </wp:anchor>
        </w:drawing>
      </w:r>
    </w:p>
    <w:p>
      <w:pPr>
        <w:spacing w:after="0" w:line="39" w:lineRule="exact"/>
        <w:rPr>
          <w:sz w:val="20"/>
          <w:szCs w:val="20"/>
          <w:color w:val="auto"/>
        </w:rPr>
      </w:pPr>
    </w:p>
    <w:p>
      <w:pPr>
        <w:ind w:left="980" w:right="16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443">
        <w:r>
          <w:rPr>
            <w:rFonts w:ascii="Arial" w:cs="Arial" w:eastAsia="Arial" w:hAnsi="Arial"/>
            <w:sz w:val="18"/>
            <w:szCs w:val="18"/>
            <w:u w:val="single" w:color="auto"/>
            <w:color w:val="0000FF"/>
          </w:rPr>
          <w:t>Allison Transmission Holdings, Inc. 2016 Incentive Plan (incorporated by reference to Appendix B to the Registrant’s Definitive</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Proxy Statement on Schedule 14A filed April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40778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64077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26993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39" w:lineRule="exact"/>
        <w:rPr>
          <w:sz w:val="20"/>
          <w:szCs w:val="20"/>
          <w:color w:val="auto"/>
        </w:rPr>
      </w:pPr>
    </w:p>
    <w:p>
      <w:pPr>
        <w:ind w:left="980" w:right="60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446">
        <w:r>
          <w:rPr>
            <w:rFonts w:ascii="Arial" w:cs="Arial" w:eastAsia="Arial" w:hAnsi="Arial"/>
            <w:sz w:val="18"/>
            <w:szCs w:val="18"/>
            <w:u w:val="single" w:color="auto"/>
            <w:color w:val="0000FF"/>
          </w:rPr>
          <w:t>Form of 2015 Equity Incentive Award Plan Restricted Stock Agreement (incorporated by reference to Exhibit 10.41 to the</w:t>
        </w:r>
      </w:hyperlink>
      <w:r>
        <w:rPr>
          <w:rFonts w:ascii="Arial" w:cs="Arial" w:eastAsia="Arial" w:hAnsi="Arial"/>
          <w:sz w:val="18"/>
          <w:szCs w:val="18"/>
          <w:u w:val="single" w:color="auto"/>
          <w:color w:val="0000FF"/>
        </w:rPr>
        <w:t xml:space="preserve"> </w:t>
      </w:r>
      <w:hyperlink r:id="rId446">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1283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7">
                      <a:extLst>
                        <a:ext uri="{28A0092B-C50C-407E-A947-70E740481C1C}"/>
                      </a:extLst>
                    </a:blip>
                    <a:srcRect/>
                    <a:stretch>
                      <a:fillRect/>
                    </a:stretch>
                  </pic:blipFill>
                  <pic:spPr bwMode="auto">
                    <a:xfrm>
                      <a:off x="0" y="0"/>
                      <a:ext cx="61283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53346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8">
                      <a:extLst>
                        <a:ext uri="{28A0092B-C50C-407E-A947-70E740481C1C}"/>
                      </a:extLst>
                    </a:blip>
                    <a:srcRect/>
                    <a:stretch>
                      <a:fillRect/>
                    </a:stretch>
                  </pic:blipFill>
                  <pic:spPr bwMode="auto">
                    <a:xfrm>
                      <a:off x="0" y="0"/>
                      <a:ext cx="5334635" cy="8255"/>
                    </a:xfrm>
                    <a:prstGeom prst="rect">
                      <a:avLst/>
                    </a:prstGeom>
                    <a:noFill/>
                  </pic:spPr>
                </pic:pic>
              </a:graphicData>
            </a:graphic>
          </wp:anchor>
        </w:drawing>
      </w:r>
    </w:p>
    <w:p>
      <w:pPr>
        <w:spacing w:after="0" w:line="39" w:lineRule="exact"/>
        <w:rPr>
          <w:sz w:val="20"/>
          <w:szCs w:val="20"/>
          <w:color w:val="auto"/>
        </w:rPr>
      </w:pPr>
    </w:p>
    <w:p>
      <w:pPr>
        <w:ind w:left="980" w:right="24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449">
        <w:r>
          <w:rPr>
            <w:rFonts w:ascii="Arial" w:cs="Arial" w:eastAsia="Arial" w:hAnsi="Arial"/>
            <w:sz w:val="18"/>
            <w:szCs w:val="18"/>
            <w:u w:val="single" w:color="auto"/>
            <w:color w:val="0000FF"/>
          </w:rPr>
          <w:t>Form of 2015 Equity Incentive Award Plan Restricted Stock Unit Agreement (incorporated by reference to Exhibit 10.42 to the</w:t>
        </w:r>
      </w:hyperlink>
      <w:r>
        <w:rPr>
          <w:rFonts w:ascii="Arial" w:cs="Arial" w:eastAsia="Arial" w:hAnsi="Arial"/>
          <w:sz w:val="18"/>
          <w:szCs w:val="18"/>
          <w:u w:val="single" w:color="auto"/>
          <w:color w:val="0000FF"/>
        </w:rPr>
        <w:t xml:space="preserve"> </w:t>
      </w:r>
      <w:hyperlink r:id="rId449">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3633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0">
                      <a:extLst>
                        <a:ext uri="{28A0092B-C50C-407E-A947-70E740481C1C}"/>
                      </a:extLst>
                    </a:blip>
                    <a:srcRect/>
                    <a:stretch>
                      <a:fillRect/>
                    </a:stretch>
                  </pic:blipFill>
                  <pic:spPr bwMode="auto">
                    <a:xfrm>
                      <a:off x="0" y="0"/>
                      <a:ext cx="63633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53346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1">
                      <a:extLst>
                        <a:ext uri="{28A0092B-C50C-407E-A947-70E740481C1C}"/>
                      </a:extLst>
                    </a:blip>
                    <a:srcRect/>
                    <a:stretch>
                      <a:fillRect/>
                    </a:stretch>
                  </pic:blipFill>
                  <pic:spPr bwMode="auto">
                    <a:xfrm>
                      <a:off x="0" y="0"/>
                      <a:ext cx="5334635" cy="8255"/>
                    </a:xfrm>
                    <a:prstGeom prst="rect">
                      <a:avLst/>
                    </a:prstGeom>
                    <a:noFill/>
                  </pic:spPr>
                </pic:pic>
              </a:graphicData>
            </a:graphic>
          </wp:anchor>
        </w:drawing>
      </w:r>
    </w:p>
    <w:p>
      <w:pPr>
        <w:spacing w:after="0" w:line="39" w:lineRule="exact"/>
        <w:rPr>
          <w:sz w:val="20"/>
          <w:szCs w:val="20"/>
          <w:color w:val="auto"/>
        </w:rPr>
      </w:pPr>
    </w:p>
    <w:p>
      <w:pPr>
        <w:ind w:left="980" w:right="88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452">
        <w:r>
          <w:rPr>
            <w:rFonts w:ascii="Arial" w:cs="Arial" w:eastAsia="Arial" w:hAnsi="Arial"/>
            <w:sz w:val="18"/>
            <w:szCs w:val="18"/>
            <w:u w:val="single" w:color="auto"/>
            <w:color w:val="0000FF"/>
          </w:rPr>
          <w:t>Form of 2015 Equity Incentive Award Plan Stock Option Agreement (incorporated by reference to Exhibit 10.43 to the</w:t>
        </w:r>
      </w:hyperlink>
      <w:r>
        <w:rPr>
          <w:rFonts w:ascii="Arial" w:cs="Arial" w:eastAsia="Arial" w:hAnsi="Arial"/>
          <w:sz w:val="18"/>
          <w:szCs w:val="18"/>
          <w:u w:val="single" w:color="auto"/>
          <w:color w:val="0000FF"/>
        </w:rPr>
        <w:t xml:space="preserve"> </w:t>
      </w:r>
      <w:hyperlink r:id="rId452">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595058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3">
                      <a:extLst>
                        <a:ext uri="{28A0092B-C50C-407E-A947-70E740481C1C}"/>
                      </a:extLst>
                    </a:blip>
                    <a:srcRect/>
                    <a:stretch>
                      <a:fillRect/>
                    </a:stretch>
                  </pic:blipFill>
                  <pic:spPr bwMode="auto">
                    <a:xfrm>
                      <a:off x="0" y="0"/>
                      <a:ext cx="59505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53346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4">
                      <a:extLst>
                        <a:ext uri="{28A0092B-C50C-407E-A947-70E740481C1C}"/>
                      </a:extLst>
                    </a:blip>
                    <a:srcRect/>
                    <a:stretch>
                      <a:fillRect/>
                    </a:stretch>
                  </pic:blipFill>
                  <pic:spPr bwMode="auto">
                    <a:xfrm>
                      <a:off x="0" y="0"/>
                      <a:ext cx="5334635" cy="8255"/>
                    </a:xfrm>
                    <a:prstGeom prst="rect">
                      <a:avLst/>
                    </a:prstGeom>
                    <a:noFill/>
                  </pic:spPr>
                </pic:pic>
              </a:graphicData>
            </a:graphic>
          </wp:anchor>
        </w:drawing>
      </w:r>
    </w:p>
    <w:p>
      <w:pPr>
        <w:spacing w:after="0" w:line="39" w:lineRule="exact"/>
        <w:rPr>
          <w:sz w:val="20"/>
          <w:szCs w:val="20"/>
          <w:color w:val="auto"/>
        </w:rPr>
      </w:pPr>
    </w:p>
    <w:p>
      <w:pPr>
        <w:ind w:left="980" w:right="2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455">
        <w:r>
          <w:rPr>
            <w:rFonts w:ascii="Arial" w:cs="Arial" w:eastAsia="Arial" w:hAnsi="Arial"/>
            <w:sz w:val="18"/>
            <w:szCs w:val="18"/>
            <w:u w:val="single" w:color="auto"/>
            <w:color w:val="0000FF"/>
          </w:rPr>
          <w:t>Form of 2015 Equity Incentive Award Plan Performance Stock Unit Agreement (incorporated by reference to Exhibit 10.25 to the</w:t>
        </w:r>
      </w:hyperlink>
      <w:r>
        <w:rPr>
          <w:rFonts w:ascii="Arial" w:cs="Arial" w:eastAsia="Arial" w:hAnsi="Arial"/>
          <w:sz w:val="18"/>
          <w:szCs w:val="18"/>
          <w:u w:val="single" w:color="auto"/>
          <w:color w:val="0000FF"/>
        </w:rPr>
        <w:t xml:space="preserve"> </w:t>
      </w:r>
      <w:hyperlink r:id="rId455">
        <w:r>
          <w:rPr>
            <w:rFonts w:ascii="Arial" w:cs="Arial" w:eastAsia="Arial" w:hAnsi="Arial"/>
            <w:sz w:val="18"/>
            <w:szCs w:val="18"/>
            <w:u w:val="single" w:color="auto"/>
            <w:color w:val="0000FF"/>
          </w:rPr>
          <w:t>Registrant’s Annual Report on Form 10-K for the year ended December 31, 2016 filed February 24,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48081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6">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53346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7">
                      <a:extLst>
                        <a:ext uri="{28A0092B-C50C-407E-A947-70E740481C1C}"/>
                      </a:extLst>
                    </a:blip>
                    <a:srcRect/>
                    <a:stretch>
                      <a:fillRect/>
                    </a:stretch>
                  </pic:blipFill>
                  <pic:spPr bwMode="auto">
                    <a:xfrm>
                      <a:off x="0" y="0"/>
                      <a:ext cx="5334635" cy="8255"/>
                    </a:xfrm>
                    <a:prstGeom prst="rect">
                      <a:avLst/>
                    </a:prstGeom>
                    <a:noFill/>
                  </pic:spPr>
                </pic:pic>
              </a:graphicData>
            </a:graphic>
          </wp:anchor>
        </w:drawing>
      </w:r>
    </w:p>
    <w:p>
      <w:pPr>
        <w:spacing w:after="0" w:line="39" w:lineRule="exact"/>
        <w:rPr>
          <w:sz w:val="20"/>
          <w:szCs w:val="20"/>
          <w:color w:val="auto"/>
        </w:rPr>
      </w:pPr>
    </w:p>
    <w:p>
      <w:pPr>
        <w:ind w:left="980" w:right="220" w:hanging="715"/>
        <w:spacing w:after="0" w:line="301" w:lineRule="auto"/>
        <w:tabs>
          <w:tab w:leader="none" w:pos="960" w:val="left"/>
        </w:tabs>
        <w:rPr>
          <w:rFonts w:ascii="Arial" w:cs="Arial" w:eastAsia="Arial" w:hAnsi="Arial"/>
          <w:sz w:val="17"/>
          <w:szCs w:val="17"/>
          <w:u w:val="single" w:color="auto"/>
          <w:color w:val="0000FF"/>
        </w:rPr>
      </w:pPr>
      <w:r>
        <w:rPr>
          <w:rFonts w:ascii="Arial" w:cs="Arial" w:eastAsia="Arial" w:hAnsi="Arial"/>
          <w:sz w:val="18"/>
          <w:szCs w:val="18"/>
          <w:color w:val="auto"/>
        </w:rPr>
        <w:t>10.21*</w:t>
      </w:r>
      <w:r>
        <w:rPr>
          <w:sz w:val="20"/>
          <w:szCs w:val="20"/>
          <w:color w:val="auto"/>
        </w:rPr>
        <w:tab/>
      </w:r>
      <w:hyperlink r:id="rId458">
        <w:r>
          <w:rPr>
            <w:rFonts w:ascii="Arial" w:cs="Arial" w:eastAsia="Arial" w:hAnsi="Arial"/>
            <w:sz w:val="17"/>
            <w:szCs w:val="17"/>
            <w:u w:val="single" w:color="auto"/>
            <w:color w:val="0000FF"/>
          </w:rPr>
          <w:t>Form of 2015 Equity Incentive Award Plan Performance Stock Unit Agreement (revised 2023) (incorporated by reference to</w:t>
        </w:r>
      </w:hyperlink>
      <w:r>
        <w:rPr>
          <w:rFonts w:ascii="Arial" w:cs="Arial" w:eastAsia="Arial" w:hAnsi="Arial"/>
          <w:sz w:val="17"/>
          <w:szCs w:val="17"/>
          <w:u w:val="single" w:color="auto"/>
          <w:color w:val="0000FF"/>
        </w:rPr>
        <w:t xml:space="preserve"> </w:t>
      </w:r>
      <w:hyperlink r:id="rId458">
        <w:r>
          <w:rPr>
            <w:rFonts w:ascii="Arial" w:cs="Arial" w:eastAsia="Arial" w:hAnsi="Arial"/>
            <w:sz w:val="17"/>
            <w:szCs w:val="17"/>
            <w:u w:val="single" w:color="auto"/>
            <w:color w:val="0000FF"/>
          </w:rPr>
          <w:t>Exhibit 10.14 to the Registrant's Annual Report on Form 10-K for the year ended December 31, 2023 filed February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-187325</wp:posOffset>
            </wp:positionV>
            <wp:extent cx="625538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9">
                      <a:extLst>
                        <a:ext uri="{28A0092B-C50C-407E-A947-70E740481C1C}"/>
                      </a:extLst>
                    </a:blip>
                    <a:srcRect/>
                    <a:stretch>
                      <a:fillRect/>
                    </a:stretch>
                  </pic:blipFill>
                  <pic:spPr bwMode="auto">
                    <a:xfrm>
                      <a:off x="0" y="0"/>
                      <a:ext cx="62553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-58420</wp:posOffset>
            </wp:positionV>
            <wp:extent cx="634111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0">
                      <a:extLst>
                        <a:ext uri="{28A0092B-C50C-407E-A947-70E740481C1C}"/>
                      </a:extLst>
                    </a:blip>
                    <a:srcRect/>
                    <a:stretch>
                      <a:fillRect/>
                    </a:stretch>
                  </pic:blipFill>
                  <pic:spPr bwMode="auto">
                    <a:xfrm>
                      <a:off x="0" y="0"/>
                      <a:ext cx="6341110" cy="8255"/>
                    </a:xfrm>
                    <a:prstGeom prst="rect">
                      <a:avLst/>
                    </a:prstGeom>
                    <a:noFill/>
                  </pic:spPr>
                </pic:pic>
              </a:graphicData>
            </a:graphic>
          </wp:anchor>
        </w:drawing>
      </w:r>
    </w:p>
    <w:p>
      <w:pPr>
        <w:spacing w:after="0" w:line="16" w:lineRule="exact"/>
        <w:rPr>
          <w:sz w:val="20"/>
          <w:szCs w:val="20"/>
          <w:color w:val="auto"/>
        </w:rPr>
      </w:pPr>
    </w:p>
    <w:p>
      <w:pPr>
        <w:ind w:left="260"/>
        <w:spacing w:after="0"/>
        <w:tabs>
          <w:tab w:leader="none" w:pos="960" w:val="left"/>
        </w:tabs>
        <w:rPr>
          <w:rFonts w:ascii="Arial" w:cs="Arial" w:eastAsia="Arial" w:hAnsi="Arial"/>
          <w:sz w:val="17"/>
          <w:szCs w:val="17"/>
          <w:u w:val="single" w:color="auto"/>
          <w:color w:val="0000FF"/>
        </w:rPr>
      </w:pPr>
      <w:r>
        <w:rPr>
          <w:rFonts w:ascii="Arial" w:cs="Arial" w:eastAsia="Arial" w:hAnsi="Arial"/>
          <w:sz w:val="18"/>
          <w:szCs w:val="18"/>
          <w:color w:val="auto"/>
        </w:rPr>
        <w:t>10.22*</w:t>
      </w:r>
      <w:r>
        <w:rPr>
          <w:sz w:val="20"/>
          <w:szCs w:val="20"/>
          <w:color w:val="auto"/>
        </w:rPr>
        <w:tab/>
      </w:r>
      <w:hyperlink r:id="rId461">
        <w:r>
          <w:rPr>
            <w:rFonts w:ascii="Arial" w:cs="Arial" w:eastAsia="Arial" w:hAnsi="Arial"/>
            <w:sz w:val="17"/>
            <w:szCs w:val="17"/>
            <w:u w:val="single" w:color="auto"/>
            <w:color w:val="0000FF"/>
          </w:rPr>
          <w:t>Form of 2015 Equity Incentive Award Plan Restricted Stock Unit Agreement (revised 2024)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-7620</wp:posOffset>
            </wp:positionV>
            <wp:extent cx="648081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2">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ind w:left="980"/>
        <w:spacing w:after="0"/>
        <w:rPr>
          <w:rFonts w:ascii="Arial" w:cs="Arial" w:eastAsia="Arial" w:hAnsi="Arial"/>
          <w:sz w:val="18"/>
          <w:szCs w:val="18"/>
          <w:u w:val="single" w:color="auto"/>
          <w:color w:val="0000FF"/>
        </w:rPr>
      </w:pPr>
      <w:hyperlink r:id="rId461">
        <w:r>
          <w:rPr>
            <w:rFonts w:ascii="Arial" w:cs="Arial" w:eastAsia="Arial" w:hAnsi="Arial"/>
            <w:sz w:val="18"/>
            <w:szCs w:val="18"/>
            <w:u w:val="single" w:color="auto"/>
            <w:color w:val="0000FF"/>
          </w:rPr>
          <w:t>10.2 to the Registrant's Quarterly Report on Form 10-Q for the quarter ended March 31, 2024 filed April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-19050</wp:posOffset>
            </wp:positionV>
            <wp:extent cx="573151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3">
                      <a:extLst>
                        <a:ext uri="{28A0092B-C50C-407E-A947-70E740481C1C}"/>
                      </a:extLst>
                    </a:blip>
                    <a:srcRect/>
                    <a:stretch>
                      <a:fillRect/>
                    </a:stretch>
                  </pic:blipFill>
                  <pic:spPr bwMode="auto">
                    <a:xfrm>
                      <a:off x="0" y="0"/>
                      <a:ext cx="5731510" cy="8255"/>
                    </a:xfrm>
                    <a:prstGeom prst="rect">
                      <a:avLst/>
                    </a:prstGeom>
                    <a:noFill/>
                  </pic:spPr>
                </pic:pic>
              </a:graphicData>
            </a:graphic>
          </wp:anchor>
        </w:drawing>
      </w:r>
    </w:p>
    <w:p>
      <w:pPr>
        <w:spacing w:after="0" w:line="79" w:lineRule="exact"/>
        <w:rPr>
          <w:sz w:val="20"/>
          <w:szCs w:val="20"/>
          <w:color w:val="auto"/>
        </w:rPr>
      </w:pPr>
    </w:p>
    <w:p>
      <w:pPr>
        <w:ind w:left="980" w:right="8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464">
        <w:r>
          <w:rPr>
            <w:rFonts w:ascii="Arial" w:cs="Arial" w:eastAsia="Arial" w:hAnsi="Arial"/>
            <w:sz w:val="18"/>
            <w:szCs w:val="18"/>
            <w:u w:val="single" w:color="auto"/>
            <w:color w:val="0000FF"/>
          </w:rPr>
          <w:t>Form of 2015 Equity Incentive Award Plan Stock Option Agreement (revised 2024) (incorporated by reference to Exhibit 10.3 to</w:t>
        </w:r>
      </w:hyperlink>
      <w:r>
        <w:rPr>
          <w:rFonts w:ascii="Arial" w:cs="Arial" w:eastAsia="Arial" w:hAnsi="Arial"/>
          <w:sz w:val="18"/>
          <w:szCs w:val="18"/>
          <w:u w:val="single" w:color="auto"/>
          <w:color w:val="0000FF"/>
        </w:rPr>
        <w:t xml:space="preserve"> </w:t>
      </w:r>
      <w:hyperlink r:id="rId464">
        <w:r>
          <w:rPr>
            <w:rFonts w:ascii="Arial" w:cs="Arial" w:eastAsia="Arial" w:hAnsi="Arial"/>
            <w:sz w:val="18"/>
            <w:szCs w:val="18"/>
            <w:u w:val="single" w:color="auto"/>
            <w:color w:val="0000FF"/>
          </w:rPr>
          <w:t>the Registrant's Quarterly Report on Form 10-Q for the quarter ended March 31, 2024 filed April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45858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5">
                      <a:extLst>
                        <a:ext uri="{28A0092B-C50C-407E-A947-70E740481C1C}"/>
                      </a:extLst>
                    </a:blip>
                    <a:srcRect/>
                    <a:stretch>
                      <a:fillRect/>
                    </a:stretch>
                  </pic:blipFill>
                  <pic:spPr bwMode="auto">
                    <a:xfrm>
                      <a:off x="0" y="0"/>
                      <a:ext cx="64585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534987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6">
                      <a:extLst>
                        <a:ext uri="{28A0092B-C50C-407E-A947-70E740481C1C}"/>
                      </a:extLst>
                    </a:blip>
                    <a:srcRect/>
                    <a:stretch>
                      <a:fillRect/>
                    </a:stretch>
                  </pic:blipFill>
                  <pic:spPr bwMode="auto">
                    <a:xfrm>
                      <a:off x="0" y="0"/>
                      <a:ext cx="5349875" cy="8255"/>
                    </a:xfrm>
                    <a:prstGeom prst="rect">
                      <a:avLst/>
                    </a:prstGeom>
                    <a:noFill/>
                  </pic:spPr>
                </pic:pic>
              </a:graphicData>
            </a:graphic>
          </wp:anchor>
        </w:drawing>
      </w:r>
    </w:p>
    <w:p>
      <w:pPr>
        <w:spacing w:after="0" w:line="39" w:lineRule="exact"/>
        <w:rPr>
          <w:sz w:val="20"/>
          <w:szCs w:val="20"/>
          <w:color w:val="auto"/>
        </w:rPr>
      </w:pPr>
    </w:p>
    <w:p>
      <w:pPr>
        <w:ind w:left="980" w:right="400" w:hanging="715"/>
        <w:spacing w:after="0" w:line="301" w:lineRule="auto"/>
        <w:tabs>
          <w:tab w:leader="none" w:pos="960" w:val="left"/>
        </w:tabs>
        <w:rPr>
          <w:rFonts w:ascii="Arial" w:cs="Arial" w:eastAsia="Arial" w:hAnsi="Arial"/>
          <w:sz w:val="17"/>
          <w:szCs w:val="17"/>
          <w:u w:val="single" w:color="auto"/>
          <w:color w:val="0000FF"/>
        </w:rPr>
      </w:pPr>
      <w:r>
        <w:rPr>
          <w:rFonts w:ascii="Arial" w:cs="Arial" w:eastAsia="Arial" w:hAnsi="Arial"/>
          <w:sz w:val="18"/>
          <w:szCs w:val="18"/>
          <w:color w:val="auto"/>
        </w:rPr>
        <w:t>10.24*</w:t>
      </w:r>
      <w:r>
        <w:rPr>
          <w:sz w:val="20"/>
          <w:szCs w:val="20"/>
          <w:color w:val="auto"/>
        </w:rPr>
        <w:tab/>
      </w:r>
      <w:hyperlink r:id="rId467">
        <w:r>
          <w:rPr>
            <w:rFonts w:ascii="Arial" w:cs="Arial" w:eastAsia="Arial" w:hAnsi="Arial"/>
            <w:sz w:val="17"/>
            <w:szCs w:val="17"/>
            <w:u w:val="single" w:color="auto"/>
            <w:color w:val="0000FF"/>
          </w:rPr>
          <w:t>Form of 2015 Equity Incentive Award Plan Performance Stock Unit Agreement (revised 2024) (incorporated by reference to</w:t>
        </w:r>
      </w:hyperlink>
      <w:r>
        <w:rPr>
          <w:rFonts w:ascii="Arial" w:cs="Arial" w:eastAsia="Arial" w:hAnsi="Arial"/>
          <w:sz w:val="17"/>
          <w:szCs w:val="17"/>
          <w:u w:val="single" w:color="auto"/>
          <w:color w:val="0000FF"/>
        </w:rPr>
        <w:t xml:space="preserve"> </w:t>
      </w:r>
      <w:hyperlink r:id="rId467">
        <w:r>
          <w:rPr>
            <w:rFonts w:ascii="Arial" w:cs="Arial" w:eastAsia="Arial" w:hAnsi="Arial"/>
            <w:sz w:val="17"/>
            <w:szCs w:val="17"/>
            <w:u w:val="single" w:color="auto"/>
            <w:color w:val="0000FF"/>
          </w:rPr>
          <w:t>Exhibit 10.4 to the Registrant's Quarterly Report on Form 10-Q for the quarter ended March 31, 2024 filed April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-187325</wp:posOffset>
            </wp:positionV>
            <wp:extent cx="625538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8">
                      <a:extLst>
                        <a:ext uri="{28A0092B-C50C-407E-A947-70E740481C1C}"/>
                      </a:extLst>
                    </a:blip>
                    <a:srcRect/>
                    <a:stretch>
                      <a:fillRect/>
                    </a:stretch>
                  </pic:blipFill>
                  <pic:spPr bwMode="auto">
                    <a:xfrm>
                      <a:off x="0" y="0"/>
                      <a:ext cx="62553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-58420</wp:posOffset>
            </wp:positionV>
            <wp:extent cx="61061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9">
                      <a:extLst>
                        <a:ext uri="{28A0092B-C50C-407E-A947-70E740481C1C}"/>
                      </a:extLst>
                    </a:blip>
                    <a:srcRect/>
                    <a:stretch>
                      <a:fillRect/>
                    </a:stretch>
                  </pic:blipFill>
                  <pic:spPr bwMode="auto">
                    <a:xfrm>
                      <a:off x="0" y="0"/>
                      <a:ext cx="6106160" cy="8255"/>
                    </a:xfrm>
                    <a:prstGeom prst="rect">
                      <a:avLst/>
                    </a:prstGeom>
                    <a:noFill/>
                  </pic:spPr>
                </pic:pic>
              </a:graphicData>
            </a:graphic>
          </wp:anchor>
        </w:drawing>
      </w:r>
    </w:p>
    <w:p>
      <w:pPr>
        <w:spacing w:after="0" w:line="16" w:lineRule="exact"/>
        <w:rPr>
          <w:sz w:val="20"/>
          <w:szCs w:val="20"/>
          <w:color w:val="auto"/>
        </w:rPr>
      </w:pPr>
    </w:p>
    <w:p>
      <w:pPr>
        <w:ind w:left="98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470">
        <w:r>
          <w:rPr>
            <w:rFonts w:ascii="Arial" w:cs="Arial" w:eastAsia="Arial" w:hAnsi="Arial"/>
            <w:sz w:val="18"/>
            <w:szCs w:val="18"/>
            <w:u w:val="single" w:color="auto"/>
            <w:color w:val="0000FF"/>
          </w:rPr>
          <w:t>Allison Transmission Holdings, Inc. 2011 Equity Incentive Award Plan (incorporated by reference to Exhibit 10.10 to Amendment</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No. 3 to the Registrant’s Registration Statement on Form S-1 filed June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48081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1">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412178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2">
                      <a:extLst>
                        <a:ext uri="{28A0092B-C50C-407E-A947-70E740481C1C}"/>
                      </a:extLst>
                    </a:blip>
                    <a:srcRect/>
                    <a:stretch>
                      <a:fillRect/>
                    </a:stretch>
                  </pic:blipFill>
                  <pic:spPr bwMode="auto">
                    <a:xfrm>
                      <a:off x="0" y="0"/>
                      <a:ext cx="4121785" cy="8255"/>
                    </a:xfrm>
                    <a:prstGeom prst="rect">
                      <a:avLst/>
                    </a:prstGeom>
                    <a:noFill/>
                  </pic:spPr>
                </pic:pic>
              </a:graphicData>
            </a:graphic>
          </wp:anchor>
        </w:drawing>
      </w:r>
    </w:p>
    <w:p>
      <w:pPr>
        <w:spacing w:after="0" w:line="39" w:lineRule="exact"/>
        <w:rPr>
          <w:sz w:val="20"/>
          <w:szCs w:val="20"/>
          <w:color w:val="auto"/>
        </w:rPr>
      </w:pPr>
    </w:p>
    <w:p>
      <w:pPr>
        <w:ind w:left="980" w:right="54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473">
        <w:r>
          <w:rPr>
            <w:rFonts w:ascii="Arial" w:cs="Arial" w:eastAsia="Arial" w:hAnsi="Arial"/>
            <w:sz w:val="18"/>
            <w:szCs w:val="18"/>
            <w:u w:val="single" w:color="auto"/>
            <w:color w:val="0000FF"/>
          </w:rPr>
          <w:t>Form of 2011 Equity Incentive Award Plan Restricted Stock Unit Agreement (incorporated by reference to Exhibit 10.12 to</w:t>
        </w:r>
      </w:hyperlink>
      <w:r>
        <w:rPr>
          <w:rFonts w:ascii="Arial" w:cs="Arial" w:eastAsia="Arial" w:hAnsi="Arial"/>
          <w:sz w:val="18"/>
          <w:szCs w:val="18"/>
          <w:u w:val="single" w:color="auto"/>
          <w:color w:val="0000FF"/>
        </w:rPr>
        <w:t xml:space="preserve"> </w:t>
      </w:r>
      <w:hyperlink r:id="rId473">
        <w:r>
          <w:rPr>
            <w:rFonts w:ascii="Arial" w:cs="Arial" w:eastAsia="Arial" w:hAnsi="Arial"/>
            <w:sz w:val="18"/>
            <w:szCs w:val="18"/>
            <w:u w:val="single" w:color="auto"/>
            <w:color w:val="0000FF"/>
          </w:rPr>
          <w:t>Amendment No. 3 to the Registrant’s Registration Statement on Form S-1 filed June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172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4">
                      <a:extLst>
                        <a:ext uri="{28A0092B-C50C-407E-A947-70E740481C1C}"/>
                      </a:extLst>
                    </a:blip>
                    <a:srcRect/>
                    <a:stretch>
                      <a:fillRect/>
                    </a:stretch>
                  </pic:blipFill>
                  <pic:spPr bwMode="auto">
                    <a:xfrm>
                      <a:off x="0" y="0"/>
                      <a:ext cx="6172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476948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5">
                      <a:extLst>
                        <a:ext uri="{28A0092B-C50C-407E-A947-70E740481C1C}"/>
                      </a:extLst>
                    </a:blip>
                    <a:srcRect/>
                    <a:stretch>
                      <a:fillRect/>
                    </a:stretch>
                  </pic:blipFill>
                  <pic:spPr bwMode="auto">
                    <a:xfrm>
                      <a:off x="0" y="0"/>
                      <a:ext cx="4769485" cy="8255"/>
                    </a:xfrm>
                    <a:prstGeom prst="rect">
                      <a:avLst/>
                    </a:prstGeom>
                    <a:noFill/>
                  </pic:spPr>
                </pic:pic>
              </a:graphicData>
            </a:graphic>
          </wp:anchor>
        </w:drawing>
      </w:r>
    </w:p>
    <w:p>
      <w:pPr>
        <w:spacing w:after="0" w:line="39" w:lineRule="exact"/>
        <w:rPr>
          <w:sz w:val="20"/>
          <w:szCs w:val="20"/>
          <w:color w:val="auto"/>
        </w:rPr>
      </w:pPr>
    </w:p>
    <w:p>
      <w:pPr>
        <w:ind w:left="980" w:right="70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476">
        <w:r>
          <w:rPr>
            <w:rFonts w:ascii="Arial" w:cs="Arial" w:eastAsia="Arial" w:hAnsi="Arial"/>
            <w:sz w:val="18"/>
            <w:szCs w:val="18"/>
            <w:u w:val="single" w:color="auto"/>
            <w:color w:val="0000FF"/>
          </w:rPr>
          <w:t>Deferred Compensation Plan of Allison Transmission Inc. (incorporated by reference to Exhibit 10.21 to the Registrant’s</w:t>
        </w:r>
      </w:hyperlink>
      <w:r>
        <w:rPr>
          <w:rFonts w:ascii="Arial" w:cs="Arial" w:eastAsia="Arial" w:hAnsi="Arial"/>
          <w:sz w:val="18"/>
          <w:szCs w:val="18"/>
          <w:u w:val="single" w:color="auto"/>
          <w:color w:val="0000FF"/>
        </w:rPr>
        <w:t xml:space="preserve"> </w:t>
      </w:r>
      <w:hyperlink r:id="rId476">
        <w:r>
          <w:rPr>
            <w:rFonts w:ascii="Arial" w:cs="Arial" w:eastAsia="Arial" w:hAnsi="Arial"/>
            <w:sz w:val="18"/>
            <w:szCs w:val="18"/>
            <w:u w:val="single" w:color="auto"/>
            <w:color w:val="0000FF"/>
          </w:rPr>
          <w:t>Quarterly Report on Form 10-Q for the quarter ended June 30, 2012 filed July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0712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7">
                      <a:extLst>
                        <a:ext uri="{28A0092B-C50C-407E-A947-70E740481C1C}"/>
                      </a:extLst>
                    </a:blip>
                    <a:srcRect/>
                    <a:stretch>
                      <a:fillRect/>
                    </a:stretch>
                  </pic:blipFill>
                  <pic:spPr bwMode="auto">
                    <a:xfrm>
                      <a:off x="0" y="0"/>
                      <a:ext cx="60712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44329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8">
                      <a:extLst>
                        <a:ext uri="{28A0092B-C50C-407E-A947-70E740481C1C}"/>
                      </a:extLst>
                    </a:blip>
                    <a:srcRect/>
                    <a:stretch>
                      <a:fillRect/>
                    </a:stretch>
                  </pic:blipFill>
                  <pic:spPr bwMode="auto">
                    <a:xfrm>
                      <a:off x="0" y="0"/>
                      <a:ext cx="4432935" cy="8255"/>
                    </a:xfrm>
                    <a:prstGeom prst="rect">
                      <a:avLst/>
                    </a:prstGeom>
                    <a:noFill/>
                  </pic:spPr>
                </pic:pic>
              </a:graphicData>
            </a:graphic>
          </wp:anchor>
        </w:drawing>
      </w:r>
    </w:p>
    <w:p>
      <w:pPr>
        <w:spacing w:after="0" w:line="39" w:lineRule="exact"/>
        <w:rPr>
          <w:sz w:val="20"/>
          <w:szCs w:val="20"/>
          <w:color w:val="auto"/>
        </w:rPr>
      </w:pPr>
    </w:p>
    <w:p>
      <w:pPr>
        <w:ind w:left="980" w:right="24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479">
        <w:r>
          <w:rPr>
            <w:rFonts w:ascii="Arial" w:cs="Arial" w:eastAsia="Arial" w:hAnsi="Arial"/>
            <w:sz w:val="18"/>
            <w:szCs w:val="18"/>
            <w:u w:val="single" w:color="auto"/>
            <w:color w:val="0000FF"/>
          </w:rPr>
          <w:t>Eighth Amended and Restated Non-Employee Director Compensation Policy (incorporated by reference to Exhibit 10.2 to the</w:t>
        </w:r>
      </w:hyperlink>
      <w:r>
        <w:rPr>
          <w:rFonts w:ascii="Arial" w:cs="Arial" w:eastAsia="Arial" w:hAnsi="Arial"/>
          <w:sz w:val="18"/>
          <w:szCs w:val="18"/>
          <w:u w:val="single" w:color="auto"/>
          <w:color w:val="0000FF"/>
        </w:rPr>
        <w:t xml:space="preserve"> </w:t>
      </w:r>
      <w:hyperlink r:id="rId479">
        <w:r>
          <w:rPr>
            <w:rFonts w:ascii="Arial" w:cs="Arial" w:eastAsia="Arial" w:hAnsi="Arial"/>
            <w:sz w:val="18"/>
            <w:szCs w:val="18"/>
            <w:u w:val="single" w:color="auto"/>
            <w:color w:val="0000FF"/>
          </w:rPr>
          <w:t>Registrant's Quarterly Report on Form 10-Q for the quarter ended June 30, 2024 filed July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35698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0">
                      <a:extLst>
                        <a:ext uri="{28A0092B-C50C-407E-A947-70E740481C1C}"/>
                      </a:extLst>
                    </a:blip>
                    <a:srcRect/>
                    <a:stretch>
                      <a:fillRect/>
                    </a:stretch>
                  </pic:blipFill>
                  <pic:spPr bwMode="auto">
                    <a:xfrm>
                      <a:off x="0" y="0"/>
                      <a:ext cx="63569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50647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1">
                      <a:extLst>
                        <a:ext uri="{28A0092B-C50C-407E-A947-70E740481C1C}"/>
                      </a:extLst>
                    </a:blip>
                    <a:srcRect/>
                    <a:stretch>
                      <a:fillRect/>
                    </a:stretch>
                  </pic:blipFill>
                  <pic:spPr bwMode="auto">
                    <a:xfrm>
                      <a:off x="0" y="0"/>
                      <a:ext cx="5064760" cy="8255"/>
                    </a:xfrm>
                    <a:prstGeom prst="rect">
                      <a:avLst/>
                    </a:prstGeom>
                    <a:noFill/>
                  </pic:spPr>
                </pic:pic>
              </a:graphicData>
            </a:graphic>
          </wp:anchor>
        </w:drawing>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right="120" w:hanging="715"/>
        <w:spacing w:after="0" w:line="253"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483">
        <w:r>
          <w:rPr>
            <w:rFonts w:ascii="Arial" w:cs="Arial" w:eastAsia="Arial" w:hAnsi="Arial"/>
            <w:sz w:val="18"/>
            <w:szCs w:val="18"/>
            <w:u w:val="single" w:color="auto"/>
            <w:color w:val="0000FF"/>
          </w:rPr>
          <w:t>Amended and Restated Non-Employee Director Deferred Compensation Plan of Allison Transmission Holdings, Inc.</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(incorporated by reference to Exhibit 10.38 to the Registrant’s Quarterly Report on Form 10-Q for the quarter ended March 31,</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2015 filed April 28,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617855</wp:posOffset>
            </wp:positionH>
            <wp:positionV relativeFrom="paragraph">
              <wp:posOffset>-291465</wp:posOffset>
            </wp:positionV>
            <wp:extent cx="588645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4">
                      <a:extLst>
                        <a:ext uri="{28A0092B-C50C-407E-A947-70E740481C1C}"/>
                      </a:extLst>
                    </a:blip>
                    <a:srcRect/>
                    <a:stretch>
                      <a:fillRect/>
                    </a:stretch>
                  </pic:blipFill>
                  <pic:spPr bwMode="auto">
                    <a:xfrm>
                      <a:off x="0" y="0"/>
                      <a:ext cx="588645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-163195</wp:posOffset>
            </wp:positionV>
            <wp:extent cx="640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5">
                      <a:extLst>
                        <a:ext uri="{28A0092B-C50C-407E-A947-70E740481C1C}"/>
                      </a:extLst>
                    </a:blip>
                    <a:srcRect/>
                    <a:stretch>
                      <a:fillRect/>
                    </a:stretch>
                  </pic:blipFill>
                  <pic:spPr bwMode="auto">
                    <a:xfrm>
                      <a:off x="0" y="0"/>
                      <a:ext cx="64014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-34290</wp:posOffset>
            </wp:positionV>
            <wp:extent cx="12706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6">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54" w:lineRule="exact"/>
        <w:rPr>
          <w:rFonts w:ascii="Arial" w:cs="Arial" w:eastAsia="Arial" w:hAnsi="Arial"/>
          <w:sz w:val="18"/>
          <w:szCs w:val="18"/>
          <w:u w:val="single" w:color="auto"/>
          <w:color w:val="0000FF"/>
        </w:rPr>
      </w:pPr>
    </w:p>
    <w:p>
      <w:pPr>
        <w:ind w:left="980" w:right="94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487">
        <w:r>
          <w:rPr>
            <w:rFonts w:ascii="Arial" w:cs="Arial" w:eastAsia="Arial" w:hAnsi="Arial"/>
            <w:sz w:val="18"/>
            <w:szCs w:val="18"/>
            <w:u w:val="single" w:color="auto"/>
            <w:color w:val="0000FF"/>
          </w:rPr>
          <w:t>Form of Allison Transmission Holdings, Inc. Indemnification Agreement (incorporated by reference to Exhibit 10.9 to</w:t>
        </w:r>
      </w:hyperlink>
      <w:r>
        <w:rPr>
          <w:rFonts w:ascii="Arial" w:cs="Arial" w:eastAsia="Arial" w:hAnsi="Arial"/>
          <w:sz w:val="18"/>
          <w:szCs w:val="18"/>
          <w:u w:val="single" w:color="auto"/>
          <w:color w:val="0000FF"/>
        </w:rPr>
        <w:t xml:space="preserve"> </w:t>
      </w:r>
      <w:hyperlink r:id="rId487">
        <w:r>
          <w:rPr>
            <w:rFonts w:ascii="Arial" w:cs="Arial" w:eastAsia="Arial" w:hAnsi="Arial"/>
            <w:sz w:val="18"/>
            <w:szCs w:val="18"/>
            <w:u w:val="single" w:color="auto"/>
            <w:color w:val="0000FF"/>
          </w:rPr>
          <w:t>Amendment No. 2 to the Registrant’s Registration Statement on Form S-1 filed May 16, 2011 )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587375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8">
                      <a:extLst>
                        <a:ext uri="{28A0092B-C50C-407E-A947-70E740481C1C}"/>
                      </a:extLst>
                    </a:blip>
                    <a:srcRect/>
                    <a:stretch>
                      <a:fillRect/>
                    </a:stretch>
                  </pic:blipFill>
                  <pic:spPr bwMode="auto">
                    <a:xfrm>
                      <a:off x="0" y="0"/>
                      <a:ext cx="5873750"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476948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9">
                      <a:extLst>
                        <a:ext uri="{28A0092B-C50C-407E-A947-70E740481C1C}"/>
                      </a:extLst>
                    </a:blip>
                    <a:srcRect/>
                    <a:stretch>
                      <a:fillRect/>
                    </a:stretch>
                  </pic:blipFill>
                  <pic:spPr bwMode="auto">
                    <a:xfrm>
                      <a:off x="0" y="0"/>
                      <a:ext cx="4769485" cy="8890"/>
                    </a:xfrm>
                    <a:prstGeom prst="rect">
                      <a:avLst/>
                    </a:prstGeom>
                    <a:noFill/>
                  </pic:spPr>
                </pic:pic>
              </a:graphicData>
            </a:graphic>
          </wp:anchor>
        </w:drawing>
      </w:r>
    </w:p>
    <w:p>
      <w:pPr>
        <w:spacing w:after="0" w:line="39" w:lineRule="exact"/>
        <w:rPr>
          <w:sz w:val="20"/>
          <w:szCs w:val="20"/>
          <w:color w:val="auto"/>
        </w:rPr>
      </w:pPr>
    </w:p>
    <w:p>
      <w:pPr>
        <w:ind w:left="980" w:right="260" w:hanging="715"/>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490">
        <w:r>
          <w:rPr>
            <w:rFonts w:ascii="Arial" w:cs="Arial" w:eastAsia="Arial" w:hAnsi="Arial"/>
            <w:sz w:val="18"/>
            <w:szCs w:val="18"/>
            <w:u w:val="single" w:color="auto"/>
            <w:color w:val="0000FF"/>
          </w:rPr>
          <w:t>Allison Transmission, Inc. Executive Change in Control and Severance Plan (incorporated by reference to Exhibit 10.1 to the</w:t>
        </w:r>
      </w:hyperlink>
      <w:r>
        <w:rPr>
          <w:rFonts w:ascii="Arial" w:cs="Arial" w:eastAsia="Arial" w:hAnsi="Arial"/>
          <w:sz w:val="18"/>
          <w:szCs w:val="18"/>
          <w:u w:val="single" w:color="auto"/>
          <w:color w:val="0000FF"/>
        </w:rPr>
        <w:t xml:space="preserve"> </w:t>
      </w:r>
      <w:hyperlink r:id="rId490">
        <w:r>
          <w:rPr>
            <w:rFonts w:ascii="Arial" w:cs="Arial" w:eastAsia="Arial" w:hAnsi="Arial"/>
            <w:sz w:val="18"/>
            <w:szCs w:val="18"/>
            <w:u w:val="single" w:color="auto"/>
            <w:color w:val="0000FF"/>
          </w:rPr>
          <w:t>Registrant’s Current Report on Form 8-K filed July 19,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3125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1">
                      <a:extLst>
                        <a:ext uri="{28A0092B-C50C-407E-A947-70E740481C1C}"/>
                      </a:extLst>
                    </a:blip>
                    <a:srcRect/>
                    <a:stretch>
                      <a:fillRect/>
                    </a:stretch>
                  </pic:blipFill>
                  <pic:spPr bwMode="auto">
                    <a:xfrm>
                      <a:off x="0" y="0"/>
                      <a:ext cx="63125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30480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2">
                      <a:extLst>
                        <a:ext uri="{28A0092B-C50C-407E-A947-70E740481C1C}"/>
                      </a:extLst>
                    </a:blip>
                    <a:srcRect/>
                    <a:stretch>
                      <a:fillRect/>
                    </a:stretch>
                  </pic:blipFill>
                  <pic:spPr bwMode="auto">
                    <a:xfrm>
                      <a:off x="0" y="0"/>
                      <a:ext cx="3048000" cy="8255"/>
                    </a:xfrm>
                    <a:prstGeom prst="rect">
                      <a:avLst/>
                    </a:prstGeom>
                    <a:noFill/>
                  </pic:spPr>
                </pic:pic>
              </a:graphicData>
            </a:graphic>
          </wp:anchor>
        </w:drawing>
      </w:r>
    </w:p>
    <w:p>
      <w:pPr>
        <w:spacing w:after="0" w:line="39" w:lineRule="exact"/>
        <w:rPr>
          <w:sz w:val="20"/>
          <w:szCs w:val="20"/>
          <w:color w:val="auto"/>
        </w:rPr>
      </w:pPr>
    </w:p>
    <w:p>
      <w:pPr>
        <w:ind w:left="260"/>
        <w:spacing w:after="0"/>
        <w:tabs>
          <w:tab w:leader="none" w:pos="960" w:val="left"/>
        </w:tabs>
        <w:rPr>
          <w:rFonts w:ascii="Arial" w:cs="Arial" w:eastAsia="Arial" w:hAnsi="Arial"/>
          <w:sz w:val="17"/>
          <w:szCs w:val="17"/>
          <w:u w:val="single" w:color="auto"/>
          <w:color w:val="0000FF"/>
        </w:rPr>
      </w:pPr>
      <w:r>
        <w:rPr>
          <w:rFonts w:ascii="Arial" w:cs="Arial" w:eastAsia="Arial" w:hAnsi="Arial"/>
          <w:sz w:val="18"/>
          <w:szCs w:val="18"/>
          <w:color w:val="auto"/>
        </w:rPr>
        <w:t>10.32*</w:t>
      </w:r>
      <w:r>
        <w:rPr>
          <w:sz w:val="20"/>
          <w:szCs w:val="20"/>
          <w:color w:val="auto"/>
        </w:rPr>
        <w:tab/>
      </w:r>
      <w:hyperlink r:id="rId493">
        <w:r>
          <w:rPr>
            <w:rFonts w:ascii="Arial" w:cs="Arial" w:eastAsia="Arial" w:hAnsi="Arial"/>
            <w:sz w:val="17"/>
            <w:szCs w:val="17"/>
            <w:u w:val="single" w:color="auto"/>
            <w:color w:val="0000FF"/>
          </w:rPr>
          <w:t>Severance and Change in Control Agreement, between Allison Transmission, Inc. and David S. Graziosi, dated as of March 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-7620</wp:posOffset>
            </wp:positionV>
            <wp:extent cx="647128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4">
                      <a:extLst>
                        <a:ext uri="{28A0092B-C50C-407E-A947-70E740481C1C}"/>
                      </a:extLst>
                    </a:blip>
                    <a:srcRect/>
                    <a:stretch>
                      <a:fillRect/>
                    </a:stretch>
                  </pic:blipFill>
                  <pic:spPr bwMode="auto">
                    <a:xfrm>
                      <a:off x="0" y="0"/>
                      <a:ext cx="6471285" cy="8255"/>
                    </a:xfrm>
                    <a:prstGeom prst="rect">
                      <a:avLst/>
                    </a:prstGeom>
                    <a:noFill/>
                  </pic:spPr>
                </pic:pic>
              </a:graphicData>
            </a:graphic>
          </wp:anchor>
        </w:drawing>
      </w:r>
    </w:p>
    <w:p>
      <w:pPr>
        <w:ind w:left="980"/>
        <w:spacing w:after="0"/>
        <w:rPr>
          <w:rFonts w:ascii="Arial" w:cs="Arial" w:eastAsia="Arial" w:hAnsi="Arial"/>
          <w:sz w:val="18"/>
          <w:szCs w:val="18"/>
          <w:u w:val="single" w:color="auto"/>
          <w:color w:val="0000FF"/>
        </w:rPr>
      </w:pPr>
      <w:hyperlink r:id="rId493">
        <w:r>
          <w:rPr>
            <w:rFonts w:ascii="Arial" w:cs="Arial" w:eastAsia="Arial" w:hAnsi="Arial"/>
            <w:sz w:val="18"/>
            <w:szCs w:val="18"/>
            <w:u w:val="single" w:color="auto"/>
            <w:color w:val="0000FF"/>
          </w:rPr>
          <w:t>2018 (incorporated by reference to Exhibit 10.1 to the Registrant’s Current Report on Form 8-K filed March 23,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-19050</wp:posOffset>
            </wp:positionV>
            <wp:extent cx="58934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5">
                      <a:extLst>
                        <a:ext uri="{28A0092B-C50C-407E-A947-70E740481C1C}"/>
                      </a:extLst>
                    </a:blip>
                    <a:srcRect/>
                    <a:stretch>
                      <a:fillRect/>
                    </a:stretch>
                  </pic:blipFill>
                  <pic:spPr bwMode="auto">
                    <a:xfrm>
                      <a:off x="0" y="0"/>
                      <a:ext cx="5893435" cy="8255"/>
                    </a:xfrm>
                    <a:prstGeom prst="rect">
                      <a:avLst/>
                    </a:prstGeom>
                    <a:noFill/>
                  </pic:spPr>
                </pic:pic>
              </a:graphicData>
            </a:graphic>
          </wp:anchor>
        </w:drawing>
      </w:r>
    </w:p>
    <w:p>
      <w:pPr>
        <w:spacing w:after="0" w:line="79"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7"/>
          <w:szCs w:val="17"/>
          <w:u w:val="single" w:color="auto"/>
          <w:color w:val="0000FF"/>
        </w:rPr>
        <w:t>Service Agreement, between Dana UK Driveshaft Limited and Craig Price, dated as of January 12, 2026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-7620</wp:posOffset>
            </wp:positionV>
            <wp:extent cx="605218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6">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97" w:lineRule="exact"/>
        <w:rPr>
          <w:sz w:val="20"/>
          <w:szCs w:val="20"/>
          <w:color w:val="auto"/>
        </w:rPr>
      </w:pPr>
    </w:p>
    <w:p>
      <w:pPr>
        <w:ind w:left="980" w:right="80" w:hanging="630"/>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19.1</w:t>
      </w:r>
      <w:r>
        <w:rPr>
          <w:sz w:val="20"/>
          <w:szCs w:val="20"/>
          <w:color w:val="auto"/>
        </w:rPr>
        <w:tab/>
      </w:r>
      <w:hyperlink r:id="rId497">
        <w:r>
          <w:rPr>
            <w:rFonts w:ascii="Arial" w:cs="Arial" w:eastAsia="Arial" w:hAnsi="Arial"/>
            <w:sz w:val="18"/>
            <w:szCs w:val="18"/>
            <w:u w:val="single" w:color="auto"/>
            <w:color w:val="0000FF"/>
          </w:rPr>
          <w:t>Allison Insider Trading Policy (incorporated by reference to Exhibit 19.1 to the Registrant’s Annual Report on Form 10-K for the</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year ended December 31, 2024 filed February 13,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426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8">
                      <a:extLst>
                        <a:ext uri="{28A0092B-C50C-407E-A947-70E740481C1C}"/>
                      </a:extLst>
                    </a:blip>
                    <a:srcRect/>
                    <a:stretch>
                      <a:fillRect/>
                    </a:stretch>
                  </pic:blipFill>
                  <pic:spPr bwMode="auto">
                    <a:xfrm>
                      <a:off x="0" y="0"/>
                      <a:ext cx="642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285178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9">
                      <a:extLst>
                        <a:ext uri="{28A0092B-C50C-407E-A947-70E740481C1C}"/>
                      </a:extLst>
                    </a:blip>
                    <a:srcRect/>
                    <a:stretch>
                      <a:fillRect/>
                    </a:stretch>
                  </pic:blipFill>
                  <pic:spPr bwMode="auto">
                    <a:xfrm>
                      <a:off x="0" y="0"/>
                      <a:ext cx="2851785" cy="8890"/>
                    </a:xfrm>
                    <a:prstGeom prst="rect">
                      <a:avLst/>
                    </a:prstGeom>
                    <a:noFill/>
                  </pic:spPr>
                </pic:pic>
              </a:graphicData>
            </a:graphic>
          </wp:anchor>
        </w:drawing>
      </w:r>
    </w:p>
    <w:p>
      <w:pPr>
        <w:spacing w:after="0" w:line="39" w:lineRule="exact"/>
        <w:rPr>
          <w:sz w:val="20"/>
          <w:szCs w:val="20"/>
          <w:color w:val="auto"/>
        </w:rPr>
      </w:pPr>
    </w:p>
    <w:p>
      <w:pPr>
        <w:ind w:left="980" w:right="100" w:hanging="630"/>
        <w:spacing w:after="0" w:line="27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19.2</w:t>
      </w:r>
      <w:r>
        <w:rPr>
          <w:sz w:val="20"/>
          <w:szCs w:val="20"/>
          <w:color w:val="auto"/>
        </w:rPr>
        <w:tab/>
      </w:r>
      <w:hyperlink r:id="rId500">
        <w:r>
          <w:rPr>
            <w:rFonts w:ascii="Arial" w:cs="Arial" w:eastAsia="Arial" w:hAnsi="Arial"/>
            <w:sz w:val="18"/>
            <w:szCs w:val="18"/>
            <w:u w:val="single" w:color="auto"/>
            <w:color w:val="0000FF"/>
          </w:rPr>
          <w:t>Addendum to Insider Trading Policy (incorporated by reference to Exhibit 19.2 to the Registrant’s Annual Report on Form 10-K</w:t>
        </w:r>
      </w:hyperlink>
      <w:r>
        <w:rPr>
          <w:rFonts w:ascii="Arial" w:cs="Arial" w:eastAsia="Arial" w:hAnsi="Arial"/>
          <w:sz w:val="18"/>
          <w:szCs w:val="18"/>
          <w:u w:val="single" w:color="auto"/>
          <w:color w:val="0000FF"/>
        </w:rPr>
        <w:t xml:space="preserve"> </w:t>
      </w:r>
      <w:hyperlink r:id="rId500">
        <w:r>
          <w:rPr>
            <w:rFonts w:ascii="Arial" w:cs="Arial" w:eastAsia="Arial" w:hAnsi="Arial"/>
            <w:sz w:val="18"/>
            <w:szCs w:val="18"/>
            <w:u w:val="single" w:color="auto"/>
            <w:color w:val="0000FF"/>
          </w:rPr>
          <w:t>for the year ended December 31, 2024 filed February 13,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4141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1">
                      <a:extLst>
                        <a:ext uri="{28A0092B-C50C-407E-A947-70E740481C1C}"/>
                      </a:extLst>
                    </a:blip>
                    <a:srcRect/>
                    <a:stretch>
                      <a:fillRect/>
                    </a:stretch>
                  </pic:blipFill>
                  <pic:spPr bwMode="auto">
                    <a:xfrm>
                      <a:off x="0" y="0"/>
                      <a:ext cx="64141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320738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2">
                      <a:extLst>
                        <a:ext uri="{28A0092B-C50C-407E-A947-70E740481C1C}"/>
                      </a:extLst>
                    </a:blip>
                    <a:srcRect/>
                    <a:stretch>
                      <a:fillRect/>
                    </a:stretch>
                  </pic:blipFill>
                  <pic:spPr bwMode="auto">
                    <a:xfrm>
                      <a:off x="0" y="0"/>
                      <a:ext cx="3207385" cy="8255"/>
                    </a:xfrm>
                    <a:prstGeom prst="rect">
                      <a:avLst/>
                    </a:prstGeom>
                    <a:noFill/>
                  </pic:spPr>
                </pic:pic>
              </a:graphicData>
            </a:graphic>
          </wp:anchor>
        </w:drawing>
      </w:r>
    </w:p>
    <w:p>
      <w:pPr>
        <w:spacing w:after="0" w:line="39"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u w:val="single" w:color="auto"/>
          <w:color w:val="0000FF"/>
        </w:rPr>
        <w:t>List of Subsidiaries of Allison Transmission Holdings, Inc.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-7620</wp:posOffset>
            </wp:positionV>
            <wp:extent cx="36703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3">
                      <a:extLst>
                        <a:ext uri="{28A0092B-C50C-407E-A947-70E740481C1C}"/>
                      </a:extLst>
                    </a:blip>
                    <a:srcRect/>
                    <a:stretch>
                      <a:fillRect/>
                    </a:stretch>
                  </pic:blipFill>
                  <pic:spPr bwMode="auto">
                    <a:xfrm>
                      <a:off x="0" y="0"/>
                      <a:ext cx="3670300" cy="8255"/>
                    </a:xfrm>
                    <a:prstGeom prst="rect">
                      <a:avLst/>
                    </a:prstGeom>
                    <a:noFill/>
                  </pic:spPr>
                </pic:pic>
              </a:graphicData>
            </a:graphic>
          </wp:anchor>
        </w:drawing>
      </w:r>
    </w:p>
    <w:p>
      <w:pPr>
        <w:spacing w:after="0" w:line="97"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PricewaterhouseCoopers LLP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-7620</wp:posOffset>
            </wp:positionV>
            <wp:extent cx="28829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4">
                      <a:extLst>
                        <a:ext uri="{28A0092B-C50C-407E-A947-70E740481C1C}"/>
                      </a:extLst>
                    </a:blip>
                    <a:srcRect/>
                    <a:stretch>
                      <a:fillRect/>
                    </a:stretch>
                  </pic:blipFill>
                  <pic:spPr bwMode="auto">
                    <a:xfrm>
                      <a:off x="0" y="0"/>
                      <a:ext cx="2882900" cy="8255"/>
                    </a:xfrm>
                    <a:prstGeom prst="rect">
                      <a:avLst/>
                    </a:prstGeom>
                    <a:noFill/>
                  </pic:spPr>
                </pic:pic>
              </a:graphicData>
            </a:graphic>
          </wp:anchor>
        </w:drawing>
      </w:r>
    </w:p>
    <w:p>
      <w:pPr>
        <w:spacing w:after="0" w:line="97" w:lineRule="exact"/>
        <w:rPr>
          <w:sz w:val="20"/>
          <w:szCs w:val="20"/>
          <w:color w:val="auto"/>
        </w:rPr>
      </w:pPr>
    </w:p>
    <w:p>
      <w:pPr>
        <w:ind w:left="980" w:right="340" w:hanging="630"/>
        <w:spacing w:after="0" w:line="271" w:lineRule="auto"/>
        <w:tabs>
          <w:tab w:leader="none" w:pos="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pursuant to Rule 13a-14(a)/15d-14(a) of the Securities Exchange Act of 1934 of the Chief Executive Officer, as adopted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25538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5">
                      <a:extLst>
                        <a:ext uri="{28A0092B-C50C-407E-A947-70E740481C1C}"/>
                      </a:extLst>
                    </a:blip>
                    <a:srcRect/>
                    <a:stretch>
                      <a:fillRect/>
                    </a:stretch>
                  </pic:blipFill>
                  <pic:spPr bwMode="auto">
                    <a:xfrm>
                      <a:off x="0" y="0"/>
                      <a:ext cx="625538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421068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6">
                      <a:extLst>
                        <a:ext uri="{28A0092B-C50C-407E-A947-70E740481C1C}"/>
                      </a:extLst>
                    </a:blip>
                    <a:srcRect/>
                    <a:stretch>
                      <a:fillRect/>
                    </a:stretch>
                  </pic:blipFill>
                  <pic:spPr bwMode="auto">
                    <a:xfrm>
                      <a:off x="0" y="0"/>
                      <a:ext cx="4210685" cy="8255"/>
                    </a:xfrm>
                    <a:prstGeom prst="rect">
                      <a:avLst/>
                    </a:prstGeom>
                    <a:noFill/>
                  </pic:spPr>
                </pic:pic>
              </a:graphicData>
            </a:graphic>
          </wp:anchor>
        </w:drawing>
      </w:r>
    </w:p>
    <w:p>
      <w:pPr>
        <w:spacing w:after="0" w:line="39" w:lineRule="exact"/>
        <w:rPr>
          <w:sz w:val="20"/>
          <w:szCs w:val="20"/>
          <w:color w:val="auto"/>
        </w:rPr>
      </w:pPr>
    </w:p>
    <w:p>
      <w:pPr>
        <w:ind w:left="980" w:right="400" w:hanging="630"/>
        <w:spacing w:after="0" w:line="271" w:lineRule="auto"/>
        <w:tabs>
          <w:tab w:leader="none" w:pos="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pursuant to Rule 13a-14(a)/15d-14(a) of the Securities Exchange Act of 1934 of the Chief Financial Officer, as adopted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21728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7">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421068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8">
                      <a:extLst>
                        <a:ext uri="{28A0092B-C50C-407E-A947-70E740481C1C}"/>
                      </a:extLst>
                    </a:blip>
                    <a:srcRect/>
                    <a:stretch>
                      <a:fillRect/>
                    </a:stretch>
                  </pic:blipFill>
                  <pic:spPr bwMode="auto">
                    <a:xfrm>
                      <a:off x="0" y="0"/>
                      <a:ext cx="4210685" cy="8255"/>
                    </a:xfrm>
                    <a:prstGeom prst="rect">
                      <a:avLst/>
                    </a:prstGeom>
                    <a:noFill/>
                  </pic:spPr>
                </pic:pic>
              </a:graphicData>
            </a:graphic>
          </wp:anchor>
        </w:drawing>
      </w:r>
    </w:p>
    <w:p>
      <w:pPr>
        <w:spacing w:after="0" w:line="39" w:lineRule="exact"/>
        <w:rPr>
          <w:sz w:val="20"/>
          <w:szCs w:val="20"/>
          <w:color w:val="auto"/>
        </w:rPr>
      </w:pPr>
    </w:p>
    <w:p>
      <w:pPr>
        <w:ind w:left="980" w:right="140" w:hanging="630"/>
        <w:spacing w:after="0" w:line="271" w:lineRule="auto"/>
        <w:tabs>
          <w:tab w:leader="none" w:pos="9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pursuant to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-172720</wp:posOffset>
            </wp:positionV>
            <wp:extent cx="638937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9">
                      <a:extLst>
                        <a:ext uri="{28A0092B-C50C-407E-A947-70E740481C1C}"/>
                      </a:extLst>
                    </a:blip>
                    <a:srcRect/>
                    <a:stretch>
                      <a:fillRect/>
                    </a:stretch>
                  </pic:blipFill>
                  <pic:spPr bwMode="auto">
                    <a:xfrm>
                      <a:off x="0" y="0"/>
                      <a:ext cx="6389370"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-44450</wp:posOffset>
            </wp:positionV>
            <wp:extent cx="4699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0">
                      <a:extLst>
                        <a:ext uri="{28A0092B-C50C-407E-A947-70E740481C1C}"/>
                      </a:extLst>
                    </a:blip>
                    <a:srcRect/>
                    <a:stretch>
                      <a:fillRect/>
                    </a:stretch>
                  </pic:blipFill>
                  <pic:spPr bwMode="auto">
                    <a:xfrm>
                      <a:off x="0" y="0"/>
                      <a:ext cx="469900" cy="8255"/>
                    </a:xfrm>
                    <a:prstGeom prst="rect">
                      <a:avLst/>
                    </a:prstGeom>
                    <a:noFill/>
                  </pic:spPr>
                </pic:pic>
              </a:graphicData>
            </a:graphic>
          </wp:anchor>
        </w:drawing>
      </w:r>
    </w:p>
    <w:p>
      <w:pPr>
        <w:spacing w:after="0" w:line="39" w:lineRule="exact"/>
        <w:rPr>
          <w:sz w:val="20"/>
          <w:szCs w:val="20"/>
          <w:color w:val="auto"/>
        </w:rPr>
      </w:pPr>
    </w:p>
    <w:p>
      <w:pPr>
        <w:ind w:left="980" w:right="220" w:hanging="563"/>
        <w:spacing w:after="0" w:line="301" w:lineRule="auto"/>
        <w:tabs>
          <w:tab w:leader="none" w:pos="980" w:val="left"/>
        </w:tabs>
        <w:numPr>
          <w:ilvl w:val="0"/>
          <w:numId w:val="28"/>
        </w:numPr>
        <w:rPr>
          <w:rFonts w:ascii="Arial" w:cs="Arial" w:eastAsia="Arial" w:hAnsi="Arial"/>
          <w:sz w:val="17"/>
          <w:szCs w:val="17"/>
          <w:u w:val="single" w:color="auto"/>
          <w:color w:val="0000FF"/>
        </w:rPr>
      </w:pPr>
      <w:hyperlink r:id="rId511">
        <w:r>
          <w:rPr>
            <w:rFonts w:ascii="Arial" w:cs="Arial" w:eastAsia="Arial" w:hAnsi="Arial"/>
            <w:sz w:val="17"/>
            <w:szCs w:val="17"/>
            <w:u w:val="single" w:color="auto"/>
            <w:color w:val="0000FF"/>
          </w:rPr>
          <w:t>Allison Transmission Holdings, Inc. Policy for Recovery of Erroneously Awarded Compensation (incorporated by reference to</w:t>
        </w:r>
      </w:hyperlink>
      <w:r>
        <w:rPr>
          <w:rFonts w:ascii="Arial" w:cs="Arial" w:eastAsia="Arial" w:hAnsi="Arial"/>
          <w:sz w:val="17"/>
          <w:szCs w:val="17"/>
          <w:u w:val="single" w:color="auto"/>
          <w:color w:val="0000FF"/>
        </w:rPr>
        <w:t xml:space="preserve"> </w:t>
      </w:r>
      <w:hyperlink r:id="rId511">
        <w:r>
          <w:rPr>
            <w:rFonts w:ascii="Arial" w:cs="Arial" w:eastAsia="Arial" w:hAnsi="Arial"/>
            <w:sz w:val="17"/>
            <w:szCs w:val="17"/>
            <w:u w:val="single" w:color="auto"/>
            <w:color w:val="0000FF"/>
          </w:rPr>
          <w:t>Exhibit 97 to the Registrant’s Annual Report on Form 10-K for the year ended December 31, 2023 filed February 14, 2024)</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617855</wp:posOffset>
            </wp:positionH>
            <wp:positionV relativeFrom="paragraph">
              <wp:posOffset>-187325</wp:posOffset>
            </wp:positionV>
            <wp:extent cx="633730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2">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-58420</wp:posOffset>
            </wp:positionV>
            <wp:extent cx="61861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3">
                      <a:extLst>
                        <a:ext uri="{28A0092B-C50C-407E-A947-70E740481C1C}"/>
                      </a:extLst>
                    </a:blip>
                    <a:srcRect/>
                    <a:stretch>
                      <a:fillRect/>
                    </a:stretch>
                  </pic:blipFill>
                  <pic:spPr bwMode="auto">
                    <a:xfrm>
                      <a:off x="0" y="0"/>
                      <a:ext cx="6186170" cy="8255"/>
                    </a:xfrm>
                    <a:prstGeom prst="rect">
                      <a:avLst/>
                    </a:prstGeom>
                    <a:noFill/>
                  </pic:spPr>
                </pic:pic>
              </a:graphicData>
            </a:graphic>
          </wp:anchor>
        </w:drawing>
      </w:r>
    </w:p>
    <w:p>
      <w:pPr>
        <w:spacing w:after="0" w:line="16" w:lineRule="exact"/>
        <w:rPr>
          <w:rFonts w:ascii="Arial" w:cs="Arial" w:eastAsia="Arial" w:hAnsi="Arial"/>
          <w:sz w:val="17"/>
          <w:szCs w:val="17"/>
          <w:color w:val="auto"/>
        </w:rPr>
      </w:pPr>
    </w:p>
    <w:p>
      <w:pPr>
        <w:ind w:left="140"/>
        <w:spacing w:after="0"/>
        <w:tabs>
          <w:tab w:leader="none" w:pos="96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7"/>
          <w:szCs w:val="17"/>
          <w:color w:val="auto"/>
        </w:rPr>
        <w:t>Inline XBRL Instance Document (filed herewith)</w:t>
      </w:r>
    </w:p>
    <w:p>
      <w:pPr>
        <w:spacing w:after="0" w:line="117" w:lineRule="exact"/>
        <w:rPr>
          <w:rFonts w:ascii="Arial" w:cs="Arial" w:eastAsia="Arial" w:hAnsi="Arial"/>
          <w:sz w:val="17"/>
          <w:szCs w:val="17"/>
          <w:color w:val="auto"/>
        </w:rPr>
      </w:pPr>
    </w:p>
    <w:p>
      <w:pPr>
        <w:ind w:left="100"/>
        <w:spacing w:after="0"/>
        <w:rPr>
          <w:sz w:val="20"/>
          <w:szCs w:val="20"/>
          <w:color w:val="auto"/>
        </w:rPr>
      </w:pPr>
      <w:r>
        <w:rPr>
          <w:rFonts w:ascii="Arial" w:cs="Arial" w:eastAsia="Arial" w:hAnsi="Arial"/>
          <w:sz w:val="18"/>
          <w:szCs w:val="18"/>
          <w:color w:val="auto"/>
        </w:rPr>
        <w:t>101.SCH  Inline XBRL Taxonomy Extension Schema With Embedded Linkbase Document (filed herewith)</w:t>
      </w:r>
    </w:p>
    <w:p>
      <w:pPr>
        <w:spacing w:after="0" w:line="117" w:lineRule="exact"/>
        <w:rPr>
          <w:rFonts w:ascii="Arial" w:cs="Arial" w:eastAsia="Arial" w:hAnsi="Arial"/>
          <w:sz w:val="17"/>
          <w:szCs w:val="17"/>
          <w:color w:val="auto"/>
        </w:rPr>
      </w:pPr>
    </w:p>
    <w:p>
      <w:pPr>
        <w:ind w:left="980" w:right="60" w:hanging="663"/>
        <w:spacing w:after="0" w:line="271"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Annual Report on Form 10-K for the fiscal year ended December 31, 2025, formatted in Inline XBRL and contained in Exhibit 101</w:t>
      </w:r>
    </w:p>
    <w:p>
      <w:pPr>
        <w:spacing w:after="0" w:line="1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 or arrangement</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58559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4">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92"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109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Intentionally left blank.</w:t>
      </w:r>
    </w:p>
    <w:p>
      <w:pPr>
        <w:spacing w:after="0" w:line="21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0" w:lineRule="exact"/>
        <w:rPr>
          <w:sz w:val="20"/>
          <w:szCs w:val="20"/>
          <w:color w:val="auto"/>
        </w:rPr>
      </w:pPr>
    </w:p>
    <w:p>
      <w:pPr>
        <w:spacing w:after="0"/>
        <w:tabs>
          <w:tab w:leader="none" w:pos="6480" w:val="left"/>
          <w:tab w:leader="none" w:pos="7180" w:val="left"/>
        </w:tabs>
        <w:rPr>
          <w:sz w:val="20"/>
          <w:szCs w:val="20"/>
          <w:color w:val="auto"/>
        </w:rPr>
      </w:pPr>
      <w:r>
        <w:rPr>
          <w:rFonts w:ascii="Arial" w:cs="Arial" w:eastAsia="Arial" w:hAnsi="Arial"/>
          <w:sz w:val="18"/>
          <w:szCs w:val="18"/>
          <w:color w:val="auto"/>
        </w:rPr>
        <w:t>Date: February 24,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David S. Graziosi</w:t>
      </w:r>
    </w:p>
    <w:p>
      <w:pPr>
        <w:ind w:left="7200"/>
        <w:spacing w:after="0" w:line="234" w:lineRule="auto"/>
        <w:rPr>
          <w:sz w:val="20"/>
          <w:szCs w:val="20"/>
          <w:color w:val="auto"/>
        </w:rPr>
      </w:pPr>
      <w:r>
        <w:rPr>
          <w:rFonts w:ascii="Arial" w:cs="Arial" w:eastAsia="Arial" w:hAnsi="Arial"/>
          <w:sz w:val="18"/>
          <w:szCs w:val="18"/>
          <w:i w:val="1"/>
          <w:iCs w:val="1"/>
          <w:color w:val="auto"/>
        </w:rPr>
        <w:t>Chair, President and Chief Executive Officer</w:t>
      </w:r>
    </w:p>
    <w:p>
      <w:pPr>
        <w:spacing w:after="0" w:line="1"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6" w:lineRule="exact"/>
        <w:rPr>
          <w:sz w:val="20"/>
          <w:szCs w:val="20"/>
          <w:color w:val="auto"/>
        </w:rPr>
      </w:pPr>
    </w:p>
    <w:p>
      <w:pPr>
        <w:ind w:left="940"/>
        <w:spacing w:after="0"/>
        <w:tabs>
          <w:tab w:leader="none" w:pos="5620" w:val="left"/>
          <w:tab w:leader="none" w:pos="994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CAPACITY</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000"/>
          </w:cols>
          <w:pgMar w:left="320" w:top="117" w:right="579" w:bottom="1440" w:gutter="0" w:footer="0" w:header="0"/>
        </w:sectPr>
      </w:pPr>
    </w:p>
    <w:p>
      <w:pPr>
        <w:spacing w:after="0" w:line="329"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/s/ David S. Graziosi David S. Graziosi</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Scott Mell</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Scott Mell</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Judy Altmaier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Judy Altmaier</w:t>
      </w:r>
    </w:p>
    <w:p>
      <w:pPr>
        <w:spacing w:after="0" w:line="248"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/s/ D. Scott Barbour D. Scott Barbour</w:t>
      </w:r>
    </w:p>
    <w:p>
      <w:pPr>
        <w:spacing w:after="0" w:line="208" w:lineRule="exact"/>
        <w:rPr>
          <w:sz w:val="20"/>
          <w:szCs w:val="20"/>
          <w:color w:val="auto"/>
        </w:rPr>
      </w:pPr>
    </w:p>
    <w:p>
      <w:pPr>
        <w:ind w:left="120" w:right="380"/>
        <w:spacing w:after="0" w:line="301" w:lineRule="auto"/>
        <w:rPr>
          <w:sz w:val="20"/>
          <w:szCs w:val="20"/>
          <w:color w:val="auto"/>
        </w:rPr>
      </w:pPr>
      <w:r>
        <w:rPr>
          <w:rFonts w:ascii="Arial" w:cs="Arial" w:eastAsia="Arial" w:hAnsi="Arial"/>
          <w:sz w:val="17"/>
          <w:szCs w:val="17"/>
          <w:color w:val="auto"/>
        </w:rPr>
        <w:t>/s/ Philip J. Christman Philip J. Christman</w:t>
      </w:r>
    </w:p>
    <w:p>
      <w:pPr>
        <w:spacing w:after="0" w:line="185"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color w:val="auto"/>
        </w:rPr>
        <w:t>/s/ David C. Everitt David C. Everitt</w:t>
      </w:r>
    </w:p>
    <w:p>
      <w:pPr>
        <w:spacing w:after="0" w:line="208"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/s/ Carolann I. Haznedar Carolann I. Haznedar</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Sasha Ostojic</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Sasha Ostojic</w:t>
      </w:r>
    </w:p>
    <w:p>
      <w:pPr>
        <w:spacing w:after="0" w:line="194"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/s/ Gustave F. Perna Gustave F. Perna</w:t>
      </w:r>
    </w:p>
    <w:p>
      <w:pPr>
        <w:spacing w:after="0" w:line="154" w:lineRule="exact"/>
        <w:rPr>
          <w:sz w:val="20"/>
          <w:szCs w:val="20"/>
          <w:color w:val="auto"/>
        </w:rPr>
      </w:pPr>
    </w:p>
    <w:p>
      <w:pPr>
        <w:ind w:left="120" w:right="560"/>
        <w:spacing w:after="0" w:line="301" w:lineRule="auto"/>
        <w:rPr>
          <w:sz w:val="20"/>
          <w:szCs w:val="20"/>
          <w:color w:val="auto"/>
        </w:rPr>
      </w:pPr>
      <w:r>
        <w:rPr>
          <w:rFonts w:ascii="Arial" w:cs="Arial" w:eastAsia="Arial" w:hAnsi="Arial"/>
          <w:sz w:val="17"/>
          <w:szCs w:val="17"/>
          <w:color w:val="auto"/>
        </w:rPr>
        <w:t>/s/ Krishna Shivram Krishna Shivram</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tabs>
          <w:tab w:leader="none" w:pos="6440" w:val="left"/>
        </w:tabs>
        <w:rPr>
          <w:sz w:val="20"/>
          <w:szCs w:val="20"/>
          <w:color w:val="auto"/>
        </w:rPr>
      </w:pPr>
      <w:r>
        <w:rPr>
          <w:rFonts w:ascii="Arial" w:cs="Arial" w:eastAsia="Arial" w:hAnsi="Arial"/>
          <w:sz w:val="18"/>
          <w:szCs w:val="18"/>
          <w:color w:val="auto"/>
        </w:rPr>
        <w:t>Chair, President and Chief Executive Officer (Principal Executive Officer)</w:t>
      </w:r>
      <w:r>
        <w:rPr>
          <w:sz w:val="20"/>
          <w:szCs w:val="20"/>
          <w:color w:val="auto"/>
        </w:rPr>
        <w:tab/>
      </w:r>
      <w:r>
        <w:rPr>
          <w:rFonts w:ascii="Arial" w:cs="Arial" w:eastAsia="Arial" w:hAnsi="Arial"/>
          <w:sz w:val="17"/>
          <w:szCs w:val="17"/>
          <w:color w:val="auto"/>
        </w:rPr>
        <w:t>February 24, 2026</w:t>
      </w:r>
    </w:p>
    <w:p>
      <w:pPr>
        <w:spacing w:after="0" w:line="200" w:lineRule="exact"/>
        <w:rPr>
          <w:sz w:val="20"/>
          <w:szCs w:val="20"/>
          <w:color w:val="auto"/>
        </w:rPr>
      </w:pPr>
    </w:p>
    <w:p>
      <w:pPr>
        <w:spacing w:after="0" w:line="268" w:lineRule="exact"/>
        <w:rPr>
          <w:sz w:val="20"/>
          <w:szCs w:val="20"/>
          <w:color w:val="auto"/>
        </w:rPr>
      </w:pPr>
    </w:p>
    <w:p>
      <w:pPr>
        <w:spacing w:after="0"/>
        <w:tabs>
          <w:tab w:leader="none" w:pos="6440" w:val="left"/>
        </w:tabs>
        <w:rPr>
          <w:sz w:val="20"/>
          <w:szCs w:val="20"/>
          <w:color w:val="auto"/>
        </w:rPr>
      </w:pPr>
      <w:r>
        <w:rPr>
          <w:rFonts w:ascii="Arial" w:cs="Arial" w:eastAsia="Arial" w:hAnsi="Arial"/>
          <w:sz w:val="18"/>
          <w:szCs w:val="18"/>
          <w:color w:val="auto"/>
        </w:rPr>
        <w:t>Chief Financial Officer and Treasurer (Principal Financial Officer and</w:t>
      </w:r>
      <w:r>
        <w:rPr>
          <w:sz w:val="20"/>
          <w:szCs w:val="20"/>
          <w:color w:val="auto"/>
        </w:rPr>
        <w:tab/>
      </w:r>
      <w:r>
        <w:rPr>
          <w:rFonts w:ascii="Arial" w:cs="Arial" w:eastAsia="Arial" w:hAnsi="Arial"/>
          <w:sz w:val="17"/>
          <w:szCs w:val="17"/>
          <w:color w:val="auto"/>
        </w:rPr>
        <w:t>February 24, 2026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48" w:lineRule="exact"/>
        <w:rPr>
          <w:sz w:val="20"/>
          <w:szCs w:val="20"/>
          <w:color w:val="auto"/>
        </w:rPr>
      </w:pPr>
    </w:p>
    <w:p>
      <w:pPr>
        <w:spacing w:after="0"/>
        <w:tabs>
          <w:tab w:leader="none" w:pos="6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24, 2026</w:t>
      </w:r>
    </w:p>
    <w:p>
      <w:pPr>
        <w:spacing w:after="0" w:line="200" w:lineRule="exact"/>
        <w:rPr>
          <w:sz w:val="20"/>
          <w:szCs w:val="20"/>
          <w:color w:val="auto"/>
        </w:rPr>
      </w:pPr>
    </w:p>
    <w:p>
      <w:pPr>
        <w:spacing w:after="0" w:line="280" w:lineRule="exact"/>
        <w:rPr>
          <w:sz w:val="20"/>
          <w:szCs w:val="20"/>
          <w:color w:val="auto"/>
        </w:rPr>
      </w:pPr>
    </w:p>
    <w:p>
      <w:pPr>
        <w:spacing w:after="0"/>
        <w:tabs>
          <w:tab w:leader="none" w:pos="6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24, 2026</w:t>
      </w:r>
    </w:p>
    <w:p>
      <w:pPr>
        <w:spacing w:after="0" w:line="200" w:lineRule="exact"/>
        <w:rPr>
          <w:sz w:val="20"/>
          <w:szCs w:val="20"/>
          <w:color w:val="auto"/>
        </w:rPr>
      </w:pPr>
    </w:p>
    <w:p>
      <w:pPr>
        <w:spacing w:after="0" w:line="280" w:lineRule="exact"/>
        <w:rPr>
          <w:sz w:val="20"/>
          <w:szCs w:val="20"/>
          <w:color w:val="auto"/>
        </w:rPr>
      </w:pPr>
    </w:p>
    <w:p>
      <w:pPr>
        <w:spacing w:after="0"/>
        <w:tabs>
          <w:tab w:leader="none" w:pos="6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24, 2026</w:t>
      </w:r>
    </w:p>
    <w:p>
      <w:pPr>
        <w:spacing w:after="0" w:line="200" w:lineRule="exact"/>
        <w:rPr>
          <w:sz w:val="20"/>
          <w:szCs w:val="20"/>
          <w:color w:val="auto"/>
        </w:rPr>
      </w:pPr>
    </w:p>
    <w:p>
      <w:pPr>
        <w:spacing w:after="0" w:line="280" w:lineRule="exact"/>
        <w:rPr>
          <w:sz w:val="20"/>
          <w:szCs w:val="20"/>
          <w:color w:val="auto"/>
        </w:rPr>
      </w:pPr>
    </w:p>
    <w:p>
      <w:pPr>
        <w:spacing w:after="0"/>
        <w:tabs>
          <w:tab w:leader="none" w:pos="6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24, 2026</w:t>
      </w:r>
    </w:p>
    <w:p>
      <w:pPr>
        <w:spacing w:after="0" w:line="200" w:lineRule="exact"/>
        <w:rPr>
          <w:sz w:val="20"/>
          <w:szCs w:val="20"/>
          <w:color w:val="auto"/>
        </w:rPr>
      </w:pPr>
    </w:p>
    <w:p>
      <w:pPr>
        <w:spacing w:after="0" w:line="280" w:lineRule="exact"/>
        <w:rPr>
          <w:sz w:val="20"/>
          <w:szCs w:val="20"/>
          <w:color w:val="auto"/>
        </w:rPr>
      </w:pPr>
    </w:p>
    <w:p>
      <w:pPr>
        <w:spacing w:after="0"/>
        <w:tabs>
          <w:tab w:leader="none" w:pos="6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24, 2026</w:t>
      </w:r>
    </w:p>
    <w:p>
      <w:pPr>
        <w:spacing w:after="0" w:line="200" w:lineRule="exact"/>
        <w:rPr>
          <w:sz w:val="20"/>
          <w:szCs w:val="20"/>
          <w:color w:val="auto"/>
        </w:rPr>
      </w:pPr>
    </w:p>
    <w:p>
      <w:pPr>
        <w:spacing w:after="0" w:line="280" w:lineRule="exact"/>
        <w:rPr>
          <w:sz w:val="20"/>
          <w:szCs w:val="20"/>
          <w:color w:val="auto"/>
        </w:rPr>
      </w:pPr>
    </w:p>
    <w:p>
      <w:pPr>
        <w:spacing w:after="0"/>
        <w:tabs>
          <w:tab w:leader="none" w:pos="6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24, 2026</w:t>
      </w:r>
    </w:p>
    <w:p>
      <w:pPr>
        <w:spacing w:after="0" w:line="200" w:lineRule="exact"/>
        <w:rPr>
          <w:sz w:val="20"/>
          <w:szCs w:val="20"/>
          <w:color w:val="auto"/>
        </w:rPr>
      </w:pPr>
    </w:p>
    <w:p>
      <w:pPr>
        <w:spacing w:after="0" w:line="226" w:lineRule="exact"/>
        <w:rPr>
          <w:sz w:val="20"/>
          <w:szCs w:val="20"/>
          <w:color w:val="auto"/>
        </w:rPr>
      </w:pPr>
    </w:p>
    <w:p>
      <w:pPr>
        <w:spacing w:after="0"/>
        <w:tabs>
          <w:tab w:leader="none" w:pos="6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24, 2026</w:t>
      </w:r>
    </w:p>
    <w:p>
      <w:pPr>
        <w:spacing w:after="0" w:line="200" w:lineRule="exact"/>
        <w:rPr>
          <w:sz w:val="20"/>
          <w:szCs w:val="20"/>
          <w:color w:val="auto"/>
        </w:rPr>
      </w:pPr>
    </w:p>
    <w:p>
      <w:pPr>
        <w:spacing w:after="0" w:line="226" w:lineRule="exact"/>
        <w:rPr>
          <w:sz w:val="20"/>
          <w:szCs w:val="20"/>
          <w:color w:val="auto"/>
        </w:rPr>
      </w:pPr>
    </w:p>
    <w:p>
      <w:pPr>
        <w:spacing w:after="0"/>
        <w:tabs>
          <w:tab w:leader="none" w:pos="6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24, 2026</w:t>
      </w:r>
    </w:p>
    <w:p>
      <w:pPr>
        <w:spacing w:after="0" w:line="494" w:lineRule="exact"/>
        <w:rPr>
          <w:sz w:val="20"/>
          <w:szCs w:val="20"/>
          <w:color w:val="auto"/>
        </w:rPr>
      </w:pPr>
    </w:p>
    <w:p>
      <w:pPr>
        <w:sectPr>
          <w:pgSz w:w="11900" w:h="16838" w:orient="portrait"/>
          <w:cols w:equalWidth="0" w:num="2">
            <w:col w:w="2240" w:space="720"/>
            <w:col w:w="8040"/>
          </w:cols>
          <w:pgMar w:left="320" w:top="117" w:right="57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type w:val="continuous"/>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80"/>
        <w:spacing w:after="0"/>
        <w:tabs>
          <w:tab w:leader="none" w:pos="6340" w:val="left"/>
        </w:tabs>
        <w:rPr>
          <w:sz w:val="20"/>
          <w:szCs w:val="20"/>
          <w:color w:val="auto"/>
        </w:rPr>
      </w:pPr>
      <w:r>
        <w:rPr>
          <w:rFonts w:ascii="Times New Roman" w:cs="Times New Roman" w:eastAsia="Times New Roman" w:hAnsi="Times New Roman"/>
          <w:sz w:val="20"/>
          <w:szCs w:val="20"/>
          <w:b w:val="1"/>
          <w:bCs w:val="1"/>
          <w:color w:val="auto"/>
        </w:rPr>
        <w:t>Dated</w:t>
      </w:r>
      <w:r>
        <w:rPr>
          <w:sz w:val="20"/>
          <w:szCs w:val="20"/>
          <w:color w:val="auto"/>
        </w:rPr>
        <w:tab/>
      </w:r>
      <w:r>
        <w:rPr>
          <w:rFonts w:ascii="Times New Roman" w:cs="Times New Roman" w:eastAsia="Times New Roman" w:hAnsi="Times New Roman"/>
          <w:sz w:val="20"/>
          <w:szCs w:val="20"/>
          <w:b w:val="1"/>
          <w:bCs w:val="1"/>
          <w:color w:val="auto"/>
        </w:rPr>
        <w:t>12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DANA UK DRIVESHAFT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CRAIG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1325880</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768350</wp:posOffset>
            </wp:positionV>
            <wp:extent cx="3505835" cy="4203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2">
                      <a:extLst>
                        <a:ext uri="{28A0092B-C50C-407E-A947-70E740481C1C}"/>
                      </a:extLst>
                    </a:blip>
                    <a:srcRect/>
                    <a:stretch>
                      <a:fillRect/>
                    </a:stretch>
                  </pic:blipFill>
                  <pic:spPr bwMode="auto">
                    <a:xfrm>
                      <a:off x="0" y="0"/>
                      <a:ext cx="35058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London</w:t>
      </w:r>
    </w:p>
    <w:p>
      <w:pPr>
        <w:spacing w:after="0" w:line="22" w:lineRule="exact"/>
        <w:rPr>
          <w:sz w:val="20"/>
          <w:szCs w:val="20"/>
          <w:color w:val="auto"/>
        </w:rPr>
      </w:pPr>
    </w:p>
    <w:p>
      <w:pPr>
        <w:ind w:left="4820" w:right="4820" w:firstLine="197"/>
        <w:spacing w:after="0" w:line="252" w:lineRule="auto"/>
        <w:tabs>
          <w:tab w:leader="none" w:pos="5257"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Bishopsgate London EC2M 3XF</w:t>
      </w:r>
    </w:p>
    <w:p>
      <w:pPr>
        <w:ind w:left="5060" w:right="4620" w:hanging="442"/>
        <w:spacing w:after="0" w:line="246" w:lineRule="auto"/>
        <w:tabs>
          <w:tab w:leader="none" w:pos="499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020 7710 1000 (Tel) www.lw.com</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THIS AGREEMENT </w:t>
      </w:r>
      <w:r>
        <w:rPr>
          <w:rFonts w:ascii="Times New Roman" w:cs="Times New Roman" w:eastAsia="Times New Roman" w:hAnsi="Times New Roman"/>
          <w:sz w:val="20"/>
          <w:szCs w:val="20"/>
          <w:color w:val="auto"/>
        </w:rPr>
        <w:t>is made on 12 January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189" w:lineRule="exact"/>
        <w:rPr>
          <w:sz w:val="20"/>
          <w:szCs w:val="20"/>
          <w:color w:val="auto"/>
        </w:rPr>
      </w:pPr>
    </w:p>
    <w:p>
      <w:pPr>
        <w:ind w:left="740" w:hanging="732"/>
        <w:spacing w:after="0" w:line="273" w:lineRule="auto"/>
        <w:tabs>
          <w:tab w:leader="none" w:pos="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DANA UK DRIVESHAFT LIMITED</w:t>
      </w:r>
      <w:r>
        <w:rPr>
          <w:rFonts w:ascii="Times New Roman" w:cs="Times New Roman" w:eastAsia="Times New Roman" w:hAnsi="Times New Roman"/>
          <w:sz w:val="20"/>
          <w:szCs w:val="20"/>
          <w:color w:val="auto"/>
        </w:rPr>
        <w:t>, a company registered in England with registered number 06088797 and having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office at Bridgeway House, Bridgeway, Stratford-Upon-Avon, CV37 6YX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w:t>
      </w:r>
    </w:p>
    <w:p>
      <w:pPr>
        <w:spacing w:after="0" w:line="138"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CRAIG PRICE</w:t>
      </w:r>
      <w:r>
        <w:rPr>
          <w:rFonts w:ascii="Times New Roman" w:cs="Times New Roman" w:eastAsia="Times New Roman" w:hAnsi="Times New Roman"/>
          <w:sz w:val="20"/>
          <w:szCs w:val="20"/>
          <w:color w:val="auto"/>
        </w:rPr>
        <w:t>, residing at ___________________________________ (“</w:t>
      </w:r>
      <w:r>
        <w:rPr>
          <w:rFonts w:ascii="Times New Roman" w:cs="Times New Roman" w:eastAsia="Times New Roman" w:hAnsi="Times New Roman"/>
          <w:sz w:val="20"/>
          <w:szCs w:val="20"/>
          <w:b w:val="1"/>
          <w:bCs w:val="1"/>
          <w:color w:val="auto"/>
        </w:rPr>
        <w:t>you</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wishes to employ you on the terms and conditions of this Agreement and you wish to accept such employment.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202" w:lineRule="exact"/>
        <w:rPr>
          <w:sz w:val="20"/>
          <w:szCs w:val="20"/>
          <w:color w:val="auto"/>
        </w:rPr>
      </w:pPr>
    </w:p>
    <w:p>
      <w:pPr>
        <w:ind w:left="740" w:hanging="732"/>
        <w:spacing w:after="0"/>
        <w:tabs>
          <w:tab w:leader="none" w:pos="74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 AND INTERPRETATION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122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Definitions</w:t>
            </w:r>
          </w:p>
        </w:tc>
        <w:tc>
          <w:tcPr>
            <w:tcW w:w="2140" w:type="dxa"/>
            <w:vAlign w:val="bottom"/>
          </w:tcPr>
          <w:p>
            <w:pPr>
              <w:spacing w:after="0"/>
              <w:rPr>
                <w:sz w:val="22"/>
                <w:szCs w:val="22"/>
                <w:color w:val="auto"/>
              </w:rPr>
            </w:pPr>
          </w:p>
        </w:tc>
        <w:tc>
          <w:tcPr>
            <w:tcW w:w="7380" w:type="dxa"/>
            <w:vAlign w:val="bottom"/>
          </w:tcPr>
          <w:p>
            <w:pPr>
              <w:spacing w:after="0"/>
              <w:rPr>
                <w:sz w:val="22"/>
                <w:szCs w:val="22"/>
                <w:color w:val="auto"/>
              </w:rPr>
            </w:pPr>
          </w:p>
        </w:tc>
      </w:tr>
      <w:tr>
        <w:trPr>
          <w:trHeight w:val="432"/>
        </w:trPr>
        <w:tc>
          <w:tcPr>
            <w:tcW w:w="500" w:type="dxa"/>
            <w:vAlign w:val="bottom"/>
          </w:tcPr>
          <w:p>
            <w:pPr>
              <w:spacing w:after="0"/>
              <w:rPr>
                <w:sz w:val="24"/>
                <w:szCs w:val="24"/>
                <w:color w:val="auto"/>
              </w:rPr>
            </w:pPr>
          </w:p>
        </w:tc>
        <w:tc>
          <w:tcPr>
            <w:tcW w:w="10740" w:type="dxa"/>
            <w:vAlign w:val="bottom"/>
            <w:gridSpan w:val="3"/>
          </w:tcPr>
          <w:p>
            <w:pPr>
              <w:ind w:left="520"/>
              <w:spacing w:after="0"/>
              <w:rPr>
                <w:sz w:val="20"/>
                <w:szCs w:val="20"/>
                <w:color w:val="auto"/>
              </w:rPr>
            </w:pPr>
            <w:r>
              <w:rPr>
                <w:rFonts w:ascii="Times New Roman" w:cs="Times New Roman" w:eastAsia="Times New Roman" w:hAnsi="Times New Roman"/>
                <w:sz w:val="20"/>
                <w:szCs w:val="20"/>
                <w:color w:val="auto"/>
              </w:rPr>
              <w:t>In this Agreement, unless the context otherwise requires:</w:t>
            </w:r>
          </w:p>
        </w:tc>
      </w:tr>
      <w:tr>
        <w:trPr>
          <w:trHeight w:val="403"/>
        </w:trPr>
        <w:tc>
          <w:tcPr>
            <w:tcW w:w="500" w:type="dxa"/>
            <w:vAlign w:val="bottom"/>
          </w:tcPr>
          <w:p>
            <w:pPr>
              <w:spacing w:after="0"/>
              <w:rPr>
                <w:sz w:val="24"/>
                <w:szCs w:val="24"/>
                <w:color w:val="auto"/>
              </w:rPr>
            </w:pPr>
          </w:p>
        </w:tc>
        <w:tc>
          <w:tcPr>
            <w:tcW w:w="336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Basic Salary</w:t>
            </w:r>
            <w:r>
              <w:rPr>
                <w:rFonts w:ascii="Times New Roman" w:cs="Times New Roman" w:eastAsia="Times New Roman" w:hAnsi="Times New Roman"/>
                <w:sz w:val="20"/>
                <w:szCs w:val="20"/>
                <w:color w:val="auto"/>
              </w:rPr>
              <w:t>”</w:t>
            </w: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means the salary, as specified in Clause 6.1(a) or, as appropriate, the reviewed</w:t>
            </w:r>
          </w:p>
        </w:tc>
      </w:tr>
      <w:tr>
        <w:trPr>
          <w:trHeight w:val="258"/>
        </w:trPr>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annual salary from time to time;</w:t>
            </w:r>
          </w:p>
        </w:tc>
      </w:tr>
      <w:tr>
        <w:trPr>
          <w:trHeight w:val="309"/>
        </w:trPr>
        <w:tc>
          <w:tcPr>
            <w:tcW w:w="500" w:type="dxa"/>
            <w:vAlign w:val="bottom"/>
          </w:tcPr>
          <w:p>
            <w:pPr>
              <w:spacing w:after="0"/>
              <w:rPr>
                <w:sz w:val="24"/>
                <w:szCs w:val="24"/>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95"/>
              </w:rPr>
              <w:t>“</w:t>
            </w:r>
            <w:r>
              <w:rPr>
                <w:rFonts w:ascii="Times New Roman" w:cs="Times New Roman" w:eastAsia="Times New Roman" w:hAnsi="Times New Roman"/>
                <w:sz w:val="20"/>
                <w:szCs w:val="20"/>
                <w:b w:val="1"/>
                <w:bCs w:val="1"/>
                <w:color w:val="auto"/>
                <w:w w:val="95"/>
              </w:rPr>
              <w:t>Board</w:t>
            </w:r>
            <w:r>
              <w:rPr>
                <w:rFonts w:ascii="Times New Roman" w:cs="Times New Roman" w:eastAsia="Times New Roman" w:hAnsi="Times New Roman"/>
                <w:sz w:val="20"/>
                <w:szCs w:val="20"/>
                <w:color w:val="auto"/>
                <w:w w:val="95"/>
              </w:rPr>
              <w:t>”</w:t>
            </w:r>
          </w:p>
        </w:tc>
        <w:tc>
          <w:tcPr>
            <w:tcW w:w="2140" w:type="dxa"/>
            <w:vAlign w:val="bottom"/>
          </w:tcPr>
          <w:p>
            <w:pPr>
              <w:spacing w:after="0"/>
              <w:rPr>
                <w:sz w:val="24"/>
                <w:szCs w:val="24"/>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means the board of directors of the Company from time to time or any duly</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authorised committee thereof (including, where applicable, the remuneration</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committee), or where the relevant powers have been reserved to the Company’s</w:t>
            </w:r>
          </w:p>
        </w:tc>
      </w:tr>
      <w:tr>
        <w:trPr>
          <w:trHeight w:val="258"/>
        </w:trPr>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members, its members from time to time;</w:t>
            </w:r>
          </w:p>
        </w:tc>
      </w:tr>
      <w:tr>
        <w:trPr>
          <w:trHeight w:val="309"/>
        </w:trPr>
        <w:tc>
          <w:tcPr>
            <w:tcW w:w="500" w:type="dxa"/>
            <w:vAlign w:val="bottom"/>
          </w:tcPr>
          <w:p>
            <w:pPr>
              <w:spacing w:after="0"/>
              <w:rPr>
                <w:sz w:val="24"/>
                <w:szCs w:val="24"/>
                <w:color w:val="auto"/>
              </w:rPr>
            </w:pPr>
          </w:p>
        </w:tc>
        <w:tc>
          <w:tcPr>
            <w:tcW w:w="336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w:t>
            </w: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means all information which is identified or treated by the Company or any Group</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Company or any of the Group’s clients or customers as confidential or which by</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reason of its character or the circumstances or manner of its disclosure is</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evidently confidential including (without prejudice to the foregoing generality)</w:t>
            </w:r>
          </w:p>
        </w:tc>
      </w:tr>
      <w:tr>
        <w:trPr>
          <w:trHeight w:val="229"/>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any information about the personal affairs of any of the directors (or their</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families) of the Company or any Group Company, business plans, proposals</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relating to the acquisition or disposal of a company or business or proposed</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expansion or contraction of activities, maturing new business opportunities,</w:t>
            </w:r>
          </w:p>
        </w:tc>
      </w:tr>
      <w:tr>
        <w:trPr>
          <w:trHeight w:val="229"/>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research and development projects, designs, secret processes, trade secrets,</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product or services development and formulae, know-how, inventions, sales</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statistics and forecasts, marketing strategies and plans, costs, profit and loss and</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other financial information (save to the extent published in audited accounts),</w:t>
            </w:r>
          </w:p>
        </w:tc>
      </w:tr>
      <w:tr>
        <w:trPr>
          <w:trHeight w:val="229"/>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prices and discount structures and the names, addresses and contact and other</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details of: (a) employees and their terms of employment; (b) customers and</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potential customers, their requirements and their terms of business with the</w:t>
            </w: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Company or Group; and (c) suppliers and potential suppliers and their terms of</w:t>
            </w:r>
          </w:p>
        </w:tc>
      </w:tr>
      <w:tr>
        <w:trPr>
          <w:trHeight w:val="258"/>
        </w:trPr>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73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business (all whether or not recorded in writing or in electronic or other format);</w:t>
            </w:r>
          </w:p>
        </w:tc>
      </w:tr>
      <w:tr>
        <w:trPr>
          <w:trHeight w:val="453"/>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3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w:t>
            </w:r>
          </w:p>
        </w:tc>
      </w:tr>
      <w:tr>
        <w:trPr>
          <w:trHeight w:val="314"/>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214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rPr>
              <w:t>|  888349-0000||</w:t>
            </w:r>
          </w:p>
        </w:tc>
        <w:tc>
          <w:tcPr>
            <w:tcW w:w="7380" w:type="dxa"/>
            <w:vAlign w:val="bottom"/>
          </w:tcPr>
          <w:p>
            <w:pPr>
              <w:spacing w:after="0"/>
              <w:rPr>
                <w:sz w:val="24"/>
                <w:szCs w:val="24"/>
                <w:color w:val="auto"/>
              </w:rPr>
            </w:pPr>
          </w:p>
        </w:tc>
      </w:tr>
      <w:tr>
        <w:trPr>
          <w:trHeight w:val="746"/>
        </w:trPr>
        <w:tc>
          <w:tcPr>
            <w:tcW w:w="5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b w:val="1"/>
                <w:bCs w:val="1"/>
                <w:color w:val="auto"/>
              </w:rPr>
              <w:t>“Corruption”</w:t>
            </w: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includes bribery, extortion, fraud, deception, collusion, and money laundering,</w:t>
            </w:r>
          </w:p>
        </w:tc>
      </w:tr>
      <w:tr>
        <w:trPr>
          <w:trHeight w:val="229"/>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and each of these terms shall have the meaning ascribed to them by applicable law</w:t>
            </w:r>
          </w:p>
        </w:tc>
      </w:tr>
      <w:tr>
        <w:trPr>
          <w:trHeight w:val="230"/>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including but not limited to the Bribery Act 2010, the Fraud Act 2006, and the</w:t>
            </w:r>
          </w:p>
        </w:tc>
      </w:tr>
      <w:tr>
        <w:trPr>
          <w:trHeight w:val="258"/>
        </w:trPr>
        <w:tc>
          <w:tcPr>
            <w:tcW w:w="3960" w:type="dxa"/>
            <w:vAlign w:val="bottom"/>
          </w:tcPr>
          <w:p>
            <w:pPr>
              <w:spacing w:after="0"/>
              <w:rPr>
                <w:sz w:val="22"/>
                <w:szCs w:val="22"/>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Proceeds of Crime Act 2002, or any similar legislation in any other jurisdiction;</w:t>
            </w:r>
          </w:p>
        </w:tc>
      </w:tr>
      <w:tr>
        <w:trPr>
          <w:trHeight w:val="309"/>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Employment</w:t>
            </w:r>
            <w:r>
              <w:rPr>
                <w:rFonts w:ascii="Times New Roman" w:cs="Times New Roman" w:eastAsia="Times New Roman" w:hAnsi="Times New Roman"/>
                <w:sz w:val="20"/>
                <w:szCs w:val="20"/>
                <w:color w:val="auto"/>
              </w:rPr>
              <w:t>”</w:t>
            </w: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means your employment under this Agreement or, as the context requires, the</w:t>
            </w:r>
          </w:p>
        </w:tc>
      </w:tr>
      <w:tr>
        <w:trPr>
          <w:trHeight w:val="258"/>
        </w:trPr>
        <w:tc>
          <w:tcPr>
            <w:tcW w:w="3960" w:type="dxa"/>
            <w:vAlign w:val="bottom"/>
          </w:tcPr>
          <w:p>
            <w:pPr>
              <w:spacing w:after="0"/>
              <w:rPr>
                <w:sz w:val="22"/>
                <w:szCs w:val="22"/>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duration of that employment;</w:t>
            </w:r>
          </w:p>
        </w:tc>
      </w:tr>
      <w:tr>
        <w:trPr>
          <w:trHeight w:val="338"/>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Garden Leave</w:t>
            </w:r>
            <w:r>
              <w:rPr>
                <w:rFonts w:ascii="Times New Roman" w:cs="Times New Roman" w:eastAsia="Times New Roman" w:hAnsi="Times New Roman"/>
                <w:sz w:val="20"/>
                <w:szCs w:val="20"/>
                <w:color w:val="auto"/>
              </w:rPr>
              <w:t>”</w:t>
            </w: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has the meaning given in Clause 5.3;</w:t>
            </w:r>
          </w:p>
        </w:tc>
      </w:tr>
      <w:tr>
        <w:trPr>
          <w:trHeight w:val="309"/>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w:t>
            </w: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means the Company, any presently existing or future holding company or</w:t>
            </w:r>
          </w:p>
        </w:tc>
      </w:tr>
      <w:tr>
        <w:trPr>
          <w:trHeight w:val="230"/>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undertaking of the Company and any presently existing or future subsidiaries and</w:t>
            </w:r>
          </w:p>
        </w:tc>
      </w:tr>
      <w:tr>
        <w:trPr>
          <w:trHeight w:val="229"/>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subsidiary undertakings of the Company or such holding company or undertaking</w:t>
            </w:r>
          </w:p>
        </w:tc>
      </w:tr>
      <w:tr>
        <w:trPr>
          <w:trHeight w:val="229"/>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(and the words “subsidiary” and “holding company” shall have the meanings</w:t>
            </w:r>
          </w:p>
        </w:tc>
      </w:tr>
      <w:tr>
        <w:trPr>
          <w:trHeight w:val="258"/>
        </w:trPr>
        <w:tc>
          <w:tcPr>
            <w:tcW w:w="3960" w:type="dxa"/>
            <w:vAlign w:val="bottom"/>
          </w:tcPr>
          <w:p>
            <w:pPr>
              <w:spacing w:after="0"/>
              <w:rPr>
                <w:sz w:val="22"/>
                <w:szCs w:val="22"/>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given to them in section 1159 in the Companies Act 2006);</w:t>
            </w:r>
          </w:p>
        </w:tc>
      </w:tr>
      <w:tr>
        <w:trPr>
          <w:trHeight w:val="338"/>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 Company</w:t>
            </w:r>
            <w:r>
              <w:rPr>
                <w:rFonts w:ascii="Times New Roman" w:cs="Times New Roman" w:eastAsia="Times New Roman" w:hAnsi="Times New Roman"/>
                <w:sz w:val="20"/>
                <w:szCs w:val="20"/>
                <w:color w:val="auto"/>
              </w:rPr>
              <w:t>”</w:t>
            </w: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means any company within the Group;</w:t>
            </w:r>
          </w:p>
        </w:tc>
      </w:tr>
      <w:tr>
        <w:trPr>
          <w:trHeight w:val="309"/>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Health Care Scheme</w:t>
            </w:r>
            <w:r>
              <w:rPr>
                <w:rFonts w:ascii="Times New Roman" w:cs="Times New Roman" w:eastAsia="Times New Roman" w:hAnsi="Times New Roman"/>
                <w:sz w:val="20"/>
                <w:szCs w:val="20"/>
                <w:color w:val="auto"/>
              </w:rPr>
              <w:t>”</w:t>
            </w: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means the medical expenses insurance, permanent health insurance (“</w:t>
            </w:r>
            <w:r>
              <w:rPr>
                <w:rFonts w:ascii="Times New Roman" w:cs="Times New Roman" w:eastAsia="Times New Roman" w:hAnsi="Times New Roman"/>
                <w:sz w:val="20"/>
                <w:szCs w:val="20"/>
                <w:b w:val="1"/>
                <w:bCs w:val="1"/>
                <w:color w:val="auto"/>
              </w:rPr>
              <w:t>PHI</w:t>
            </w:r>
            <w:r>
              <w:rPr>
                <w:rFonts w:ascii="Times New Roman" w:cs="Times New Roman" w:eastAsia="Times New Roman" w:hAnsi="Times New Roman"/>
                <w:sz w:val="20"/>
                <w:szCs w:val="20"/>
                <w:color w:val="auto"/>
              </w:rPr>
              <w:t>”) or</w:t>
            </w:r>
          </w:p>
        </w:tc>
      </w:tr>
      <w:tr>
        <w:trPr>
          <w:trHeight w:val="229"/>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other healthcare or disability scheme(s) or arrangement(s) as may be provided or</w:t>
            </w:r>
          </w:p>
        </w:tc>
      </w:tr>
      <w:tr>
        <w:trPr>
          <w:trHeight w:val="229"/>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introduced from time to time by the Company (at the Company’s discretion) for</w:t>
            </w:r>
          </w:p>
        </w:tc>
      </w:tr>
      <w:tr>
        <w:trPr>
          <w:trHeight w:val="258"/>
        </w:trPr>
        <w:tc>
          <w:tcPr>
            <w:tcW w:w="3960" w:type="dxa"/>
            <w:vAlign w:val="bottom"/>
          </w:tcPr>
          <w:p>
            <w:pPr>
              <w:spacing w:after="0"/>
              <w:rPr>
                <w:sz w:val="22"/>
                <w:szCs w:val="22"/>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the benefit of similarly situated executives in the Company or Group;</w:t>
            </w:r>
          </w:p>
        </w:tc>
      </w:tr>
      <w:tr>
        <w:trPr>
          <w:trHeight w:val="309"/>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w:t>
            </w: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means any and all existing and future intellectual or industrial property rights in</w:t>
            </w:r>
          </w:p>
        </w:tc>
      </w:tr>
      <w:tr>
        <w:trPr>
          <w:trHeight w:val="229"/>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and to any Works (whether registered or unregistered, and whether subsisting in</w:t>
            </w:r>
          </w:p>
        </w:tc>
      </w:tr>
      <w:tr>
        <w:trPr>
          <w:trHeight w:val="229"/>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any part of the world), including all existing and future patents, copyrights, design</w:t>
            </w:r>
          </w:p>
        </w:tc>
      </w:tr>
      <w:tr>
        <w:trPr>
          <w:trHeight w:val="230"/>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rights, database rights, trade marks, trade names, semiconductor topography</w:t>
            </w:r>
          </w:p>
        </w:tc>
      </w:tr>
      <w:tr>
        <w:trPr>
          <w:trHeight w:val="230"/>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rights, plant varieties rights, internet rights/domain names, goodwill and the right</w:t>
            </w:r>
          </w:p>
        </w:tc>
      </w:tr>
      <w:tr>
        <w:trPr>
          <w:trHeight w:val="229"/>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to  sue  for  passing  off  or  unfair  competition,  know-how  and  any  and  all</w:t>
            </w:r>
          </w:p>
        </w:tc>
      </w:tr>
      <w:tr>
        <w:trPr>
          <w:trHeight w:val="230"/>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applications for any of the foregoing and any and all rights to apply for any of the</w:t>
            </w:r>
          </w:p>
        </w:tc>
      </w:tr>
      <w:tr>
        <w:trPr>
          <w:trHeight w:val="258"/>
        </w:trPr>
        <w:tc>
          <w:tcPr>
            <w:tcW w:w="3960" w:type="dxa"/>
            <w:vAlign w:val="bottom"/>
          </w:tcPr>
          <w:p>
            <w:pPr>
              <w:spacing w:after="0"/>
              <w:rPr>
                <w:sz w:val="22"/>
                <w:szCs w:val="22"/>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foregoing in and to any Works;</w:t>
            </w:r>
          </w:p>
        </w:tc>
      </w:tr>
      <w:tr>
        <w:trPr>
          <w:trHeight w:val="309"/>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Minority Holder</w:t>
            </w:r>
            <w:r>
              <w:rPr>
                <w:rFonts w:ascii="Times New Roman" w:cs="Times New Roman" w:eastAsia="Times New Roman" w:hAnsi="Times New Roman"/>
                <w:sz w:val="20"/>
                <w:szCs w:val="20"/>
                <w:color w:val="auto"/>
              </w:rPr>
              <w:t>”</w:t>
            </w: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means a person who either solely or jointly holds (directly or through nominees)</w:t>
            </w:r>
          </w:p>
        </w:tc>
      </w:tr>
      <w:tr>
        <w:trPr>
          <w:trHeight w:val="230"/>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 xml:space="preserve">any shares or loan capital in any company, </w:t>
            </w:r>
            <w:r>
              <w:rPr>
                <w:rFonts w:ascii="Times New Roman" w:cs="Times New Roman" w:eastAsia="Times New Roman" w:hAnsi="Times New Roman"/>
                <w:sz w:val="20"/>
                <w:szCs w:val="20"/>
                <w:color w:val="212121"/>
              </w:rPr>
              <w:t>whether or not it is listed or dealt in on</w:t>
            </w:r>
          </w:p>
        </w:tc>
      </w:tr>
      <w:tr>
        <w:trPr>
          <w:trHeight w:val="229"/>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212121"/>
              </w:rPr>
              <w:t xml:space="preserve">a  recognised  stock  exchange,  </w:t>
            </w:r>
            <w:r>
              <w:rPr>
                <w:rFonts w:ascii="Times New Roman" w:cs="Times New Roman" w:eastAsia="Times New Roman" w:hAnsi="Times New Roman"/>
                <w:sz w:val="20"/>
                <w:szCs w:val="20"/>
                <w:color w:val="000000"/>
              </w:rPr>
              <w:t>provided  that  such  holding  does  not,  when</w:t>
            </w:r>
          </w:p>
        </w:tc>
      </w:tr>
      <w:tr>
        <w:trPr>
          <w:trHeight w:val="230"/>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aggregated with any shares or loan capital held by your partner and/or your</w:t>
            </w:r>
          </w:p>
        </w:tc>
      </w:tr>
      <w:tr>
        <w:trPr>
          <w:trHeight w:val="230"/>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children or your partner’s children under the age of 18, exceed 3% of the shares or</w:t>
            </w:r>
          </w:p>
        </w:tc>
      </w:tr>
      <w:tr>
        <w:trPr>
          <w:trHeight w:val="258"/>
        </w:trPr>
        <w:tc>
          <w:tcPr>
            <w:tcW w:w="3960" w:type="dxa"/>
            <w:vAlign w:val="bottom"/>
          </w:tcPr>
          <w:p>
            <w:pPr>
              <w:spacing w:after="0"/>
              <w:rPr>
                <w:sz w:val="22"/>
                <w:szCs w:val="22"/>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loan capital of the class concerned for the time being issued;</w:t>
            </w:r>
          </w:p>
        </w:tc>
      </w:tr>
      <w:tr>
        <w:trPr>
          <w:trHeight w:val="309"/>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b w:val="1"/>
                <w:bCs w:val="1"/>
                <w:color w:val="auto"/>
              </w:rPr>
              <w:t>“Severance Plan”</w:t>
            </w: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means the Allison Transmission, Inc. Executive Change in Control &amp; Severance</w:t>
            </w:r>
          </w:p>
        </w:tc>
      </w:tr>
      <w:tr>
        <w:trPr>
          <w:trHeight w:val="229"/>
        </w:trPr>
        <w:tc>
          <w:tcPr>
            <w:tcW w:w="396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Plan as it may be amended from time to time, adopted by the Compensation</w:t>
            </w:r>
          </w:p>
        </w:tc>
      </w:tr>
      <w:tr>
        <w:trPr>
          <w:trHeight w:val="226"/>
        </w:trPr>
        <w:tc>
          <w:tcPr>
            <w:tcW w:w="3960" w:type="dxa"/>
            <w:vAlign w:val="bottom"/>
          </w:tcPr>
          <w:p>
            <w:pPr>
              <w:spacing w:after="0"/>
              <w:rPr>
                <w:sz w:val="19"/>
                <w:szCs w:val="19"/>
                <w:color w:val="auto"/>
              </w:rPr>
            </w:pPr>
          </w:p>
        </w:tc>
        <w:tc>
          <w:tcPr>
            <w:tcW w:w="7280" w:type="dxa"/>
            <w:vAlign w:val="bottom"/>
          </w:tcPr>
          <w:p>
            <w:pPr>
              <w:ind w:left="420"/>
              <w:spacing w:after="0" w:line="226" w:lineRule="exact"/>
              <w:rPr>
                <w:sz w:val="20"/>
                <w:szCs w:val="20"/>
                <w:color w:val="auto"/>
              </w:rPr>
            </w:pPr>
            <w:r>
              <w:rPr>
                <w:rFonts w:ascii="Times New Roman" w:cs="Times New Roman" w:eastAsia="Times New Roman" w:hAnsi="Times New Roman"/>
                <w:sz w:val="20"/>
                <w:szCs w:val="20"/>
                <w:color w:val="auto"/>
              </w:rPr>
              <w:t>Committee of the Board of Directors of Allison Transmission Holdings, Inc.,</w:t>
            </w:r>
          </w:p>
        </w:tc>
      </w:tr>
      <w:tr>
        <w:trPr>
          <w:trHeight w:val="262"/>
        </w:trPr>
        <w:tc>
          <w:tcPr>
            <w:tcW w:w="3960" w:type="dxa"/>
            <w:vAlign w:val="bottom"/>
          </w:tcPr>
          <w:p>
            <w:pPr>
              <w:spacing w:after="0"/>
              <w:rPr>
                <w:sz w:val="22"/>
                <w:szCs w:val="22"/>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Allison</w:t>
            </w:r>
            <w:r>
              <w:rPr>
                <w:rFonts w:ascii="Times New Roman" w:cs="Times New Roman" w:eastAsia="Times New Roman" w:hAnsi="Times New Roman"/>
                <w:sz w:val="20"/>
                <w:szCs w:val="20"/>
                <w:color w:val="auto"/>
              </w:rPr>
              <w:t>”) effective as of July 13, 2022;</w:t>
            </w:r>
          </w:p>
        </w:tc>
      </w:tr>
      <w:tr>
        <w:trPr>
          <w:trHeight w:val="309"/>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 Incentive</w:t>
            </w:r>
            <w:r>
              <w:rPr>
                <w:rFonts w:ascii="Times New Roman" w:cs="Times New Roman" w:eastAsia="Times New Roman" w:hAnsi="Times New Roman"/>
                <w:sz w:val="20"/>
                <w:szCs w:val="20"/>
                <w:color w:val="auto"/>
              </w:rPr>
              <w:t>”</w:t>
            </w: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means any option or other right that you may have to purchase, hold or otherwise</w:t>
            </w:r>
          </w:p>
        </w:tc>
      </w:tr>
      <w:tr>
        <w:trPr>
          <w:trHeight w:val="258"/>
        </w:trPr>
        <w:tc>
          <w:tcPr>
            <w:tcW w:w="3960" w:type="dxa"/>
            <w:vAlign w:val="bottom"/>
          </w:tcPr>
          <w:p>
            <w:pPr>
              <w:spacing w:after="0"/>
              <w:rPr>
                <w:sz w:val="22"/>
                <w:szCs w:val="22"/>
                <w:color w:val="auto"/>
              </w:rPr>
            </w:pPr>
          </w:p>
        </w:tc>
        <w:tc>
          <w:tcPr>
            <w:tcW w:w="7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acquire a share or right in</w:t>
            </w:r>
          </w:p>
        </w:tc>
      </w:tr>
      <w:tr>
        <w:trPr>
          <w:trHeight w:val="426"/>
        </w:trPr>
        <w:tc>
          <w:tcPr>
            <w:tcW w:w="3960" w:type="dxa"/>
            <w:vAlign w:val="bottom"/>
          </w:tcPr>
          <w:p>
            <w:pPr>
              <w:spacing w:after="0"/>
              <w:rPr>
                <w:sz w:val="24"/>
                <w:szCs w:val="24"/>
                <w:color w:val="auto"/>
              </w:rPr>
            </w:pPr>
          </w:p>
        </w:tc>
        <w:tc>
          <w:tcPr>
            <w:tcW w:w="72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2</w:t>
            </w:r>
          </w:p>
        </w:tc>
      </w:tr>
      <w:tr>
        <w:trPr>
          <w:trHeight w:val="314"/>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  888349-0000||</w:t>
            </w:r>
          </w:p>
        </w:tc>
        <w:tc>
          <w:tcPr>
            <w:tcW w:w="7280" w:type="dxa"/>
            <w:vAlign w:val="bottom"/>
          </w:tcPr>
          <w:p>
            <w:pPr>
              <w:spacing w:after="0"/>
              <w:rPr>
                <w:sz w:val="24"/>
                <w:szCs w:val="24"/>
                <w:color w:val="auto"/>
              </w:rPr>
            </w:pPr>
          </w:p>
        </w:tc>
      </w:tr>
      <w:tr>
        <w:trPr>
          <w:trHeight w:val="746"/>
        </w:trPr>
        <w:tc>
          <w:tcPr>
            <w:tcW w:w="39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58"/>
        </w:trPr>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respect of or relating to shares in the Company and/or a Group Company;</w:t>
            </w:r>
          </w:p>
        </w:tc>
      </w:tr>
      <w:tr>
        <w:trPr>
          <w:trHeight w:val="338"/>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w:t>
            </w:r>
          </w:p>
        </w:tc>
        <w:tc>
          <w:tcPr>
            <w:tcW w:w="7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means the date of termination of the Employment; and</w:t>
            </w:r>
          </w:p>
        </w:tc>
      </w:tr>
      <w:tr>
        <w:trPr>
          <w:trHeight w:val="309"/>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Works</w:t>
            </w:r>
            <w:r>
              <w:rPr>
                <w:rFonts w:ascii="Times New Roman" w:cs="Times New Roman" w:eastAsia="Times New Roman" w:hAnsi="Times New Roman"/>
                <w:sz w:val="20"/>
                <w:szCs w:val="20"/>
                <w:color w:val="auto"/>
              </w:rPr>
              <w:t>”</w:t>
            </w:r>
          </w:p>
        </w:tc>
        <w:tc>
          <w:tcPr>
            <w:tcW w:w="7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means  any  documents,  materials,  models,  designs,  drawings,  processes,</w:t>
            </w:r>
          </w:p>
        </w:tc>
      </w:tr>
      <w:tr>
        <w:trPr>
          <w:trHeight w:val="229"/>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inventions, ideas, improvements, formulae, computer coding, methodologies,</w:t>
            </w:r>
          </w:p>
        </w:tc>
      </w:tr>
      <w:tr>
        <w:trPr>
          <w:trHeight w:val="230"/>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know-how, Confidential Information or other work, performed, made, created,</w:t>
            </w:r>
          </w:p>
        </w:tc>
      </w:tr>
      <w:tr>
        <w:trPr>
          <w:trHeight w:val="229"/>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devised, developed or discovered by you in the course of the Employment either</w:t>
            </w:r>
          </w:p>
        </w:tc>
      </w:tr>
      <w:tr>
        <w:trPr>
          <w:trHeight w:val="229"/>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alone or with any other person in connection with or relating to the business of the</w:t>
            </w:r>
          </w:p>
        </w:tc>
      </w:tr>
      <w:tr>
        <w:trPr>
          <w:trHeight w:val="230"/>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Company or any Group Company or capable of being used or adapted for use</w:t>
            </w:r>
          </w:p>
        </w:tc>
      </w:tr>
      <w:tr>
        <w:trPr>
          <w:trHeight w:val="258"/>
        </w:trPr>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therein or in connection therewith.</w:t>
            </w:r>
          </w:p>
        </w:tc>
      </w:tr>
      <w:tr>
        <w:trPr>
          <w:trHeight w:val="338"/>
        </w:trPr>
        <w:tc>
          <w:tcPr>
            <w:tcW w:w="5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5"/>
              </w:rPr>
              <w:t>1.2</w:t>
            </w:r>
          </w:p>
        </w:tc>
        <w:tc>
          <w:tcPr>
            <w:tcW w:w="37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Interpretation and Construction</w:t>
            </w:r>
          </w:p>
        </w:tc>
        <w:tc>
          <w:tcPr>
            <w:tcW w:w="70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07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Save to the extent that the context or the express provisions of this Agreement require otherwise, in this Agreement:</w:t>
            </w:r>
          </w:p>
        </w:tc>
      </w:tr>
      <w:tr>
        <w:trPr>
          <w:trHeight w:val="418"/>
        </w:trPr>
        <w:tc>
          <w:tcPr>
            <w:tcW w:w="50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w:t>
            </w: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words importing the singular shall include the plural and vice versa;</w:t>
            </w:r>
          </w:p>
        </w:tc>
      </w:tr>
      <w:tr>
        <w:trPr>
          <w:trHeight w:val="432"/>
        </w:trPr>
        <w:tc>
          <w:tcPr>
            <w:tcW w:w="50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w:t>
            </w: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words importing any gender shall include all other genders;</w:t>
            </w:r>
          </w:p>
        </w:tc>
      </w:tr>
      <w:tr>
        <w:trPr>
          <w:trHeight w:val="432"/>
        </w:trPr>
        <w:tc>
          <w:tcPr>
            <w:tcW w:w="50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w:t>
            </w: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words importing the whole shall be treated as including reference to any part of the whole;</w:t>
            </w:r>
          </w:p>
        </w:tc>
      </w:tr>
      <w:tr>
        <w:trPr>
          <w:trHeight w:val="390"/>
        </w:trPr>
        <w:tc>
          <w:tcPr>
            <w:tcW w:w="50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w:t>
            </w: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any reference to a Clause, the Schedule or part of the Schedule is to the relevant Clause, Schedule or part of the Schedule</w:t>
            </w:r>
          </w:p>
        </w:tc>
      </w:tr>
      <w:tr>
        <w:trPr>
          <w:trHeight w:val="258"/>
        </w:trPr>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of or to this Agreement unless otherwise specified;</w:t>
            </w:r>
          </w:p>
        </w:tc>
      </w:tr>
      <w:tr>
        <w:trPr>
          <w:trHeight w:val="403"/>
        </w:trPr>
        <w:tc>
          <w:tcPr>
            <w:tcW w:w="50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w:t>
            </w: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reference to this Agreement or to any other document is a reference to this Agreement or to that other document as</w:t>
            </w:r>
          </w:p>
        </w:tc>
      </w:tr>
      <w:tr>
        <w:trPr>
          <w:trHeight w:val="258"/>
        </w:trPr>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modified, amended, varied, supplemented, assigned, novated or replaced from time to time;</w:t>
            </w:r>
          </w:p>
        </w:tc>
      </w:tr>
      <w:tr>
        <w:trPr>
          <w:trHeight w:val="403"/>
        </w:trPr>
        <w:tc>
          <w:tcPr>
            <w:tcW w:w="50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w:t>
            </w: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w w:val="98"/>
              </w:rPr>
              <w:t>reference to a provision of law is a reference to that provision as extended, applied, amended, consolidated or re-enacted or</w:t>
            </w:r>
          </w:p>
        </w:tc>
      </w:tr>
      <w:tr>
        <w:trPr>
          <w:trHeight w:val="230"/>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as the application thereof is modified from time to time and shall be construed as including reference to any order,</w:t>
            </w:r>
          </w:p>
        </w:tc>
      </w:tr>
      <w:tr>
        <w:trPr>
          <w:trHeight w:val="258"/>
        </w:trPr>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instrument, regulation or other subordinate legislation from time to time made under it;</w:t>
            </w:r>
          </w:p>
        </w:tc>
      </w:tr>
      <w:tr>
        <w:trPr>
          <w:trHeight w:val="390"/>
        </w:trPr>
        <w:tc>
          <w:tcPr>
            <w:tcW w:w="50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w:t>
            </w: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w w:val="99"/>
              </w:rPr>
              <w:t>references to a “person” includes any individual, firm, company, corporation, body corporate, government, state or agency</w:t>
            </w:r>
          </w:p>
        </w:tc>
      </w:tr>
      <w:tr>
        <w:trPr>
          <w:trHeight w:val="229"/>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of state, trust or foundation, or any association, partnership or unincorporated body (whether or not having separate legal</w:t>
            </w:r>
          </w:p>
        </w:tc>
      </w:tr>
      <w:tr>
        <w:trPr>
          <w:trHeight w:val="258"/>
        </w:trPr>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personality) or two or more of the foregoing;</w:t>
            </w:r>
          </w:p>
        </w:tc>
      </w:tr>
      <w:tr>
        <w:trPr>
          <w:trHeight w:val="403"/>
        </w:trPr>
        <w:tc>
          <w:tcPr>
            <w:tcW w:w="50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(h)</w:t>
            </w: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general words shall not be given a restrictive meaning because they are followed by words which are particular examples</w:t>
            </w:r>
          </w:p>
        </w:tc>
      </w:tr>
      <w:tr>
        <w:trPr>
          <w:trHeight w:val="230"/>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of the acts, matters or things covered by the general words and “including”, “include” and “in particular” shall be</w:t>
            </w:r>
          </w:p>
        </w:tc>
      </w:tr>
      <w:tr>
        <w:trPr>
          <w:trHeight w:val="258"/>
        </w:trPr>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construed without limitation; and</w:t>
            </w:r>
          </w:p>
        </w:tc>
        <w:tc>
          <w:tcPr>
            <w:tcW w:w="7000" w:type="dxa"/>
            <w:vAlign w:val="bottom"/>
          </w:tcPr>
          <w:p>
            <w:pPr>
              <w:spacing w:after="0"/>
              <w:rPr>
                <w:sz w:val="22"/>
                <w:szCs w:val="22"/>
                <w:color w:val="auto"/>
              </w:rPr>
            </w:pPr>
          </w:p>
        </w:tc>
      </w:tr>
      <w:tr>
        <w:trPr>
          <w:trHeight w:val="403"/>
        </w:trPr>
        <w:tc>
          <w:tcPr>
            <w:tcW w:w="50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w:t>
            </w: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the meaning of any words coming after “other” or “otherwise” shall not be constrained by the meaning of any words</w:t>
            </w:r>
          </w:p>
        </w:tc>
      </w:tr>
      <w:tr>
        <w:trPr>
          <w:trHeight w:val="258"/>
        </w:trPr>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coming before “other” or “otherwise” where a wider construction is possible.</w:t>
            </w:r>
          </w:p>
        </w:tc>
      </w:tr>
    </w:tbl>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spacing w:after="0"/>
        <w:tabs>
          <w:tab w:leader="none" w:pos="7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b w:val="1"/>
          <w:bCs w:val="1"/>
          <w:color w:val="auto"/>
        </w:rPr>
        <w:t>Headings</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headings in this Agreement are included for convenience only and shall be ignored in construing this Agreement.</w:t>
      </w:r>
    </w:p>
    <w:p>
      <w:pPr>
        <w:spacing w:after="0" w:line="185" w:lineRule="exact"/>
        <w:rPr>
          <w:sz w:val="20"/>
          <w:szCs w:val="20"/>
          <w:color w:val="auto"/>
        </w:rPr>
      </w:pPr>
    </w:p>
    <w:p>
      <w:pPr>
        <w:ind w:left="740" w:hanging="732"/>
        <w:spacing w:after="0"/>
        <w:tabs>
          <w:tab w:leader="none" w:pos="74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EMPLOYMENT</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b w:val="1"/>
          <w:bCs w:val="1"/>
          <w:color w:val="auto"/>
        </w:rPr>
        <w:t>Employment</w:t>
      </w:r>
    </w:p>
    <w:p>
      <w:pPr>
        <w:spacing w:after="0" w:line="206"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Subject to the provisions of this Agreement, the Company employs you and you accept employment as President and Business Unit Leader, Allison Off-Highway Drive &amp; Motions Systems, reporting to the Chief Executive Officer of Allison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with effect from Closing notwithstanding the date or dates of this Agreement (the “</w:t>
      </w:r>
      <w:r>
        <w:rPr>
          <w:rFonts w:ascii="Times New Roman" w:cs="Times New Roman" w:eastAsia="Times New Roman" w:hAnsi="Times New Roman"/>
          <w:sz w:val="20"/>
          <w:szCs w:val="20"/>
          <w:b w:val="1"/>
          <w:bCs w:val="1"/>
          <w:color w:val="auto"/>
        </w:rPr>
        <w:t>Commencement Date</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b w:val="1"/>
          <w:bCs w:val="1"/>
          <w:color w:val="auto"/>
        </w:rPr>
        <w:t>Work Permits and warranty</w:t>
      </w:r>
    </w:p>
    <w:p>
      <w:pPr>
        <w:spacing w:after="0" w:line="206" w:lineRule="exact"/>
        <w:rPr>
          <w:sz w:val="20"/>
          <w:szCs w:val="20"/>
          <w:color w:val="auto"/>
        </w:rPr>
      </w:pPr>
    </w:p>
    <w:p>
      <w:pPr>
        <w:ind w:left="1480" w:right="20" w:hanging="739"/>
        <w:spacing w:after="0" w:line="269" w:lineRule="auto"/>
        <w:tabs>
          <w:tab w:leader="none" w:pos="148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warrant to the Company that by virtue of entering into this Agreement you will not be in breach of any express or implied obligation to any third party, including any restrictive covenants.</w:t>
      </w:r>
    </w:p>
    <w:p>
      <w:pPr>
        <w:spacing w:after="0" w:line="145" w:lineRule="exact"/>
        <w:rPr>
          <w:rFonts w:ascii="Times New Roman" w:cs="Times New Roman" w:eastAsia="Times New Roman" w:hAnsi="Times New Roman"/>
          <w:sz w:val="20"/>
          <w:szCs w:val="20"/>
          <w:color w:val="auto"/>
        </w:rPr>
      </w:pPr>
    </w:p>
    <w:p>
      <w:pPr>
        <w:jc w:val="both"/>
        <w:ind w:left="1480" w:hanging="739"/>
        <w:spacing w:after="0" w:line="249" w:lineRule="auto"/>
        <w:tabs>
          <w:tab w:leader="none" w:pos="148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warrant that you are legally entitled to work in the United Kingdom and will throughout the Employment continue to hold a valid United Kingdom work permit if appropriate. You warrant that you will notify the Company in advance of any possible change to your immigration status, as soon as you become aware of any circumstances that might give rise to such change.</w:t>
      </w:r>
    </w:p>
    <w:p>
      <w:pPr>
        <w:spacing w:after="0" w:line="148"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DURATION OF THE EMPLOYMENT</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b w:val="1"/>
          <w:bCs w:val="1"/>
          <w:color w:val="auto"/>
        </w:rPr>
        <w:t>Continuous Employment</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Your continuous period of employment with the Company commenced on 1 June 2010.</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b w:val="1"/>
          <w:bCs w:val="1"/>
          <w:color w:val="auto"/>
        </w:rPr>
        <w:t>Probationary period</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 probationary period applies to your employment.</w:t>
      </w:r>
    </w:p>
    <w:p>
      <w:pPr>
        <w:spacing w:after="0" w:line="19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b w:val="1"/>
          <w:bCs w:val="1"/>
          <w:color w:val="auto"/>
        </w:rPr>
        <w:t>Duration</w:t>
      </w:r>
    </w:p>
    <w:p>
      <w:pPr>
        <w:spacing w:after="0" w:line="193"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Subject to the provisions of Clauses 3 and 19.1 the Employment shall continue unless and until terminated at any time by either party giving the other party not less than 6 months’ prior written notice of termination of the Employment.</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b w:val="1"/>
          <w:bCs w:val="1"/>
          <w:color w:val="auto"/>
        </w:rPr>
        <w:t>Payment in lieu of notice</w:t>
      </w:r>
    </w:p>
    <w:p>
      <w:pPr>
        <w:spacing w:after="0" w:line="206" w:lineRule="exact"/>
        <w:rPr>
          <w:sz w:val="20"/>
          <w:szCs w:val="20"/>
          <w:color w:val="auto"/>
        </w:rPr>
      </w:pPr>
    </w:p>
    <w:p>
      <w:pPr>
        <w:jc w:val="both"/>
        <w:ind w:left="1480" w:hanging="739"/>
        <w:spacing w:after="0" w:line="249" w:lineRule="auto"/>
        <w:tabs>
          <w:tab w:leader="none" w:pos="14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entitled, at its sole discretion, to terminate the Employment immediately at any time by giving you notice in writing. In these circumstances, subject to the terms of Clause 3.4(b), the Company will subsequently make a payment to you in lieu of notice, calculated in accordance with the provisions of Clauses 3.4 (the payment being referred to as a “</w:t>
      </w:r>
      <w:r>
        <w:rPr>
          <w:rFonts w:ascii="Times New Roman" w:cs="Times New Roman" w:eastAsia="Times New Roman" w:hAnsi="Times New Roman"/>
          <w:sz w:val="20"/>
          <w:szCs w:val="20"/>
          <w:b w:val="1"/>
          <w:bCs w:val="1"/>
          <w:color w:val="auto"/>
        </w:rPr>
        <w:t>Notice Payment</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Company is not obliged to exercise its discretion to terminate the Employment under Clause 3.4(a). If the Company decides not to exercise that discretion, you shall not be entitled to any Notice Payment nor to enforce any such payment as a contractual debt nor as liquidated damages.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7" w:name="page118"/>
    <w:bookmarkEnd w:id="117"/>
    <w:p>
      <w:pPr>
        <w:ind w:left="1480" w:hanging="739"/>
        <w:spacing w:after="0" w:line="269" w:lineRule="auto"/>
        <w:tabs>
          <w:tab w:leader="none" w:pos="14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Payment will be paid less all deductions that are required or permitted by law to be made including in respect of income tax, National Insurance contributions and any sums due to the Company or any Group Company.</w:t>
      </w:r>
    </w:p>
    <w:p>
      <w:pPr>
        <w:spacing w:after="0" w:line="145" w:lineRule="exact"/>
        <w:rPr>
          <w:rFonts w:ascii="Times New Roman" w:cs="Times New Roman" w:eastAsia="Times New Roman" w:hAnsi="Times New Roman"/>
          <w:sz w:val="20"/>
          <w:szCs w:val="20"/>
          <w:color w:val="auto"/>
        </w:rPr>
      </w:pPr>
    </w:p>
    <w:p>
      <w:pPr>
        <w:jc w:val="both"/>
        <w:ind w:left="1480" w:hanging="739"/>
        <w:spacing w:after="0" w:line="249" w:lineRule="auto"/>
        <w:tabs>
          <w:tab w:leader="none" w:pos="14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Payment will consist of a sum equivalent to the Basic Salary which you would have received in respect of any notice period outstanding on the Termination Date but will exclude any bonus, commission and share of profit and any other benefits (for example any benefits derived from any Share Incentives) which you would have received or would have accrued to you during that period.</w:t>
      </w:r>
    </w:p>
    <w:p>
      <w:pPr>
        <w:spacing w:after="0" w:line="152"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Clause 3.4(a), you shall not be entitled to any Notice Payment if the Company would otherwise have been entitled to terminate the Employment without notice in accordance with Clause 19.1. In that case the Company shall be entitled to recover from you any Notice Payment (or any instalments) already made.</w:t>
      </w:r>
    </w:p>
    <w:p>
      <w:pPr>
        <w:spacing w:after="0" w:line="15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b w:val="1"/>
          <w:bCs w:val="1"/>
          <w:color w:val="auto"/>
        </w:rPr>
        <w:t>Payment in instalments</w:t>
      </w:r>
    </w:p>
    <w:p>
      <w:pPr>
        <w:spacing w:after="0" w:line="20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The Company may, at its sole discretion, pay the Notice Payment in equal monthly instalments over a period of 6 months (the “</w:t>
      </w:r>
      <w:r>
        <w:rPr>
          <w:rFonts w:ascii="Times New Roman" w:cs="Times New Roman" w:eastAsia="Times New Roman" w:hAnsi="Times New Roman"/>
          <w:sz w:val="20"/>
          <w:szCs w:val="20"/>
          <w:b w:val="1"/>
          <w:bCs w:val="1"/>
          <w:color w:val="auto"/>
        </w:rPr>
        <w:t>Instalment Period</w:t>
      </w:r>
      <w:r>
        <w:rPr>
          <w:rFonts w:ascii="Times New Roman" w:cs="Times New Roman" w:eastAsia="Times New Roman" w:hAnsi="Times New Roman"/>
          <w:sz w:val="20"/>
          <w:szCs w:val="20"/>
          <w:color w:val="auto"/>
        </w:rPr>
        <w:t>”), the first instalment payable at the end of the month in which the Termination Date occurs.</w:t>
      </w:r>
    </w:p>
    <w:p>
      <w:pPr>
        <w:spacing w:after="0" w:line="128" w:lineRule="exact"/>
        <w:rPr>
          <w:sz w:val="20"/>
          <w:szCs w:val="20"/>
          <w:color w:val="auto"/>
        </w:rPr>
      </w:pPr>
    </w:p>
    <w:p>
      <w:pPr>
        <w:ind w:left="740" w:hanging="732"/>
        <w:spacing w:after="0"/>
        <w:tabs>
          <w:tab w:leader="none" w:pos="74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HOURS AND PLACE OF WORK</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b w:val="1"/>
          <w:bCs w:val="1"/>
          <w:color w:val="auto"/>
        </w:rPr>
        <w:t>Hours of work</w:t>
      </w:r>
    </w:p>
    <w:p>
      <w:pPr>
        <w:spacing w:after="0" w:line="20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You agree that you shall work normal business hours (being 8.00 am to 5.00 pm Monday to Friday) together with such additional hours as are necessary for the proper performance of your duties.</w:t>
      </w:r>
    </w:p>
    <w:p>
      <w:pPr>
        <w:spacing w:after="0" w:line="1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b w:val="1"/>
          <w:bCs w:val="1"/>
          <w:color w:val="auto"/>
        </w:rPr>
        <w:t>Working Time Regulations</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You have autonomous decision making powers. The duration of your working time is not measured or predetermined.</w:t>
      </w:r>
    </w:p>
    <w:p>
      <w:pPr>
        <w:spacing w:after="0" w:line="19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b w:val="1"/>
          <w:bCs w:val="1"/>
          <w:color w:val="auto"/>
        </w:rPr>
        <w:t>Place of work</w:t>
      </w:r>
    </w:p>
    <w:p>
      <w:pPr>
        <w:spacing w:after="0" w:line="193" w:lineRule="exact"/>
        <w:rPr>
          <w:sz w:val="20"/>
          <w:szCs w:val="20"/>
          <w:color w:val="auto"/>
        </w:rPr>
      </w:pPr>
    </w:p>
    <w:p>
      <w:pPr>
        <w:jc w:val="both"/>
        <w:ind w:left="1480" w:hanging="739"/>
        <w:spacing w:after="0" w:line="254" w:lineRule="auto"/>
        <w:tabs>
          <w:tab w:leader="none" w:pos="14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place of work will initially be at the Company’s offices at Rutherford Drive, Park Farm South, Wellingborough but the Company may require you to work remotely, at home, or at any place within the United Kingdom on either a temporary or an indefinite basis. You will be given reasonable notice of any change in your permanent place of work.</w:t>
      </w:r>
    </w:p>
    <w:p>
      <w:pPr>
        <w:spacing w:after="0" w:line="160"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not be required to be absent from the United Kingdom for a period exceeding one month at any one time.</w:t>
      </w:r>
    </w:p>
    <w:p>
      <w:pPr>
        <w:spacing w:after="0" w:line="198" w:lineRule="exact"/>
        <w:rPr>
          <w:sz w:val="20"/>
          <w:szCs w:val="20"/>
          <w:color w:val="auto"/>
        </w:rPr>
      </w:pPr>
    </w:p>
    <w:p>
      <w:pPr>
        <w:ind w:left="740" w:hanging="732"/>
        <w:spacing w:after="0"/>
        <w:tabs>
          <w:tab w:leader="none" w:pos="74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SCOPE OF THE EMPLOYMENT</w:t>
      </w:r>
    </w:p>
    <w:p>
      <w:pPr>
        <w:spacing w:after="0" w:line="18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b w:val="1"/>
          <w:bCs w:val="1"/>
          <w:color w:val="auto"/>
        </w:rPr>
        <w:t>Duties</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During the Employment you shall:</w:t>
      </w:r>
    </w:p>
    <w:p>
      <w:pPr>
        <w:spacing w:after="0" w:line="202" w:lineRule="exact"/>
        <w:rPr>
          <w:sz w:val="20"/>
          <w:szCs w:val="20"/>
          <w:color w:val="auto"/>
        </w:rPr>
      </w:pPr>
    </w:p>
    <w:p>
      <w:pPr>
        <w:jc w:val="both"/>
        <w:ind w:left="1480" w:hanging="739"/>
        <w:spacing w:after="0" w:line="254" w:lineRule="auto"/>
        <w:tabs>
          <w:tab w:leader="none" w:pos="14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undertake and carry out to the best of your ability such duties and exercise such powers in relation to the Company or Group’s business as may from time to time be assigned to or vested in you by the Board including where those duties require you to work for any Group Company;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both"/>
        <w:ind w:left="1480" w:hanging="739"/>
        <w:spacing w:after="0" w:line="249" w:lineRule="auto"/>
        <w:tabs>
          <w:tab w:leader="none" w:pos="14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discharge of those duties and the exercise of those powers observe and comply with all lawful resolutions, regulations and directions from time to time made by, or under the authority of, the Board and promptly upon request, give a full account to the Board or a person duly authorised by the Board of all matters with which you are involved. You will provide the information in writing if requested;</w:t>
      </w:r>
    </w:p>
    <w:p>
      <w:pPr>
        <w:spacing w:after="0" w:line="166"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Articles of Association (as amended from time to time) of the Company and any Group Company;</w:t>
      </w:r>
    </w:p>
    <w:p>
      <w:pPr>
        <w:spacing w:after="0" w:line="188"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or refrain from doing, such things as are necessary or expedient to ensure compliance by you and the Company and any Group Company with applicable law and regulations including all applicable regulations of all regulatory authorities relevant to the Company and any Group Company;</w:t>
      </w:r>
    </w:p>
    <w:p>
      <w:pPr>
        <w:spacing w:after="0" w:line="160" w:lineRule="exact"/>
        <w:rPr>
          <w:rFonts w:ascii="Times New Roman" w:cs="Times New Roman" w:eastAsia="Times New Roman" w:hAnsi="Times New Roman"/>
          <w:sz w:val="20"/>
          <w:szCs w:val="20"/>
          <w:color w:val="auto"/>
        </w:rPr>
      </w:pPr>
    </w:p>
    <w:p>
      <w:pPr>
        <w:jc w:val="both"/>
        <w:ind w:left="1480" w:hanging="739"/>
        <w:spacing w:after="0" w:line="246" w:lineRule="auto"/>
        <w:tabs>
          <w:tab w:leader="none" w:pos="14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all codes of practice, rules, policies and procedures (including without limitation anti-bribery and corruption policies or procedures) issued by the Company and any Group Company, as applicable from time to time, it being acknowledged that such codes, rules, policies and procedures do not form part of this Agreement and may be amended at any time, and to the extent that there is any conflict between the terms of this Agreement and any such codes, rules, policies and procedures, this Agreement shall prevail;</w:t>
      </w:r>
    </w:p>
    <w:p>
      <w:pPr>
        <w:spacing w:after="0" w:line="171"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in accordance with all statutory, fiduciary and common law duties that you owe to the Company and any Group Company;</w:t>
      </w:r>
    </w:p>
    <w:p>
      <w:pPr>
        <w:spacing w:after="0" w:line="132"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refrain from doing anything which would cause you to be disqualified from acting as a director;</w:t>
      </w:r>
    </w:p>
    <w:p>
      <w:pPr>
        <w:spacing w:after="0" w:line="202"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prevented by ill-health, holidays or other unavoidable cause, devote the whole of your working time, attention and skill to the discharge of your duties hereunder;</w:t>
      </w:r>
    </w:p>
    <w:p>
      <w:pPr>
        <w:spacing w:after="0" w:line="145"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faithfully and diligently perform your duties and at all times use your best endeavours to promote and protect the interests of the Company and the Group; and</w:t>
      </w:r>
    </w:p>
    <w:p>
      <w:pPr>
        <w:spacing w:after="0" w:line="132"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disclose to the Board full details of any wrongdoing by you or any other employee of any Group Company where that wrongdoing is material to that employee’s employment by the relevant company or to the interests or reputation of any Group Company.</w:t>
      </w:r>
    </w:p>
    <w:p>
      <w:pPr>
        <w:spacing w:after="0" w:line="15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b w:val="1"/>
          <w:bCs w:val="1"/>
          <w:color w:val="auto"/>
        </w:rPr>
        <w:t>Directorships and Directors &amp; Officers insurance</w:t>
      </w:r>
    </w:p>
    <w:p>
      <w:pPr>
        <w:spacing w:after="0" w:line="206" w:lineRule="exact"/>
        <w:rPr>
          <w:sz w:val="20"/>
          <w:szCs w:val="20"/>
          <w:color w:val="auto"/>
        </w:rPr>
      </w:pPr>
    </w:p>
    <w:p>
      <w:pPr>
        <w:jc w:val="both"/>
        <w:ind w:left="1480" w:hanging="739"/>
        <w:spacing w:after="0" w:line="254" w:lineRule="auto"/>
        <w:tabs>
          <w:tab w:leader="none" w:pos="14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be required to act as a director of the Company and other Group Companies (either executive or non-executive) as the Board requires from time to time. The Company reserves the right to give written notice to you to terminate any office or directorship held by you immediately at any time.</w:t>
      </w:r>
    </w:p>
    <w:p>
      <w:pPr>
        <w:spacing w:after="0" w:line="147" w:lineRule="exact"/>
        <w:rPr>
          <w:rFonts w:ascii="Times New Roman" w:cs="Times New Roman" w:eastAsia="Times New Roman" w:hAnsi="Times New Roman"/>
          <w:sz w:val="20"/>
          <w:szCs w:val="20"/>
          <w:color w:val="auto"/>
        </w:rPr>
      </w:pPr>
    </w:p>
    <w:p>
      <w:pPr>
        <w:jc w:val="both"/>
        <w:ind w:left="1480" w:hanging="739"/>
        <w:spacing w:after="0" w:line="274" w:lineRule="auto"/>
        <w:tabs>
          <w:tab w:leader="none" w:pos="148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for the duration of the Employment and for a period of not less than six calendar years following the Termination Date, maintain directors’ and officers’ insurance for your benefit in respect of those liabilities which you may incur as a director or officer of the Company or any Group Company and for which such insurance is normally available.</w:t>
      </w:r>
    </w:p>
    <w:p>
      <w:pPr>
        <w:spacing w:after="0" w:line="13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b w:val="1"/>
          <w:bCs w:val="1"/>
          <w:color w:val="auto"/>
        </w:rPr>
        <w:t>Suspension and Garden Leave</w:t>
      </w:r>
    </w:p>
    <w:p>
      <w:pPr>
        <w:spacing w:after="0" w:line="206" w:lineRule="exact"/>
        <w:rPr>
          <w:sz w:val="20"/>
          <w:szCs w:val="20"/>
          <w:color w:val="auto"/>
        </w:rPr>
      </w:pPr>
    </w:p>
    <w:p>
      <w:pPr>
        <w:ind w:left="1480" w:hanging="739"/>
        <w:spacing w:after="0" w:line="269" w:lineRule="auto"/>
        <w:tabs>
          <w:tab w:leader="none" w:pos="14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retains the right to suspend you from the Employment at any time for a reasonable period to investigate any matter in which it reasonably believes you are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ind w:left="1480"/>
        <w:spacing w:after="0" w:line="269" w:lineRule="auto"/>
        <w:rPr>
          <w:sz w:val="20"/>
          <w:szCs w:val="20"/>
          <w:color w:val="auto"/>
        </w:rPr>
      </w:pPr>
      <w:r>
        <w:rPr>
          <w:rFonts w:ascii="Times New Roman" w:cs="Times New Roman" w:eastAsia="Times New Roman" w:hAnsi="Times New Roman"/>
          <w:sz w:val="20"/>
          <w:szCs w:val="20"/>
          <w:color w:val="auto"/>
        </w:rPr>
        <w:t>implicated or involved (whether directly or indirectly). For the avoidance of doubt, suspension is not a disciplinary sanction. You will continue to receive Basic Salary and contractual benefits during any period of suspension.</w:t>
      </w:r>
    </w:p>
    <w:p>
      <w:pPr>
        <w:spacing w:after="0" w:line="146" w:lineRule="exact"/>
        <w:rPr>
          <w:sz w:val="20"/>
          <w:szCs w:val="20"/>
          <w:color w:val="auto"/>
        </w:rPr>
      </w:pPr>
    </w:p>
    <w:p>
      <w:pPr>
        <w:jc w:val="both"/>
        <w:ind w:left="1480" w:hanging="739"/>
        <w:spacing w:after="0" w:line="245" w:lineRule="auto"/>
        <w:tabs>
          <w:tab w:leader="none" w:pos="14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notice of termination has been served or given by either party, the Company reserves the right in its absolute discretion to suspend all or any of your duties and powers on terms it considers expedient or to require you to perform only such duties, specific projects or tasks as are assigned to you expressly by the Company in any case for such period or periods and at such place or places (including, without limitation, your home) as the Company in its absolute discretion deems necessary (the “</w:t>
      </w:r>
      <w:r>
        <w:rPr>
          <w:rFonts w:ascii="Times New Roman" w:cs="Times New Roman" w:eastAsia="Times New Roman" w:hAnsi="Times New Roman"/>
          <w:sz w:val="20"/>
          <w:szCs w:val="20"/>
          <w:b w:val="1"/>
          <w:bCs w:val="1"/>
          <w:color w:val="auto"/>
        </w:rPr>
        <w:t>Garden Leave</w:t>
      </w:r>
      <w:r>
        <w:rPr>
          <w:rFonts w:ascii="Times New Roman" w:cs="Times New Roman" w:eastAsia="Times New Roman" w:hAnsi="Times New Roman"/>
          <w:sz w:val="20"/>
          <w:szCs w:val="20"/>
          <w:color w:val="auto"/>
        </w:rPr>
        <w:t>”). During any period of Garden Leave the terms and conditions set out in this Agreement shall continue to apply to you.</w:t>
      </w:r>
    </w:p>
    <w:p>
      <w:pPr>
        <w:spacing w:after="0" w:line="157"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its sole discretion, require that during the Garden Leave you shall not:</w:t>
      </w:r>
    </w:p>
    <w:p>
      <w:pPr>
        <w:spacing w:after="0" w:line="202" w:lineRule="exact"/>
        <w:rPr>
          <w:rFonts w:ascii="Times New Roman" w:cs="Times New Roman" w:eastAsia="Times New Roman" w:hAnsi="Times New Roman"/>
          <w:sz w:val="20"/>
          <w:szCs w:val="20"/>
          <w:color w:val="auto"/>
        </w:rPr>
      </w:pPr>
    </w:p>
    <w:p>
      <w:pPr>
        <w:ind w:left="2220" w:hanging="730"/>
        <w:spacing w:after="0"/>
        <w:tabs>
          <w:tab w:leader="none" w:pos="222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or attend the premises of the Company or any Group Company;</w:t>
      </w:r>
    </w:p>
    <w:p>
      <w:pPr>
        <w:spacing w:after="0" w:line="202" w:lineRule="exact"/>
        <w:rPr>
          <w:rFonts w:ascii="Times New Roman" w:cs="Times New Roman" w:eastAsia="Times New Roman" w:hAnsi="Times New Roman"/>
          <w:sz w:val="20"/>
          <w:szCs w:val="20"/>
          <w:color w:val="auto"/>
        </w:rPr>
      </w:pPr>
    </w:p>
    <w:p>
      <w:pPr>
        <w:ind w:left="2220" w:hanging="730"/>
        <w:spacing w:after="0" w:line="269" w:lineRule="auto"/>
        <w:tabs>
          <w:tab w:leader="none" w:pos="222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 or have any communication with any client or prospective client or supplier of the Company or any Group Company in relation to the business of the Company or any Group Company;</w:t>
      </w:r>
    </w:p>
    <w:p>
      <w:pPr>
        <w:spacing w:after="0" w:line="132" w:lineRule="exact"/>
        <w:rPr>
          <w:rFonts w:ascii="Times New Roman" w:cs="Times New Roman" w:eastAsia="Times New Roman" w:hAnsi="Times New Roman"/>
          <w:sz w:val="20"/>
          <w:szCs w:val="20"/>
          <w:color w:val="auto"/>
        </w:rPr>
      </w:pPr>
    </w:p>
    <w:p>
      <w:pPr>
        <w:ind w:left="2220" w:hanging="730"/>
        <w:spacing w:after="0" w:line="269" w:lineRule="auto"/>
        <w:tabs>
          <w:tab w:leader="none" w:pos="222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 or have any communication with any employee, officer, director, agent or consultant of the Company or any Group Company in relation to the business of the Company or any Group Company;</w:t>
      </w:r>
    </w:p>
    <w:p>
      <w:pPr>
        <w:spacing w:after="0" w:line="145" w:lineRule="exact"/>
        <w:rPr>
          <w:rFonts w:ascii="Times New Roman" w:cs="Times New Roman" w:eastAsia="Times New Roman" w:hAnsi="Times New Roman"/>
          <w:sz w:val="20"/>
          <w:szCs w:val="20"/>
          <w:color w:val="auto"/>
        </w:rPr>
      </w:pPr>
    </w:p>
    <w:p>
      <w:pPr>
        <w:ind w:left="2220" w:right="20" w:hanging="730"/>
        <w:spacing w:after="0" w:line="269" w:lineRule="auto"/>
        <w:tabs>
          <w:tab w:leader="none" w:pos="222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 or become involved in any aspect of the business of the Company or any Group Company except as required by such companies; or</w:t>
      </w:r>
    </w:p>
    <w:p>
      <w:pPr>
        <w:spacing w:after="0" w:line="145" w:lineRule="exact"/>
        <w:rPr>
          <w:rFonts w:ascii="Times New Roman" w:cs="Times New Roman" w:eastAsia="Times New Roman" w:hAnsi="Times New Roman"/>
          <w:sz w:val="20"/>
          <w:szCs w:val="20"/>
          <w:color w:val="auto"/>
        </w:rPr>
      </w:pPr>
    </w:p>
    <w:p>
      <w:pPr>
        <w:ind w:left="2220" w:hanging="730"/>
        <w:spacing w:after="0"/>
        <w:tabs>
          <w:tab w:leader="none" w:pos="222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 either on your own account or on behalf of any other person.</w:t>
      </w:r>
    </w:p>
    <w:p>
      <w:pPr>
        <w:spacing w:after="0" w:line="188"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Garden Leave, you will continue to receive your Basic Salary and benefits but will not accrue any bonus, commission or share of profit and no Share Incentive will continue to vest during a period of Garden Leave.</w:t>
      </w:r>
    </w:p>
    <w:p>
      <w:pPr>
        <w:spacing w:after="0" w:line="141"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REMUNERATION</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b w:val="1"/>
          <w:bCs w:val="1"/>
          <w:color w:val="auto"/>
        </w:rPr>
        <w:t>Basic Salary</w:t>
      </w:r>
    </w:p>
    <w:p>
      <w:pPr>
        <w:spacing w:after="0" w:line="193" w:lineRule="exact"/>
        <w:rPr>
          <w:sz w:val="20"/>
          <w:szCs w:val="20"/>
          <w:color w:val="auto"/>
        </w:rPr>
      </w:pPr>
    </w:p>
    <w:p>
      <w:pPr>
        <w:jc w:val="both"/>
        <w:ind w:left="1480" w:hanging="739"/>
        <w:spacing w:after="0" w:line="249" w:lineRule="auto"/>
        <w:tabs>
          <w:tab w:leader="none" w:pos="14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Employment the Company shall pay you a Basic Salary of not less than £423,530 per annum. The Basic Salary shall accrue from day to day and be payable by credit transfer in equal monthly instalments in arrears on or around the last day of each calendar month or otherwise as arranged from time to time. The Basic Salary will be paid less all deductions, income tax and National Insurance contributions.</w:t>
      </w:r>
    </w:p>
    <w:p>
      <w:pPr>
        <w:spacing w:after="0" w:line="166"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Basic Salary shall be inclusive of all fees (if any) to which you may become entitled as an officer of any Group Company.</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b w:val="1"/>
          <w:bCs w:val="1"/>
          <w:color w:val="auto"/>
        </w:rPr>
        <w:t>Salary review</w:t>
      </w:r>
    </w:p>
    <w:p>
      <w:pPr>
        <w:spacing w:after="0" w:line="193"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The Basic Salary shall be reviewed annually in or around February, with the first review taking place in 2027. There is no obligation to increase the Basic Salary at any review.</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b w:val="1"/>
          <w:bCs w:val="1"/>
          <w:color w:val="auto"/>
        </w:rPr>
        <w:t>Allison Incentive Compensation Plan (“IComp”)</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both"/>
        <w:ind w:left="1480" w:hanging="739"/>
        <w:spacing w:after="0" w:line="263" w:lineRule="auto"/>
        <w:tabs>
          <w:tab w:leader="none" w:pos="148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at all times to the rules of the IComp (as amended from time to time), during the Employment you shall be eligible to participate in the Group’s annual IComp. Your annual IComp target will be 100% of Basic Salary, with the maximum you can earn under IComp each year being a sum equal to 200% of your Basic Salary. The total amount of the IComp fund each year will be determined by the Group’s performance against targets established by Allison’s board of directors and your individual payment will be determined by reference to your individual performance (“</w:t>
      </w:r>
      <w:r>
        <w:rPr>
          <w:rFonts w:ascii="Times New Roman" w:cs="Times New Roman" w:eastAsia="Times New Roman" w:hAnsi="Times New Roman"/>
          <w:sz w:val="19"/>
          <w:szCs w:val="19"/>
          <w:b w:val="1"/>
          <w:bCs w:val="1"/>
          <w:color w:val="auto"/>
        </w:rPr>
        <w:t>IComp Payment</w:t>
      </w:r>
      <w:r>
        <w:rPr>
          <w:rFonts w:ascii="Times New Roman" w:cs="Times New Roman" w:eastAsia="Times New Roman" w:hAnsi="Times New Roman"/>
          <w:sz w:val="19"/>
          <w:szCs w:val="19"/>
          <w:color w:val="auto"/>
        </w:rPr>
        <w:t>”).</w:t>
      </w:r>
    </w:p>
    <w:p>
      <w:pPr>
        <w:spacing w:after="0" w:line="152" w:lineRule="exact"/>
        <w:rPr>
          <w:rFonts w:ascii="Times New Roman" w:cs="Times New Roman" w:eastAsia="Times New Roman" w:hAnsi="Times New Roman"/>
          <w:sz w:val="19"/>
          <w:szCs w:val="19"/>
          <w:color w:val="auto"/>
        </w:rPr>
      </w:pPr>
    </w:p>
    <w:p>
      <w:pPr>
        <w:ind w:left="1480" w:hanging="739"/>
        <w:spacing w:after="0" w:line="269" w:lineRule="auto"/>
        <w:tabs>
          <w:tab w:leader="none" w:pos="148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be eligible to participate in the 2026 IComp program (paid out in Q1 of 2027). Should the Commencement Date fall after 1 January 2026, any IComp Payment paid to you under the 2026 IComp program shall be pro-rated accordingly.</w:t>
      </w:r>
    </w:p>
    <w:p>
      <w:pPr>
        <w:spacing w:after="0" w:line="132" w:lineRule="exact"/>
        <w:rPr>
          <w:rFonts w:ascii="Times New Roman" w:cs="Times New Roman" w:eastAsia="Times New Roman" w:hAnsi="Times New Roman"/>
          <w:sz w:val="20"/>
          <w:szCs w:val="20"/>
          <w:color w:val="auto"/>
        </w:rPr>
      </w:pPr>
    </w:p>
    <w:p>
      <w:pPr>
        <w:jc w:val="both"/>
        <w:ind w:left="1480" w:hanging="739"/>
        <w:spacing w:after="0" w:line="249" w:lineRule="auto"/>
        <w:tabs>
          <w:tab w:leader="none" w:pos="148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no IComp Payment will accrue, nor will you have any legitimate expectation as to the size or form of the IComp Payment, until the Company pays it to you. There are no circumstances whether in reliance on express or implied terms or otherwise where you can require pay out of a particular sum or payment in a particular form or claim compensation for loss of such an IComp Payment.</w:t>
      </w:r>
    </w:p>
    <w:p>
      <w:pPr>
        <w:spacing w:after="0" w:line="166"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IComp Payments shall be paid less all deductions, income tax and National Insurance contributions. No IComp Payment shall be pensionable.</w:t>
      </w:r>
    </w:p>
    <w:p>
      <w:pPr>
        <w:spacing w:after="0" w:line="141"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EXPENSES</w:t>
      </w:r>
    </w:p>
    <w:p>
      <w:pPr>
        <w:spacing w:after="0" w:line="192" w:lineRule="exact"/>
        <w:rPr>
          <w:rFonts w:ascii="Times New Roman" w:cs="Times New Roman" w:eastAsia="Times New Roman" w:hAnsi="Times New Roman"/>
          <w:sz w:val="20"/>
          <w:szCs w:val="20"/>
          <w:b w:val="1"/>
          <w:bCs w:val="1"/>
          <w:color w:val="auto"/>
        </w:rPr>
      </w:pPr>
    </w:p>
    <w:p>
      <w:pPr>
        <w:jc w:val="both"/>
        <w:ind w:left="7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shall reimburse you (against receipts or other appropriate evidence as the Board may require) the amount of all out-of-pocket expenses reasonably and properly incurred by you in the proper discharge of your duties hereunder to the extent that such expenses are incurred in accordance with the Company’s business expenses policy from time to time. In the event that the Company issues a Company sponsored credit or charge card to you, you shall use such card only for such expenses.</w:t>
      </w:r>
    </w:p>
    <w:p>
      <w:pPr>
        <w:spacing w:after="0" w:line="162" w:lineRule="exact"/>
        <w:rPr>
          <w:rFonts w:ascii="Times New Roman" w:cs="Times New Roman" w:eastAsia="Times New Roman" w:hAnsi="Times New Roman"/>
          <w:sz w:val="20"/>
          <w:szCs w:val="20"/>
          <w:b w:val="1"/>
          <w:bCs w:val="1"/>
          <w:color w:val="auto"/>
        </w:rPr>
      </w:pPr>
    </w:p>
    <w:p>
      <w:pPr>
        <w:ind w:left="740" w:hanging="732"/>
        <w:spacing w:after="0"/>
        <w:tabs>
          <w:tab w:leader="none" w:pos="74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DEDUCTIONS</w:t>
      </w:r>
    </w:p>
    <w:p>
      <w:pPr>
        <w:spacing w:after="0" w:line="206" w:lineRule="exact"/>
        <w:rPr>
          <w:rFonts w:ascii="Times New Roman" w:cs="Times New Roman" w:eastAsia="Times New Roman" w:hAnsi="Times New Roman"/>
          <w:sz w:val="20"/>
          <w:szCs w:val="20"/>
          <w:b w:val="1"/>
          <w:bCs w:val="1"/>
          <w:color w:val="auto"/>
        </w:rPr>
      </w:pPr>
    </w:p>
    <w:p>
      <w:pPr>
        <w:jc w:val="both"/>
        <w:ind w:left="74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agree that the Company may deduct from any sums due to you under this Agreement, any sums due by you to any Group Company including, without limitation, any unauthorised debits to any Group Company credit or charge card, your pension contributions (if any), any overpayments, loans or advances made to you by any Group Company, the cost of repairing any damage or loss to the Group’s property caused by you and any losses suffered by any Group Company as a result of any negligence or breach of duty by you.</w:t>
      </w:r>
    </w:p>
    <w:p>
      <w:pPr>
        <w:spacing w:after="0" w:line="153" w:lineRule="exact"/>
        <w:rPr>
          <w:rFonts w:ascii="Times New Roman" w:cs="Times New Roman" w:eastAsia="Times New Roman" w:hAnsi="Times New Roman"/>
          <w:sz w:val="20"/>
          <w:szCs w:val="20"/>
          <w:b w:val="1"/>
          <w:bCs w:val="1"/>
          <w:color w:val="auto"/>
        </w:rPr>
      </w:pPr>
    </w:p>
    <w:p>
      <w:pPr>
        <w:ind w:left="740" w:hanging="732"/>
        <w:spacing w:after="0"/>
        <w:tabs>
          <w:tab w:leader="none" w:pos="74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LONG TERM INCENTIVE PROGRAM ("LTIP")</w:t>
      </w:r>
    </w:p>
    <w:p>
      <w:pPr>
        <w:spacing w:after="0" w:line="206" w:lineRule="exact"/>
        <w:rPr>
          <w:rFonts w:ascii="Times New Roman" w:cs="Times New Roman" w:eastAsia="Times New Roman" w:hAnsi="Times New Roman"/>
          <w:sz w:val="20"/>
          <w:szCs w:val="20"/>
          <w:b w:val="1"/>
          <w:bCs w:val="1"/>
          <w:color w:val="auto"/>
        </w:rPr>
      </w:pPr>
    </w:p>
    <w:p>
      <w:pPr>
        <w:ind w:left="740" w:right="2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at all times to the rules of the LTIP (as amended from time to time), during the Employment you shall be eligible to participate in the Group’s LTIP. Your annual LTIP target value will be 200% of Basic Salary. Further details shall be provided to you upon the commencement of the Employment.</w:t>
      </w:r>
    </w:p>
    <w:p>
      <w:pPr>
        <w:spacing w:after="0" w:line="183" w:lineRule="exact"/>
        <w:rPr>
          <w:rFonts w:ascii="Times New Roman" w:cs="Times New Roman" w:eastAsia="Times New Roman" w:hAnsi="Times New Roman"/>
          <w:sz w:val="20"/>
          <w:szCs w:val="20"/>
          <w:b w:val="1"/>
          <w:bCs w:val="1"/>
          <w:color w:val="auto"/>
        </w:rPr>
      </w:pPr>
    </w:p>
    <w:p>
      <w:pPr>
        <w:ind w:left="740" w:hanging="732"/>
        <w:spacing w:after="0"/>
        <w:tabs>
          <w:tab w:leader="none" w:pos="74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CAR ALLOWANCE</w:t>
      </w:r>
    </w:p>
    <w:p>
      <w:pPr>
        <w:spacing w:after="0" w:line="206" w:lineRule="exact"/>
        <w:rPr>
          <w:rFonts w:ascii="Times New Roman" w:cs="Times New Roman" w:eastAsia="Times New Roman" w:hAnsi="Times New Roman"/>
          <w:sz w:val="20"/>
          <w:szCs w:val="20"/>
          <w:b w:val="1"/>
          <w:bCs w:val="1"/>
          <w:color w:val="auto"/>
        </w:rPr>
      </w:pPr>
    </w:p>
    <w:p>
      <w:pPr>
        <w:jc w:val="both"/>
        <w:ind w:left="7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will be paid an allowance of £1,500 per month to enable you to obtain a car (deemed by the Company to be appropriate to the status of the Employment) and will be reimbursed the cost of your business mileage in terms of the mileage allowance applicable from time to time. The car allowance will be subject to deduction of tax and National Insurance contributions and is not pensionable.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ind w:left="740" w:hanging="732"/>
        <w:spacing w:after="0"/>
        <w:tabs>
          <w:tab w:leader="none" w:pos="74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PENSION SCHEME</w:t>
      </w:r>
    </w:p>
    <w:p>
      <w:pPr>
        <w:spacing w:after="0" w:line="206" w:lineRule="exact"/>
        <w:rPr>
          <w:rFonts w:ascii="Times New Roman" w:cs="Times New Roman" w:eastAsia="Times New Roman" w:hAnsi="Times New Roman"/>
          <w:sz w:val="20"/>
          <w:szCs w:val="20"/>
          <w:b w:val="1"/>
          <w:bCs w:val="1"/>
          <w:color w:val="auto"/>
        </w:rPr>
      </w:pPr>
    </w:p>
    <w:p>
      <w:pPr>
        <w:ind w:left="1480" w:hanging="739"/>
        <w:spacing w:after="0" w:line="297" w:lineRule="auto"/>
        <w:tabs>
          <w:tab w:leader="none" w:pos="148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Employment, the Company will comply at all times with the employer duties under Part 1 of the Pensions Act 2008.</w:t>
      </w:r>
    </w:p>
    <w:p>
      <w:pPr>
        <w:spacing w:after="0" w:line="105"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terms of Clauses 3 and 19, and subject at all times to the terms and conditions of the relevant insurance policy in force from time to time, during the Employment you shall be entitled to participate in the Company’s life assurance scheme.</w:t>
      </w:r>
    </w:p>
    <w:p>
      <w:pPr>
        <w:spacing w:after="0" w:line="156"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BENEFITS</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b w:val="1"/>
          <w:bCs w:val="1"/>
          <w:color w:val="auto"/>
        </w:rPr>
        <w:t>Health Care Scheme</w:t>
      </w:r>
    </w:p>
    <w:p>
      <w:pPr>
        <w:spacing w:after="0" w:line="193"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Without prejudice to the terms of Clauses 3 and 19, you and your spouse and dependants shall be entitled during the Employment, to participate at the Company’s expense in any Health Care Scheme subject to the following terms and conditions:</w:t>
      </w:r>
    </w:p>
    <w:p>
      <w:pPr>
        <w:spacing w:after="0" w:line="146" w:lineRule="exact"/>
        <w:rPr>
          <w:sz w:val="20"/>
          <w:szCs w:val="20"/>
          <w:color w:val="auto"/>
        </w:rPr>
      </w:pPr>
    </w:p>
    <w:p>
      <w:pPr>
        <w:ind w:left="1480" w:hanging="739"/>
        <w:spacing w:after="0" w:line="269" w:lineRule="auto"/>
        <w:tabs>
          <w:tab w:leader="none" w:pos="14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and your family’s participation is subject to the Company’s rules regarding eligibility in force from time to time and the rules, terms and conditions of the relevant Health Care Scheme and/or insurance policy in force from time to time;</w:t>
      </w:r>
    </w:p>
    <w:p>
      <w:pPr>
        <w:spacing w:after="0" w:line="145"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reserves the right to terminate your or your family’s or the Company’s participation in any of the Health Care Scheme(s), substitute a new scheme(s) for an existing scheme(s) and/or alter the level or type of benefits available under any scheme(s);</w:t>
      </w:r>
    </w:p>
    <w:p>
      <w:pPr>
        <w:spacing w:after="0" w:line="147" w:lineRule="exact"/>
        <w:rPr>
          <w:rFonts w:ascii="Times New Roman" w:cs="Times New Roman" w:eastAsia="Times New Roman" w:hAnsi="Times New Roman"/>
          <w:sz w:val="20"/>
          <w:szCs w:val="20"/>
          <w:color w:val="auto"/>
        </w:rPr>
      </w:pPr>
    </w:p>
    <w:p>
      <w:pPr>
        <w:jc w:val="both"/>
        <w:ind w:left="1480" w:hanging="739"/>
        <w:spacing w:after="0" w:line="246" w:lineRule="auto"/>
        <w:tabs>
          <w:tab w:leader="none" w:pos="14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scheme provider (e.g., an insurance company or pensions provider) refuses for any reason (whether under its own interpretation of the rules, terms and conditions of the relevant insurance policy or otherwise) to accept a claim and/or provide the relevant benefit(s) to you (or your family) under the applicable Health Care Scheme, the Company shall not be liable to provide (or compensate you for the loss of) such benefit(s) nor shall it be obliged to take action against the provider to enforce any rights under the Health Care Scheme;</w:t>
      </w:r>
    </w:p>
    <w:p>
      <w:pPr>
        <w:spacing w:after="0" w:line="171"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the termination of the Employment may result in you or your family ceasing to be eligible to receive or continue to receive benefits under any Health Care Scheme does not remove the Company’s right to terminate the Employment; and</w:t>
      </w:r>
    </w:p>
    <w:p>
      <w:pPr>
        <w:spacing w:after="0" w:line="160" w:lineRule="exact"/>
        <w:rPr>
          <w:rFonts w:ascii="Times New Roman" w:cs="Times New Roman" w:eastAsia="Times New Roman" w:hAnsi="Times New Roman"/>
          <w:sz w:val="20"/>
          <w:szCs w:val="20"/>
          <w:color w:val="auto"/>
        </w:rPr>
      </w:pPr>
    </w:p>
    <w:p>
      <w:pPr>
        <w:ind w:left="1480" w:right="20" w:hanging="739"/>
        <w:spacing w:after="0" w:line="269" w:lineRule="auto"/>
        <w:tabs>
          <w:tab w:leader="none" w:pos="14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acceptance of such variations to your terms and conditions of employment as may from time to time be required by the Company.</w:t>
      </w:r>
    </w:p>
    <w:p>
      <w:pPr>
        <w:spacing w:after="0" w:line="1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b w:val="1"/>
          <w:bCs w:val="1"/>
          <w:color w:val="auto"/>
        </w:rPr>
        <w:t>PHI payments</w:t>
      </w:r>
    </w:p>
    <w:p>
      <w:pPr>
        <w:spacing w:after="0" w:line="206" w:lineRule="exact"/>
        <w:rPr>
          <w:sz w:val="20"/>
          <w:szCs w:val="20"/>
          <w:color w:val="auto"/>
        </w:rPr>
      </w:pPr>
    </w:p>
    <w:p>
      <w:pPr>
        <w:ind w:left="1480" w:hanging="739"/>
        <w:spacing w:after="0"/>
        <w:tabs>
          <w:tab w:leader="none" w:pos="14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under a PHI scheme or the like will be subject to all deductions required by law.</w:t>
      </w:r>
    </w:p>
    <w:p>
      <w:pPr>
        <w:spacing w:after="0" w:line="202"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payments are made under a PHI scheme all other payments or benefits provided to or in respect of you will cease from the start of those payments (if they have not done so already), unless the Company is fully reimbursed by the PHI scheme for the cost of providing the benefit.</w:t>
      </w:r>
    </w:p>
    <w:p>
      <w:pPr>
        <w:spacing w:after="0" w:line="14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b w:val="1"/>
          <w:bCs w:val="1"/>
          <w:color w:val="auto"/>
        </w:rPr>
        <w:t>Medical examinations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2" w:name="page123"/>
    <w:bookmarkEnd w:id="122"/>
    <w:p>
      <w:pPr>
        <w:ind w:left="740"/>
        <w:spacing w:after="0" w:line="269" w:lineRule="auto"/>
        <w:rPr>
          <w:sz w:val="20"/>
          <w:szCs w:val="20"/>
          <w:color w:val="auto"/>
        </w:rPr>
      </w:pPr>
      <w:r>
        <w:rPr>
          <w:rFonts w:ascii="Times New Roman" w:cs="Times New Roman" w:eastAsia="Times New Roman" w:hAnsi="Times New Roman"/>
          <w:sz w:val="20"/>
          <w:szCs w:val="20"/>
          <w:color w:val="auto"/>
        </w:rPr>
        <w:t>At any reasonable time during the Employment the Company may require you to undergo a medical examination by a medical practitioner appointed by the Company and at the Company’s expense and you will consent to any such examination.</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b w:val="1"/>
          <w:bCs w:val="1"/>
          <w:color w:val="auto"/>
        </w:rPr>
        <w:t>Other leave and benefits</w:t>
      </w:r>
    </w:p>
    <w:p>
      <w:pPr>
        <w:spacing w:after="0" w:line="193" w:lineRule="exact"/>
        <w:rPr>
          <w:sz w:val="20"/>
          <w:szCs w:val="20"/>
          <w:color w:val="auto"/>
        </w:rPr>
      </w:pPr>
    </w:p>
    <w:p>
      <w:pPr>
        <w:jc w:val="both"/>
        <w:ind w:left="1480" w:hanging="739"/>
        <w:spacing w:after="0" w:line="245" w:lineRule="auto"/>
        <w:tabs>
          <w:tab w:leader="none" w:pos="14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be eligible for other forms of paid leave, subject to any statutory eligibility requirements or conditions and the Company's rules applicable to each type of leave in force from time to time. Other forms of paid leave which you may be eligible for, depending on the circumstances include paid time off for jury service, statutory paternity leave and pay, statutory adoption leave and pay, shared parental leave and pay, time off for antenatal or adoption appointments, statutory parental bereavement leave and pay, and (subject to the Company’s discretion) compassionate leave. The Company may replace, amend or withdraw the Company's policy on any types of leave at any time.</w:t>
      </w:r>
    </w:p>
    <w:p>
      <w:pPr>
        <w:spacing w:after="0" w:line="170" w:lineRule="exact"/>
        <w:rPr>
          <w:rFonts w:ascii="Times New Roman" w:cs="Times New Roman" w:eastAsia="Times New Roman" w:hAnsi="Times New Roman"/>
          <w:sz w:val="20"/>
          <w:szCs w:val="20"/>
          <w:color w:val="auto"/>
        </w:rPr>
      </w:pPr>
    </w:p>
    <w:p>
      <w:pPr>
        <w:jc w:val="both"/>
        <w:ind w:left="1480" w:hanging="739"/>
        <w:spacing w:after="0" w:line="249" w:lineRule="auto"/>
        <w:tabs>
          <w:tab w:leader="none" w:pos="14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be eligible to be provided with other benefits during your employment with the Company, subject to any rules applicable to the relevant benefit. Details of the other benefits for which you may be eligible will be provided to you separately. The Company may replace or withdraw such benefits, or amend the terms of such benefits, at any time on reasonable notice to you.</w:t>
      </w:r>
    </w:p>
    <w:p>
      <w:pPr>
        <w:spacing w:after="0" w:line="162" w:lineRule="exact"/>
        <w:rPr>
          <w:sz w:val="20"/>
          <w:szCs w:val="20"/>
          <w:color w:val="auto"/>
        </w:rPr>
      </w:pPr>
    </w:p>
    <w:p>
      <w:pPr>
        <w:ind w:left="740" w:hanging="732"/>
        <w:spacing w:after="0"/>
        <w:tabs>
          <w:tab w:leader="none" w:pos="74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HOLIDAYS</w:t>
      </w:r>
    </w:p>
    <w:p>
      <w:pPr>
        <w:spacing w:after="0" w:line="18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b w:val="1"/>
          <w:bCs w:val="1"/>
          <w:color w:val="auto"/>
        </w:rPr>
        <w:t>The holiday year</w:t>
      </w:r>
    </w:p>
    <w:p>
      <w:pPr>
        <w:spacing w:after="0" w:line="20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The Company’s holiday year runs from 1st January to 31st December. Holidays can only be taken with the prior permission of the Board.</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b w:val="1"/>
          <w:bCs w:val="1"/>
          <w:color w:val="auto"/>
        </w:rPr>
        <w:t>Annual entitlement</w:t>
      </w:r>
    </w:p>
    <w:p>
      <w:pPr>
        <w:spacing w:after="0" w:line="193" w:lineRule="exact"/>
        <w:rPr>
          <w:sz w:val="20"/>
          <w:szCs w:val="20"/>
          <w:color w:val="auto"/>
        </w:rPr>
      </w:pPr>
    </w:p>
    <w:p>
      <w:pPr>
        <w:ind w:left="1480" w:hanging="739"/>
        <w:spacing w:after="0" w:line="269" w:lineRule="auto"/>
        <w:tabs>
          <w:tab w:leader="none" w:pos="14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annual entitlement to paid holidays is to those public or customary holidays recognised by the Company in any holiday year (of which there are eight in total) and in addition, 30 contractual days’ holiday.</w:t>
      </w:r>
    </w:p>
    <w:p>
      <w:pPr>
        <w:spacing w:after="0" w:line="145"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Entitlement to contractual holidays is accrued pro rata throughout the holiday year. You will be entitled to take public and customary holidays on the days that they are recognised by the Company during the holiday year.</w:t>
      </w:r>
    </w:p>
    <w:p>
      <w:pPr>
        <w:spacing w:after="0" w:line="145"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not entitled to carry any unused holiday entitlement forward to the next holiday year unless you have been prevented from taking it in the relevant holiday year because of sickness, absence or authorised family-related leave or unless the Company has otherwise granted permission.</w:t>
      </w:r>
    </w:p>
    <w:p>
      <w:pPr>
        <w:spacing w:after="0" w:line="14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9"/>
          <w:szCs w:val="19"/>
          <w:b w:val="1"/>
          <w:bCs w:val="1"/>
          <w:color w:val="auto"/>
        </w:rPr>
        <w:t>Holiday entitlement on termination</w:t>
      </w:r>
    </w:p>
    <w:p>
      <w:pPr>
        <w:spacing w:after="0" w:line="206" w:lineRule="exact"/>
        <w:rPr>
          <w:sz w:val="20"/>
          <w:szCs w:val="20"/>
          <w:color w:val="auto"/>
        </w:rPr>
      </w:pPr>
    </w:p>
    <w:p>
      <w:pPr>
        <w:jc w:val="both"/>
        <w:ind w:left="740"/>
        <w:spacing w:after="0" w:line="246" w:lineRule="auto"/>
        <w:rPr>
          <w:sz w:val="20"/>
          <w:szCs w:val="20"/>
          <w:color w:val="auto"/>
        </w:rPr>
      </w:pPr>
      <w:r>
        <w:rPr>
          <w:rFonts w:ascii="Times New Roman" w:cs="Times New Roman" w:eastAsia="Times New Roman" w:hAnsi="Times New Roman"/>
          <w:sz w:val="20"/>
          <w:szCs w:val="20"/>
          <w:color w:val="auto"/>
        </w:rPr>
        <w:t>Upon notice of termination of the Employment being served by either party, the Company may require you to take any unused holidays accrued in the holiday year in which the termination takes place at that time during any notice period. Alternatively, the Company may, at its discretion, on termination of the Employment, make a payment in lieu of accrued contractual holiday entitlement. You will be required to make a payment to the Company in respect of any holidays taken in excess of your holiday entitlement accrued at the Termination Date. Any sums so due may be deducted from any money owing to you by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ind w:left="740" w:hanging="732"/>
        <w:spacing w:after="0"/>
        <w:tabs>
          <w:tab w:leader="none" w:pos="74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TRAINING</w:t>
      </w:r>
    </w:p>
    <w:p>
      <w:pPr>
        <w:spacing w:after="0" w:line="206" w:lineRule="exact"/>
        <w:rPr>
          <w:rFonts w:ascii="Times New Roman" w:cs="Times New Roman" w:eastAsia="Times New Roman" w:hAnsi="Times New Roman"/>
          <w:sz w:val="20"/>
          <w:szCs w:val="20"/>
          <w:b w:val="1"/>
          <w:bCs w:val="1"/>
          <w:color w:val="auto"/>
        </w:rPr>
      </w:pPr>
    </w:p>
    <w:p>
      <w:pPr>
        <w:ind w:left="74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at the date of this Agreement, you are not required to undertake any particular training. If any particular training is required or offered, details will be provided.</w:t>
      </w:r>
    </w:p>
    <w:p>
      <w:pPr>
        <w:spacing w:after="0" w:line="128" w:lineRule="exact"/>
        <w:rPr>
          <w:rFonts w:ascii="Times New Roman" w:cs="Times New Roman" w:eastAsia="Times New Roman" w:hAnsi="Times New Roman"/>
          <w:sz w:val="20"/>
          <w:szCs w:val="20"/>
          <w:b w:val="1"/>
          <w:bCs w:val="1"/>
          <w:color w:val="auto"/>
        </w:rPr>
      </w:pPr>
    </w:p>
    <w:p>
      <w:pPr>
        <w:ind w:left="740" w:hanging="732"/>
        <w:spacing w:after="0"/>
        <w:tabs>
          <w:tab w:leader="none" w:pos="74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SICKNESS AND INJURY</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19"/>
          <w:szCs w:val="19"/>
          <w:b w:val="1"/>
          <w:bCs w:val="1"/>
          <w:color w:val="auto"/>
        </w:rPr>
        <w:t>Communication and fitness for work</w:t>
      </w:r>
    </w:p>
    <w:p>
      <w:pPr>
        <w:spacing w:after="0" w:line="206" w:lineRule="exact"/>
        <w:rPr>
          <w:sz w:val="20"/>
          <w:szCs w:val="20"/>
          <w:color w:val="auto"/>
        </w:rPr>
      </w:pPr>
    </w:p>
    <w:p>
      <w:pPr>
        <w:jc w:val="both"/>
        <w:ind w:left="1480" w:hanging="739"/>
        <w:spacing w:after="0" w:line="254" w:lineRule="auto"/>
        <w:tabs>
          <w:tab w:leader="none" w:pos="14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unable to work due to sickness or injury you must report this to the Company on the first working day of such sickness or injury, indicating so far as practicable the date on which you expect to return to work. You shall keep the Company informed and provide it with such certification of your condition as it may require.</w:t>
      </w:r>
    </w:p>
    <w:p>
      <w:pPr>
        <w:spacing w:after="0" w:line="147" w:lineRule="exact"/>
        <w:rPr>
          <w:rFonts w:ascii="Times New Roman" w:cs="Times New Roman" w:eastAsia="Times New Roman" w:hAnsi="Times New Roman"/>
          <w:sz w:val="20"/>
          <w:szCs w:val="20"/>
          <w:color w:val="auto"/>
        </w:rPr>
      </w:pPr>
    </w:p>
    <w:p>
      <w:pPr>
        <w:jc w:val="both"/>
        <w:ind w:left="1480" w:hanging="739"/>
        <w:spacing w:after="0" w:line="249" w:lineRule="auto"/>
        <w:tabs>
          <w:tab w:leader="none" w:pos="14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be required to complete a self-certification form on your return to work from any absence of up to seven days (including non-working days). If your absence exceeds seven consecutive days you must provide the Company with a doctor's certificate as soon as possible after the seventh day of absence. You must provide further doctor’s certificates to the Company as necessary to cover the full period of your continued absence.</w:t>
      </w:r>
    </w:p>
    <w:p>
      <w:pPr>
        <w:spacing w:after="0" w:line="166"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in the reasonable opinion of the Company you are unable to perform all or part of your work due to sickness or injury, you will at the request and expense of the Company:</w:t>
      </w:r>
    </w:p>
    <w:p>
      <w:pPr>
        <w:spacing w:after="0" w:line="145" w:lineRule="exact"/>
        <w:rPr>
          <w:rFonts w:ascii="Times New Roman" w:cs="Times New Roman" w:eastAsia="Times New Roman" w:hAnsi="Times New Roman"/>
          <w:sz w:val="20"/>
          <w:szCs w:val="20"/>
          <w:color w:val="auto"/>
        </w:rPr>
      </w:pPr>
    </w:p>
    <w:p>
      <w:pPr>
        <w:ind w:left="2220" w:hanging="730"/>
        <w:spacing w:after="0"/>
        <w:tabs>
          <w:tab w:leader="none" w:pos="222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an examination by a doctor nominated by the Company; and</w:t>
      </w:r>
    </w:p>
    <w:p>
      <w:pPr>
        <w:spacing w:after="0" w:line="188" w:lineRule="exact"/>
        <w:rPr>
          <w:rFonts w:ascii="Times New Roman" w:cs="Times New Roman" w:eastAsia="Times New Roman" w:hAnsi="Times New Roman"/>
          <w:sz w:val="20"/>
          <w:szCs w:val="20"/>
          <w:color w:val="auto"/>
        </w:rPr>
      </w:pPr>
    </w:p>
    <w:p>
      <w:pPr>
        <w:ind w:left="2220" w:hanging="730"/>
        <w:spacing w:after="0" w:line="269" w:lineRule="auto"/>
        <w:tabs>
          <w:tab w:leader="none" w:pos="222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authorise the doctor to disclose to and discuss with the Company their report (including copies) of the examination and your fitness for work.</w:t>
      </w:r>
    </w:p>
    <w:p>
      <w:pPr>
        <w:spacing w:after="0" w:line="141" w:lineRule="exact"/>
        <w:rPr>
          <w:rFonts w:ascii="Times New Roman" w:cs="Times New Roman" w:eastAsia="Times New Roman" w:hAnsi="Times New Roman"/>
          <w:sz w:val="20"/>
          <w:szCs w:val="20"/>
          <w:color w:val="auto"/>
        </w:rPr>
      </w:pPr>
    </w:p>
    <w:p>
      <w:pPr>
        <w:ind w:left="1480" w:hanging="739"/>
        <w:spacing w:after="0" w:line="273" w:lineRule="auto"/>
        <w:tabs>
          <w:tab w:leader="none" w:pos="14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follow these requirements may result in disciplinary action and loss of statutory sick pay (“</w:t>
      </w:r>
      <w:r>
        <w:rPr>
          <w:rFonts w:ascii="Times New Roman" w:cs="Times New Roman" w:eastAsia="Times New Roman" w:hAnsi="Times New Roman"/>
          <w:sz w:val="20"/>
          <w:szCs w:val="20"/>
          <w:b w:val="1"/>
          <w:bCs w:val="1"/>
          <w:color w:val="auto"/>
        </w:rPr>
        <w:t>SSP</w:t>
      </w:r>
      <w:r>
        <w:rPr>
          <w:rFonts w:ascii="Times New Roman" w:cs="Times New Roman" w:eastAsia="Times New Roman" w:hAnsi="Times New Roman"/>
          <w:sz w:val="20"/>
          <w:szCs w:val="20"/>
          <w:color w:val="auto"/>
        </w:rPr>
        <w:t>”) and/or other sick pay pursuant to Clause 15.2.</w:t>
      </w:r>
    </w:p>
    <w:p>
      <w:pPr>
        <w:spacing w:after="0" w:line="13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b w:val="1"/>
          <w:bCs w:val="1"/>
          <w:color w:val="auto"/>
        </w:rPr>
        <w:t>Sick pay</w:t>
      </w:r>
    </w:p>
    <w:p>
      <w:pPr>
        <w:spacing w:after="0" w:line="193" w:lineRule="exact"/>
        <w:rPr>
          <w:sz w:val="20"/>
          <w:szCs w:val="20"/>
          <w:color w:val="auto"/>
        </w:rPr>
      </w:pPr>
    </w:p>
    <w:p>
      <w:pPr>
        <w:jc w:val="both"/>
        <w:ind w:left="740"/>
        <w:spacing w:after="0" w:line="245" w:lineRule="auto"/>
        <w:rPr>
          <w:sz w:val="20"/>
          <w:szCs w:val="20"/>
          <w:color w:val="auto"/>
        </w:rPr>
      </w:pPr>
      <w:r>
        <w:rPr>
          <w:rFonts w:ascii="Times New Roman" w:cs="Times New Roman" w:eastAsia="Times New Roman" w:hAnsi="Times New Roman"/>
          <w:sz w:val="20"/>
          <w:szCs w:val="20"/>
          <w:color w:val="auto"/>
        </w:rPr>
        <w:t>The Company is entitled to rely on the reasonable opinion of any doctor engaged to examine you as to your fitness for work. If you are absent from work due to sickness, injury or other incapacity you may be entitled to receive SSP from the Company provided that you are eligible for payment and have complied with all the statutory rules (including the statutory requirements for notification of absence). For the purposes of SSP your qualifying days are Monday to Friday inclusive. Any remuneration paid to you other than SSP during periods of absence due to illness, and any additional payments, shall be paid in accordance with the Company’s Sick Pay Policy, as may be amended from time to time at the Company’s discretion.</w:t>
      </w:r>
    </w:p>
    <w:p>
      <w:pPr>
        <w:spacing w:after="0" w:line="167" w:lineRule="exact"/>
        <w:rPr>
          <w:sz w:val="20"/>
          <w:szCs w:val="20"/>
          <w:color w:val="auto"/>
        </w:rPr>
      </w:pPr>
    </w:p>
    <w:p>
      <w:pPr>
        <w:ind w:left="740" w:hanging="732"/>
        <w:spacing w:after="0"/>
        <w:tabs>
          <w:tab w:leader="none" w:pos="74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INTERESTS</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19"/>
          <w:szCs w:val="19"/>
          <w:b w:val="1"/>
          <w:bCs w:val="1"/>
          <w:color w:val="auto"/>
        </w:rPr>
        <w:t>Disclosure of other interests</w:t>
      </w:r>
    </w:p>
    <w:p>
      <w:pPr>
        <w:spacing w:after="0" w:line="193" w:lineRule="exact"/>
        <w:rPr>
          <w:sz w:val="20"/>
          <w:szCs w:val="20"/>
          <w:color w:val="auto"/>
        </w:rPr>
      </w:pPr>
    </w:p>
    <w:p>
      <w:pPr>
        <w:ind w:left="740" w:right="20"/>
        <w:spacing w:after="0" w:line="269" w:lineRule="auto"/>
        <w:rPr>
          <w:sz w:val="20"/>
          <w:szCs w:val="20"/>
          <w:color w:val="auto"/>
        </w:rPr>
      </w:pPr>
      <w:r>
        <w:rPr>
          <w:rFonts w:ascii="Times New Roman" w:cs="Times New Roman" w:eastAsia="Times New Roman" w:hAnsi="Times New Roman"/>
          <w:sz w:val="20"/>
          <w:szCs w:val="20"/>
          <w:color w:val="auto"/>
        </w:rPr>
        <w:t>You shall disclose to the Board any interest of your own (or that of your partner or of any child of yours or of your partner under eighteen years of age):</w:t>
      </w:r>
    </w:p>
    <w:p>
      <w:pPr>
        <w:spacing w:after="0" w:line="146" w:lineRule="exact"/>
        <w:rPr>
          <w:sz w:val="20"/>
          <w:szCs w:val="20"/>
          <w:color w:val="auto"/>
        </w:rPr>
      </w:pPr>
    </w:p>
    <w:p>
      <w:pPr>
        <w:ind w:left="1480" w:right="20" w:hanging="739"/>
        <w:spacing w:after="0" w:line="269" w:lineRule="auto"/>
        <w:tabs>
          <w:tab w:leader="none" w:pos="14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trade, business or occupation whatsoever which is in any way similar to any of those in which the Company or any Group Company is involved; and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4" w:name="page125"/>
    <w:bookmarkEnd w:id="124"/>
    <w:p>
      <w:pPr>
        <w:ind w:left="1480" w:right="20" w:hanging="739"/>
        <w:spacing w:after="0" w:line="269" w:lineRule="auto"/>
        <w:tabs>
          <w:tab w:leader="none" w:pos="14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trade, business or occupation carried on by any supplier or customer of the Company or any Group Company whether or not such trade, business or occupation is conducted for profit or gain.</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16.2</w:t>
      </w:r>
      <w:r>
        <w:rPr>
          <w:sz w:val="20"/>
          <w:szCs w:val="20"/>
          <w:color w:val="auto"/>
        </w:rPr>
        <w:tab/>
      </w:r>
      <w:r>
        <w:rPr>
          <w:rFonts w:ascii="Times New Roman" w:cs="Times New Roman" w:eastAsia="Times New Roman" w:hAnsi="Times New Roman"/>
          <w:sz w:val="19"/>
          <w:szCs w:val="19"/>
          <w:b w:val="1"/>
          <w:bCs w:val="1"/>
          <w:color w:val="auto"/>
        </w:rPr>
        <w:t>Restrictions on other activities and interests</w:t>
      </w:r>
    </w:p>
    <w:p>
      <w:pPr>
        <w:spacing w:after="0" w:line="193" w:lineRule="exact"/>
        <w:rPr>
          <w:sz w:val="20"/>
          <w:szCs w:val="20"/>
          <w:color w:val="auto"/>
        </w:rPr>
      </w:pPr>
    </w:p>
    <w:p>
      <w:pPr>
        <w:jc w:val="both"/>
        <w:ind w:left="1480" w:hanging="739"/>
        <w:spacing w:after="0" w:line="244" w:lineRule="auto"/>
        <w:tabs>
          <w:tab w:leader="none" w:pos="14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Employment you shall not at any time, without the prior written consent of the Board, either alone or jointly with any other person, carry on or be directly or indirectly employed, engaged, concerned or interested in any business, prospective business or undertaking (including any preparatory steps in respect thereof) other than a Group Company, nor carry out any public or private work other than your duties under this Agreement (whether for profit or otherwise). Nothing contained in this Clause shall preclude you from being a Minority Holder unless the holding is in a company that is a direct business competitor of the Company or any Group Company in which case, you shall obtain the prior consent of the Board to the acquisition or variation of such holding.</w:t>
      </w:r>
    </w:p>
    <w:p>
      <w:pPr>
        <w:spacing w:after="0" w:line="172" w:lineRule="exact"/>
        <w:rPr>
          <w:rFonts w:ascii="Times New Roman" w:cs="Times New Roman" w:eastAsia="Times New Roman" w:hAnsi="Times New Roman"/>
          <w:sz w:val="20"/>
          <w:szCs w:val="20"/>
          <w:color w:val="auto"/>
        </w:rPr>
      </w:pPr>
    </w:p>
    <w:p>
      <w:pPr>
        <w:ind w:left="1480" w:right="20" w:hanging="739"/>
        <w:spacing w:after="0" w:line="269" w:lineRule="auto"/>
        <w:tabs>
          <w:tab w:leader="none" w:pos="14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with the consent of the Board, accept any other appointment you must keep the Company accurately informed of the amount of time you spend working under that appointment.</w:t>
      </w:r>
    </w:p>
    <w:p>
      <w:pPr>
        <w:spacing w:after="0" w:line="142" w:lineRule="exact"/>
        <w:rPr>
          <w:sz w:val="20"/>
          <w:szCs w:val="20"/>
          <w:color w:val="auto"/>
        </w:rPr>
      </w:pPr>
    </w:p>
    <w:p>
      <w:pPr>
        <w:ind w:left="740" w:hanging="732"/>
        <w:spacing w:after="0"/>
        <w:tabs>
          <w:tab w:leader="none" w:pos="74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AND COMPANY DOCUMENTS</w:t>
      </w:r>
    </w:p>
    <w:p>
      <w:pPr>
        <w:spacing w:after="0" w:line="18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17.1</w:t>
      </w:r>
      <w:r>
        <w:rPr>
          <w:sz w:val="20"/>
          <w:szCs w:val="20"/>
          <w:color w:val="auto"/>
        </w:rPr>
        <w:tab/>
      </w:r>
      <w:r>
        <w:rPr>
          <w:rFonts w:ascii="Times New Roman" w:cs="Times New Roman" w:eastAsia="Times New Roman" w:hAnsi="Times New Roman"/>
          <w:sz w:val="19"/>
          <w:szCs w:val="19"/>
          <w:b w:val="1"/>
          <w:bCs w:val="1"/>
          <w:color w:val="auto"/>
        </w:rPr>
        <w:t>Restrictions on disclosure and use of Confidential Information</w:t>
      </w:r>
    </w:p>
    <w:p>
      <w:pPr>
        <w:spacing w:after="0" w:line="20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You must not either during the Employment (except in the proper performance of your duties) or at any time (without limit) after the Termination Date:</w:t>
      </w:r>
    </w:p>
    <w:p>
      <w:pPr>
        <w:spacing w:after="0" w:line="146" w:lineRule="exact"/>
        <w:rPr>
          <w:sz w:val="20"/>
          <w:szCs w:val="20"/>
          <w:color w:val="auto"/>
        </w:rPr>
      </w:pPr>
    </w:p>
    <w:p>
      <w:pPr>
        <w:ind w:left="1480" w:hanging="739"/>
        <w:spacing w:after="0"/>
        <w:tabs>
          <w:tab w:leader="none" w:pos="14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divulge or communicate to any person;</w:t>
      </w:r>
    </w:p>
    <w:p>
      <w:pPr>
        <w:spacing w:after="0" w:line="188"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for your own purposes or for any purposes other than those of the Company or any Group Company; or</w:t>
      </w:r>
    </w:p>
    <w:p>
      <w:pPr>
        <w:spacing w:after="0" w:line="202"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any failure to exercise due care and diligence, cause any unauthorised disclosure of;</w:t>
      </w:r>
    </w:p>
    <w:p>
      <w:pPr>
        <w:spacing w:after="0" w:line="202"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any Confidential Information. You must at all times use your best endeavours to prevent publication or disclosure of any Confidential Information. These restrictions shall cease to apply to any information which shall become available to the public generally otherwise than through the default of you. These restrictions shall not apply to any use or disclosure authorised by the Board or required by law, or any protected disclosure within the meaning of section 43A of the Employment Rights Act 1996.</w:t>
      </w:r>
    </w:p>
    <w:p>
      <w:pPr>
        <w:spacing w:after="0" w:line="14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17.2</w:t>
      </w:r>
      <w:r>
        <w:rPr>
          <w:sz w:val="20"/>
          <w:szCs w:val="20"/>
          <w:color w:val="auto"/>
        </w:rPr>
        <w:tab/>
      </w:r>
      <w:r>
        <w:rPr>
          <w:rFonts w:ascii="Times New Roman" w:cs="Times New Roman" w:eastAsia="Times New Roman" w:hAnsi="Times New Roman"/>
          <w:sz w:val="19"/>
          <w:szCs w:val="19"/>
          <w:b w:val="1"/>
          <w:bCs w:val="1"/>
          <w:color w:val="auto"/>
        </w:rPr>
        <w:t>Protection of Company documents and materials</w:t>
      </w:r>
    </w:p>
    <w:p>
      <w:pPr>
        <w:spacing w:after="0" w:line="206"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All notes, records, lists of customers, suppliers and employees, correspondence, computer and other discs or tapes, data listings, codes, keys and passwords, designs, drawings and other documents or material whatsoever (whether made or created by you or otherwise and in whatever medium or format) relating to the business of the Company or any Group Company or any of its or their clients (and any copies of the same):</w:t>
      </w:r>
    </w:p>
    <w:p>
      <w:pPr>
        <w:spacing w:after="0" w:line="166" w:lineRule="exact"/>
        <w:rPr>
          <w:sz w:val="20"/>
          <w:szCs w:val="20"/>
          <w:color w:val="auto"/>
        </w:rPr>
      </w:pPr>
    </w:p>
    <w:p>
      <w:pPr>
        <w:ind w:left="1480" w:hanging="739"/>
        <w:spacing w:after="0"/>
        <w:tabs>
          <w:tab w:leader="none" w:pos="14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and remain the property of the Company or the relevant Group Company or client;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ind w:left="1480" w:hanging="739"/>
        <w:spacing w:after="0" w:line="269" w:lineRule="auto"/>
        <w:tabs>
          <w:tab w:leader="none" w:pos="148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handed over by you to the Company or the relevant Group Company or client on demand by the Company and in any event on or prior to the termination of the Employment.</w:t>
      </w:r>
    </w:p>
    <w:p>
      <w:pPr>
        <w:spacing w:after="0" w:line="141"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INVENTIONS AND OTHER WORKS</w:t>
      </w:r>
    </w:p>
    <w:p>
      <w:pPr>
        <w:spacing w:after="0" w:line="18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18.1</w:t>
      </w:r>
      <w:r>
        <w:rPr>
          <w:sz w:val="20"/>
          <w:szCs w:val="20"/>
          <w:color w:val="auto"/>
        </w:rPr>
        <w:tab/>
      </w:r>
      <w:r>
        <w:rPr>
          <w:rFonts w:ascii="Times New Roman" w:cs="Times New Roman" w:eastAsia="Times New Roman" w:hAnsi="Times New Roman"/>
          <w:sz w:val="19"/>
          <w:szCs w:val="19"/>
          <w:b w:val="1"/>
          <w:bCs w:val="1"/>
          <w:color w:val="auto"/>
        </w:rPr>
        <w:t>Obligation to further interests of the Company</w:t>
      </w:r>
    </w:p>
    <w:p>
      <w:pPr>
        <w:spacing w:after="0" w:line="206" w:lineRule="exact"/>
        <w:rPr>
          <w:sz w:val="20"/>
          <w:szCs w:val="20"/>
          <w:color w:val="auto"/>
        </w:rPr>
      </w:pPr>
    </w:p>
    <w:p>
      <w:pPr>
        <w:jc w:val="both"/>
        <w:ind w:left="740" w:right="20"/>
        <w:spacing w:after="0" w:line="269" w:lineRule="auto"/>
        <w:rPr>
          <w:sz w:val="20"/>
          <w:szCs w:val="20"/>
          <w:color w:val="auto"/>
        </w:rPr>
      </w:pPr>
      <w:r>
        <w:rPr>
          <w:rFonts w:ascii="Times New Roman" w:cs="Times New Roman" w:eastAsia="Times New Roman" w:hAnsi="Times New Roman"/>
          <w:sz w:val="20"/>
          <w:szCs w:val="20"/>
          <w:color w:val="auto"/>
        </w:rPr>
        <w:t>The Company and you agree that you may make or create Works in the course of and/or during the Employment and agree that in this respect you are obliged to further the interests of the Company and any Group Company.</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18.2</w:t>
      </w:r>
      <w:r>
        <w:rPr>
          <w:sz w:val="20"/>
          <w:szCs w:val="20"/>
          <w:color w:val="auto"/>
        </w:rPr>
        <w:tab/>
      </w:r>
      <w:r>
        <w:rPr>
          <w:rFonts w:ascii="Times New Roman" w:cs="Times New Roman" w:eastAsia="Times New Roman" w:hAnsi="Times New Roman"/>
          <w:sz w:val="19"/>
          <w:szCs w:val="19"/>
          <w:b w:val="1"/>
          <w:bCs w:val="1"/>
          <w:color w:val="auto"/>
        </w:rPr>
        <w:t>Disclosure and ownership of Works</w:t>
      </w:r>
    </w:p>
    <w:p>
      <w:pPr>
        <w:spacing w:after="0" w:line="193"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You must immediately disclose to the Company all Works and all Intellectual Property Rights. Both the Works and all Intellectual Property Rights will (subject to sections 39 to 43 Patents Act 1977) belong to and be the absolute property of the Company or any other person the Company may nominate.</w:t>
      </w:r>
    </w:p>
    <w:p>
      <w:pPr>
        <w:spacing w:after="0" w:line="15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18.3</w:t>
      </w:r>
      <w:r>
        <w:rPr>
          <w:sz w:val="20"/>
          <w:szCs w:val="20"/>
          <w:color w:val="auto"/>
        </w:rPr>
        <w:tab/>
      </w:r>
      <w:r>
        <w:rPr>
          <w:rFonts w:ascii="Times New Roman" w:cs="Times New Roman" w:eastAsia="Times New Roman" w:hAnsi="Times New Roman"/>
          <w:sz w:val="19"/>
          <w:szCs w:val="19"/>
          <w:b w:val="1"/>
          <w:bCs w:val="1"/>
          <w:color w:val="auto"/>
        </w:rPr>
        <w:t>Protection, registration and vesting of Works</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You shall immediately on request by the Company (whether during or after the Employment) and at the expense of the Company:</w:t>
      </w:r>
    </w:p>
    <w:p>
      <w:pPr>
        <w:spacing w:after="0" w:line="189" w:lineRule="exact"/>
        <w:rPr>
          <w:sz w:val="20"/>
          <w:szCs w:val="20"/>
          <w:color w:val="auto"/>
        </w:rPr>
      </w:pPr>
    </w:p>
    <w:p>
      <w:pPr>
        <w:ind w:left="1480" w:hanging="739"/>
        <w:spacing w:after="0" w:line="295" w:lineRule="auto"/>
        <w:tabs>
          <w:tab w:leader="none" w:pos="148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apply or join with the Company or any Group Company in applying for any Intellectual Property Rights or other protection or registration (“</w:t>
      </w:r>
      <w:r>
        <w:rPr>
          <w:rFonts w:ascii="Times New Roman" w:cs="Times New Roman" w:eastAsia="Times New Roman" w:hAnsi="Times New Roman"/>
          <w:sz w:val="19"/>
          <w:szCs w:val="19"/>
          <w:b w:val="1"/>
          <w:bCs w:val="1"/>
          <w:color w:val="auto"/>
        </w:rPr>
        <w:t>Protection</w:t>
      </w:r>
      <w:r>
        <w:rPr>
          <w:rFonts w:ascii="Times New Roman" w:cs="Times New Roman" w:eastAsia="Times New Roman" w:hAnsi="Times New Roman"/>
          <w:sz w:val="19"/>
          <w:szCs w:val="19"/>
          <w:color w:val="auto"/>
        </w:rPr>
        <w:t>”) in the United Kingdom and in any other part of the world for, or in relation to, any Works;</w:t>
      </w:r>
    </w:p>
    <w:p>
      <w:pPr>
        <w:spacing w:after="0" w:line="124" w:lineRule="exact"/>
        <w:rPr>
          <w:rFonts w:ascii="Times New Roman" w:cs="Times New Roman" w:eastAsia="Times New Roman" w:hAnsi="Times New Roman"/>
          <w:sz w:val="19"/>
          <w:szCs w:val="19"/>
          <w:color w:val="auto"/>
        </w:rPr>
      </w:pPr>
    </w:p>
    <w:p>
      <w:pPr>
        <w:jc w:val="both"/>
        <w:ind w:left="1480" w:hanging="739"/>
        <w:spacing w:after="0" w:line="254" w:lineRule="auto"/>
        <w:tabs>
          <w:tab w:leader="none" w:pos="14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all instruments and do all things necessary for vesting all Intellectual Property Rights or Protection when obtained and all right, title and interest to and in the same absolutely and as sole beneficial owner in the Company or such Group Company or other person as the Company may nominate; and</w:t>
      </w:r>
    </w:p>
    <w:p>
      <w:pPr>
        <w:spacing w:after="0" w:line="160"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 and execute any documents and do any acts reasonably required by the Company in connection with any proceedings in respect of any applications and any publication or application for revocation of any Intellectual Property Rights or Protection.</w:t>
      </w:r>
    </w:p>
    <w:p>
      <w:pPr>
        <w:spacing w:after="0" w:line="14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18.4</w:t>
      </w:r>
      <w:r>
        <w:rPr>
          <w:sz w:val="20"/>
          <w:szCs w:val="20"/>
          <w:color w:val="auto"/>
        </w:rPr>
        <w:tab/>
      </w:r>
      <w:r>
        <w:rPr>
          <w:rFonts w:ascii="Times New Roman" w:cs="Times New Roman" w:eastAsia="Times New Roman" w:hAnsi="Times New Roman"/>
          <w:sz w:val="19"/>
          <w:szCs w:val="19"/>
          <w:b w:val="1"/>
          <w:bCs w:val="1"/>
          <w:color w:val="auto"/>
        </w:rPr>
        <w:t>Waiver of rights</w:t>
      </w:r>
    </w:p>
    <w:p>
      <w:pPr>
        <w:spacing w:after="0" w:line="20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You hereby irrevocably and unconditionally waive all rights under Chapter IV Copyright, Designs and Patents Act 1988 and any other moral rights which you may have in the Works, in whatever part of the world such rights may be enforceable including:</w:t>
      </w:r>
    </w:p>
    <w:p>
      <w:pPr>
        <w:spacing w:after="0" w:line="146" w:lineRule="exact"/>
        <w:rPr>
          <w:sz w:val="20"/>
          <w:szCs w:val="20"/>
          <w:color w:val="auto"/>
        </w:rPr>
      </w:pPr>
    </w:p>
    <w:p>
      <w:pPr>
        <w:ind w:left="1480" w:hanging="739"/>
        <w:spacing w:after="0"/>
        <w:tabs>
          <w:tab w:leader="none" w:pos="14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conferred by section 77 of that Act to be identified as the author of any such Works; and</w:t>
      </w:r>
    </w:p>
    <w:p>
      <w:pPr>
        <w:spacing w:after="0" w:line="188" w:lineRule="exact"/>
        <w:rPr>
          <w:rFonts w:ascii="Times New Roman" w:cs="Times New Roman" w:eastAsia="Times New Roman" w:hAnsi="Times New Roman"/>
          <w:sz w:val="20"/>
          <w:szCs w:val="20"/>
          <w:color w:val="auto"/>
        </w:rPr>
      </w:pPr>
    </w:p>
    <w:p>
      <w:pPr>
        <w:ind w:right="1280" w:firstLine="741"/>
        <w:spacing w:after="0" w:line="450" w:lineRule="auto"/>
        <w:tabs>
          <w:tab w:leader="none" w:pos="146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 conferred by section 80 of that Act not to have any such Works subjected to derogatory treatment. 18.5 </w:t>
      </w:r>
      <w:r>
        <w:rPr>
          <w:rFonts w:ascii="Times New Roman" w:cs="Times New Roman" w:eastAsia="Times New Roman" w:hAnsi="Times New Roman"/>
          <w:sz w:val="20"/>
          <w:szCs w:val="20"/>
          <w:b w:val="1"/>
          <w:bCs w:val="1"/>
          <w:color w:val="auto"/>
        </w:rPr>
        <w:t>Power of Attorney</w:t>
      </w:r>
    </w:p>
    <w:p>
      <w:pPr>
        <w:spacing w:after="0" w:line="2"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You hereby irrevocably appoint the Company to be your attorney and in your name and on your behalf to execute any such act and to sign all deeds and documents and generally to use your name for the purpose of giving to the Company the full benefit of this Clause. You agree that, with respect to any third parties, a certificate signed by any duly authorised officer of the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ind w:left="740" w:right="20"/>
        <w:spacing w:after="0" w:line="269" w:lineRule="auto"/>
        <w:rPr>
          <w:sz w:val="20"/>
          <w:szCs w:val="20"/>
          <w:color w:val="auto"/>
        </w:rPr>
      </w:pPr>
      <w:r>
        <w:rPr>
          <w:rFonts w:ascii="Times New Roman" w:cs="Times New Roman" w:eastAsia="Times New Roman" w:hAnsi="Times New Roman"/>
          <w:sz w:val="20"/>
          <w:szCs w:val="20"/>
          <w:color w:val="auto"/>
        </w:rPr>
        <w:t>Company that any act or deed or document falls within the authority hereby conferred shall be conclusive evidence that this is the case.</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18.6</w:t>
      </w:r>
      <w:r>
        <w:rPr>
          <w:sz w:val="20"/>
          <w:szCs w:val="20"/>
          <w:color w:val="auto"/>
        </w:rPr>
        <w:tab/>
      </w:r>
      <w:r>
        <w:rPr>
          <w:rFonts w:ascii="Times New Roman" w:cs="Times New Roman" w:eastAsia="Times New Roman" w:hAnsi="Times New Roman"/>
          <w:sz w:val="19"/>
          <w:szCs w:val="19"/>
          <w:b w:val="1"/>
          <w:bCs w:val="1"/>
          <w:color w:val="auto"/>
        </w:rPr>
        <w:t>Statutory rights</w:t>
      </w:r>
    </w:p>
    <w:p>
      <w:pPr>
        <w:spacing w:after="0" w:line="193" w:lineRule="exact"/>
        <w:rPr>
          <w:sz w:val="20"/>
          <w:szCs w:val="20"/>
          <w:color w:val="auto"/>
        </w:rPr>
      </w:pPr>
    </w:p>
    <w:p>
      <w:pPr>
        <w:ind w:left="740" w:right="20"/>
        <w:spacing w:after="0" w:line="269" w:lineRule="auto"/>
        <w:rPr>
          <w:sz w:val="20"/>
          <w:szCs w:val="20"/>
          <w:color w:val="auto"/>
        </w:rPr>
      </w:pPr>
      <w:r>
        <w:rPr>
          <w:rFonts w:ascii="Times New Roman" w:cs="Times New Roman" w:eastAsia="Times New Roman" w:hAnsi="Times New Roman"/>
          <w:sz w:val="20"/>
          <w:szCs w:val="20"/>
          <w:color w:val="auto"/>
        </w:rPr>
        <w:t>Nothing in this Clause 18 shall be construed as restricting the rights of you or the Company under sections 39 to 43 of the Patents Act 1977.</w:t>
      </w:r>
    </w:p>
    <w:p>
      <w:pPr>
        <w:spacing w:after="0" w:line="142" w:lineRule="exact"/>
        <w:rPr>
          <w:sz w:val="20"/>
          <w:szCs w:val="20"/>
          <w:color w:val="auto"/>
        </w:rPr>
      </w:pPr>
    </w:p>
    <w:p>
      <w:pPr>
        <w:ind w:left="740" w:hanging="732"/>
        <w:spacing w:after="0"/>
        <w:tabs>
          <w:tab w:leader="none" w:pos="74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19"/>
          <w:szCs w:val="19"/>
          <w:b w:val="1"/>
          <w:bCs w:val="1"/>
          <w:color w:val="auto"/>
        </w:rPr>
        <w:t>Termination events</w:t>
      </w:r>
    </w:p>
    <w:p>
      <w:pPr>
        <w:spacing w:after="0" w:line="193" w:lineRule="exact"/>
        <w:rPr>
          <w:sz w:val="20"/>
          <w:szCs w:val="20"/>
          <w:color w:val="auto"/>
        </w:rPr>
      </w:pPr>
    </w:p>
    <w:p>
      <w:pPr>
        <w:jc w:val="both"/>
        <w:ind w:left="740"/>
        <w:spacing w:after="0" w:line="295" w:lineRule="auto"/>
        <w:rPr>
          <w:sz w:val="20"/>
          <w:szCs w:val="20"/>
          <w:color w:val="auto"/>
        </w:rPr>
      </w:pPr>
      <w:r>
        <w:rPr>
          <w:rFonts w:ascii="Times New Roman" w:cs="Times New Roman" w:eastAsia="Times New Roman" w:hAnsi="Times New Roman"/>
          <w:sz w:val="19"/>
          <w:szCs w:val="19"/>
          <w:color w:val="auto"/>
        </w:rPr>
        <w:t>Notwithstanding the provisions of Clauses 3 and 12, the Company shall be entitled, but not bound, to terminate the Employment with immediate effect by giving to you notice in writing at any time after the occurrence of any one or more of the following events:</w:t>
      </w:r>
    </w:p>
    <w:p>
      <w:pPr>
        <w:spacing w:after="0" w:line="124" w:lineRule="exact"/>
        <w:rPr>
          <w:sz w:val="20"/>
          <w:szCs w:val="20"/>
          <w:color w:val="auto"/>
        </w:rPr>
      </w:pPr>
    </w:p>
    <w:p>
      <w:pPr>
        <w:ind w:left="1480" w:hanging="739"/>
        <w:spacing w:after="0" w:line="269" w:lineRule="auto"/>
        <w:tabs>
          <w:tab w:leader="none" w:pos="14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guilty of any gross misconduct or behaviour which tends to bring you or the Company or any Group Company into disrepute; or</w:t>
      </w:r>
    </w:p>
    <w:p>
      <w:pPr>
        <w:spacing w:after="0" w:line="145"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commit any material or persistent breach of this Agreement (in the case of a non-material persistent breach, having been given notice in writing of the breach and a reasonable opportunity to rectify the breach) or fail to comply with any reasonable order or direction of the Board; or</w:t>
      </w:r>
    </w:p>
    <w:p>
      <w:pPr>
        <w:spacing w:after="0" w:line="147"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do not, or cease to, have permission to live and work in the United Kingdom; or</w:t>
      </w:r>
    </w:p>
    <w:p>
      <w:pPr>
        <w:spacing w:after="0" w:line="202"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become insolvent or bankrupt or compound with or grant a trust deed for the benefit of your creditors; or</w:t>
      </w:r>
    </w:p>
    <w:p>
      <w:pPr>
        <w:spacing w:after="0" w:line="202"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behaviour (whether or not in breach of this Agreement) can reasonably be regarded as materially prejudicial to the interests of the Company or any Group Company, including if you are found guilty of any criminal offence punishable by imprisonment (whether or not such sentence is actually imposed); or</w:t>
      </w:r>
    </w:p>
    <w:p>
      <w:pPr>
        <w:spacing w:after="0" w:line="147"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have an order made against you disqualifying you from acting as a company director; or</w:t>
      </w:r>
    </w:p>
    <w:p>
      <w:pPr>
        <w:spacing w:after="0" w:line="202"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in the opinion of a medical practitioner, physically or mentally incapable of performing your duties and may remain so for more than three months and the medical practitioner has given a medical opinion to the Company to that effect; or</w:t>
      </w:r>
    </w:p>
    <w:p>
      <w:pPr>
        <w:spacing w:after="0" w:line="160" w:lineRule="exact"/>
        <w:rPr>
          <w:rFonts w:ascii="Times New Roman" w:cs="Times New Roman" w:eastAsia="Times New Roman" w:hAnsi="Times New Roman"/>
          <w:sz w:val="20"/>
          <w:szCs w:val="20"/>
          <w:color w:val="auto"/>
        </w:rPr>
      </w:pPr>
    </w:p>
    <w:p>
      <w:pPr>
        <w:ind w:left="1480" w:hanging="739"/>
        <w:spacing w:after="0" w:line="295" w:lineRule="auto"/>
        <w:tabs>
          <w:tab w:leader="none" w:pos="148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 are found guilty of any offence of bribery under the Bribery Act 2010, or other bribery legislation in any other jurisdiction, or breach of the Company’s Anti-bribery and Corruption Policy or procedure applicable from time to time; or</w:t>
      </w:r>
    </w:p>
    <w:p>
      <w:pPr>
        <w:spacing w:after="0" w:line="110" w:lineRule="exact"/>
        <w:rPr>
          <w:rFonts w:ascii="Times New Roman" w:cs="Times New Roman" w:eastAsia="Times New Roman" w:hAnsi="Times New Roman"/>
          <w:sz w:val="19"/>
          <w:szCs w:val="19"/>
          <w:color w:val="auto"/>
        </w:rPr>
      </w:pPr>
    </w:p>
    <w:p>
      <w:pPr>
        <w:jc w:val="both"/>
        <w:ind w:left="1480" w:hanging="739"/>
        <w:spacing w:after="0" w:line="254" w:lineRule="auto"/>
        <w:tabs>
          <w:tab w:leader="none" w:pos="14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commit any material breach or persistent but non-material breach of the Articles of Association (as amended from time to time) of the Company or any Group Company (in the case of a persistent but non-material breach, having been given notice in writing of the breach and a reasonable opportunity to rectify the breach).</w:t>
      </w:r>
    </w:p>
    <w:p>
      <w:pPr>
        <w:spacing w:after="0" w:line="15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19.2</w:t>
      </w:r>
      <w:r>
        <w:rPr>
          <w:sz w:val="20"/>
          <w:szCs w:val="20"/>
          <w:color w:val="auto"/>
        </w:rPr>
        <w:tab/>
      </w:r>
      <w:r>
        <w:rPr>
          <w:rFonts w:ascii="Times New Roman" w:cs="Times New Roman" w:eastAsia="Times New Roman" w:hAnsi="Times New Roman"/>
          <w:sz w:val="19"/>
          <w:szCs w:val="19"/>
          <w:b w:val="1"/>
          <w:bCs w:val="1"/>
          <w:color w:val="auto"/>
        </w:rPr>
        <w:t>Termination on resignation as director</w:t>
      </w:r>
    </w:p>
    <w:p>
      <w:pPr>
        <w:spacing w:after="0" w:line="206"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If you resign as a director of the Company or any Group Company (otherwise than at the request of the Company), you shall be deemed to have terminated the Employment with effect from the date of your resignation and the Employment shall terminate at that time, unless the Company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both"/>
        <w:ind w:left="740" w:right="20"/>
        <w:spacing w:after="0" w:line="269" w:lineRule="auto"/>
        <w:rPr>
          <w:sz w:val="20"/>
          <w:szCs w:val="20"/>
          <w:color w:val="auto"/>
        </w:rPr>
      </w:pPr>
      <w:r>
        <w:rPr>
          <w:rFonts w:ascii="Times New Roman" w:cs="Times New Roman" w:eastAsia="Times New Roman" w:hAnsi="Times New Roman"/>
          <w:sz w:val="20"/>
          <w:szCs w:val="20"/>
          <w:color w:val="auto"/>
        </w:rPr>
        <w:t>agrees with you that the Employment should continue, in which case the Employment may be subject to any terms and conditions stipulated by the Company in its absolute discretion.</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19.3</w:t>
      </w:r>
      <w:r>
        <w:rPr>
          <w:sz w:val="20"/>
          <w:szCs w:val="20"/>
          <w:color w:val="auto"/>
        </w:rPr>
        <w:tab/>
      </w:r>
      <w:r>
        <w:rPr>
          <w:rFonts w:ascii="Times New Roman" w:cs="Times New Roman" w:eastAsia="Times New Roman" w:hAnsi="Times New Roman"/>
          <w:sz w:val="19"/>
          <w:szCs w:val="19"/>
          <w:b w:val="1"/>
          <w:bCs w:val="1"/>
          <w:color w:val="auto"/>
        </w:rPr>
        <w:t>No damages or payment in lieu of notice</w:t>
      </w:r>
    </w:p>
    <w:p>
      <w:pPr>
        <w:spacing w:after="0" w:line="193"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In the event of the Employment being terminated pursuant to Clause 19.1, you shall not be entitled to receive any payment in lieu of notice nor make any claim against the Company or any Group Company for damages for loss of office or termination of the Employment. Regardless of this, the termination shall be without prejudice to your continuing obligations owed under this Agreement.</w:t>
      </w:r>
    </w:p>
    <w:p>
      <w:pPr>
        <w:spacing w:after="0" w:line="162" w:lineRule="exact"/>
        <w:rPr>
          <w:sz w:val="20"/>
          <w:szCs w:val="20"/>
          <w:color w:val="auto"/>
        </w:rPr>
      </w:pPr>
    </w:p>
    <w:p>
      <w:pPr>
        <w:ind w:left="740" w:hanging="732"/>
        <w:spacing w:after="0"/>
        <w:tabs>
          <w:tab w:leader="none" w:pos="74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SEVERANCE</w:t>
      </w:r>
    </w:p>
    <w:p>
      <w:pPr>
        <w:spacing w:after="0" w:line="206"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20"/>
          <w:szCs w:val="20"/>
          <w:color w:val="auto"/>
        </w:rPr>
        <w:t>Pursuant to the terms of this Clause 20, it is the Company’s intention that you shall be entitled to comparable severance terms to those offered to the Group’s executives based in the United States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under the Severance Plan. Any defined terms in this Clause that are not defined elsewhere in this Agreement shall have the meanings given to them under the Severance Plan (as may be amended from time to time at Allison’s absolute discretion).</w:t>
      </w:r>
    </w:p>
    <w:p>
      <w:pPr>
        <w:spacing w:after="0" w:line="15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19"/>
          <w:szCs w:val="19"/>
          <w:color w:val="auto"/>
        </w:rPr>
        <w:t>Subject at all times to the remainder of this Clause 20, you will be entitled to receive severance payments as follows:</w:t>
      </w:r>
    </w:p>
    <w:p>
      <w:pPr>
        <w:spacing w:after="0" w:line="202" w:lineRule="exact"/>
        <w:rPr>
          <w:sz w:val="20"/>
          <w:szCs w:val="20"/>
          <w:color w:val="auto"/>
        </w:rPr>
      </w:pPr>
    </w:p>
    <w:p>
      <w:pPr>
        <w:ind w:left="1480" w:hanging="739"/>
        <w:spacing w:after="0"/>
        <w:tabs>
          <w:tab w:leader="none" w:pos="14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 Qualifying Termination, save for a Change in Control Qualifying Termination, payments in an amount equal to:</w:t>
      </w:r>
    </w:p>
    <w:p>
      <w:pPr>
        <w:spacing w:after="0" w:line="202" w:lineRule="exact"/>
        <w:rPr>
          <w:rFonts w:ascii="Times New Roman" w:cs="Times New Roman" w:eastAsia="Times New Roman" w:hAnsi="Times New Roman"/>
          <w:sz w:val="20"/>
          <w:szCs w:val="20"/>
          <w:color w:val="auto"/>
        </w:rPr>
      </w:pPr>
    </w:p>
    <w:p>
      <w:pPr>
        <w:ind w:left="2220" w:right="20" w:hanging="730"/>
        <w:spacing w:after="0" w:line="269" w:lineRule="auto"/>
        <w:tabs>
          <w:tab w:leader="none" w:pos="2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twelve months’ Base Amount, such sum to be reduced by any Notice Payment paid to you at the Company’s discretion pursuant to Clause 3.4;</w:t>
      </w:r>
    </w:p>
    <w:p>
      <w:pPr>
        <w:spacing w:after="0" w:line="132" w:lineRule="exact"/>
        <w:rPr>
          <w:rFonts w:ascii="Times New Roman" w:cs="Times New Roman" w:eastAsia="Times New Roman" w:hAnsi="Times New Roman"/>
          <w:sz w:val="20"/>
          <w:szCs w:val="20"/>
          <w:color w:val="auto"/>
        </w:rPr>
      </w:pPr>
    </w:p>
    <w:p>
      <w:pPr>
        <w:ind w:left="2220" w:hanging="730"/>
        <w:spacing w:after="0"/>
        <w:tabs>
          <w:tab w:leader="none" w:pos="2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twelve months’ Bonus Amount; and</w:t>
      </w:r>
    </w:p>
    <w:p>
      <w:pPr>
        <w:spacing w:after="0" w:line="202" w:lineRule="exact"/>
        <w:rPr>
          <w:rFonts w:ascii="Times New Roman" w:cs="Times New Roman" w:eastAsia="Times New Roman" w:hAnsi="Times New Roman"/>
          <w:sz w:val="20"/>
          <w:szCs w:val="20"/>
          <w:color w:val="auto"/>
        </w:rPr>
      </w:pPr>
    </w:p>
    <w:p>
      <w:pPr>
        <w:ind w:left="2220" w:right="20" w:hanging="730"/>
        <w:spacing w:after="0" w:line="269" w:lineRule="auto"/>
        <w:tabs>
          <w:tab w:leader="none" w:pos="2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twelve months’ premium costs payable by the Company in respect of any Health Care Scheme in which you (and your spouse and dependents, as applicable) participate as at the Qualifying Termination;</w:t>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(together the “</w:t>
      </w:r>
      <w:r>
        <w:rPr>
          <w:rFonts w:ascii="Times New Roman" w:cs="Times New Roman" w:eastAsia="Times New Roman" w:hAnsi="Times New Roman"/>
          <w:sz w:val="20"/>
          <w:szCs w:val="20"/>
          <w:b w:val="1"/>
          <w:bCs w:val="1"/>
          <w:color w:val="auto"/>
        </w:rPr>
        <w:t>Severance Payments</w:t>
      </w:r>
      <w:r>
        <w:rPr>
          <w:rFonts w:ascii="Times New Roman" w:cs="Times New Roman" w:eastAsia="Times New Roman" w:hAnsi="Times New Roman"/>
          <w:sz w:val="20"/>
          <w:szCs w:val="20"/>
          <w:color w:val="auto"/>
        </w:rPr>
        <w:t>”); or</w:t>
      </w:r>
    </w:p>
    <w:p>
      <w:pPr>
        <w:spacing w:after="0" w:line="193" w:lineRule="exact"/>
        <w:rPr>
          <w:sz w:val="20"/>
          <w:szCs w:val="20"/>
          <w:color w:val="auto"/>
        </w:rPr>
      </w:pPr>
    </w:p>
    <w:p>
      <w:pPr>
        <w:ind w:left="1480" w:hanging="739"/>
        <w:spacing w:after="0"/>
        <w:tabs>
          <w:tab w:leader="none" w:pos="14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 Change in Control Qualifying Termination, payments in an amount equal to:</w:t>
      </w:r>
    </w:p>
    <w:p>
      <w:pPr>
        <w:spacing w:after="0" w:line="202" w:lineRule="exact"/>
        <w:rPr>
          <w:rFonts w:ascii="Times New Roman" w:cs="Times New Roman" w:eastAsia="Times New Roman" w:hAnsi="Times New Roman"/>
          <w:sz w:val="20"/>
          <w:szCs w:val="20"/>
          <w:color w:val="auto"/>
        </w:rPr>
      </w:pPr>
    </w:p>
    <w:p>
      <w:pPr>
        <w:ind w:left="2220" w:hanging="730"/>
        <w:spacing w:after="0" w:line="269" w:lineRule="auto"/>
        <w:tabs>
          <w:tab w:leader="none" w:pos="222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twenty-four months’ Base Amount, such sum to be reduced by any Notice Payment paid to you at the Company’s discretion pursuant to Clause 3.4;</w:t>
      </w:r>
    </w:p>
    <w:p>
      <w:pPr>
        <w:spacing w:after="0" w:line="145" w:lineRule="exact"/>
        <w:rPr>
          <w:rFonts w:ascii="Times New Roman" w:cs="Times New Roman" w:eastAsia="Times New Roman" w:hAnsi="Times New Roman"/>
          <w:sz w:val="20"/>
          <w:szCs w:val="20"/>
          <w:color w:val="auto"/>
        </w:rPr>
      </w:pPr>
    </w:p>
    <w:p>
      <w:pPr>
        <w:ind w:left="2220" w:hanging="730"/>
        <w:spacing w:after="0"/>
        <w:tabs>
          <w:tab w:leader="none" w:pos="222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twenty-four months’ Bonus Amount; and</w:t>
      </w:r>
    </w:p>
    <w:p>
      <w:pPr>
        <w:spacing w:after="0" w:line="188" w:lineRule="exact"/>
        <w:rPr>
          <w:rFonts w:ascii="Times New Roman" w:cs="Times New Roman" w:eastAsia="Times New Roman" w:hAnsi="Times New Roman"/>
          <w:sz w:val="20"/>
          <w:szCs w:val="20"/>
          <w:color w:val="auto"/>
        </w:rPr>
      </w:pPr>
    </w:p>
    <w:p>
      <w:pPr>
        <w:jc w:val="both"/>
        <w:ind w:left="2220" w:hanging="730"/>
        <w:spacing w:after="0" w:line="254" w:lineRule="auto"/>
        <w:tabs>
          <w:tab w:leader="none" w:pos="222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twenty-four months’ premium costs payable by the Company in respect of any Health Care Scheme in which you (and your spouse and dependents, as applicable) participate as at the Change in Control Qualifying Termination;</w:t>
      </w:r>
    </w:p>
    <w:p>
      <w:pPr>
        <w:spacing w:after="0" w:line="157" w:lineRule="exact"/>
        <w:rPr>
          <w:sz w:val="20"/>
          <w:szCs w:val="20"/>
          <w:color w:val="auto"/>
        </w:rPr>
      </w:pPr>
    </w:p>
    <w:p>
      <w:pPr>
        <w:jc w:val="both"/>
        <w:ind w:left="1480"/>
        <w:spacing w:after="0" w:line="250" w:lineRule="auto"/>
        <w:rPr>
          <w:sz w:val="20"/>
          <w:szCs w:val="20"/>
          <w:color w:val="auto"/>
        </w:rPr>
      </w:pPr>
      <w:r>
        <w:rPr>
          <w:rFonts w:ascii="Times New Roman" w:cs="Times New Roman" w:eastAsia="Times New Roman" w:hAnsi="Times New Roman"/>
          <w:sz w:val="20"/>
          <w:szCs w:val="20"/>
          <w:color w:val="auto"/>
        </w:rPr>
        <w:t>(together the “</w:t>
      </w:r>
      <w:r>
        <w:rPr>
          <w:rFonts w:ascii="Times New Roman" w:cs="Times New Roman" w:eastAsia="Times New Roman" w:hAnsi="Times New Roman"/>
          <w:sz w:val="20"/>
          <w:szCs w:val="20"/>
          <w:b w:val="1"/>
          <w:bCs w:val="1"/>
          <w:color w:val="auto"/>
        </w:rPr>
        <w:t>CIC Severance Payments</w:t>
      </w:r>
      <w:r>
        <w:rPr>
          <w:rFonts w:ascii="Times New Roman" w:cs="Times New Roman" w:eastAsia="Times New Roman" w:hAnsi="Times New Roman"/>
          <w:sz w:val="20"/>
          <w:szCs w:val="20"/>
          <w:color w:val="auto"/>
        </w:rPr>
        <w:t>”, and together with the Severance Payments the “</w:t>
      </w:r>
      <w:r>
        <w:rPr>
          <w:rFonts w:ascii="Times New Roman" w:cs="Times New Roman" w:eastAsia="Times New Roman" w:hAnsi="Times New Roman"/>
          <w:sz w:val="20"/>
          <w:szCs w:val="20"/>
          <w:b w:val="1"/>
          <w:bCs w:val="1"/>
          <w:color w:val="auto"/>
        </w:rPr>
        <w:t>Plan Payments</w:t>
      </w:r>
      <w:r>
        <w:rPr>
          <w:rFonts w:ascii="Times New Roman" w:cs="Times New Roman" w:eastAsia="Times New Roman" w:hAnsi="Times New Roman"/>
          <w:sz w:val="20"/>
          <w:szCs w:val="20"/>
          <w:color w:val="auto"/>
        </w:rPr>
        <w:t>”). For the avoidance of doubt, no Plan Payments will be payable should the Employment be terminated by: (i) the Company for Cause; or (ii) by you other than for Good Reason. All Plan Payments payable to you pursuant to this Clause 20 shall be payable after the deduction of any taxes and national insurance contributions as appropriate.</w:t>
      </w:r>
    </w:p>
    <w:p>
      <w:pPr>
        <w:spacing w:after="0" w:line="16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19"/>
          <w:szCs w:val="19"/>
          <w:color w:val="auto"/>
        </w:rPr>
        <w:t>Your entitlement to receive the Plan Payments will be strictly conditional upon: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ind w:left="1480" w:hanging="739"/>
        <w:spacing w:after="0" w:line="269" w:lineRule="auto"/>
        <w:tabs>
          <w:tab w:leader="none" w:pos="14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being fully satisfied that you have complied with your obligations under Clause 21 and your continued compliance with your obligations under Clause 22; and</w:t>
      </w:r>
    </w:p>
    <w:p>
      <w:pPr>
        <w:spacing w:after="0" w:line="145" w:lineRule="exact"/>
        <w:rPr>
          <w:rFonts w:ascii="Times New Roman" w:cs="Times New Roman" w:eastAsia="Times New Roman" w:hAnsi="Times New Roman"/>
          <w:sz w:val="20"/>
          <w:szCs w:val="20"/>
          <w:color w:val="auto"/>
        </w:rPr>
      </w:pPr>
    </w:p>
    <w:p>
      <w:pPr>
        <w:jc w:val="both"/>
        <w:ind w:left="1480" w:hanging="739"/>
        <w:spacing w:after="0" w:line="249" w:lineRule="auto"/>
        <w:tabs>
          <w:tab w:leader="none" w:pos="14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having entered into a binding settlement agreement within 60 days of the Qualifying Termination or Change in Control Qualifying Termination (as applicable) which includes a general release of all statutory and contractual claims against the Company, any Group Company and any of its or their affiliates or respective shareholders, officers, employees or agents in any jurisdiction in a form acceptable to the Company (the “</w:t>
      </w:r>
      <w:r>
        <w:rPr>
          <w:rFonts w:ascii="Times New Roman" w:cs="Times New Roman" w:eastAsia="Times New Roman" w:hAnsi="Times New Roman"/>
          <w:sz w:val="20"/>
          <w:szCs w:val="20"/>
          <w:b w:val="1"/>
          <w:bCs w:val="1"/>
          <w:color w:val="auto"/>
        </w:rPr>
        <w:t>Settlement Agreement</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For the avoidance of doubt, no Plan Payments will be payable should you to fail to fully comply with (a) and (b), or in the event you enter into the Settlement Agreement and then subsequently purport to revoke the release of claims. Should the Plan Payments already have been paid to you in such circumstances, the Company shall be entitled to demand immediate repayment of said Plan Payments.</w:t>
      </w:r>
    </w:p>
    <w:p>
      <w:pPr>
        <w:spacing w:after="0" w:line="16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19"/>
          <w:szCs w:val="19"/>
          <w:color w:val="auto"/>
        </w:rPr>
        <w:t>Subject at all times to Clause 20.3:</w:t>
      </w:r>
    </w:p>
    <w:p>
      <w:pPr>
        <w:spacing w:after="0" w:line="202" w:lineRule="exact"/>
        <w:rPr>
          <w:sz w:val="20"/>
          <w:szCs w:val="20"/>
          <w:color w:val="auto"/>
        </w:rPr>
      </w:pPr>
    </w:p>
    <w:p>
      <w:pPr>
        <w:jc w:val="both"/>
        <w:ind w:left="1480" w:hanging="739"/>
        <w:spacing w:after="0" w:line="254" w:lineRule="auto"/>
        <w:tabs>
          <w:tab w:leader="none" w:pos="14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sums payable pursuant to Clauses 20.2(a)(i), 20.2(a)(ii), 20.2(b)(i) and/or 20.2(b)(ii) shall be made to you within 60 days of the later of: (i) the Qualifying Termination or Change in Control Qualifying Termination (as applicable); and (ii) receipt by the Company of the Settlement Agreement, duly signed by you and your adviser;</w:t>
      </w:r>
    </w:p>
    <w:p>
      <w:pPr>
        <w:spacing w:after="0" w:line="147"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sums payable pursuant to Clauses 20.2(a)(iii) shall be paid to you on a monthly basis for the shorter of (i) twelve months, and (ii) you being eligible to participate in a substantially comparable Health Care Scheme with an alternative employer; and</w:t>
      </w:r>
    </w:p>
    <w:p>
      <w:pPr>
        <w:spacing w:after="0" w:line="160"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sums payable pursuant to Clauses 20.2(b)(iii) shall be paid to you on a monthly basis for the shorter of (i) twenty-four months, and (ii) you being eligible to participate in a substantially comparable Health Care Scheme with an alternative employer.</w:t>
      </w:r>
    </w:p>
    <w:p>
      <w:pPr>
        <w:spacing w:after="0" w:line="161" w:lineRule="exact"/>
        <w:rPr>
          <w:sz w:val="20"/>
          <w:szCs w:val="20"/>
          <w:color w:val="auto"/>
        </w:rPr>
      </w:pPr>
    </w:p>
    <w:p>
      <w:pPr>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auto"/>
        </w:rPr>
        <w:t>20.5</w:t>
      </w:r>
      <w:r>
        <w:rPr>
          <w:sz w:val="20"/>
          <w:szCs w:val="20"/>
          <w:color w:val="auto"/>
        </w:rPr>
        <w:tab/>
      </w:r>
      <w:r>
        <w:rPr>
          <w:rFonts w:ascii="Times New Roman" w:cs="Times New Roman" w:eastAsia="Times New Roman" w:hAnsi="Times New Roman"/>
          <w:sz w:val="20"/>
          <w:szCs w:val="20"/>
          <w:color w:val="auto"/>
        </w:rPr>
        <w:t>In addition to the Plan Payments, and at all times subject to the terms of the applicable equity plan, upon a Change in Control Qualifying Termination:</w:t>
      </w:r>
    </w:p>
    <w:p>
      <w:pPr>
        <w:spacing w:after="0" w:line="132" w:lineRule="exact"/>
        <w:rPr>
          <w:sz w:val="20"/>
          <w:szCs w:val="20"/>
          <w:color w:val="auto"/>
        </w:rPr>
      </w:pPr>
    </w:p>
    <w:p>
      <w:pPr>
        <w:ind w:left="1480" w:right="20" w:hanging="739"/>
        <w:spacing w:after="0" w:line="269" w:lineRule="auto"/>
        <w:tabs>
          <w:tab w:leader="none" w:pos="14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unvested time-based equity or equity-based awards under any Allison equity compensation plan held by you shall immediately become 100% vested as at the Change in Control Qualifying Termination; and</w:t>
      </w:r>
    </w:p>
    <w:p>
      <w:pPr>
        <w:spacing w:after="0" w:line="145"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post-termination exercise period of any stock options outstanding under any Allison equity compensation plan as at the Change in Control Qualifying Termination shall be extended until the second anniversary of the date of such Change in Control Qualifying Termination (or the expiration date, if earlier);</w:t>
      </w:r>
    </w:p>
    <w:p>
      <w:pPr>
        <w:spacing w:after="0" w:line="161"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provided that, any such awards that are subject to performance-based vesting conditions shall only be payable subject to the attainment of the performance measures for the applicable performance period as provided under the terms of the applicable award agreement.</w:t>
      </w:r>
    </w:p>
    <w:p>
      <w:pPr>
        <w:spacing w:after="0" w:line="147"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20"/>
          <w:szCs w:val="20"/>
          <w:color w:val="auto"/>
        </w:rPr>
        <w:t>You hereby acknowledge and agree that the terms of this Clause 20 may be amended at the Company’s absolute discretion at any time on written notice to you to reflect any amendment(s) Allison may make to the Severance Plan at any time in the future that affect Tier 1 Participants, for the purposes of ensuring that your entitlement to Plan Payments under this Clause 20 remains comparable in all material respects to the entitlement of Tier 1 Participants under the Severance Plan.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ind w:left="740" w:hanging="732"/>
        <w:spacing w:after="0"/>
        <w:tabs>
          <w:tab w:leader="none" w:pos="74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EVENTS UPON TERMINATION</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b w:val="1"/>
          <w:bCs w:val="1"/>
          <w:color w:val="auto"/>
        </w:rPr>
        <w:t>Obligations upon termination</w:t>
      </w:r>
    </w:p>
    <w:p>
      <w:pPr>
        <w:spacing w:after="0" w:line="193"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Immediately upon the termination of the Employment howsoever arising or immediately at the request of the Company at any time after either the Company or you have served notice of termination of the Employment, you shall:</w:t>
      </w:r>
    </w:p>
    <w:p>
      <w:pPr>
        <w:spacing w:after="0" w:line="146" w:lineRule="exact"/>
        <w:rPr>
          <w:sz w:val="20"/>
          <w:szCs w:val="20"/>
          <w:color w:val="auto"/>
        </w:rPr>
      </w:pPr>
    </w:p>
    <w:p>
      <w:pPr>
        <w:jc w:val="both"/>
        <w:ind w:left="1480" w:hanging="739"/>
        <w:spacing w:after="0" w:line="246" w:lineRule="auto"/>
        <w:tabs>
          <w:tab w:leader="none" w:pos="14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Company all Works, materials within the scope of Clause 17.2 and all other materials and property including credit or charge cards, mobile telephone, computer equipment, disks and software, passwords, encryption keys or the like, keys, security pass, letters, stationery, documents, files, films, records, reports, plans and papers (in whatever format including electronic) and all copies thereof used in or relating to the business of the Company or the Group which are in your possession or under your control;</w:t>
      </w:r>
    </w:p>
    <w:p>
      <w:pPr>
        <w:spacing w:after="0" w:line="171" w:lineRule="exact"/>
        <w:rPr>
          <w:rFonts w:ascii="Times New Roman" w:cs="Times New Roman" w:eastAsia="Times New Roman" w:hAnsi="Times New Roman"/>
          <w:sz w:val="20"/>
          <w:szCs w:val="20"/>
          <w:color w:val="auto"/>
        </w:rPr>
      </w:pPr>
    </w:p>
    <w:p>
      <w:pPr>
        <w:jc w:val="both"/>
        <w:ind w:left="1480" w:hanging="739"/>
        <w:spacing w:after="0" w:line="249" w:lineRule="auto"/>
        <w:tabs>
          <w:tab w:leader="none" w:pos="14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 (without claim for compensation) as a director and from all other offices held by you in the Company or any Group Company or otherwise by virtue of the Employment. For the avoidance of doubt, such resignations shall be without prejudice to any claims you may have against the Company or any Group Company arising out of the termination of the Employment; and</w:t>
      </w:r>
    </w:p>
    <w:p>
      <w:pPr>
        <w:spacing w:after="0" w:line="152"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without payment, to the Company, or as the Company may direct, any shares or other securities held by you as nominee or trustee for the Company or any Group Company;</w:t>
      </w:r>
    </w:p>
    <w:p>
      <w:pPr>
        <w:spacing w:after="0" w:line="146" w:lineRule="exact"/>
        <w:rPr>
          <w:sz w:val="20"/>
          <w:szCs w:val="20"/>
          <w:color w:val="auto"/>
        </w:rPr>
      </w:pPr>
    </w:p>
    <w:p>
      <w:pPr>
        <w:jc w:val="both"/>
        <w:ind w:left="740"/>
        <w:spacing w:after="0" w:line="269" w:lineRule="auto"/>
        <w:rPr>
          <w:sz w:val="20"/>
          <w:szCs w:val="20"/>
          <w:color w:val="auto"/>
        </w:rPr>
      </w:pPr>
      <w:r>
        <w:rPr>
          <w:rFonts w:ascii="Times New Roman" w:cs="Times New Roman" w:eastAsia="Times New Roman" w:hAnsi="Times New Roman"/>
          <w:sz w:val="20"/>
          <w:szCs w:val="20"/>
          <w:color w:val="auto"/>
        </w:rPr>
        <w:t>and should you fail to do so the Company is hereby irrevocably authorised to appoint some person to sign any documents and/or do all things in your name and on your behalf necessary to give effect thereto.</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b w:val="1"/>
          <w:bCs w:val="1"/>
          <w:color w:val="auto"/>
        </w:rPr>
        <w:t>Loss of Share Incentives</w:t>
      </w:r>
    </w:p>
    <w:p>
      <w:pPr>
        <w:spacing w:after="0" w:line="193" w:lineRule="exact"/>
        <w:rPr>
          <w:sz w:val="20"/>
          <w:szCs w:val="20"/>
          <w:color w:val="auto"/>
        </w:rPr>
      </w:pPr>
    </w:p>
    <w:p>
      <w:pPr>
        <w:jc w:val="both"/>
        <w:ind w:left="740"/>
        <w:spacing w:after="0" w:line="245" w:lineRule="auto"/>
        <w:rPr>
          <w:sz w:val="20"/>
          <w:szCs w:val="20"/>
          <w:color w:val="auto"/>
        </w:rPr>
      </w:pPr>
      <w:r>
        <w:rPr>
          <w:rFonts w:ascii="Times New Roman" w:cs="Times New Roman" w:eastAsia="Times New Roman" w:hAnsi="Times New Roman"/>
          <w:sz w:val="20"/>
          <w:szCs w:val="20"/>
          <w:color w:val="auto"/>
        </w:rPr>
        <w:t>On the termination of the Employment (howsoever arising, including lawfully or unlawfully), you shall not be entitled to any compensation or payment for the loss of any Share Incentives or any benefit which could have been derived from them, whether the compensation or payment is claimed by way of a payment in lieu of notice, damages for wrongful dismissal, breach of contract or loss of office, or compensation for unfair dismissal, or by way of any other statutory claim or any action relating to this Agreement. For the avoidance of doubt, this Clause 21.2 shall not prevent from you from exercising any rights you may have in accordance with and subject to the terms of any separate agreement(s) pertaining to any Share Incentives.</w:t>
      </w:r>
    </w:p>
    <w:p>
      <w:pPr>
        <w:spacing w:after="0" w:line="167" w:lineRule="exact"/>
        <w:rPr>
          <w:sz w:val="20"/>
          <w:szCs w:val="20"/>
          <w:color w:val="auto"/>
        </w:rPr>
      </w:pPr>
    </w:p>
    <w:p>
      <w:pPr>
        <w:ind w:left="740" w:hanging="732"/>
        <w:spacing w:after="0"/>
        <w:tabs>
          <w:tab w:leader="none" w:pos="74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RESTRICTIONS AFTER TERMINATION</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193"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Since you are likely to obtain Confidential Information in the course of the Employment and personal knowledge of and influence over suppliers, customers, clients and employees of the Company and Group Companies, you hereby agree with the Company that in addition to the other terms of this Agreement and without prejudice to the other restrictions imposed upon you by law, you will be bound by the covenants and undertakings contained in Clause 22.2. In this Clause 22, unless the context otherwise requires:</w:t>
      </w:r>
    </w:p>
    <w:p>
      <w:pPr>
        <w:spacing w:after="0" w:line="162" w:lineRule="exact"/>
        <w:rPr>
          <w:sz w:val="20"/>
          <w:szCs w:val="20"/>
          <w:color w:val="auto"/>
        </w:rPr>
      </w:pPr>
    </w:p>
    <w:p>
      <w:pPr>
        <w:jc w:val="both"/>
        <w:ind w:left="3960" w:right="320" w:hanging="2942"/>
        <w:spacing w:after="0" w:line="254" w:lineRule="auto"/>
        <w:tabs>
          <w:tab w:leader="none" w:pos="394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Customer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 any person to which the Company distributed, sold or supplied products or services in connection with the Restricted Business during the Relevant Period and with whom, during that period either you, or any employee under the direct 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indirect supervision of you, had material dealings in the course of the Employment, or</w:t>
            </w:r>
          </w:p>
        </w:tc>
      </w:t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about which you had Confidential Information, but always excluding therefrom, any</w:t>
            </w:r>
          </w:p>
        </w:tc>
      </w:tr>
      <w:tr>
        <w:trPr>
          <w:trHeight w:val="229"/>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division, branch or office of such person with whom you and/or any such employee had</w:t>
            </w:r>
          </w:p>
        </w:tc>
      </w:tr>
      <w:tr>
        <w:trPr>
          <w:trHeight w:val="258"/>
        </w:trPr>
        <w:tc>
          <w:tcPr>
            <w:tcW w:w="3500" w:type="dxa"/>
            <w:vAlign w:val="bottom"/>
          </w:tcPr>
          <w:p>
            <w:pPr>
              <w:spacing w:after="0"/>
              <w:rPr>
                <w:sz w:val="22"/>
                <w:szCs w:val="22"/>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 dealings during that period and about whom you had no Confidential Information;</w:t>
            </w:r>
          </w:p>
        </w:tc>
      </w:tr>
      <w:tr>
        <w:trPr>
          <w:trHeight w:val="309"/>
        </w:trPr>
        <w:tc>
          <w:tcPr>
            <w:tcW w:w="35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Prospective Customer</w:t>
            </w:r>
            <w:r>
              <w:rPr>
                <w:rFonts w:ascii="Times New Roman" w:cs="Times New Roman" w:eastAsia="Times New Roman" w:hAnsi="Times New Roman"/>
                <w:sz w:val="20"/>
                <w:szCs w:val="20"/>
                <w:color w:val="auto"/>
              </w:rPr>
              <w:t>”</w:t>
            </w: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means any person with whom the Company had discussions during the Relevant Period</w:t>
            </w:r>
          </w:p>
        </w:tc>
      </w:t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regarding the possible distribution, sale or supply of products or services in connection</w:t>
            </w:r>
          </w:p>
        </w:tc>
      </w:tr>
      <w:tr>
        <w:trPr>
          <w:trHeight w:val="229"/>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with the Restricted Business and with whom during such period you, or any employee</w:t>
            </w:r>
          </w:p>
        </w:tc>
      </w:t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who was under the direct or indirect supervision of you, had material dealings in the</w:t>
            </w:r>
          </w:p>
        </w:tc>
      </w:tr>
      <w:tr>
        <w:trPr>
          <w:trHeight w:val="229"/>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course of the Employment, or about which you had Confidential Information, but</w:t>
            </w:r>
          </w:p>
        </w:tc>
      </w:tr>
      <w:tr>
        <w:trPr>
          <w:trHeight w:val="229"/>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always excluding therefrom any division, branch or office of that person with whom</w:t>
            </w:r>
          </w:p>
        </w:tc>
      </w:t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you and/or any such employee had no dealings during that period and about whom you</w:t>
            </w:r>
          </w:p>
        </w:tc>
      </w:tr>
      <w:tr>
        <w:trPr>
          <w:trHeight w:val="258"/>
        </w:trPr>
        <w:tc>
          <w:tcPr>
            <w:tcW w:w="3500" w:type="dxa"/>
            <w:vAlign w:val="bottom"/>
          </w:tcPr>
          <w:p>
            <w:pPr>
              <w:spacing w:after="0"/>
              <w:rPr>
                <w:sz w:val="22"/>
                <w:szCs w:val="22"/>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had no Confidential Information;</w:t>
            </w:r>
          </w:p>
        </w:tc>
      </w:tr>
      <w:tr>
        <w:trPr>
          <w:trHeight w:val="309"/>
        </w:trPr>
        <w:tc>
          <w:tcPr>
            <w:tcW w:w="35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Period</w:t>
            </w:r>
            <w:r>
              <w:rPr>
                <w:rFonts w:ascii="Times New Roman" w:cs="Times New Roman" w:eastAsia="Times New Roman" w:hAnsi="Times New Roman"/>
                <w:sz w:val="20"/>
                <w:szCs w:val="20"/>
                <w:color w:val="auto"/>
              </w:rPr>
              <w:t>”</w:t>
            </w: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means: (i) where the Employment is continuing, the period of the Employment; and (ii)</w:t>
            </w:r>
          </w:p>
        </w:tc>
      </w:tr>
      <w:tr>
        <w:trPr>
          <w:trHeight w:val="229"/>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where the Employment has terminated, the period of twelve months immediately</w:t>
            </w:r>
          </w:p>
        </w:tc>
      </w:tr>
      <w:tr>
        <w:trPr>
          <w:trHeight w:val="258"/>
        </w:trPr>
        <w:tc>
          <w:tcPr>
            <w:tcW w:w="3500" w:type="dxa"/>
            <w:vAlign w:val="bottom"/>
          </w:tcPr>
          <w:p>
            <w:pPr>
              <w:spacing w:after="0"/>
              <w:rPr>
                <w:sz w:val="22"/>
                <w:szCs w:val="22"/>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preceding the Termination Date;</w:t>
            </w:r>
          </w:p>
        </w:tc>
      </w:tr>
      <w:tr>
        <w:trPr>
          <w:trHeight w:val="338"/>
        </w:trPr>
        <w:tc>
          <w:tcPr>
            <w:tcW w:w="35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Area</w:t>
            </w:r>
            <w:r>
              <w:rPr>
                <w:rFonts w:ascii="Times New Roman" w:cs="Times New Roman" w:eastAsia="Times New Roman" w:hAnsi="Times New Roman"/>
                <w:sz w:val="20"/>
                <w:szCs w:val="20"/>
                <w:color w:val="auto"/>
              </w:rPr>
              <w:t>”</w:t>
            </w: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means:</w:t>
            </w:r>
          </w:p>
        </w:tc>
      </w:tr>
      <w:tr>
        <w:trPr>
          <w:trHeight w:val="338"/>
        </w:trPr>
        <w:tc>
          <w:tcPr>
            <w:tcW w:w="3500" w:type="dxa"/>
            <w:vAlign w:val="bottom"/>
          </w:tcPr>
          <w:p>
            <w:pPr>
              <w:spacing w:after="0"/>
              <w:rPr>
                <w:sz w:val="24"/>
                <w:szCs w:val="24"/>
                <w:color w:val="auto"/>
              </w:rPr>
            </w:pPr>
          </w:p>
        </w:tc>
        <w:tc>
          <w:tcPr>
            <w:tcW w:w="77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(a)   England, Scotland, Wales and Northern Ireland; and</w:t>
            </w:r>
          </w:p>
        </w:tc>
      </w:tr>
      <w:tr>
        <w:trPr>
          <w:trHeight w:val="403"/>
        </w:trPr>
        <w:tc>
          <w:tcPr>
            <w:tcW w:w="3500" w:type="dxa"/>
            <w:vAlign w:val="bottom"/>
          </w:tcPr>
          <w:p>
            <w:pPr>
              <w:spacing w:after="0"/>
              <w:rPr>
                <w:sz w:val="24"/>
                <w:szCs w:val="24"/>
                <w:color w:val="auto"/>
              </w:rPr>
            </w:pPr>
          </w:p>
        </w:tc>
        <w:tc>
          <w:tcPr>
            <w:tcW w:w="77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(b)  any other country in the world where, on the Termination Date, the</w:t>
            </w:r>
          </w:p>
        </w:tc>
      </w:tr>
      <w:tr>
        <w:trPr>
          <w:trHeight w:val="258"/>
        </w:trPr>
        <w:tc>
          <w:tcPr>
            <w:tcW w:w="3500" w:type="dxa"/>
            <w:vAlign w:val="bottom"/>
          </w:tcPr>
          <w:p>
            <w:pPr>
              <w:spacing w:after="0"/>
              <w:rPr>
                <w:sz w:val="22"/>
                <w:szCs w:val="22"/>
                <w:color w:val="auto"/>
              </w:rPr>
            </w:pPr>
          </w:p>
        </w:tc>
        <w:tc>
          <w:tcPr>
            <w:tcW w:w="774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Company dealt in or carried on the Restricted Business;</w:t>
            </w:r>
          </w:p>
        </w:tc>
      </w:tr>
      <w:tr>
        <w:trPr>
          <w:trHeight w:val="390"/>
        </w:trPr>
        <w:tc>
          <w:tcPr>
            <w:tcW w:w="35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Business</w:t>
            </w:r>
            <w:r>
              <w:rPr>
                <w:rFonts w:ascii="Times New Roman" w:cs="Times New Roman" w:eastAsia="Times New Roman" w:hAnsi="Times New Roman"/>
                <w:sz w:val="20"/>
                <w:szCs w:val="20"/>
                <w:color w:val="auto"/>
              </w:rPr>
              <w:t>”</w:t>
            </w: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means the business carried on by the Company, and any services (including but not</w:t>
            </w:r>
          </w:p>
        </w:tc>
      </w:t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limited to technical and product support, technical advice and customer services)</w:t>
            </w:r>
          </w:p>
        </w:tc>
      </w:t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researched into, developed or supplied by the Company and any products, equipment</w:t>
            </w:r>
          </w:p>
        </w:tc>
      </w:t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or machinery researched into, developed, manufactured, supplied, marketed, distributed</w:t>
            </w:r>
          </w:p>
        </w:tc>
      </w:tr>
      <w:tr>
        <w:trPr>
          <w:trHeight w:val="229"/>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or sold by the Company, in each case with which your duties were materially</w:t>
            </w:r>
          </w:p>
        </w:tc>
      </w:t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concerned or for which you were responsible during the Relevant Period or about</w:t>
            </w:r>
          </w:p>
        </w:tc>
      </w:t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which you had Confidential Information, or any services or products, equipment or</w:t>
            </w:r>
          </w:p>
        </w:tc>
      </w:tr>
      <w:tr>
        <w:trPr>
          <w:trHeight w:val="258"/>
        </w:trPr>
        <w:tc>
          <w:tcPr>
            <w:tcW w:w="3500" w:type="dxa"/>
            <w:vAlign w:val="bottom"/>
          </w:tcPr>
          <w:p>
            <w:pPr>
              <w:spacing w:after="0"/>
              <w:rPr>
                <w:sz w:val="22"/>
                <w:szCs w:val="22"/>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machinery of the same type or materially similar thereto;</w:t>
            </w:r>
          </w:p>
        </w:tc>
      </w:tr>
      <w:tr>
        <w:trPr>
          <w:trHeight w:val="309"/>
        </w:trPr>
        <w:tc>
          <w:tcPr>
            <w:tcW w:w="35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Employee</w:t>
            </w:r>
            <w:r>
              <w:rPr>
                <w:rFonts w:ascii="Times New Roman" w:cs="Times New Roman" w:eastAsia="Times New Roman" w:hAnsi="Times New Roman"/>
                <w:sz w:val="20"/>
                <w:szCs w:val="20"/>
                <w:color w:val="auto"/>
              </w:rPr>
              <w:t>”</w:t>
            </w: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means any person who was a director, employee or consultant of the Company at any</w:t>
            </w:r>
          </w:p>
        </w:tc>
      </w:tr>
      <w:tr>
        <w:trPr>
          <w:trHeight w:val="229"/>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time within the Relevant Period who by reason of that position and in particular their</w:t>
            </w:r>
          </w:p>
        </w:tc>
      </w:t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seniority and expertise or knowledge of Confidential Information or knowledge of or</w:t>
            </w:r>
          </w:p>
        </w:tc>
      </w:t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influence over the clients, customers or contacts of the Company is likely to cause</w:t>
            </w:r>
          </w:p>
        </w:tc>
      </w:tr>
      <w:tr>
        <w:trPr>
          <w:trHeight w:val="230"/>
        </w:trPr>
        <w:tc>
          <w:tcPr>
            <w:tcW w:w="3500" w:type="dxa"/>
            <w:vAlign w:val="bottom"/>
          </w:tcPr>
          <w:p>
            <w:pPr>
              <w:spacing w:after="0"/>
              <w:rPr>
                <w:sz w:val="19"/>
                <w:szCs w:val="19"/>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damage to the Company if  they were to leave the employment of the Company and</w:t>
            </w:r>
          </w:p>
        </w:tc>
      </w:tr>
      <w:tr>
        <w:trPr>
          <w:trHeight w:val="258"/>
        </w:trPr>
        <w:tc>
          <w:tcPr>
            <w:tcW w:w="3500" w:type="dxa"/>
            <w:vAlign w:val="bottom"/>
          </w:tcPr>
          <w:p>
            <w:pPr>
              <w:spacing w:after="0"/>
              <w:rPr>
                <w:sz w:val="22"/>
                <w:szCs w:val="22"/>
                <w:color w:val="auto"/>
              </w:rPr>
            </w:pPr>
          </w:p>
        </w:tc>
        <w:tc>
          <w:tcPr>
            <w:tcW w:w="7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become employed by a competitor of the Company;</w:t>
            </w:r>
          </w:p>
        </w:tc>
      </w:tr>
      <w:tr>
        <w:trPr>
          <w:trHeight w:val="534"/>
        </w:trPr>
        <w:tc>
          <w:tcPr>
            <w:tcW w:w="3500" w:type="dxa"/>
            <w:vAlign w:val="bottom"/>
          </w:tcPr>
          <w:p>
            <w:pPr>
              <w:spacing w:after="0"/>
              <w:rPr>
                <w:sz w:val="24"/>
                <w:szCs w:val="24"/>
                <w:color w:val="auto"/>
              </w:rPr>
            </w:pPr>
          </w:p>
        </w:tc>
        <w:tc>
          <w:tcPr>
            <w:tcW w:w="77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18</w:t>
            </w:r>
          </w:p>
        </w:tc>
      </w:tr>
      <w:tr>
        <w:trPr>
          <w:trHeight w:val="314"/>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  888349-0000||</w:t>
            </w:r>
          </w:p>
        </w:tc>
        <w:tc>
          <w:tcPr>
            <w:tcW w:w="7740" w:type="dxa"/>
            <w:vAlign w:val="bottom"/>
          </w:tcPr>
          <w:p>
            <w:pPr>
              <w:spacing w:after="0"/>
              <w:rPr>
                <w:sz w:val="24"/>
                <w:szCs w:val="24"/>
                <w:color w:val="auto"/>
              </w:rPr>
            </w:pPr>
          </w:p>
        </w:tc>
      </w:tr>
      <w:tr>
        <w:trPr>
          <w:trHeight w:val="746"/>
        </w:trPr>
        <w:tc>
          <w:tcPr>
            <w:tcW w:w="350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1" w:name="page132"/>
    <w:bookmarkEnd w:id="131"/>
    <w:p>
      <w:pPr>
        <w:ind w:left="10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Restricted Period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ind w:right="320"/>
        <w:spacing w:after="0" w:line="269" w:lineRule="auto"/>
        <w:rPr>
          <w:sz w:val="20"/>
          <w:szCs w:val="20"/>
          <w:color w:val="auto"/>
        </w:rPr>
      </w:pPr>
      <w:r>
        <w:rPr>
          <w:rFonts w:ascii="Times New Roman" w:cs="Times New Roman" w:eastAsia="Times New Roman" w:hAnsi="Times New Roman"/>
          <w:sz w:val="20"/>
          <w:szCs w:val="20"/>
          <w:color w:val="auto"/>
        </w:rPr>
        <w:t>means the period commencing on the Termination Date and, subject to the terms of Clause 22.4, continuing for twelve months;</w:t>
      </w:r>
    </w:p>
    <w:p>
      <w:pPr>
        <w:spacing w:after="0" w:line="47" w:lineRule="exact"/>
        <w:rPr>
          <w:sz w:val="20"/>
          <w:szCs w:val="20"/>
          <w:color w:val="auto"/>
        </w:rPr>
      </w:pPr>
    </w:p>
    <w:p>
      <w:pPr>
        <w:sectPr>
          <w:pgSz w:w="11900" w:h="16838" w:orient="portrait"/>
          <w:cols w:equalWidth="0" w:num="2">
            <w:col w:w="3240" w:space="720"/>
            <w:col w:w="7280"/>
          </w:cols>
          <w:pgMar w:left="320" w:top="1409" w:right="339" w:bottom="1440" w:gutter="0" w:footer="0" w:header="0"/>
        </w:sectPr>
      </w:pPr>
    </w:p>
    <w:p>
      <w:pPr>
        <w:ind w:left="10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Supplier</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jc w:val="both"/>
        <w:ind w:right="320"/>
        <w:spacing w:after="0" w:line="249" w:lineRule="auto"/>
        <w:rPr>
          <w:sz w:val="20"/>
          <w:szCs w:val="20"/>
          <w:color w:val="auto"/>
        </w:rPr>
      </w:pPr>
      <w:r>
        <w:rPr>
          <w:rFonts w:ascii="Times New Roman" w:cs="Times New Roman" w:eastAsia="Times New Roman" w:hAnsi="Times New Roman"/>
          <w:sz w:val="20"/>
          <w:szCs w:val="20"/>
          <w:color w:val="auto"/>
        </w:rPr>
        <w:t>means any supplier, agent, distributor or other person who, during the Relevant Period was in the habit of dealing with the Company and with which, during that period, you, or any employee under your direct or indirect supervision, had material dealings in the course of the Employment, or about whom you had Confidential Information.</w:t>
      </w:r>
    </w:p>
    <w:p>
      <w:pPr>
        <w:spacing w:after="0" w:line="68" w:lineRule="exact"/>
        <w:rPr>
          <w:sz w:val="20"/>
          <w:szCs w:val="20"/>
          <w:color w:val="auto"/>
        </w:rPr>
      </w:pPr>
    </w:p>
    <w:p>
      <w:pPr>
        <w:sectPr>
          <w:pgSz w:w="11900" w:h="16838" w:orient="portrait"/>
          <w:cols w:equalWidth="0" w:num="2">
            <w:col w:w="3240" w:space="720"/>
            <w:col w:w="7280"/>
          </w:cols>
          <w:pgMar w:left="320" w:top="1409" w:right="339" w:bottom="1440" w:gutter="0" w:footer="0" w:header="0"/>
          <w:type w:val="continuous"/>
        </w:sect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19"/>
          <w:szCs w:val="19"/>
          <w:b w:val="1"/>
          <w:bCs w:val="1"/>
          <w:color w:val="auto"/>
        </w:rPr>
        <w:t>Restrictive covenants</w:t>
      </w:r>
    </w:p>
    <w:p>
      <w:pPr>
        <w:spacing w:after="0" w:line="206"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Both during the Employment and during the Restricted Period, you will not, without the prior written consent of the Company, whether by yourself, through your employees or agents and whether on your own behalf or on behalf of any person, directly or indirectly:</w:t>
      </w:r>
    </w:p>
    <w:p>
      <w:pPr>
        <w:spacing w:after="0" w:line="147" w:lineRule="exact"/>
        <w:rPr>
          <w:sz w:val="20"/>
          <w:szCs w:val="20"/>
          <w:color w:val="auto"/>
        </w:rPr>
      </w:pPr>
    </w:p>
    <w:p>
      <w:pPr>
        <w:jc w:val="both"/>
        <w:ind w:left="1480" w:hanging="739"/>
        <w:spacing w:after="0" w:line="269" w:lineRule="auto"/>
        <w:tabs>
          <w:tab w:leader="none" w:pos="146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solicit business from or canvas any Customer or Prospective Customer in respect of any business which seeks to compete with the Restricted Business;</w:t>
      </w:r>
    </w:p>
    <w:p>
      <w:pPr>
        <w:spacing w:after="0" w:line="146" w:lineRule="exact"/>
        <w:rPr>
          <w:sz w:val="20"/>
          <w:szCs w:val="20"/>
          <w:color w:val="auto"/>
        </w:rPr>
      </w:pPr>
    </w:p>
    <w:p>
      <w:pPr>
        <w:jc w:val="both"/>
        <w:ind w:left="1480" w:hanging="739"/>
        <w:spacing w:after="0" w:line="269" w:lineRule="auto"/>
        <w:tabs>
          <w:tab w:leader="none" w:pos="146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accept orders from, act for or have any business dealings with, any Customer or Prospective Customer in respect of any business which seeks to compete with the Restricted Business;</w:t>
      </w:r>
    </w:p>
    <w:p>
      <w:pPr>
        <w:spacing w:after="0" w:line="146" w:lineRule="exact"/>
        <w:rPr>
          <w:sz w:val="20"/>
          <w:szCs w:val="20"/>
          <w:color w:val="auto"/>
        </w:rPr>
      </w:pPr>
    </w:p>
    <w:p>
      <w:pPr>
        <w:jc w:val="both"/>
        <w:ind w:left="1480" w:hanging="739"/>
        <w:spacing w:after="0" w:line="246" w:lineRule="auto"/>
        <w:tabs>
          <w:tab w:leader="none" w:pos="146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within the Restricted Area, be employed or engaged in or provide Confidential Information to that part of a business or person which is involved in any business which seeks to compete with the Restricted Business. For the purposes of this sub-clause, acts done by you outside the Restricted Area shall nonetheless be deemed to be done within the Restricted Area where their primary purpose is to engage in or carry on any business which seeks to compete with the Restricted Business in the Restricted Area;</w:t>
      </w:r>
    </w:p>
    <w:p>
      <w:pPr>
        <w:spacing w:after="0" w:line="158" w:lineRule="exact"/>
        <w:rPr>
          <w:sz w:val="20"/>
          <w:szCs w:val="20"/>
          <w:color w:val="auto"/>
        </w:rPr>
      </w:pPr>
    </w:p>
    <w:p>
      <w:pPr>
        <w:jc w:val="both"/>
        <w:ind w:left="1480" w:hanging="739"/>
        <w:spacing w:after="0" w:line="254" w:lineRule="auto"/>
        <w:tabs>
          <w:tab w:leader="none" w:pos="146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20"/>
          <w:szCs w:val="20"/>
          <w:color w:val="auto"/>
        </w:rPr>
        <w:t>solicit or induce or endeavour to solicit or induce any person who was a Restricted Employee (and with whom you had dealings during the Relevant Period) to cease working for or providing services to the Company, whether or not any such person would thereby commit a breach of contract;</w:t>
      </w:r>
    </w:p>
    <w:p>
      <w:pPr>
        <w:spacing w:after="0" w:line="161" w:lineRule="exact"/>
        <w:rPr>
          <w:sz w:val="20"/>
          <w:szCs w:val="20"/>
          <w:color w:val="auto"/>
        </w:rPr>
      </w:pPr>
    </w:p>
    <w:p>
      <w:pPr>
        <w:jc w:val="both"/>
        <w:ind w:left="1480" w:hanging="739"/>
        <w:spacing w:after="0" w:line="269" w:lineRule="auto"/>
        <w:tabs>
          <w:tab w:leader="none" w:pos="146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employ or otherwise engage any Restricted Employee in any business which seeks to compete with the Restricted Business if that business is, or seeks to be, in competition with the Company; or</w:t>
      </w:r>
    </w:p>
    <w:p>
      <w:pPr>
        <w:spacing w:after="0" w:line="146" w:lineRule="exact"/>
        <w:rPr>
          <w:sz w:val="20"/>
          <w:szCs w:val="20"/>
          <w:color w:val="auto"/>
        </w:rPr>
      </w:pPr>
    </w:p>
    <w:p>
      <w:pPr>
        <w:jc w:val="both"/>
        <w:ind w:left="1480" w:hanging="739"/>
        <w:spacing w:after="0" w:line="269" w:lineRule="auto"/>
        <w:tabs>
          <w:tab w:leader="none" w:pos="146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solicit or induce or endeavour to solicit or induce any Supplier to cease to deal with the Company and shall not interfere in any way with any relationship between a Supplier and the Company.</w:t>
      </w:r>
    </w:p>
    <w:p>
      <w:pPr>
        <w:spacing w:after="0" w:line="1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b w:val="1"/>
          <w:bCs w:val="1"/>
          <w:color w:val="auto"/>
        </w:rPr>
        <w:t>Application of restrictive covenants to other Group Companies</w:t>
      </w:r>
    </w:p>
    <w:p>
      <w:pPr>
        <w:spacing w:after="0" w:line="206"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Clause 22.2 shall also apply as though references to the “Company” in Clauses 22.1 and 22.2 include references to each Group Company in relation to which you have in the course of the Employment or by reason of rendering services to or holding office in such Group Company:</w:t>
      </w:r>
    </w:p>
    <w:p>
      <w:pPr>
        <w:spacing w:after="0" w:line="161" w:lineRule="exact"/>
        <w:rPr>
          <w:sz w:val="20"/>
          <w:szCs w:val="20"/>
          <w:color w:val="auto"/>
        </w:rPr>
      </w:pPr>
    </w:p>
    <w:p>
      <w:pPr>
        <w:ind w:left="1480" w:hanging="739"/>
        <w:spacing w:after="0"/>
        <w:tabs>
          <w:tab w:leader="none" w:pos="14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acquired knowledge of its products, services, trade secrets or Confidential Information; or</w:t>
      </w:r>
    </w:p>
    <w:p>
      <w:pPr>
        <w:spacing w:after="0" w:line="188"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had personal dealings with, or Confidential Information about, its Customers or Prospective Customers;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type w:val="continuous"/>
        </w:sectPr>
      </w:pPr>
    </w:p>
    <w:bookmarkStart w:id="132" w:name="page133"/>
    <w:bookmarkEnd w:id="132"/>
    <w:p>
      <w:pPr>
        <w:ind w:left="1480" w:hanging="739"/>
        <w:spacing w:after="0"/>
        <w:tabs>
          <w:tab w:leader="none" w:pos="14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supervised directly or indirectly employees having personal dealings with its Customers or Prospective Customers;</w:t>
      </w:r>
    </w:p>
    <w:p>
      <w:pPr>
        <w:spacing w:after="0" w:line="198" w:lineRule="exact"/>
        <w:rPr>
          <w:sz w:val="20"/>
          <w:szCs w:val="20"/>
          <w:color w:val="auto"/>
        </w:rPr>
      </w:pPr>
    </w:p>
    <w:p>
      <w:pPr>
        <w:jc w:val="both"/>
        <w:ind w:left="740"/>
        <w:spacing w:after="0" w:line="247" w:lineRule="auto"/>
        <w:rPr>
          <w:sz w:val="20"/>
          <w:szCs w:val="20"/>
          <w:color w:val="auto"/>
        </w:rPr>
      </w:pPr>
      <w:r>
        <w:rPr>
          <w:rFonts w:ascii="Times New Roman" w:cs="Times New Roman" w:eastAsia="Times New Roman" w:hAnsi="Times New Roman"/>
          <w:sz w:val="20"/>
          <w:szCs w:val="20"/>
          <w:color w:val="auto"/>
        </w:rPr>
        <w:t>but so that references to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for this purpose be deemed to be references to the relevant Group Company. The obligations undertaken by you pursuant to this Clause 22.3 shall, with respect to each Group Company, constitute a separate and distinct covenant in favour of and for the benefit of each Group Company and which shall be enforceable either by the particular Group Company or by the Company on behalf of the Group Company and the invalidity or unenforceability of any such covenant shall not affect the validity or enforceability of the covenants in favour of any other Group Company.</w:t>
      </w:r>
    </w:p>
    <w:p>
      <w:pPr>
        <w:spacing w:after="0" w:line="15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b w:val="1"/>
          <w:bCs w:val="1"/>
          <w:color w:val="auto"/>
        </w:rPr>
        <w:t>Effect of Garden Leave on Restricted Period</w:t>
      </w:r>
    </w:p>
    <w:p>
      <w:pPr>
        <w:spacing w:after="0" w:line="206" w:lineRule="exact"/>
        <w:rPr>
          <w:sz w:val="20"/>
          <w:szCs w:val="20"/>
          <w:color w:val="auto"/>
        </w:rPr>
      </w:pPr>
    </w:p>
    <w:p>
      <w:pPr>
        <w:jc w:val="both"/>
        <w:ind w:left="740"/>
        <w:spacing w:after="0" w:line="269" w:lineRule="auto"/>
        <w:rPr>
          <w:sz w:val="20"/>
          <w:szCs w:val="20"/>
          <w:color w:val="auto"/>
        </w:rPr>
      </w:pPr>
      <w:r>
        <w:rPr>
          <w:rFonts w:ascii="Times New Roman" w:cs="Times New Roman" w:eastAsia="Times New Roman" w:hAnsi="Times New Roman"/>
          <w:sz w:val="20"/>
          <w:szCs w:val="20"/>
          <w:color w:val="auto"/>
        </w:rPr>
        <w:t>The periods for which the restrictions in Clause 22.2 apply shall be reduced by any period that you spend on Garden Leave immediately prior to the Termination Date.</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9"/>
          <w:szCs w:val="19"/>
          <w:b w:val="1"/>
          <w:bCs w:val="1"/>
          <w:color w:val="auto"/>
        </w:rPr>
        <w:t>Further undertakings</w:t>
      </w:r>
    </w:p>
    <w:p>
      <w:pPr>
        <w:spacing w:after="0" w:line="1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You hereby undertake to the Company that you will not at any time:</w:t>
      </w:r>
    </w:p>
    <w:p>
      <w:pPr>
        <w:spacing w:after="0" w:line="202" w:lineRule="exact"/>
        <w:rPr>
          <w:sz w:val="20"/>
          <w:szCs w:val="20"/>
          <w:color w:val="auto"/>
        </w:rPr>
      </w:pPr>
    </w:p>
    <w:p>
      <w:pPr>
        <w:jc w:val="both"/>
        <w:ind w:left="1480" w:right="20" w:hanging="739"/>
        <w:spacing w:after="0" w:line="254" w:lineRule="auto"/>
        <w:tabs>
          <w:tab w:leader="none" w:pos="14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Employment or after the Termination Date engage in any trade or business or be associated with any person engaged in any trade or business using any trading names used by the Company or any Group Company including, but not limited to, the name(s) or incorporating the word(s) “Allison Transmission”, “Allison” and “Spicer”;</w:t>
      </w:r>
    </w:p>
    <w:p>
      <w:pPr>
        <w:spacing w:after="0" w:line="160" w:lineRule="exact"/>
        <w:rPr>
          <w:rFonts w:ascii="Times New Roman" w:cs="Times New Roman" w:eastAsia="Times New Roman" w:hAnsi="Times New Roman"/>
          <w:sz w:val="20"/>
          <w:szCs w:val="20"/>
          <w:color w:val="auto"/>
        </w:rPr>
      </w:pPr>
    </w:p>
    <w:p>
      <w:pPr>
        <w:ind w:left="1480" w:right="20" w:hanging="739"/>
        <w:spacing w:after="0" w:line="269" w:lineRule="auto"/>
        <w:tabs>
          <w:tab w:leader="none" w:pos="14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Termination Date make any public statement in relation to the Company or any Group Company or any of their officers or employees; or</w:t>
      </w:r>
    </w:p>
    <w:p>
      <w:pPr>
        <w:spacing w:after="0" w:line="132"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Termination Date represent or otherwise indicate any association or connection with the Company or any Group Company or for the purpose of carrying on or retaining any business represent or otherwise indicate any past association with the Company or any Group Company.</w:t>
      </w:r>
    </w:p>
    <w:p>
      <w:pPr>
        <w:spacing w:after="0" w:line="15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b w:val="1"/>
          <w:bCs w:val="1"/>
          <w:color w:val="auto"/>
        </w:rPr>
        <w:t>Protection of Company reputation</w:t>
      </w:r>
    </w:p>
    <w:p>
      <w:pPr>
        <w:spacing w:after="0" w:line="206"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You undertake that, you will not at any time during the Employment and at any time (without limit) after the Termination Date make or publish or cause to be made or published to anyone in any circumstances any disparaging remarks concerning the Company or any Group Company or any of its or their respective members, officers, employees or agents. Nothing in this Agreement shall prevent you from:</w:t>
      </w:r>
    </w:p>
    <w:p>
      <w:pPr>
        <w:spacing w:after="0" w:line="153" w:lineRule="exact"/>
        <w:rPr>
          <w:sz w:val="20"/>
          <w:szCs w:val="20"/>
          <w:color w:val="auto"/>
        </w:rPr>
      </w:pPr>
    </w:p>
    <w:p>
      <w:pPr>
        <w:ind w:left="1480" w:right="20" w:hanging="739"/>
        <w:spacing w:after="0" w:line="269" w:lineRule="auto"/>
        <w:tabs>
          <w:tab w:leader="none" w:pos="14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a “protected disclosure” within the meaning of Part 4A (Protected Disclosures) of the Employment Rights Act 1996;</w:t>
      </w:r>
    </w:p>
    <w:p>
      <w:pPr>
        <w:spacing w:after="0" w:line="145"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raising a grievance in respect of your employment;</w:t>
      </w:r>
    </w:p>
    <w:p>
      <w:pPr>
        <w:spacing w:after="0" w:line="202" w:lineRule="exact"/>
        <w:rPr>
          <w:rFonts w:ascii="Times New Roman" w:cs="Times New Roman" w:eastAsia="Times New Roman" w:hAnsi="Times New Roman"/>
          <w:sz w:val="20"/>
          <w:szCs w:val="20"/>
          <w:color w:val="auto"/>
        </w:rPr>
      </w:pPr>
    </w:p>
    <w:p>
      <w:pPr>
        <w:ind w:left="1480" w:right="20" w:hanging="739"/>
        <w:spacing w:after="0" w:line="269" w:lineRule="auto"/>
        <w:tabs>
          <w:tab w:leader="none" w:pos="14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information to any professional legal or tax advisor or medical professionals or counsellors where it is necessary to do so provided that such person is also bound by a duty of confidentiality (which remains unwaived);</w:t>
      </w:r>
    </w:p>
    <w:p>
      <w:pPr>
        <w:spacing w:after="0" w:line="132" w:lineRule="exact"/>
        <w:rPr>
          <w:rFonts w:ascii="Times New Roman" w:cs="Times New Roman" w:eastAsia="Times New Roman" w:hAnsi="Times New Roman"/>
          <w:sz w:val="20"/>
          <w:szCs w:val="20"/>
          <w:color w:val="auto"/>
        </w:rPr>
      </w:pPr>
    </w:p>
    <w:p>
      <w:pPr>
        <w:ind w:left="1480" w:right="20" w:hanging="739"/>
        <w:spacing w:after="0" w:line="269" w:lineRule="auto"/>
        <w:tabs>
          <w:tab w:leader="none" w:pos="14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any criminal conduct or suspected offence to the relevant authorities (including the police or any other applicable law enforcement agency) or cooperating with the relevant authorities regarding a criminal investigation; or</w:t>
      </w:r>
    </w:p>
    <w:p>
      <w:pPr>
        <w:spacing w:after="0" w:line="145"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a disclosure to, or co-operating with any investigation by, HMRC or any relevant regulator, ombudsman or supervisory authority responsible for supervising or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ind w:left="1480"/>
        <w:spacing w:after="0" w:line="269" w:lineRule="auto"/>
        <w:rPr>
          <w:sz w:val="20"/>
          <w:szCs w:val="20"/>
          <w:color w:val="auto"/>
        </w:rPr>
      </w:pPr>
      <w:r>
        <w:rPr>
          <w:rFonts w:ascii="Times New Roman" w:cs="Times New Roman" w:eastAsia="Times New Roman" w:hAnsi="Times New Roman"/>
          <w:sz w:val="20"/>
          <w:szCs w:val="20"/>
          <w:color w:val="auto"/>
        </w:rPr>
        <w:t>regulating any relevant matter in question including in respect of any misconduct, wrongdoing or serious breach of regulatory requirements (including giving evidence at a hearing).</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22.7</w:t>
      </w:r>
      <w:r>
        <w:rPr>
          <w:sz w:val="20"/>
          <w:szCs w:val="20"/>
          <w:color w:val="auto"/>
        </w:rPr>
        <w:tab/>
      </w:r>
      <w:r>
        <w:rPr>
          <w:rFonts w:ascii="Times New Roman" w:cs="Times New Roman" w:eastAsia="Times New Roman" w:hAnsi="Times New Roman"/>
          <w:sz w:val="19"/>
          <w:szCs w:val="19"/>
          <w:b w:val="1"/>
          <w:bCs w:val="1"/>
          <w:color w:val="auto"/>
        </w:rPr>
        <w:t>Employment Offer</w:t>
      </w:r>
    </w:p>
    <w:p>
      <w:pPr>
        <w:spacing w:after="0" w:line="193"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In the event that you receive an offer of employment or request to provide services either during the Employment or during the terms of the Restricted Period, you shall:</w:t>
      </w:r>
    </w:p>
    <w:p>
      <w:pPr>
        <w:spacing w:after="0" w:line="146" w:lineRule="exact"/>
        <w:rPr>
          <w:sz w:val="20"/>
          <w:szCs w:val="20"/>
          <w:color w:val="auto"/>
        </w:rPr>
      </w:pPr>
    </w:p>
    <w:p>
      <w:pPr>
        <w:ind w:left="1480" w:hanging="739"/>
        <w:spacing w:after="0" w:line="269" w:lineRule="auto"/>
        <w:tabs>
          <w:tab w:leader="none" w:pos="14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immediately to such person, company or other entity making such an offer or request a full and accurate copy of the Restrictive Covenants set out at Clause 22 of this Agreement; and</w:t>
      </w:r>
    </w:p>
    <w:p>
      <w:pPr>
        <w:spacing w:after="0" w:line="145"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the Company within three working days of receipt of the offer and the identity of the person, company or other entity making the offer.</w:t>
      </w:r>
    </w:p>
    <w:p>
      <w:pPr>
        <w:spacing w:after="0" w:line="1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22.8</w:t>
      </w:r>
      <w:r>
        <w:rPr>
          <w:sz w:val="20"/>
          <w:szCs w:val="20"/>
          <w:color w:val="auto"/>
        </w:rPr>
        <w:tab/>
      </w:r>
      <w:r>
        <w:rPr>
          <w:rFonts w:ascii="Times New Roman" w:cs="Times New Roman" w:eastAsia="Times New Roman" w:hAnsi="Times New Roman"/>
          <w:sz w:val="19"/>
          <w:szCs w:val="19"/>
          <w:b w:val="1"/>
          <w:bCs w:val="1"/>
          <w:color w:val="auto"/>
        </w:rPr>
        <w:t>Severance</w:t>
      </w:r>
    </w:p>
    <w:p>
      <w:pPr>
        <w:spacing w:after="0" w:line="206" w:lineRule="exact"/>
        <w:rPr>
          <w:sz w:val="20"/>
          <w:szCs w:val="20"/>
          <w:color w:val="auto"/>
        </w:rPr>
      </w:pPr>
    </w:p>
    <w:p>
      <w:pPr>
        <w:jc w:val="both"/>
        <w:ind w:left="740"/>
        <w:spacing w:after="0" w:line="245" w:lineRule="auto"/>
        <w:rPr>
          <w:sz w:val="20"/>
          <w:szCs w:val="20"/>
          <w:color w:val="auto"/>
        </w:rPr>
      </w:pPr>
      <w:r>
        <w:rPr>
          <w:rFonts w:ascii="Times New Roman" w:cs="Times New Roman" w:eastAsia="Times New Roman" w:hAnsi="Times New Roman"/>
          <w:sz w:val="20"/>
          <w:szCs w:val="20"/>
          <w:color w:val="auto"/>
        </w:rPr>
        <w:t>The restrictions in this Clause 22 (on which you have had the opportunity to take independent advice, as you hereby acknowledge) are separate and severable restrictions and are considered by the parties to be reasonable in all the circumstances. It is agreed that if any such restrictions, by themselves, or taken together, shall be adjudged to go beyond what is reasonable in all the circumstances for the protection of the legitimate interests of the Company or a Group Company but would be adjudged reasonable if some part of it were deleted, the relevant restriction or restrictions shall apply with such deletion(s) as may be necessary to make it or them valid and enforceable.</w:t>
      </w:r>
    </w:p>
    <w:p>
      <w:pPr>
        <w:spacing w:after="0" w:line="167" w:lineRule="exact"/>
        <w:rPr>
          <w:sz w:val="20"/>
          <w:szCs w:val="20"/>
          <w:color w:val="auto"/>
        </w:rPr>
      </w:pPr>
    </w:p>
    <w:p>
      <w:pPr>
        <w:ind w:left="740" w:hanging="732"/>
        <w:spacing w:after="0"/>
        <w:tabs>
          <w:tab w:leader="none" w:pos="74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RECONSTRUCTION AND AMALGAMATIONS</w:t>
      </w:r>
    </w:p>
    <w:p>
      <w:pPr>
        <w:spacing w:after="0" w:line="192" w:lineRule="exact"/>
        <w:rPr>
          <w:rFonts w:ascii="Times New Roman" w:cs="Times New Roman" w:eastAsia="Times New Roman" w:hAnsi="Times New Roman"/>
          <w:sz w:val="20"/>
          <w:szCs w:val="20"/>
          <w:b w:val="1"/>
          <w:bCs w:val="1"/>
          <w:color w:val="auto"/>
        </w:rPr>
      </w:pPr>
    </w:p>
    <w:p>
      <w:pPr>
        <w:jc w:val="both"/>
        <w:ind w:left="74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Company undergoes any process of reconstruction or amalgamation (whether or not involving the liquidation of the Company) and you are offered employment by the successor or proposed successor to the Company or any Group Companies on terms not materially less favourable overall to those under this Agreement whether as to duties, responsibilities, remuneration or otherwise and you do not accept the offer within one month of it being made, then you shall have no claim against the Company or the successor to the Company in respect of termination of this Agreement and the Employment.</w:t>
      </w:r>
    </w:p>
    <w:p>
      <w:pPr>
        <w:spacing w:after="0" w:line="167" w:lineRule="exact"/>
        <w:rPr>
          <w:rFonts w:ascii="Times New Roman" w:cs="Times New Roman" w:eastAsia="Times New Roman" w:hAnsi="Times New Roman"/>
          <w:sz w:val="20"/>
          <w:szCs w:val="20"/>
          <w:b w:val="1"/>
          <w:bCs w:val="1"/>
          <w:color w:val="auto"/>
        </w:rPr>
      </w:pPr>
    </w:p>
    <w:p>
      <w:pPr>
        <w:ind w:left="7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ANTI-BRIBERY AND CORRUPTION POLICY AND PROCEDURES</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b w:val="1"/>
          <w:bCs w:val="1"/>
          <w:color w:val="auto"/>
        </w:rPr>
        <w:t>Prohibition of Corruption</w:t>
      </w:r>
    </w:p>
    <w:p>
      <w:pPr>
        <w:spacing w:after="0" w:line="193"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The Company prohibits Corruption and will not tolerate any involvement or attempted involvement in Corruption by you, the Company or any executives, employees, agents, associates or any parties in any way associated with the business of the Company or the Group. This prohibition extends to all of the Group’s business dealings and transactions in all countries in which it, its subsidiaries, its agents and its associates operate.</w:t>
      </w:r>
    </w:p>
    <w:p>
      <w:pPr>
        <w:spacing w:after="0" w:line="16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19"/>
          <w:szCs w:val="19"/>
          <w:b w:val="1"/>
          <w:bCs w:val="1"/>
          <w:color w:val="auto"/>
        </w:rPr>
        <w:t>Compliance with the Anti-Bribery and Corruption Policy</w:t>
      </w:r>
    </w:p>
    <w:p>
      <w:pPr>
        <w:spacing w:after="0" w:line="206"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You must comply with the Company’s Anti-Bribery and Corruption Policy and related procedures as may be in place from time to time and in particular you must report any instances of Corruption (including those attempted and/or resisted) and/or corrupt activity involving the Company or any Group Company or any of its officers, employees, agents or associates which you become aware of irrespective of the identity or position of those alleged to be involved.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ind w:left="740" w:hanging="732"/>
        <w:spacing w:after="0"/>
        <w:tabs>
          <w:tab w:leader="none" w:pos="74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DISCIPLINARY AND GRIEVANCE PROCEDURE</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24.1</w:t>
      </w:r>
      <w:r>
        <w:rPr>
          <w:sz w:val="20"/>
          <w:szCs w:val="20"/>
          <w:color w:val="auto"/>
        </w:rPr>
        <w:tab/>
      </w:r>
      <w:r>
        <w:rPr>
          <w:rFonts w:ascii="Times New Roman" w:cs="Times New Roman" w:eastAsia="Times New Roman" w:hAnsi="Times New Roman"/>
          <w:sz w:val="19"/>
          <w:szCs w:val="19"/>
          <w:b w:val="1"/>
          <w:bCs w:val="1"/>
          <w:color w:val="auto"/>
        </w:rPr>
        <w:t>Disciplinary procedures</w:t>
      </w:r>
    </w:p>
    <w:p>
      <w:pPr>
        <w:spacing w:after="0" w:line="193"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Any disciplinary action taken in connection with the Employment will usually be taken in accordance with the Company’s normal disciplinary procedures (which are not contractually binding), a copy of which is available from the Human Resources department.</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24.2</w:t>
      </w:r>
      <w:r>
        <w:rPr>
          <w:sz w:val="20"/>
          <w:szCs w:val="20"/>
          <w:color w:val="auto"/>
        </w:rPr>
        <w:tab/>
      </w:r>
      <w:r>
        <w:rPr>
          <w:rFonts w:ascii="Times New Roman" w:cs="Times New Roman" w:eastAsia="Times New Roman" w:hAnsi="Times New Roman"/>
          <w:sz w:val="19"/>
          <w:szCs w:val="19"/>
          <w:b w:val="1"/>
          <w:bCs w:val="1"/>
          <w:color w:val="auto"/>
        </w:rPr>
        <w:t>Grievance procedure</w:t>
      </w:r>
    </w:p>
    <w:p>
      <w:pPr>
        <w:spacing w:after="0" w:line="20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If you want to raise a grievance, you may apply in writing to the Chair of the Board in accordance with the Company’s non-contractual grievance procedure.</w:t>
      </w:r>
    </w:p>
    <w:p>
      <w:pPr>
        <w:spacing w:after="0" w:line="128" w:lineRule="exact"/>
        <w:rPr>
          <w:sz w:val="20"/>
          <w:szCs w:val="20"/>
          <w:color w:val="auto"/>
        </w:rPr>
      </w:pPr>
    </w:p>
    <w:p>
      <w:pPr>
        <w:ind w:left="740" w:hanging="732"/>
        <w:spacing w:after="0"/>
        <w:tabs>
          <w:tab w:leader="none" w:pos="74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25.1</w:t>
      </w:r>
      <w:r>
        <w:rPr>
          <w:sz w:val="20"/>
          <w:szCs w:val="20"/>
          <w:color w:val="auto"/>
        </w:rPr>
        <w:tab/>
      </w:r>
      <w:r>
        <w:rPr>
          <w:rFonts w:ascii="Times New Roman" w:cs="Times New Roman" w:eastAsia="Times New Roman" w:hAnsi="Times New Roman"/>
          <w:sz w:val="19"/>
          <w:szCs w:val="19"/>
          <w:b w:val="1"/>
          <w:bCs w:val="1"/>
          <w:color w:val="auto"/>
        </w:rPr>
        <w:t>Provisions which survive termination</w:t>
      </w:r>
    </w:p>
    <w:p>
      <w:pPr>
        <w:spacing w:after="0" w:line="20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Any provision of this Agreement which is expressed or intended to have effect on, or to continue in force after, the termination of this Agreement shall have such effect, or, as the case may be, continue in force, after such termination.</w:t>
      </w:r>
    </w:p>
    <w:p>
      <w:pPr>
        <w:spacing w:after="0" w:line="1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25.2</w:t>
      </w:r>
      <w:r>
        <w:rPr>
          <w:sz w:val="20"/>
          <w:szCs w:val="20"/>
          <w:color w:val="auto"/>
        </w:rPr>
        <w:tab/>
      </w:r>
      <w:r>
        <w:rPr>
          <w:rFonts w:ascii="Times New Roman" w:cs="Times New Roman" w:eastAsia="Times New Roman" w:hAnsi="Times New Roman"/>
          <w:sz w:val="19"/>
          <w:szCs w:val="19"/>
          <w:b w:val="1"/>
          <w:bCs w:val="1"/>
          <w:color w:val="auto"/>
        </w:rPr>
        <w:t>No collective agreements</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There are no collective agreements that directly affect the terms and conditions of the Employment.</w:t>
      </w:r>
    </w:p>
    <w:p>
      <w:pPr>
        <w:spacing w:after="0" w:line="198" w:lineRule="exact"/>
        <w:rPr>
          <w:sz w:val="20"/>
          <w:szCs w:val="20"/>
          <w:color w:val="auto"/>
        </w:rPr>
      </w:pPr>
    </w:p>
    <w:p>
      <w:pPr>
        <w:ind w:left="740" w:hanging="732"/>
        <w:spacing w:after="0"/>
        <w:tabs>
          <w:tab w:leader="none" w:pos="74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PROTECTION AND PRIVACY</w:t>
      </w:r>
    </w:p>
    <w:p>
      <w:pPr>
        <w:spacing w:after="0" w:line="192" w:lineRule="exact"/>
        <w:rPr>
          <w:rFonts w:ascii="Times New Roman" w:cs="Times New Roman" w:eastAsia="Times New Roman" w:hAnsi="Times New Roman"/>
          <w:sz w:val="20"/>
          <w:szCs w:val="20"/>
          <w:b w:val="1"/>
          <w:bCs w:val="1"/>
          <w:color w:val="auto"/>
        </w:rPr>
      </w:pPr>
    </w:p>
    <w:p>
      <w:pPr>
        <w:ind w:left="7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will hold, collect and otherwise process certain personal data as set out in the Company’s privacy notice, which is available to you. All personal data will be treated in accordance with applicable data protection laws and regulations.</w:t>
      </w:r>
    </w:p>
    <w:p>
      <w:pPr>
        <w:spacing w:after="0" w:line="141" w:lineRule="exact"/>
        <w:rPr>
          <w:rFonts w:ascii="Times New Roman" w:cs="Times New Roman" w:eastAsia="Times New Roman" w:hAnsi="Times New Roman"/>
          <w:sz w:val="20"/>
          <w:szCs w:val="20"/>
          <w:b w:val="1"/>
          <w:bCs w:val="1"/>
          <w:color w:val="auto"/>
        </w:rPr>
      </w:pPr>
    </w:p>
    <w:p>
      <w:pPr>
        <w:ind w:left="740" w:hanging="732"/>
        <w:spacing w:after="0"/>
        <w:tabs>
          <w:tab w:leader="none" w:pos="74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OF ATTORNEY</w:t>
      </w:r>
    </w:p>
    <w:p>
      <w:pPr>
        <w:spacing w:after="0" w:line="206" w:lineRule="exact"/>
        <w:rPr>
          <w:rFonts w:ascii="Times New Roman" w:cs="Times New Roman" w:eastAsia="Times New Roman" w:hAnsi="Times New Roman"/>
          <w:sz w:val="20"/>
          <w:szCs w:val="20"/>
          <w:b w:val="1"/>
          <w:bCs w:val="1"/>
          <w:color w:val="auto"/>
        </w:rPr>
      </w:pPr>
    </w:p>
    <w:p>
      <w:pPr>
        <w:jc w:val="both"/>
        <w:ind w:left="7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irrevocably appoint the Company (or a person nominated by the Company) to be your attorney in your name and on your behalf to execute documents, use your name and do all things which are necessary or desirable for the Company to obtain for itself or its nominee the full benefit of Clauses 18 and 21.1.</w:t>
      </w:r>
    </w:p>
    <w:p>
      <w:pPr>
        <w:spacing w:after="0" w:line="143" w:lineRule="exact"/>
        <w:rPr>
          <w:rFonts w:ascii="Times New Roman" w:cs="Times New Roman" w:eastAsia="Times New Roman" w:hAnsi="Times New Roman"/>
          <w:sz w:val="20"/>
          <w:szCs w:val="20"/>
          <w:b w:val="1"/>
          <w:bCs w:val="1"/>
          <w:color w:val="auto"/>
        </w:rPr>
      </w:pPr>
    </w:p>
    <w:p>
      <w:pPr>
        <w:ind w:left="740" w:hanging="732"/>
        <w:spacing w:after="0"/>
        <w:tabs>
          <w:tab w:leader="none" w:pos="74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WAIVERS AND REMEDIES</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28.1</w:t>
      </w:r>
      <w:r>
        <w:rPr>
          <w:sz w:val="20"/>
          <w:szCs w:val="20"/>
          <w:color w:val="auto"/>
        </w:rPr>
        <w:tab/>
      </w:r>
      <w:r>
        <w:rPr>
          <w:rFonts w:ascii="Times New Roman" w:cs="Times New Roman" w:eastAsia="Times New Roman" w:hAnsi="Times New Roman"/>
          <w:sz w:val="19"/>
          <w:szCs w:val="19"/>
          <w:b w:val="1"/>
          <w:bCs w:val="1"/>
          <w:color w:val="auto"/>
        </w:rPr>
        <w:t>Amendments</w:t>
      </w:r>
    </w:p>
    <w:p>
      <w:pPr>
        <w:spacing w:after="0" w:line="20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No amendment or variation of this Agreement or any of the documents referred to in it (other than an alteration in the Basic Salary) shall be effective unless it is in writing and signed by or on behalf of each of the parties.</w:t>
      </w:r>
    </w:p>
    <w:p>
      <w:pPr>
        <w:spacing w:after="0" w:line="1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28.2</w:t>
      </w:r>
      <w:r>
        <w:rPr>
          <w:sz w:val="20"/>
          <w:szCs w:val="20"/>
          <w:color w:val="auto"/>
        </w:rPr>
        <w:tab/>
      </w:r>
      <w:r>
        <w:rPr>
          <w:rFonts w:ascii="Times New Roman" w:cs="Times New Roman" w:eastAsia="Times New Roman" w:hAnsi="Times New Roman"/>
          <w:sz w:val="19"/>
          <w:szCs w:val="19"/>
          <w:b w:val="1"/>
          <w:bCs w:val="1"/>
          <w:color w:val="auto"/>
        </w:rPr>
        <w:t>Waivers and remedies cumulative</w:t>
      </w:r>
    </w:p>
    <w:p>
      <w:pPr>
        <w:spacing w:after="0" w:line="206" w:lineRule="exact"/>
        <w:rPr>
          <w:sz w:val="20"/>
          <w:szCs w:val="20"/>
          <w:color w:val="auto"/>
        </w:rPr>
      </w:pPr>
    </w:p>
    <w:p>
      <w:pPr>
        <w:ind w:left="1480" w:hanging="739"/>
        <w:spacing w:after="0"/>
        <w:tabs>
          <w:tab w:leader="none" w:pos="14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each party under this Agreement:</w:t>
      </w:r>
    </w:p>
    <w:p>
      <w:pPr>
        <w:spacing w:after="0" w:line="188" w:lineRule="exact"/>
        <w:rPr>
          <w:rFonts w:ascii="Times New Roman" w:cs="Times New Roman" w:eastAsia="Times New Roman" w:hAnsi="Times New Roman"/>
          <w:sz w:val="20"/>
          <w:szCs w:val="20"/>
          <w:color w:val="auto"/>
        </w:rPr>
      </w:pPr>
    </w:p>
    <w:p>
      <w:pPr>
        <w:ind w:left="2220" w:hanging="730"/>
        <w:spacing w:after="0"/>
        <w:tabs>
          <w:tab w:leader="none" w:pos="222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be exercised as often as necessary;</w:t>
      </w:r>
    </w:p>
    <w:p>
      <w:pPr>
        <w:spacing w:after="0" w:line="202" w:lineRule="exact"/>
        <w:rPr>
          <w:rFonts w:ascii="Times New Roman" w:cs="Times New Roman" w:eastAsia="Times New Roman" w:hAnsi="Times New Roman"/>
          <w:sz w:val="20"/>
          <w:szCs w:val="20"/>
          <w:color w:val="auto"/>
        </w:rPr>
      </w:pPr>
    </w:p>
    <w:p>
      <w:pPr>
        <w:ind w:left="2220" w:hanging="730"/>
        <w:spacing w:after="0"/>
        <w:tabs>
          <w:tab w:leader="none" w:pos="222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cumulative and not exclusive of its rights under the general law; and</w:t>
      </w:r>
    </w:p>
    <w:p>
      <w:pPr>
        <w:spacing w:after="0" w:line="202" w:lineRule="exact"/>
        <w:rPr>
          <w:rFonts w:ascii="Times New Roman" w:cs="Times New Roman" w:eastAsia="Times New Roman" w:hAnsi="Times New Roman"/>
          <w:sz w:val="20"/>
          <w:szCs w:val="20"/>
          <w:color w:val="auto"/>
        </w:rPr>
      </w:pPr>
    </w:p>
    <w:p>
      <w:pPr>
        <w:ind w:left="2220" w:hanging="730"/>
        <w:spacing w:after="0"/>
        <w:tabs>
          <w:tab w:leader="none" w:pos="222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be waived only in writing and specifically.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5" w:name="page136"/>
    <w:bookmarkEnd w:id="135"/>
    <w:p>
      <w:pPr>
        <w:ind w:left="1480" w:hanging="739"/>
        <w:spacing w:after="0"/>
        <w:tabs>
          <w:tab w:leader="none" w:pos="148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 in exercising or non-exercise of any right is not a waiver of that right.</w:t>
      </w:r>
    </w:p>
    <w:p>
      <w:pPr>
        <w:spacing w:after="0" w:line="202" w:lineRule="exact"/>
        <w:rPr>
          <w:rFonts w:ascii="Times New Roman" w:cs="Times New Roman" w:eastAsia="Times New Roman" w:hAnsi="Times New Roman"/>
          <w:sz w:val="20"/>
          <w:szCs w:val="20"/>
          <w:color w:val="auto"/>
        </w:rPr>
      </w:pPr>
    </w:p>
    <w:p>
      <w:pPr>
        <w:ind w:left="1480" w:right="20" w:hanging="739"/>
        <w:spacing w:after="0" w:line="269" w:lineRule="auto"/>
        <w:tabs>
          <w:tab w:leader="none" w:pos="148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 of rescission conferred upon the Company by this Agreement shall be in addition to and without prejudice to all other rights and remedies available to it.</w:t>
      </w:r>
    </w:p>
    <w:p>
      <w:pPr>
        <w:spacing w:after="0" w:line="128"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p>
    <w:p>
      <w:pPr>
        <w:spacing w:after="0" w:line="206" w:lineRule="exact"/>
        <w:rPr>
          <w:rFonts w:ascii="Times New Roman" w:cs="Times New Roman" w:eastAsia="Times New Roman" w:hAnsi="Times New Roman"/>
          <w:sz w:val="20"/>
          <w:szCs w:val="20"/>
          <w:b w:val="1"/>
          <w:bCs w:val="1"/>
          <w:color w:val="auto"/>
        </w:rPr>
      </w:pPr>
    </w:p>
    <w:p>
      <w:pPr>
        <w:jc w:val="both"/>
        <w:ind w:left="1480" w:hanging="739"/>
        <w:spacing w:after="0" w:line="254" w:lineRule="auto"/>
        <w:tabs>
          <w:tab w:leader="none" w:pos="148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documents referred to in it constitute the entire agreement and understanding of the parties and supersede and extinguish all previous agreements, promises, assurances, warranties, representations and understandings between the parties, whether written or oral, relating to the subject matter of this Agreement.</w:t>
      </w:r>
    </w:p>
    <w:p>
      <w:pPr>
        <w:spacing w:after="0" w:line="160" w:lineRule="exact"/>
        <w:rPr>
          <w:rFonts w:ascii="Times New Roman" w:cs="Times New Roman" w:eastAsia="Times New Roman" w:hAnsi="Times New Roman"/>
          <w:sz w:val="20"/>
          <w:szCs w:val="20"/>
          <w:color w:val="auto"/>
        </w:rPr>
      </w:pPr>
    </w:p>
    <w:p>
      <w:pPr>
        <w:jc w:val="both"/>
        <w:ind w:left="1480" w:hanging="739"/>
        <w:spacing w:after="0" w:line="254" w:lineRule="auto"/>
        <w:tabs>
          <w:tab w:leader="none" w:pos="148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147"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agrees that it shall have no claim for innocent or negligent misrepresentation or negligent misstatement based on any statement in this Agreement.</w:t>
      </w:r>
    </w:p>
    <w:p>
      <w:pPr>
        <w:spacing w:after="0" w:line="145"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Clause shall limit or exclude any liability for fraud.</w:t>
      </w:r>
    </w:p>
    <w:p>
      <w:pPr>
        <w:spacing w:after="0" w:line="198"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OUTSTANDING CLAIMS</w:t>
      </w:r>
    </w:p>
    <w:p>
      <w:pPr>
        <w:spacing w:after="0" w:line="192" w:lineRule="exact"/>
        <w:rPr>
          <w:rFonts w:ascii="Times New Roman" w:cs="Times New Roman" w:eastAsia="Times New Roman" w:hAnsi="Times New Roman"/>
          <w:sz w:val="20"/>
          <w:szCs w:val="20"/>
          <w:b w:val="1"/>
          <w:bCs w:val="1"/>
          <w:color w:val="auto"/>
        </w:rPr>
      </w:pPr>
    </w:p>
    <w:p>
      <w:pPr>
        <w:ind w:left="74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hereby acknowledge that you have no outstanding claims of any kind against the Company or any Group Company (other than in respect of remuneration and expenses due to the date of this Agreement but not yet paid).</w:t>
      </w:r>
    </w:p>
    <w:p>
      <w:pPr>
        <w:spacing w:after="0" w:line="141" w:lineRule="exact"/>
        <w:rPr>
          <w:rFonts w:ascii="Times New Roman" w:cs="Times New Roman" w:eastAsia="Times New Roman" w:hAnsi="Times New Roman"/>
          <w:sz w:val="20"/>
          <w:szCs w:val="20"/>
          <w:b w:val="1"/>
          <w:bCs w:val="1"/>
          <w:color w:val="auto"/>
        </w:rPr>
      </w:pPr>
    </w:p>
    <w:p>
      <w:pPr>
        <w:ind w:left="740" w:hanging="732"/>
        <w:spacing w:after="0"/>
        <w:tabs>
          <w:tab w:leader="none" w:pos="74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SEVERANCE</w:t>
      </w:r>
    </w:p>
    <w:p>
      <w:pPr>
        <w:spacing w:after="0" w:line="206" w:lineRule="exact"/>
        <w:rPr>
          <w:rFonts w:ascii="Times New Roman" w:cs="Times New Roman" w:eastAsia="Times New Roman" w:hAnsi="Times New Roman"/>
          <w:sz w:val="20"/>
          <w:szCs w:val="20"/>
          <w:b w:val="1"/>
          <w:bCs w:val="1"/>
          <w:color w:val="auto"/>
        </w:rPr>
      </w:pPr>
    </w:p>
    <w:p>
      <w:pPr>
        <w:ind w:left="7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provision of this Agreement is or becomes illegal, invalid or unenforceable in any jurisdiction, that shall not affect:</w:t>
      </w:r>
    </w:p>
    <w:p>
      <w:pPr>
        <w:spacing w:after="0" w:line="188"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legality, validity or enforceability in that jurisdiction of any other provisions of this Agreement; or</w:t>
      </w:r>
    </w:p>
    <w:p>
      <w:pPr>
        <w:spacing w:after="0" w:line="202"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legality, validity or enforceability in any other jurisdiction of that or any other provision of this Agreement.</w:t>
      </w:r>
    </w:p>
    <w:p>
      <w:pPr>
        <w:spacing w:after="0" w:line="198"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w:t>
      </w:r>
    </w:p>
    <w:p>
      <w:pPr>
        <w:spacing w:after="0" w:line="188" w:lineRule="exact"/>
        <w:rPr>
          <w:rFonts w:ascii="Times New Roman" w:cs="Times New Roman" w:eastAsia="Times New Roman" w:hAnsi="Times New Roman"/>
          <w:sz w:val="20"/>
          <w:szCs w:val="20"/>
          <w:b w:val="1"/>
          <w:bCs w:val="1"/>
          <w:color w:val="auto"/>
        </w:rPr>
      </w:pPr>
    </w:p>
    <w:p>
      <w:pPr>
        <w:ind w:left="7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 and deemed receipt</w:t>
      </w:r>
    </w:p>
    <w:p>
      <w:pPr>
        <w:spacing w:after="0" w:line="206" w:lineRule="exact"/>
        <w:rPr>
          <w:rFonts w:ascii="Times New Roman" w:cs="Times New Roman" w:eastAsia="Times New Roman" w:hAnsi="Times New Roman"/>
          <w:sz w:val="20"/>
          <w:szCs w:val="20"/>
          <w:b w:val="1"/>
          <w:bCs w:val="1"/>
          <w:color w:val="auto"/>
        </w:rPr>
      </w:pPr>
    </w:p>
    <w:p>
      <w:pPr>
        <w:jc w:val="both"/>
        <w:ind w:left="7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notice hereunder shall be given by either party to the other either personally to you or the Company Secretary (as appropriate) or sent in the case of the Company, to its registered office for the time being and, in the case of you, to your postal or email address last known to the Company. Any such notice shall be in writing and shall be given by letter delivered by hand or sent by first class prepaid recorded delivery or registered post or by email. Any such notice shall be deemed to have been received:</w:t>
      </w:r>
    </w:p>
    <w:p>
      <w:pPr>
        <w:spacing w:after="0" w:line="166"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delivered personally, at the time of delivery;</w:t>
      </w:r>
    </w:p>
    <w:p>
      <w:pPr>
        <w:spacing w:after="0" w:line="188"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pre-paid recorded delivery or registered post, 48 hours from the date of posting; and</w:t>
      </w:r>
    </w:p>
    <w:p>
      <w:pPr>
        <w:spacing w:after="0" w:line="202"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email, at the time of transmission;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provided that if deemed receipt occurs before 9 am on a business day the notice shall be deemed to have been received at 9 am on that day and if deemed receipt occurs after 5 pm on a business day, or on a day which is not a business day, the notice shall be deemed to have been received at 9 am on the next business day. For the purpose of this Clause, “business day” means any day which is not a Saturday, a Sunday or a public holiday in the place at or to which the notice is left or sent.</w:t>
      </w:r>
    </w:p>
    <w:p>
      <w:pPr>
        <w:spacing w:after="0" w:line="162" w:lineRule="exact"/>
        <w:rPr>
          <w:sz w:val="20"/>
          <w:szCs w:val="20"/>
          <w:color w:val="auto"/>
        </w:rPr>
      </w:pPr>
    </w:p>
    <w:p>
      <w:pPr>
        <w:ind w:left="740" w:hanging="732"/>
        <w:spacing w:after="0"/>
        <w:tabs>
          <w:tab w:leader="none" w:pos="74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AND JURISDICTION</w:t>
      </w:r>
    </w:p>
    <w:p>
      <w:pPr>
        <w:spacing w:after="0" w:line="18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33.1</w:t>
      </w:r>
      <w:r>
        <w:rPr>
          <w:sz w:val="20"/>
          <w:szCs w:val="20"/>
          <w:color w:val="auto"/>
        </w:rPr>
        <w:tab/>
      </w:r>
      <w:r>
        <w:rPr>
          <w:rFonts w:ascii="Times New Roman" w:cs="Times New Roman" w:eastAsia="Times New Roman" w:hAnsi="Times New Roman"/>
          <w:sz w:val="19"/>
          <w:szCs w:val="19"/>
          <w:b w:val="1"/>
          <w:bCs w:val="1"/>
          <w:color w:val="auto"/>
        </w:rPr>
        <w:t>Governing law</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Agreement is governed by and to be construed in accordance with English law.</w:t>
      </w:r>
    </w:p>
    <w:p>
      <w:pPr>
        <w:spacing w:after="0" w:line="19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33.2</w:t>
      </w:r>
      <w:r>
        <w:rPr>
          <w:sz w:val="20"/>
          <w:szCs w:val="20"/>
          <w:color w:val="auto"/>
        </w:rPr>
        <w:tab/>
      </w:r>
      <w:r>
        <w:rPr>
          <w:rFonts w:ascii="Times New Roman" w:cs="Times New Roman" w:eastAsia="Times New Roman" w:hAnsi="Times New Roman"/>
          <w:sz w:val="19"/>
          <w:szCs w:val="19"/>
          <w:b w:val="1"/>
          <w:bCs w:val="1"/>
          <w:color w:val="auto"/>
        </w:rPr>
        <w:t>Jurisdiction</w:t>
      </w:r>
    </w:p>
    <w:p>
      <w:pPr>
        <w:spacing w:after="0" w:line="193"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Each party hereby submits to the exclusive jurisdiction of the English courts as regards any claim, dispute or matter arising out of or in connection with this Agreement and its implementation and effect.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color w:val="auto"/>
        </w:rPr>
        <w:t xml:space="preserve">IN WITNESS </w:t>
      </w:r>
      <w:r>
        <w:rPr>
          <w:rFonts w:ascii="Times New Roman" w:cs="Times New Roman" w:eastAsia="Times New Roman" w:hAnsi="Times New Roman"/>
          <w:sz w:val="20"/>
          <w:szCs w:val="20"/>
          <w:color w:val="auto"/>
        </w:rPr>
        <w:t>of which this Agreement has been executed and delivered as a deed on the first date written above.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EXECUTED as a Deed __</w:t>
      </w:r>
      <w:r>
        <w:rPr>
          <w:rFonts w:ascii="Times New Roman" w:cs="Times New Roman" w:eastAsia="Times New Roman" w:hAnsi="Times New Roman"/>
          <w:sz w:val="20"/>
          <w:szCs w:val="20"/>
          <w:u w:val="single" w:color="auto"/>
          <w:color w:val="auto"/>
        </w:rPr>
        <w:t>/s/ Ross Brown</w:t>
      </w:r>
      <w:r>
        <w:rPr>
          <w:rFonts w:ascii="Times New Roman" w:cs="Times New Roman" w:eastAsia="Times New Roman" w:hAnsi="Times New Roman"/>
          <w:sz w:val="20"/>
          <w:szCs w:val="20"/>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DANA UK DRIVESHAFT</w:t>
      </w:r>
    </w:p>
    <w:tbl>
      <w:tblPr>
        <w:tblLayout w:type="fixed"/>
        <w:tblInd w:w="0" w:type="dxa"/>
        <w:tblCellMar>
          <w:top w:w="0" w:type="dxa"/>
          <w:left w:w="0" w:type="dxa"/>
          <w:bottom w:w="0" w:type="dxa"/>
          <w:right w:w="0" w:type="dxa"/>
        </w:tblCellMar>
      </w:tblPr>
      <w:tr>
        <w:trPr>
          <w:trHeight w:val="204"/>
        </w:trPr>
        <w:tc>
          <w:tcPr>
            <w:tcW w:w="1040" w:type="dxa"/>
            <w:vAlign w:val="bottom"/>
          </w:tcPr>
          <w:p>
            <w:pPr>
              <w:spacing w:after="0" w:line="204" w:lineRule="exact"/>
              <w:rPr>
                <w:sz w:val="20"/>
                <w:szCs w:val="20"/>
                <w:color w:val="auto"/>
              </w:rPr>
            </w:pPr>
            <w:r>
              <w:rPr>
                <w:rFonts w:ascii="Times New Roman" w:cs="Times New Roman" w:eastAsia="Times New Roman" w:hAnsi="Times New Roman"/>
                <w:sz w:val="20"/>
                <w:szCs w:val="20"/>
                <w:b w:val="1"/>
                <w:bCs w:val="1"/>
                <w:color w:val="auto"/>
              </w:rPr>
              <w:t>LIMITED</w:t>
            </w:r>
          </w:p>
        </w:tc>
        <w:tc>
          <w:tcPr>
            <w:tcW w:w="3400" w:type="dxa"/>
            <w:vAlign w:val="bottom"/>
            <w:gridSpan w:val="5"/>
          </w:tcPr>
          <w:p>
            <w:pPr>
              <w:ind w:left="160"/>
              <w:spacing w:after="0" w:line="204" w:lineRule="exact"/>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4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 xml:space="preserve">acting by </w:t>
            </w:r>
            <w:r>
              <w:rPr>
                <w:rFonts w:ascii="Times New Roman" w:cs="Times New Roman" w:eastAsia="Times New Roman" w:hAnsi="Times New Roman"/>
                <w:sz w:val="20"/>
                <w:szCs w:val="20"/>
                <w:b w:val="1"/>
                <w:bCs w:val="1"/>
                <w:color w:val="auto"/>
              </w:rPr>
              <w:t>Ross Brown</w:t>
            </w:r>
          </w:p>
        </w:tc>
      </w:tr>
      <w:tr>
        <w:trPr>
          <w:trHeight w:val="459"/>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Witness’s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9"/>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340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__/s/ Adeola Kazeem_ _____________</w:t>
            </w: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2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Full Name:</w:t>
            </w:r>
          </w:p>
        </w:tc>
        <w:tc>
          <w:tcPr>
            <w:tcW w:w="340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w w:val="98"/>
              </w:rPr>
              <w:t>__Adeola Kazeem__________________</w:t>
            </w: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_________________________________</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EXECUTED as a Deed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6"/>
        </w:trPr>
        <w:tc>
          <w:tcPr>
            <w:tcW w:w="192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CRAIG PRICE</w:t>
            </w:r>
          </w:p>
        </w:tc>
        <w:tc>
          <w:tcPr>
            <w:tcW w:w="332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20"/>
                <w:szCs w:val="20"/>
                <w:color w:val="auto"/>
              </w:rPr>
              <w:t>__/s/ Craig Price    ________________</w:t>
            </w:r>
          </w:p>
        </w:tc>
      </w:tr>
      <w:tr>
        <w:trPr>
          <w:trHeight w:val="256"/>
        </w:trPr>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 the presence of:</w:t>
            </w:r>
          </w:p>
        </w:tc>
        <w:tc>
          <w:tcPr>
            <w:tcW w:w="1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r>
      <w:tr>
        <w:trPr>
          <w:trHeight w:val="67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Witness’s</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9"/>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420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__/s/ Sharon Price________________</w:t>
            </w: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42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Full Name:</w:t>
            </w:r>
          </w:p>
        </w:tc>
        <w:tc>
          <w:tcPr>
            <w:tcW w:w="420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__Sharon Price_  ________________</w:t>
            </w: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left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_________________________________</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|EU-DOCS\56996824.2||</w:t>
            </w:r>
          </w:p>
        </w:tc>
        <w:tc>
          <w:tcPr>
            <w:tcW w:w="9660" w:type="dxa"/>
            <w:vAlign w:val="bottom"/>
          </w:tcPr>
          <w:p>
            <w:pPr>
              <w:jc w:val="right"/>
              <w:ind w:right="8468"/>
              <w:spacing w:after="0"/>
              <w:rPr>
                <w:sz w:val="20"/>
                <w:szCs w:val="20"/>
                <w:color w:val="auto"/>
              </w:rPr>
            </w:pPr>
            <w:r>
              <w:rPr>
                <w:rFonts w:ascii="Times New Roman" w:cs="Times New Roman" w:eastAsia="Times New Roman" w:hAnsi="Times New Roman"/>
                <w:sz w:val="14"/>
                <w:szCs w:val="14"/>
                <w:color w:val="auto"/>
              </w:rPr>
              <w:t>|  888349-0000||</w:t>
            </w:r>
          </w:p>
        </w:tc>
      </w:tr>
      <w:tr>
        <w:trPr>
          <w:trHeight w:val="746"/>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621"/>
        </w:trPr>
        <w:tc>
          <w:tcPr>
            <w:tcW w:w="3380" w:type="dxa"/>
            <w:vAlign w:val="bottom"/>
          </w:tcPr>
          <w:p>
            <w:pPr>
              <w:spacing w:after="0"/>
              <w:rPr>
                <w:sz w:val="24"/>
                <w:szCs w:val="24"/>
                <w:color w:val="auto"/>
              </w:rPr>
            </w:pPr>
          </w:p>
        </w:tc>
        <w:tc>
          <w:tcPr>
            <w:tcW w:w="786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375"/>
        </w:trPr>
        <w:tc>
          <w:tcPr>
            <w:tcW w:w="33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Country of</w:t>
            </w:r>
          </w:p>
        </w:tc>
      </w:tr>
      <w:tr>
        <w:trPr>
          <w:trHeight w:val="16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38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Organization</w:t>
            </w:r>
          </w:p>
        </w:tc>
      </w:tr>
      <w:tr>
        <w:trPr>
          <w:trHeight w:val="23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Allison Transmission, Inc.</w:t>
            </w:r>
          </w:p>
        </w:tc>
        <w:tc>
          <w:tcPr>
            <w:tcW w:w="5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032"/>
        </w:trPr>
        <w:tc>
          <w:tcPr>
            <w:tcW w:w="33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ind w:left="10100"/>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333-180285 and 333-204224) of Allison Transmission Holdings, Inc. of our report dated February 24, 2026 relating to the financial statements, financial statement schedule, and the effectiveness of internal control over financial reporting, which appears in this Form 10-K.</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Indianapolis, Indiana</w:t>
      </w:r>
    </w:p>
    <w:p>
      <w:pPr>
        <w:spacing w:after="0"/>
        <w:rPr>
          <w:sz w:val="20"/>
          <w:szCs w:val="20"/>
          <w:color w:val="auto"/>
        </w:rPr>
      </w:pPr>
      <w:r>
        <w:rPr>
          <w:rFonts w:ascii="Georgia" w:cs="Georgia" w:eastAsia="Georgia" w:hAnsi="Georgia"/>
          <w:sz w:val="18"/>
          <w:szCs w:val="18"/>
          <w:color w:val="auto"/>
        </w:rPr>
        <w:t>February 24, 2026</w:t>
      </w:r>
    </w:p>
    <w:p>
      <w:pPr>
        <w:spacing w:after="0" w:line="186"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66" w:lineRule="exact"/>
        <w:rPr>
          <w:sz w:val="20"/>
          <w:szCs w:val="20"/>
          <w:color w:val="auto"/>
        </w:rPr>
      </w:pPr>
    </w:p>
    <w:p>
      <w:pPr>
        <w:jc w:val="cente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225" w:lineRule="exact"/>
        <w:rPr>
          <w:sz w:val="20"/>
          <w:szCs w:val="20"/>
          <w:color w:val="auto"/>
        </w:rPr>
      </w:pPr>
    </w:p>
    <w:p>
      <w:pPr>
        <w:ind w:left="760" w:hanging="752"/>
        <w:spacing w:after="0"/>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Allison Transmission Holdings, Inc.;</w:t>
      </w:r>
    </w:p>
    <w:p>
      <w:pPr>
        <w:spacing w:after="0" w:line="225" w:lineRule="exact"/>
        <w:rPr>
          <w:rFonts w:ascii="Times New Roman" w:cs="Times New Roman" w:eastAsia="Times New Roman" w:hAnsi="Times New Roman"/>
          <w:sz w:val="18"/>
          <w:szCs w:val="18"/>
          <w:color w:val="auto"/>
        </w:rPr>
      </w:pPr>
    </w:p>
    <w:p>
      <w:pPr>
        <w:jc w:val="both"/>
        <w:ind w:left="740" w:right="160" w:hanging="732"/>
        <w:spacing w:after="0" w:line="266" w:lineRule="auto"/>
        <w:tabs>
          <w:tab w:leader="none" w:pos="7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40" w:right="660" w:hanging="732"/>
        <w:spacing w:after="0" w:line="312" w:lineRule="auto"/>
        <w:tabs>
          <w:tab w:leader="none" w:pos="7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720" w:right="880" w:hanging="712"/>
        <w:spacing w:after="0" w:line="266"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480" w:right="240" w:hanging="724"/>
        <w:spacing w:after="0" w:line="266" w:lineRule="auto"/>
        <w:tabs>
          <w:tab w:leader="none" w:pos="14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600" w:hanging="744"/>
        <w:spacing w:after="0" w:line="266" w:lineRule="auto"/>
        <w:tabs>
          <w:tab w:leader="none" w:pos="15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00" w:right="200" w:hanging="744"/>
        <w:spacing w:after="0" w:line="266" w:lineRule="auto"/>
        <w:tabs>
          <w:tab w:leader="none" w:pos="15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80" w:right="700" w:hanging="724"/>
        <w:spacing w:after="0" w:line="266" w:lineRule="auto"/>
        <w:tabs>
          <w:tab w:leader="none" w:pos="14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20" w:right="580" w:hanging="712"/>
        <w:spacing w:after="0" w:line="266"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480" w:right="480" w:hanging="724"/>
        <w:spacing w:after="0" w:line="266" w:lineRule="auto"/>
        <w:tabs>
          <w:tab w:leader="none" w:pos="14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80" w:right="480" w:hanging="724"/>
        <w:spacing w:after="0" w:line="282" w:lineRule="auto"/>
        <w:tabs>
          <w:tab w:leader="none" w:pos="14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24, 2026</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Chair, President and Chief Executive Officer (Principal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215900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58" w:lineRule="exact"/>
        <w:rPr>
          <w:sz w:val="20"/>
          <w:szCs w:val="20"/>
          <w:color w:val="auto"/>
        </w:rPr>
      </w:pPr>
    </w:p>
    <w:p>
      <w:pPr>
        <w:jc w:val="cente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Scott Mell, certify that:</w:t>
      </w:r>
    </w:p>
    <w:p>
      <w:pPr>
        <w:spacing w:after="0" w:line="225" w:lineRule="exact"/>
        <w:rPr>
          <w:sz w:val="20"/>
          <w:szCs w:val="20"/>
          <w:color w:val="auto"/>
        </w:rPr>
      </w:pPr>
    </w:p>
    <w:p>
      <w:pPr>
        <w:ind w:left="760" w:hanging="752"/>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Allison Transmission Holdings, Inc.;</w:t>
      </w:r>
    </w:p>
    <w:p>
      <w:pPr>
        <w:spacing w:after="0" w:line="225" w:lineRule="exact"/>
        <w:rPr>
          <w:rFonts w:ascii="Times New Roman" w:cs="Times New Roman" w:eastAsia="Times New Roman" w:hAnsi="Times New Roman"/>
          <w:sz w:val="18"/>
          <w:szCs w:val="18"/>
          <w:color w:val="auto"/>
        </w:rPr>
      </w:pPr>
    </w:p>
    <w:p>
      <w:pPr>
        <w:jc w:val="both"/>
        <w:ind w:left="740" w:right="160" w:hanging="732"/>
        <w:spacing w:after="0" w:line="266" w:lineRule="auto"/>
        <w:tabs>
          <w:tab w:leader="none" w:pos="7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40" w:right="660" w:hanging="732"/>
        <w:spacing w:after="0" w:line="312" w:lineRule="auto"/>
        <w:tabs>
          <w:tab w:leader="none" w:pos="7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720" w:right="880" w:hanging="712"/>
        <w:spacing w:after="0" w:line="266" w:lineRule="auto"/>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480" w:right="240" w:hanging="724"/>
        <w:spacing w:after="0" w:line="266" w:lineRule="auto"/>
        <w:tabs>
          <w:tab w:leader="none" w:pos="14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600" w:hanging="744"/>
        <w:spacing w:after="0" w:line="266" w:lineRule="auto"/>
        <w:tabs>
          <w:tab w:leader="none" w:pos="15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00" w:right="200" w:hanging="744"/>
        <w:spacing w:after="0" w:line="266" w:lineRule="auto"/>
        <w:tabs>
          <w:tab w:leader="none" w:pos="15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80" w:right="700" w:hanging="724"/>
        <w:spacing w:after="0" w:line="266" w:lineRule="auto"/>
        <w:tabs>
          <w:tab w:leader="none" w:pos="14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20" w:right="580" w:hanging="712"/>
        <w:spacing w:after="0" w:line="266" w:lineRule="auto"/>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480" w:right="480" w:hanging="724"/>
        <w:spacing w:after="0" w:line="266" w:lineRule="auto"/>
        <w:tabs>
          <w:tab w:leader="none" w:pos="14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80" w:right="480" w:hanging="724"/>
        <w:spacing w:after="0" w:line="282" w:lineRule="auto"/>
        <w:tabs>
          <w:tab w:leader="none" w:pos="14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24, 2026</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Scott Mell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Scott Mell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215900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1"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CERTIFICATION PURSUANT TO 18</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20" w:right="8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Allison Transmission Holdings, Inc. (the “Company”) on Form 10-K for the fiscal year ended December 31, 2025 as filed with the Securities and Exchange Commission on the date hereof (the “Report”), we, David S. Graziosi, Chairman, President and Chief Executive Officer of the Company, and Scott Mell, Chief Financial Officer and Treasurer of the Company, certify, pursuant to 18 U.S.C. § 1350 as adopted pursuant to § 906 of the Sarbanes- Oxley Act of 2002, that:</w:t>
      </w:r>
    </w:p>
    <w:p>
      <w:pPr>
        <w:spacing w:after="0" w:line="180" w:lineRule="exact"/>
        <w:rPr>
          <w:sz w:val="20"/>
          <w:szCs w:val="20"/>
          <w:color w:val="auto"/>
        </w:rPr>
      </w:pPr>
    </w:p>
    <w:p>
      <w:pPr>
        <w:ind w:left="760" w:hanging="752"/>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00" w:right="1020" w:hanging="692"/>
        <w:spacing w:after="0" w:line="282" w:lineRule="auto"/>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24, 2026</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Chair, President and Chief Executive Officer (Principal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24, 2026</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Scott Mell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Scott Mell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619125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1" w:right="339" w:bottom="1440" w:gutter="0" w:footer="0" w:header="0"/>
        </w:sectPr>
      </w:pPr>
    </w:p>
    <w:bookmarkStart w:id="143" w:name="page144"/>
    <w:bookmarkEnd w:id="1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1)"/>
      <w:numFmt w:val="lowerLetter"/>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1)"/>
      <w:numFmt w:val="decimal"/>
      <w:start w:val="1"/>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1)"/>
      <w:numFmt w:val="lowerLetter"/>
      <w:start w:val="1"/>
    </w:lvl>
  </w:abstractNum>
  <w:abstractNum w:abstractNumId="26">
    <w:nsid w:val="3F6AB60F"/>
    <w:multiLevelType w:val="hybridMultilevel"/>
    <w:lvl w:ilvl="0">
      <w:lvlJc w:val="left"/>
      <w:lvlText w:val="%1."/>
      <w:numFmt w:val="decimal"/>
      <w:start w:val="8"/>
    </w:lvl>
  </w:abstractNum>
  <w:abstractNum w:abstractNumId="27">
    <w:nsid w:val="61574095"/>
    <w:multiLevelType w:val="hybridMultilevel"/>
    <w:lvl w:ilvl="0">
      <w:lvlJc w:val="left"/>
      <w:lvlText w:val="%1"/>
      <w:numFmt w:val="decimal"/>
      <w:start w:val="97"/>
    </w:lvl>
  </w:abstractNum>
  <w:abstractNum w:abstractNumId="28">
    <w:nsid w:val="7E0C57B1"/>
    <w:multiLevelType w:val="hybridMultilevel"/>
    <w:lvl w:ilvl="0">
      <w:lvlJc w:val="left"/>
      <w:lvlText w:val="*"/>
      <w:numFmt w:val="bullet"/>
      <w:start w:val="1"/>
    </w:lvl>
    <w:lvl w:ilvl="1">
      <w:lvlJc w:val="left"/>
      <w:lvlText w:val="%2"/>
      <w:numFmt w:val="decimal"/>
      <w:start w:val="104"/>
    </w:lvl>
  </w:abstractNum>
  <w:abstractNum w:abstractNumId="29">
    <w:nsid w:val="77AE35EB"/>
    <w:multiLevelType w:val="hybridMultilevel"/>
    <w:lvl w:ilvl="0">
      <w:lvlJc w:val="left"/>
      <w:lvlText w:val="%1"/>
      <w:numFmt w:val="decimal"/>
      <w:start w:val="1"/>
    </w:lvl>
    <w:lvl w:ilvl="1">
      <w:lvlJc w:val="left"/>
      <w:lvlText w:val="%2"/>
      <w:numFmt w:val="decimal"/>
      <w:start w:val="99"/>
    </w:lvl>
  </w:abstractNum>
  <w:abstractNum w:abstractNumId="30">
    <w:nsid w:val="579BE4F1"/>
    <w:multiLevelType w:val="hybridMultilevel"/>
    <w:lvl w:ilvl="0">
      <w:lvlJc w:val="left"/>
      <w:lvlText w:val="(%1)"/>
      <w:numFmt w:val="decimal"/>
      <w:start w:val="44"/>
    </w:lvl>
    <w:lvl w:ilvl="1">
      <w:lvlJc w:val="left"/>
      <w:lvlText w:val="%2"/>
      <w:numFmt w:val="decimal"/>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2"/>
    </w:lvl>
  </w:abstractNum>
  <w:abstractNum w:abstractNumId="34">
    <w:nsid w:val="25A70BF7"/>
    <w:multiLevelType w:val="hybridMultilevel"/>
    <w:lvl w:ilvl="0">
      <w:lvlJc w:val="left"/>
      <w:lvlText w:val="%1"/>
      <w:numFmt w:val="decimal"/>
      <w:start w:val="1"/>
    </w:lvl>
    <w:lvl w:ilvl="1">
      <w:lvlJc w:val="left"/>
      <w:lvlText w:val="(%2)"/>
      <w:numFmt w:val="lowerLetter"/>
      <w:start w:val="1"/>
    </w:lvl>
  </w:abstractNum>
  <w:abstractNum w:abstractNumId="35">
    <w:nsid w:val="1DBABF00"/>
    <w:multiLevelType w:val="hybridMultilevel"/>
    <w:lvl w:ilvl="0">
      <w:lvlJc w:val="left"/>
      <w:lvlText w:val="%1."/>
      <w:numFmt w:val="decimal"/>
      <w:start w:val="3"/>
    </w:lvl>
    <w:lvl w:ilvl="1">
      <w:lvlJc w:val="left"/>
      <w:lvlText w:val="%2"/>
      <w:numFmt w:val="lowerLetter"/>
      <w:start w:val="1"/>
    </w:lvl>
  </w:abstractNum>
  <w:abstractNum w:abstractNumId="36">
    <w:nsid w:val="4AD084E9"/>
    <w:multiLevelType w:val="hybridMultilevel"/>
    <w:lvl w:ilvl="0">
      <w:lvlJc w:val="left"/>
      <w:lvlText w:val="(%1)"/>
      <w:numFmt w:val="lowerLetter"/>
      <w:start w:val="1"/>
    </w:lvl>
  </w:abstractNum>
  <w:abstractNum w:abstractNumId="37">
    <w:nsid w:val="1F48EAA1"/>
    <w:multiLevelType w:val="hybridMultilevel"/>
    <w:lvl w:ilvl="0">
      <w:lvlJc w:val="left"/>
      <w:lvlText w:val="(%1)"/>
      <w:numFmt w:val="lowerLetter"/>
      <w:start w:val="3"/>
    </w:lvl>
  </w:abstractNum>
  <w:abstractNum w:abstractNumId="38">
    <w:nsid w:val="1381823A"/>
    <w:multiLevelType w:val="hybridMultilevel"/>
    <w:lvl w:ilvl="0">
      <w:lvlJc w:val="left"/>
      <w:lvlText w:val="%1."/>
      <w:numFmt w:val="decimal"/>
      <w:start w:val="4"/>
    </w:lvl>
  </w:abstractNum>
  <w:abstractNum w:abstractNumId="39">
    <w:nsid w:val="5DB70AE5"/>
    <w:multiLevelType w:val="hybridMultilevel"/>
    <w:lvl w:ilvl="0">
      <w:lvlJc w:val="left"/>
      <w:lvlText w:val="(%1)"/>
      <w:numFmt w:val="lowerLetter"/>
      <w:start w:val="1"/>
    </w:lvl>
  </w:abstractNum>
  <w:abstractNum w:abstractNumId="40">
    <w:nsid w:val="100F8FCA"/>
    <w:multiLevelType w:val="hybridMultilevel"/>
    <w:lvl w:ilvl="0">
      <w:lvlJc w:val="left"/>
      <w:lvlText w:val="%1."/>
      <w:numFmt w:val="decimal"/>
      <w:start w:val="5"/>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lowerLetter"/>
      <w:start w:val="2"/>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
    <w:nsid w:val="6B947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1"/>
      <w:numFmt w:val="decimal"/>
      <w:start w:val="1"/>
    </w:lvl>
    <w:lvl w:ilvl="1">
      <w:lvlJc w:val="left"/>
      <w:lvlText w:val="(%2)"/>
      <w:numFmt w:val="lowerLetter"/>
      <w:start w:val="1"/>
    </w:lvl>
  </w:abstractNum>
  <w:abstractNum w:abstractNumId="49">
    <w:nsid w:val="1EBA5D23"/>
    <w:multiLevelType w:val="hybridMultilevel"/>
    <w:lvl w:ilvl="0">
      <w:lvlJc w:val="left"/>
      <w:lvlText w:val="%1."/>
      <w:numFmt w:val="decimal"/>
      <w:start w:val="7"/>
    </w:lvl>
    <w:lvl w:ilvl="1">
      <w:lvlJc w:val="left"/>
      <w:lvlText w:val="%2"/>
      <w:numFmt w:val="lowerLetter"/>
      <w:start w:val="1"/>
    </w:lvl>
  </w:abstractNum>
  <w:abstractNum w:abstractNumId="50">
    <w:nsid w:val="661E3F1E"/>
    <w:multiLevelType w:val="hybridMultilevel"/>
    <w:lvl w:ilvl="0">
      <w:lvlJc w:val="left"/>
      <w:lvlText w:val="%1."/>
      <w:numFmt w:val="decimal"/>
      <w:start w:val="11"/>
    </w:lvl>
    <w:lvl w:ilvl="1">
      <w:lvlJc w:val="left"/>
      <w:lvlText w:val="(%2)"/>
      <w:numFmt w:val="lowerLetter"/>
      <w:start w:val="1"/>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decimal"/>
      <w:start w:val="13"/>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decimal"/>
      <w:start w:val="14"/>
    </w:lvl>
  </w:abstractNum>
  <w:abstractNum w:abstractNumId="57">
    <w:nsid w:val="11447B73"/>
    <w:multiLevelType w:val="hybridMultilevel"/>
    <w:lvl w:ilvl="0">
      <w:lvlJc w:val="left"/>
      <w:lvlText w:val="(%1)"/>
      <w:numFmt w:val="lowerLetter"/>
      <w:start w:val="1"/>
    </w:lvl>
    <w:lvl w:ilvl="1">
      <w:lvlJc w:val="left"/>
      <w:lvlText w:val="(%2)"/>
      <w:numFmt w:val="lowerRoman"/>
      <w:start w:val="1"/>
    </w:lvl>
  </w:abstractNum>
  <w:abstractNum w:abstractNumId="58">
    <w:nsid w:val="42963E5A"/>
    <w:multiLevelType w:val="hybridMultilevel"/>
    <w:lvl w:ilvl="0">
      <w:lvlJc w:val="left"/>
      <w:lvlText w:val="%1."/>
      <w:numFmt w:val="decimal"/>
      <w:start w:val="16"/>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lowerLetter"/>
      <w:start w:val="2"/>
    </w:lvl>
  </w:abstractNum>
  <w:abstractNum w:abstractNumId="61">
    <w:nsid w:val="1A32234B"/>
    <w:multiLevelType w:val="hybridMultilevel"/>
    <w:lvl w:ilvl="0">
      <w:lvlJc w:val="left"/>
      <w:lvlText w:val="(%1)"/>
      <w:numFmt w:val="lowerLetter"/>
      <w:start w:val="1"/>
    </w:lvl>
  </w:abstractNum>
  <w:abstractNum w:abstractNumId="62">
    <w:nsid w:val="3B0FD379"/>
    <w:multiLevelType w:val="hybridMultilevel"/>
    <w:lvl w:ilvl="0">
      <w:lvlJc w:val="left"/>
      <w:lvlText w:val="%1."/>
      <w:numFmt w:val="decimal"/>
      <w:start w:val="17"/>
    </w:lvl>
  </w:abstractNum>
  <w:abstractNum w:abstractNumId="63">
    <w:nsid w:val="68EB2F63"/>
    <w:multiLevelType w:val="hybridMultilevel"/>
    <w:lvl w:ilvl="0">
      <w:lvlJc w:val="left"/>
      <w:lvlText w:val="(%1)"/>
      <w:numFmt w:val="lowerLetter"/>
      <w:start w:val="1"/>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decimal"/>
      <w:start w:val="1"/>
    </w:lvl>
    <w:lvl w:ilvl="1">
      <w:lvlJc w:val="left"/>
      <w:lvlText w:val="(%2)"/>
      <w:numFmt w:val="lowerLetter"/>
      <w:start w:val="2"/>
    </w:lvl>
  </w:abstractNum>
  <w:abstractNum w:abstractNumId="66">
    <w:nsid w:val="6A5EE64"/>
    <w:multiLevelType w:val="hybridMultilevel"/>
    <w:lvl w:ilvl="0">
      <w:lvlJc w:val="left"/>
      <w:lvlText w:val="%1."/>
      <w:numFmt w:val="decimal"/>
      <w:start w:val="18"/>
    </w:lvl>
    <w:lvl w:ilvl="1">
      <w:lvlJc w:val="left"/>
      <w:lvlText w:val="%2"/>
      <w:numFmt w:val="lowerLetter"/>
      <w:start w:val="1"/>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decimal"/>
      <w:start w:val="19"/>
    </w:lvl>
  </w:abstractNum>
  <w:abstractNum w:abstractNumId="70">
    <w:nsid w:val="71EA1109"/>
    <w:multiLevelType w:val="hybridMultilevel"/>
    <w:lvl w:ilvl="0">
      <w:lvlJc w:val="left"/>
      <w:lvlText w:val="(%1)"/>
      <w:numFmt w:val="lowerLetter"/>
      <w:start w:val="1"/>
    </w:lvl>
  </w:abstractNum>
  <w:abstractNum w:abstractNumId="71">
    <w:nsid w:val="100F59DC"/>
    <w:multiLevelType w:val="hybridMultilevel"/>
    <w:lvl w:ilvl="0">
      <w:lvlJc w:val="left"/>
      <w:lvlText w:val="%1."/>
      <w:numFmt w:val="decimal"/>
      <w:start w:val="20"/>
    </w:lvl>
  </w:abstractNum>
  <w:abstractNum w:abstractNumId="72">
    <w:nsid w:val="7FB7E0AA"/>
    <w:multiLevelType w:val="hybridMultilevel"/>
    <w:lvl w:ilvl="0">
      <w:lvlJc w:val="left"/>
      <w:lvlText w:val="(%1)"/>
      <w:numFmt w:val="lowerLetter"/>
      <w:start w:val="1"/>
    </w:lvl>
    <w:lvl w:ilvl="1">
      <w:lvlJc w:val="left"/>
      <w:lvlText w:val="(%2)"/>
      <w:numFmt w:val="lowerRoman"/>
      <w:start w:val="1"/>
    </w:lvl>
  </w:abstractNum>
  <w:abstractNum w:abstractNumId="73">
    <w:nsid w:val="6EB5BD4"/>
    <w:multiLevelType w:val="hybridMultilevel"/>
    <w:lvl w:ilvl="0">
      <w:lvlJc w:val="left"/>
      <w:lvlText w:val="(%1)"/>
      <w:numFmt w:val="lowerLetter"/>
      <w:start w:val="2"/>
    </w:lvl>
    <w:lvl w:ilvl="1">
      <w:lvlJc w:val="left"/>
      <w:lvlText w:val="(%2)"/>
      <w:numFmt w:val="lowerRoman"/>
      <w:start w:val="1"/>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lowerLetter"/>
      <w:start w:val="1"/>
    </w:lvl>
  </w:abstractNum>
  <w:abstractNum w:abstractNumId="76">
    <w:nsid w:val="885E1B"/>
    <w:multiLevelType w:val="hybridMultilevel"/>
    <w:lvl w:ilvl="0">
      <w:lvlJc w:val="left"/>
      <w:lvlText w:val="(%1)"/>
      <w:numFmt w:val="lowerLetter"/>
      <w:start w:val="1"/>
    </w:lvl>
  </w:abstractNum>
  <w:abstractNum w:abstractNumId="77">
    <w:nsid w:val="76272110"/>
    <w:multiLevelType w:val="hybridMultilevel"/>
    <w:lvl w:ilvl="0">
      <w:lvlJc w:val="left"/>
      <w:lvlText w:val="%1."/>
      <w:numFmt w:val="decimal"/>
      <w:start w:val="21"/>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decimal"/>
      <w:start w:val="22"/>
    </w:lvl>
  </w:abstractNum>
  <w:abstractNum w:abstractNumId="80">
    <w:nsid w:val="14E17E33"/>
    <w:multiLevelType w:val="hybridMultilevel"/>
    <w:lvl w:ilvl="0">
      <w:lvlJc w:val="left"/>
      <w:lvlText w:val="(%1)"/>
      <w:numFmt w:val="lowerLetter"/>
      <w:start w:val="1"/>
    </w:lvl>
  </w:abstractNum>
  <w:abstractNum w:abstractNumId="81">
    <w:nsid w:val="3222E7CD"/>
    <w:multiLevelType w:val="hybridMultilevel"/>
    <w:lvl w:ilvl="0">
      <w:lvlJc w:val="left"/>
      <w:lvlText w:val="(%1)"/>
      <w:numFmt w:val="lowerLetter"/>
      <w:start w:val="3"/>
    </w:lvl>
  </w:abstractNum>
  <w:abstractNum w:abstractNumId="82">
    <w:nsid w:val="74DE0EE3"/>
    <w:multiLevelType w:val="hybridMultilevel"/>
    <w:lvl w:ilvl="0">
      <w:lvlJc w:val="left"/>
      <w:lvlText w:val="(%1)"/>
      <w:numFmt w:val="lowerLetter"/>
      <w:start w:val="1"/>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lowerLetter"/>
      <w:start w:val="1"/>
    </w:lvl>
  </w:abstractNum>
  <w:abstractNum w:abstractNumId="85">
    <w:nsid w:val="46B7D447"/>
    <w:multiLevelType w:val="hybridMultilevel"/>
    <w:lvl w:ilvl="0">
      <w:lvlJc w:val="left"/>
      <w:lvlText w:val="%1."/>
      <w:numFmt w:val="decimal"/>
      <w:start w:val="23"/>
    </w:lvl>
  </w:abstractNum>
  <w:abstractNum w:abstractNumId="86">
    <w:nsid w:val="4A2AC315"/>
    <w:multiLevelType w:val="hybridMultilevel"/>
    <w:lvl w:ilvl="0">
      <w:lvlJc w:val="left"/>
      <w:lvlText w:val="%1."/>
      <w:numFmt w:val="decimal"/>
      <w:start w:val="24"/>
    </w:lvl>
  </w:abstractNum>
  <w:abstractNum w:abstractNumId="87">
    <w:nsid w:val="39EE015C"/>
    <w:multiLevelType w:val="hybridMultilevel"/>
    <w:lvl w:ilvl="0">
      <w:lvlJc w:val="left"/>
      <w:lvlText w:val="%1."/>
      <w:numFmt w:val="decimal"/>
      <w:start w:val="25"/>
    </w:lvl>
  </w:abstractNum>
  <w:abstractNum w:abstractNumId="88">
    <w:nsid w:val="57FC4FBB"/>
    <w:multiLevelType w:val="hybridMultilevel"/>
    <w:lvl w:ilvl="0">
      <w:lvlJc w:val="left"/>
      <w:lvlText w:val="%1."/>
      <w:numFmt w:val="decimal"/>
      <w:start w:val="26"/>
    </w:lvl>
  </w:abstractNum>
  <w:abstractNum w:abstractNumId="89">
    <w:nsid w:val="CC1016F"/>
    <w:multiLevelType w:val="hybridMultilevel"/>
    <w:lvl w:ilvl="0">
      <w:lvlJc w:val="left"/>
      <w:lvlText w:val="(%1)"/>
      <w:numFmt w:val="lowerLetter"/>
      <w:start w:val="1"/>
    </w:lvl>
    <w:lvl w:ilvl="1">
      <w:lvlJc w:val="left"/>
      <w:lvlText w:val="(%2)"/>
      <w:numFmt w:val="lowerRoman"/>
      <w:start w:val="1"/>
    </w:lvl>
  </w:abstractNum>
  <w:abstractNum w:abstractNumId="90">
    <w:nsid w:val="43F18422"/>
    <w:multiLevelType w:val="hybridMultilevel"/>
    <w:lvl w:ilvl="0">
      <w:lvlJc w:val="left"/>
      <w:lvlText w:val="%1"/>
      <w:numFmt w:val="decimal"/>
      <w:start w:val="1"/>
    </w:lvl>
    <w:lvl w:ilvl="1">
      <w:lvlJc w:val="left"/>
      <w:lvlText w:val="(%2)"/>
      <w:numFmt w:val="lowerLetter"/>
      <w:start w:val="2"/>
    </w:lvl>
  </w:abstractNum>
  <w:abstractNum w:abstractNumId="91">
    <w:nsid w:val="60EF0119"/>
    <w:multiLevelType w:val="hybridMultilevel"/>
    <w:lvl w:ilvl="0">
      <w:lvlJc w:val="left"/>
      <w:lvlText w:val="%1."/>
      <w:numFmt w:val="decimal"/>
      <w:start w:val="29"/>
    </w:lvl>
    <w:lvl w:ilvl="1">
      <w:lvlJc w:val="left"/>
      <w:lvlText w:val="(%2)"/>
      <w:numFmt w:val="lowerLetter"/>
      <w:start w:val="1"/>
    </w:lvl>
  </w:abstractNum>
  <w:abstractNum w:abstractNumId="92">
    <w:nsid w:val="26F324BA"/>
    <w:multiLevelType w:val="hybridMultilevel"/>
    <w:lvl w:ilvl="0">
      <w:lvlJc w:val="left"/>
      <w:lvlText w:val="%1."/>
      <w:numFmt w:val="decimal"/>
      <w:start w:val="33"/>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lvl w:ilvl="1">
      <w:lvlJc w:val="left"/>
      <w:lvlText w:val="%2)"/>
      <w:numFmt w:val="lowerLetter"/>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64" Type="http://schemas.openxmlformats.org/officeDocument/2006/relationships/image" Target="media/image348.png"/><Relationship Id="rId365"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5" Type="http://schemas.openxmlformats.org/officeDocument/2006/relationships/image" Target="media/image364.png"/><Relationship Id="rId386" Type="http://schemas.openxmlformats.org/officeDocument/2006/relationships/image" Target="media/image365.png"/><Relationship Id="rId387" Type="http://schemas.openxmlformats.org/officeDocument/2006/relationships/image" Target="media/image366.png"/><Relationship Id="rId388" Type="http://schemas.openxmlformats.org/officeDocument/2006/relationships/image" Target="media/image367.png"/><Relationship Id="rId389" Type="http://schemas.openxmlformats.org/officeDocument/2006/relationships/image" Target="media/image368.png"/><Relationship Id="rId390" Type="http://schemas.openxmlformats.org/officeDocument/2006/relationships/image" Target="media/image369.png"/><Relationship Id="rId391"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400" Type="http://schemas.openxmlformats.org/officeDocument/2006/relationships/image" Target="media/image377.png"/><Relationship Id="rId401" Type="http://schemas.openxmlformats.org/officeDocument/2006/relationships/image" Target="media/image378.png"/><Relationship Id="rId402" Type="http://schemas.openxmlformats.org/officeDocument/2006/relationships/image" Target="media/image379.png"/><Relationship Id="rId403" Type="http://schemas.openxmlformats.org/officeDocument/2006/relationships/image" Target="media/image380.png"/><Relationship Id="rId404"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3" Type="http://schemas.openxmlformats.org/officeDocument/2006/relationships/image" Target="media/image388.png"/><Relationship Id="rId414" Type="http://schemas.openxmlformats.org/officeDocument/2006/relationships/image" Target="media/image389.png"/><Relationship Id="rId415"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1" Type="http://schemas.openxmlformats.org/officeDocument/2006/relationships/image" Target="media/image394.png"/><Relationship Id="rId422" Type="http://schemas.openxmlformats.org/officeDocument/2006/relationships/image" Target="media/image395.png"/><Relationship Id="rId423"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9" Type="http://schemas.openxmlformats.org/officeDocument/2006/relationships/image" Target="media/image400.png"/><Relationship Id="rId430"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5" Type="http://schemas.openxmlformats.org/officeDocument/2006/relationships/image" Target="media/image404.png"/><Relationship Id="rId436" Type="http://schemas.openxmlformats.org/officeDocument/2006/relationships/image" Target="media/image405.png"/><Relationship Id="rId438" Type="http://schemas.openxmlformats.org/officeDocument/2006/relationships/image" Target="media/image406.png"/><Relationship Id="rId439"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7" Type="http://schemas.openxmlformats.org/officeDocument/2006/relationships/image" Target="media/image412.png"/><Relationship Id="rId448" Type="http://schemas.openxmlformats.org/officeDocument/2006/relationships/image" Target="media/image413.png"/><Relationship Id="rId450" Type="http://schemas.openxmlformats.org/officeDocument/2006/relationships/image" Target="media/image414.png"/><Relationship Id="rId451" Type="http://schemas.openxmlformats.org/officeDocument/2006/relationships/image" Target="media/image415.png"/><Relationship Id="rId453" Type="http://schemas.openxmlformats.org/officeDocument/2006/relationships/image" Target="media/image416.png"/><Relationship Id="rId454" Type="http://schemas.openxmlformats.org/officeDocument/2006/relationships/image" Target="media/image417.png"/><Relationship Id="rId456" Type="http://schemas.openxmlformats.org/officeDocument/2006/relationships/image" Target="media/image418.png"/><Relationship Id="rId457" Type="http://schemas.openxmlformats.org/officeDocument/2006/relationships/image" Target="media/image419.png"/><Relationship Id="rId459" Type="http://schemas.openxmlformats.org/officeDocument/2006/relationships/image" Target="media/image420.png"/><Relationship Id="rId460" Type="http://schemas.openxmlformats.org/officeDocument/2006/relationships/image" Target="media/image421.png"/><Relationship Id="rId462" Type="http://schemas.openxmlformats.org/officeDocument/2006/relationships/image" Target="media/image422.png"/><Relationship Id="rId463" Type="http://schemas.openxmlformats.org/officeDocument/2006/relationships/image" Target="media/image423.png"/><Relationship Id="rId465" Type="http://schemas.openxmlformats.org/officeDocument/2006/relationships/image" Target="media/image424.png"/><Relationship Id="rId466" Type="http://schemas.openxmlformats.org/officeDocument/2006/relationships/image" Target="media/image425.png"/><Relationship Id="rId468" Type="http://schemas.openxmlformats.org/officeDocument/2006/relationships/image" Target="media/image426.png"/><Relationship Id="rId469" Type="http://schemas.openxmlformats.org/officeDocument/2006/relationships/image" Target="media/image427.png"/><Relationship Id="rId471" Type="http://schemas.openxmlformats.org/officeDocument/2006/relationships/image" Target="media/image428.png"/><Relationship Id="rId472" Type="http://schemas.openxmlformats.org/officeDocument/2006/relationships/image" Target="media/image429.png"/><Relationship Id="rId474" Type="http://schemas.openxmlformats.org/officeDocument/2006/relationships/image" Target="media/image430.png"/><Relationship Id="rId475" Type="http://schemas.openxmlformats.org/officeDocument/2006/relationships/image" Target="media/image431.png"/><Relationship Id="rId477" Type="http://schemas.openxmlformats.org/officeDocument/2006/relationships/image" Target="media/image432.png"/><Relationship Id="rId478" Type="http://schemas.openxmlformats.org/officeDocument/2006/relationships/image" Target="media/image433.png"/><Relationship Id="rId480" Type="http://schemas.openxmlformats.org/officeDocument/2006/relationships/image" Target="media/image434.png"/><Relationship Id="rId481" Type="http://schemas.openxmlformats.org/officeDocument/2006/relationships/image" Target="media/image435.png"/><Relationship Id="rId482" Type="http://schemas.openxmlformats.org/officeDocument/2006/relationships/image" Target="media/image436.png"/><Relationship Id="rId484" Type="http://schemas.openxmlformats.org/officeDocument/2006/relationships/image" Target="media/image437.png"/><Relationship Id="rId485" Type="http://schemas.openxmlformats.org/officeDocument/2006/relationships/image" Target="media/image438.png"/><Relationship Id="rId486" Type="http://schemas.openxmlformats.org/officeDocument/2006/relationships/image" Target="media/image439.png"/><Relationship Id="rId488" Type="http://schemas.openxmlformats.org/officeDocument/2006/relationships/image" Target="media/image440.png"/><Relationship Id="rId489" Type="http://schemas.openxmlformats.org/officeDocument/2006/relationships/image" Target="media/image441.png"/><Relationship Id="rId491" Type="http://schemas.openxmlformats.org/officeDocument/2006/relationships/image" Target="media/image442.png"/><Relationship Id="rId492" Type="http://schemas.openxmlformats.org/officeDocument/2006/relationships/image" Target="media/image443.png"/><Relationship Id="rId494" Type="http://schemas.openxmlformats.org/officeDocument/2006/relationships/image" Target="media/image444.png"/><Relationship Id="rId495" Type="http://schemas.openxmlformats.org/officeDocument/2006/relationships/image" Target="media/image445.png"/><Relationship Id="rId496" Type="http://schemas.openxmlformats.org/officeDocument/2006/relationships/image" Target="media/image446.png"/><Relationship Id="rId498" Type="http://schemas.openxmlformats.org/officeDocument/2006/relationships/image" Target="media/image447.png"/><Relationship Id="rId499" Type="http://schemas.openxmlformats.org/officeDocument/2006/relationships/image" Target="media/image448.png"/><Relationship Id="rId501" Type="http://schemas.openxmlformats.org/officeDocument/2006/relationships/image" Target="media/image449.png"/><Relationship Id="rId502" Type="http://schemas.openxmlformats.org/officeDocument/2006/relationships/image" Target="media/image450.png"/><Relationship Id="rId503" Type="http://schemas.openxmlformats.org/officeDocument/2006/relationships/image" Target="media/image451.png"/><Relationship Id="rId504" Type="http://schemas.openxmlformats.org/officeDocument/2006/relationships/image" Target="media/image452.png"/><Relationship Id="rId505" Type="http://schemas.openxmlformats.org/officeDocument/2006/relationships/image" Target="media/image453.png"/><Relationship Id="rId506" Type="http://schemas.openxmlformats.org/officeDocument/2006/relationships/image" Target="media/image454.png"/><Relationship Id="rId507" Type="http://schemas.openxmlformats.org/officeDocument/2006/relationships/image" Target="media/image455.png"/><Relationship Id="rId508" Type="http://schemas.openxmlformats.org/officeDocument/2006/relationships/image" Target="media/image456.png"/><Relationship Id="rId509" Type="http://schemas.openxmlformats.org/officeDocument/2006/relationships/image" Target="media/image457.png"/><Relationship Id="rId510" Type="http://schemas.openxmlformats.org/officeDocument/2006/relationships/image" Target="media/image458.png"/><Relationship Id="rId512" Type="http://schemas.openxmlformats.org/officeDocument/2006/relationships/image" Target="media/image459.png"/><Relationship Id="rId513" Type="http://schemas.openxmlformats.org/officeDocument/2006/relationships/image" Target="media/image460.png"/><Relationship Id="rId514" Type="http://schemas.openxmlformats.org/officeDocument/2006/relationships/image" Target="media/image461.png"/><Relationship Id="rId515" Type="http://schemas.openxmlformats.org/officeDocument/2006/relationships/image" Target="media/image462.png"/><Relationship Id="rId516" Type="http://schemas.openxmlformats.org/officeDocument/2006/relationships/image" Target="media/image463.png"/><Relationship Id="rId517" Type="http://schemas.openxmlformats.org/officeDocument/2006/relationships/image" Target="media/image464.png"/><Relationship Id="rId518" Type="http://schemas.openxmlformats.org/officeDocument/2006/relationships/image" Target="media/image465.png"/><Relationship Id="rId519" Type="http://schemas.openxmlformats.org/officeDocument/2006/relationships/image" Target="media/image466.png"/><Relationship Id="rId520" Type="http://schemas.openxmlformats.org/officeDocument/2006/relationships/image" Target="media/image467.png"/><Relationship Id="rId521" Type="http://schemas.openxmlformats.org/officeDocument/2006/relationships/image" Target="media/image468.png"/><Relationship Id="rId522" Type="http://schemas.openxmlformats.org/officeDocument/2006/relationships/image" Target="media/image469.png"/><Relationship Id="rId523" Type="http://schemas.openxmlformats.org/officeDocument/2006/relationships/image" Target="media/image470.png"/><Relationship Id="rId524" Type="http://schemas.openxmlformats.org/officeDocument/2006/relationships/image" Target="media/image471.png"/><Relationship Id="rId525" Type="http://schemas.openxmlformats.org/officeDocument/2006/relationships/image" Target="media/image472.png"/><Relationship Id="rId526" Type="http://schemas.openxmlformats.org/officeDocument/2006/relationships/image" Target="media/image473.png"/><Relationship Id="rId527" Type="http://schemas.openxmlformats.org/officeDocument/2006/relationships/image" Target="media/image474.png"/><Relationship Id="rId528" Type="http://schemas.openxmlformats.org/officeDocument/2006/relationships/image" Target="media/image475.png"/><Relationship Id="rId529" Type="http://schemas.openxmlformats.org/officeDocument/2006/relationships/image" Target="media/image476.png"/><Relationship Id="rId530" Type="http://schemas.openxmlformats.org/officeDocument/2006/relationships/image" Target="media/image477.png"/><Relationship Id="rId531" Type="http://schemas.openxmlformats.org/officeDocument/2006/relationships/image" Target="media/image478.png"/><Relationship Id="rId532" Type="http://schemas.openxmlformats.org/officeDocument/2006/relationships/image" Target="media/image479.png"/><Relationship Id="rId533" Type="http://schemas.openxmlformats.org/officeDocument/2006/relationships/image" Target="media/image480.png"/><Relationship Id="rId534" Type="http://schemas.openxmlformats.org/officeDocument/2006/relationships/image" Target="media/image481.png"/><Relationship Id="rId535" Type="http://schemas.openxmlformats.org/officeDocument/2006/relationships/image" Target="media/image482.png"/><Relationship Id="rId536" Type="http://schemas.openxmlformats.org/officeDocument/2006/relationships/image" Target="media/image483.png"/><Relationship Id="rId537" Type="http://schemas.openxmlformats.org/officeDocument/2006/relationships/image" Target="media/image484.png"/><Relationship Id="rId538" Type="http://schemas.openxmlformats.org/officeDocument/2006/relationships/image" Target="media/image485.png"/><Relationship Id="rId539" Type="http://schemas.openxmlformats.org/officeDocument/2006/relationships/image" Target="media/image486.png"/><Relationship Id="rId540" Type="http://schemas.openxmlformats.org/officeDocument/2006/relationships/image" Target="media/image487.png"/><Relationship Id="rId541" Type="http://schemas.openxmlformats.org/officeDocument/2006/relationships/image" Target="media/image488.png"/><Relationship Id="rId542" Type="http://schemas.openxmlformats.org/officeDocument/2006/relationships/image" Target="media/image489.png"/><Relationship Id="rId543" Type="http://schemas.openxmlformats.org/officeDocument/2006/relationships/image" Target="media/image490.png"/><Relationship Id="rId544" Type="http://schemas.openxmlformats.org/officeDocument/2006/relationships/image" Target="media/image491.png"/><Relationship Id="rId545" Type="http://schemas.openxmlformats.org/officeDocument/2006/relationships/image" Target="media/image492.png"/><Relationship Id="rId546" Type="http://schemas.openxmlformats.org/officeDocument/2006/relationships/image" Target="media/image493.png"/><Relationship Id="rId547" Type="http://schemas.openxmlformats.org/officeDocument/2006/relationships/image" Target="media/image494.png"/><Relationship Id="rId548" Type="http://schemas.openxmlformats.org/officeDocument/2006/relationships/image" Target="media/image495.png"/><Relationship Id="rId549" Type="http://schemas.openxmlformats.org/officeDocument/2006/relationships/image" Target="media/image496.png"/><Relationship Id="rId550" Type="http://schemas.openxmlformats.org/officeDocument/2006/relationships/image" Target="media/image497.png"/><Relationship Id="rId551" Type="http://schemas.openxmlformats.org/officeDocument/2006/relationships/image" Target="media/image498.png"/><Relationship Id="rId552" Type="http://schemas.openxmlformats.org/officeDocument/2006/relationships/image" Target="media/image499.png"/><Relationship Id="rId553" Type="http://schemas.openxmlformats.org/officeDocument/2006/relationships/image" Target="media/image500.png"/><Relationship Id="rId554" Type="http://schemas.openxmlformats.org/officeDocument/2006/relationships/image" Target="media/image501.png"/><Relationship Id="rId555" Type="http://schemas.openxmlformats.org/officeDocument/2006/relationships/image" Target="media/image502.png"/><Relationship Id="rId556" Type="http://schemas.openxmlformats.org/officeDocument/2006/relationships/image" Target="media/image503.png"/><Relationship Id="rId557" Type="http://schemas.openxmlformats.org/officeDocument/2006/relationships/image" Target="media/image504.png"/><Relationship Id="rId558" Type="http://schemas.openxmlformats.org/officeDocument/2006/relationships/image" Target="media/image505.png"/><Relationship Id="rId559" Type="http://schemas.openxmlformats.org/officeDocument/2006/relationships/image" Target="media/image506.png"/><Relationship Id="rId560" Type="http://schemas.openxmlformats.org/officeDocument/2006/relationships/image" Target="media/image507.png"/><Relationship Id="rId561" Type="http://schemas.openxmlformats.org/officeDocument/2006/relationships/image" Target="media/image508.png"/><Relationship Id="rId562" Type="http://schemas.openxmlformats.org/officeDocument/2006/relationships/image" Target="media/image509.png"/><Relationship Id="rId563" Type="http://schemas.openxmlformats.org/officeDocument/2006/relationships/image" Target="media/image510.png"/><Relationship Id="rId564" Type="http://schemas.openxmlformats.org/officeDocument/2006/relationships/image" Target="media/image511.png"/><Relationship Id="rId565" Type="http://schemas.openxmlformats.org/officeDocument/2006/relationships/image" Target="media/image512.png"/><Relationship Id="rId566" Type="http://schemas.openxmlformats.org/officeDocument/2006/relationships/image" Target="media/image513.png"/><Relationship Id="rId567" Type="http://schemas.openxmlformats.org/officeDocument/2006/relationships/image" Target="media/image514.png"/><Relationship Id="rId568" Type="http://schemas.openxmlformats.org/officeDocument/2006/relationships/image" Target="media/image515.png"/><Relationship Id="rId569" Type="http://schemas.openxmlformats.org/officeDocument/2006/relationships/image" Target="media/image516.png"/><Relationship Id="rId570" Type="http://schemas.openxmlformats.org/officeDocument/2006/relationships/image" Target="media/image517.png"/><Relationship Id="rId571" Type="http://schemas.openxmlformats.org/officeDocument/2006/relationships/image" Target="media/image518.png"/><Relationship Id="rId572" Type="http://schemas.openxmlformats.org/officeDocument/2006/relationships/image" Target="media/image519.png"/><Relationship Id="rId573" Type="http://schemas.openxmlformats.org/officeDocument/2006/relationships/image" Target="media/image520.png"/><Relationship Id="rId574" Type="http://schemas.openxmlformats.org/officeDocument/2006/relationships/image" Target="media/image521.png"/><Relationship Id="rId575" Type="http://schemas.openxmlformats.org/officeDocument/2006/relationships/image" Target="media/image522.png"/><Relationship Id="rId576" Type="http://schemas.openxmlformats.org/officeDocument/2006/relationships/image" Target="media/image523.png"/><Relationship Id="rId577" Type="http://schemas.openxmlformats.org/officeDocument/2006/relationships/image" Target="media/image524.png"/><Relationship Id="rId578" Type="http://schemas.openxmlformats.org/officeDocument/2006/relationships/image" Target="media/image525.png"/><Relationship Id="rId579" Type="http://schemas.openxmlformats.org/officeDocument/2006/relationships/image" Target="media/image526.png"/><Relationship Id="rId580" Type="http://schemas.openxmlformats.org/officeDocument/2006/relationships/image" Target="media/image527.png"/><Relationship Id="rId355" Type="http://schemas.openxmlformats.org/officeDocument/2006/relationships/hyperlink" Target="https://www.sec.gov/Archives/edgar/data/1411207/000119312525140770/d20890dex21.htm" TargetMode="External"/><Relationship Id="rId356" Type="http://schemas.openxmlformats.org/officeDocument/2006/relationships/hyperlink" Target="https://www.sec.gov/Archives/edgar/data/1411207/000119312512184036/d323375dex31.htm" TargetMode="External"/><Relationship Id="rId357" Type="http://schemas.openxmlformats.org/officeDocument/2006/relationships/hyperlink" Target="https://www.sec.gov/Archives/edgar/data/1411207/000119312516594496/d183115dex31.htm" TargetMode="External"/><Relationship Id="rId358" Type="http://schemas.openxmlformats.org/officeDocument/2006/relationships/hyperlink" Target="https://www.sec.gov/Archives/edgar/data/1411207/000119312525116906/d945705dex31.htm" TargetMode="External"/><Relationship Id="rId359" Type="http://schemas.openxmlformats.org/officeDocument/2006/relationships/hyperlink" Target="https://www.sec.gov/Archives/edgar/data/1411207/000119312523137120/d356946dex31.htm" TargetMode="External"/><Relationship Id="rId360" Type="http://schemas.openxmlformats.org/officeDocument/2006/relationships/hyperlink" Target="https://www.sec.gov/Archives/edgar/data/1411207/000119312511166896/dex41.htm" TargetMode="External"/><Relationship Id="rId361" Type="http://schemas.openxmlformats.org/officeDocument/2006/relationships/hyperlink" Target="https://www.sec.gov/Archives/edgar/data/1411207/000119312517294436/d420544dex41.htm" TargetMode="External"/><Relationship Id="rId362" Type="http://schemas.openxmlformats.org/officeDocument/2006/relationships/hyperlink" Target="https://www.sec.gov/Archives/edgar/data/1411207/000119312519092833/d714412dex41.htm" TargetMode="External"/><Relationship Id="rId363" Type="http://schemas.openxmlformats.org/officeDocument/2006/relationships/hyperlink" Target="https://www.sec.gov/Archives/edgar/data/1411207/000119312520298238/d199880dex41.htm" TargetMode="External"/><Relationship Id="rId366" Type="http://schemas.openxmlformats.org/officeDocument/2006/relationships/hyperlink" Target="https://www.sec.gov/Archives/edgar/data/1411207/000119312525293880/d938264dex41.htm" TargetMode="External"/><Relationship Id="rId370" Type="http://schemas.openxmlformats.org/officeDocument/2006/relationships/hyperlink" Target="https://www.sec.gov/Archives/edgar/data/1411207/000095017024015192/alsn-ex4_5.htm" TargetMode="External"/><Relationship Id="rId373" Type="http://schemas.openxmlformats.org/officeDocument/2006/relationships/hyperlink" Target="https://www.sec.gov/Archives/edgar/data/1411207/000119312519092833/d714412dex101.htm" TargetMode="External"/><Relationship Id="rId378" Type="http://schemas.openxmlformats.org/officeDocument/2006/relationships/hyperlink" Target="https://www.sec.gov/Archives/edgar/data/1411207/000119312519267347/d811015dex101.htm" TargetMode="External"/><Relationship Id="rId384" Type="http://schemas.openxmlformats.org/officeDocument/2006/relationships/hyperlink" Target="https://www.sec.gov/Archives/edgar/data/1411207/000119312520298238/d199880dex101.htm" TargetMode="External"/><Relationship Id="rId392" Type="http://schemas.openxmlformats.org/officeDocument/2006/relationships/hyperlink" Target="https://www.sec.gov/Archives/edgar/data/1411207/000119312523061359/d476711dex101.htm" TargetMode="External"/><Relationship Id="rId399" Type="http://schemas.openxmlformats.org/officeDocument/2006/relationships/hyperlink" Target="https://www.sec.gov/ix?doc=/Archives/edgar/data/1411207/000119312524070130/d784322dex101.htm" TargetMode="External"/><Relationship Id="rId405" Type="http://schemas.openxmlformats.org/officeDocument/2006/relationships/hyperlink" Target="https://www.sec.gov/Archives/edgar/data/1411207/000119312526000343/d97247dex101.htm" TargetMode="External"/><Relationship Id="rId412" Type="http://schemas.openxmlformats.org/officeDocument/2006/relationships/hyperlink" Target="https://www.sec.gov/Archives/edgar/data/1411207/000119312511071161/dex103.htm" TargetMode="External"/><Relationship Id="rId416" Type="http://schemas.openxmlformats.org/officeDocument/2006/relationships/hyperlink" Target="https://www.sec.gov/Archives/edgar/data/1411207/000119312511071161/dex104.htm" TargetMode="External"/><Relationship Id="rId420" Type="http://schemas.openxmlformats.org/officeDocument/2006/relationships/hyperlink" Target="https://www.sec.gov/Archives/edgar/data/1411207/000119312511071161/dex105.htm" TargetMode="External"/><Relationship Id="rId424" Type="http://schemas.openxmlformats.org/officeDocument/2006/relationships/hyperlink" Target="https://www.sec.gov/ix?doc=/Archives/edgar/data/0001411207/000119312524136188/d809864dex101.htm" TargetMode="External"/><Relationship Id="rId428" Type="http://schemas.openxmlformats.org/officeDocument/2006/relationships/hyperlink" Target="https://www.sec.gov/Archives/edgar/data/1411207/000095017025062281/alsn-ex10_1.htm" TargetMode="External"/><Relationship Id="rId431" Type="http://schemas.openxmlformats.org/officeDocument/2006/relationships/hyperlink" Target="https://www.sec.gov/Archives/edgar/data/1411207/000095017024086738/alsn-ex10_3.htm" TargetMode="External"/><Relationship Id="rId434" Type="http://schemas.openxmlformats.org/officeDocument/2006/relationships/hyperlink" Target="https://www.sec.gov/Archives/edgar/data/1411207/000095017024086738/alsn-ex10_4.htm" TargetMode="External"/><Relationship Id="rId437" Type="http://schemas.openxmlformats.org/officeDocument/2006/relationships/hyperlink" Target="https://www.sec.gov/Archives/edgar/data/1411207/000095017024086738/alsn-ex10_5.htm" TargetMode="External"/><Relationship Id="rId440" Type="http://schemas.openxmlformats.org/officeDocument/2006/relationships/hyperlink" Target="https://www.sec.gov/Archives/edgar/data/1411207/000119312515117078/d889372ddef14a.htm#toc889372_79" TargetMode="External"/><Relationship Id="rId443" Type="http://schemas.openxmlformats.org/officeDocument/2006/relationships/hyperlink" Target="https://www.sec.gov/Archives/edgar/data/1411207/000119312515117078/d889372ddef14a.htm#toc889372_80" TargetMode="External"/><Relationship Id="rId446" Type="http://schemas.openxmlformats.org/officeDocument/2006/relationships/hyperlink" Target="https://www.sec.gov/Archives/edgar/data/1411207/000119312516469168/d107528dex1041.htm" TargetMode="External"/><Relationship Id="rId449" Type="http://schemas.openxmlformats.org/officeDocument/2006/relationships/hyperlink" Target="https://www.sec.gov/Archives/edgar/data/1411207/000119312516469168/d107528dex1042.htm" TargetMode="External"/><Relationship Id="rId452" Type="http://schemas.openxmlformats.org/officeDocument/2006/relationships/hyperlink" Target="https://www.sec.gov/Archives/edgar/data/1411207/000119312516469168/d107528dex1043.htm" TargetMode="External"/><Relationship Id="rId455" Type="http://schemas.openxmlformats.org/officeDocument/2006/relationships/hyperlink" Target="https://www.sec.gov/Archives/edgar/data/1411207/000119312517056079/d290286dex1025.htm" TargetMode="External"/><Relationship Id="rId458" Type="http://schemas.openxmlformats.org/officeDocument/2006/relationships/hyperlink" Target="https://www.sec.gov/Archives/edgar/data/1411207/000095017024015192/alsn-ex10_14.htm" TargetMode="External"/><Relationship Id="rId461" Type="http://schemas.openxmlformats.org/officeDocument/2006/relationships/hyperlink" Target="https://www.sec.gov/Archives/edgar/data/1411207/000095017024048677/alsn-ex10_2.htm" TargetMode="External"/><Relationship Id="rId464" Type="http://schemas.openxmlformats.org/officeDocument/2006/relationships/hyperlink" Target="https://www.sec.gov/Archives/edgar/data/1411207/000095017024048677/alsn-ex10_3.htm" TargetMode="External"/><Relationship Id="rId467" Type="http://schemas.openxmlformats.org/officeDocument/2006/relationships/hyperlink" Target="https://www.sec.gov/Archives/edgar/data/1411207/000095017024048677/alsn-ex10_4.htm" TargetMode="External"/><Relationship Id="rId470" Type="http://schemas.openxmlformats.org/officeDocument/2006/relationships/hyperlink" Target="https://www.sec.gov/Archives/edgar/data/1411207/000119312511166896/dex1010.htm" TargetMode="External"/><Relationship Id="rId473" Type="http://schemas.openxmlformats.org/officeDocument/2006/relationships/hyperlink" Target="https://www.sec.gov/Archives/edgar/data/1411207/000119312511166896/dex1012.htm" TargetMode="External"/><Relationship Id="rId476" Type="http://schemas.openxmlformats.org/officeDocument/2006/relationships/hyperlink" Target="https://www.sec.gov/Archives/edgar/data/1411207/000119312512325816/d357243dex1021.htm" TargetMode="External"/><Relationship Id="rId479" Type="http://schemas.openxmlformats.org/officeDocument/2006/relationships/hyperlink" Target="https://www.sec.gov/Archives/edgar/data/1411207/000095017024086738/alsn-ex10_2.htm" TargetMode="External"/><Relationship Id="rId483" Type="http://schemas.openxmlformats.org/officeDocument/2006/relationships/hyperlink" Target="https://www.sec.gov/Archives/edgar/data/1411207/000119312515152186/d898569dex1038.htm" TargetMode="External"/><Relationship Id="rId487" Type="http://schemas.openxmlformats.org/officeDocument/2006/relationships/hyperlink" Target="https://www.sec.gov/Archives/edgar/data/1411207/000119312511139969/dex109.htm" TargetMode="External"/><Relationship Id="rId490" Type="http://schemas.openxmlformats.org/officeDocument/2006/relationships/hyperlink" Target="https://www.sec.gov/Archives/edgar/data/1411207/000119312522196981/d385067dex101.htm" TargetMode="External"/><Relationship Id="rId493" Type="http://schemas.openxmlformats.org/officeDocument/2006/relationships/hyperlink" Target="https://www.sec.gov/Archives/edgar/data/1411207/000119312518094155/d558656dex101.htm" TargetMode="External"/><Relationship Id="rId497" Type="http://schemas.openxmlformats.org/officeDocument/2006/relationships/hyperlink" Target="https://www.sec.gov/Archives/edgar/data/1411207/000095017025019379/alsn-ex19_1.htm" TargetMode="External"/><Relationship Id="rId500" Type="http://schemas.openxmlformats.org/officeDocument/2006/relationships/hyperlink" Target="https://www.sec.gov/Archives/edgar/data/1411207/000095017025019379/alsn-ex19_2.htm" TargetMode="External"/><Relationship Id="rId511" Type="http://schemas.openxmlformats.org/officeDocument/2006/relationships/hyperlink" Target="https://www.sec.gov/Archives/edgar/data/1411207/000095017024015192/alsn-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2026-02-24T08:43:33Z</dcterms:created>
  <dcterms:modified xsi:type="dcterms:W3CDTF">2026-02-24T08:43:33Z</dcterms:modified>
</cp:coreProperties>
</file>