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6"/>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72" w:lineRule="exact"/>
        <w:rPr>
          <w:sz w:val="24"/>
          <w:szCs w:val="24"/>
          <w:color w:val="auto"/>
        </w:rPr>
      </w:pPr>
    </w:p>
    <w:p>
      <w:pPr>
        <w:jc w:val="center"/>
        <w:ind w:right="-5"/>
        <w:spacing w:after="0"/>
        <w:rPr>
          <w:sz w:val="20"/>
          <w:szCs w:val="20"/>
          <w:color w:val="auto"/>
        </w:rPr>
      </w:pPr>
      <w:r>
        <w:rPr>
          <w:rFonts w:ascii="Arial" w:cs="Arial" w:eastAsia="Arial" w:hAnsi="Arial"/>
          <w:sz w:val="28"/>
          <w:szCs w:val="28"/>
          <w:b w:val="1"/>
          <w:bCs w:val="1"/>
          <w:color w:val="auto"/>
        </w:rPr>
        <w:t>UNITED STATES</w:t>
      </w:r>
    </w:p>
    <w:p>
      <w:pPr>
        <w:spacing w:after="0" w:line="54" w:lineRule="exact"/>
        <w:rPr>
          <w:sz w:val="24"/>
          <w:szCs w:val="24"/>
          <w:color w:val="auto"/>
        </w:rPr>
      </w:pPr>
    </w:p>
    <w:p>
      <w:pPr>
        <w:jc w:val="center"/>
        <w:ind w:right="-5"/>
        <w:spacing w:after="0"/>
        <w:rPr>
          <w:sz w:val="20"/>
          <w:szCs w:val="20"/>
          <w:color w:val="auto"/>
        </w:rPr>
      </w:pPr>
      <w:r>
        <w:rPr>
          <w:rFonts w:ascii="Arial" w:cs="Arial" w:eastAsia="Arial" w:hAnsi="Arial"/>
          <w:sz w:val="28"/>
          <w:szCs w:val="28"/>
          <w:b w:val="1"/>
          <w:bCs w:val="1"/>
          <w:color w:val="auto"/>
        </w:rPr>
        <w:t>SECURITIES AND EXCHANGE COMMISSION</w:t>
      </w:r>
    </w:p>
    <w:p>
      <w:pPr>
        <w:spacing w:after="0" w:line="57" w:lineRule="exact"/>
        <w:rPr>
          <w:sz w:val="24"/>
          <w:szCs w:val="24"/>
          <w:color w:val="auto"/>
        </w:rPr>
      </w:pPr>
    </w:p>
    <w:p>
      <w:pPr>
        <w:jc w:val="center"/>
        <w:ind w:right="-5"/>
        <w:spacing w:after="0"/>
        <w:rPr>
          <w:sz w:val="20"/>
          <w:szCs w:val="20"/>
          <w:color w:val="auto"/>
        </w:rPr>
      </w:pPr>
      <w:r>
        <w:rPr>
          <w:rFonts w:ascii="Arial" w:cs="Arial" w:eastAsia="Arial" w:hAnsi="Arial"/>
          <w:sz w:val="19"/>
          <w:szCs w:val="19"/>
          <w:b w:val="1"/>
          <w:bCs w:val="1"/>
          <w:color w:val="auto"/>
        </w:rPr>
        <w:t>WASHINGTON, D.C. 20549</w:t>
      </w:r>
    </w:p>
    <w:p>
      <w:pPr>
        <w:spacing w:after="0" w:line="37" w:lineRule="exact"/>
        <w:rPr>
          <w:sz w:val="24"/>
          <w:szCs w:val="24"/>
          <w:color w:val="auto"/>
        </w:rPr>
      </w:pPr>
    </w:p>
    <w:p>
      <w:pPr>
        <w:jc w:val="center"/>
        <w:ind w:right="-5"/>
        <w:spacing w:after="0"/>
        <w:rPr>
          <w:sz w:val="20"/>
          <w:szCs w:val="20"/>
          <w:color w:val="auto"/>
        </w:rPr>
      </w:pPr>
      <w:r>
        <w:rPr>
          <w:rFonts w:ascii="Arial" w:cs="Arial" w:eastAsia="Arial" w:hAnsi="Arial"/>
          <w:sz w:val="28"/>
          <w:szCs w:val="28"/>
          <w:b w:val="1"/>
          <w:bCs w:val="1"/>
          <w:color w:val="auto"/>
        </w:rPr>
        <w:t>FORM 10-Q</w:t>
      </w:r>
    </w:p>
    <w:p>
      <w:pPr>
        <w:spacing w:after="0" w:line="57" w:lineRule="exact"/>
        <w:rPr>
          <w:sz w:val="24"/>
          <w:szCs w:val="24"/>
          <w:color w:val="auto"/>
        </w:rPr>
      </w:pPr>
    </w:p>
    <w:p>
      <w:pPr>
        <w:ind w:left="566" w:hanging="566"/>
        <w:spacing w:after="0"/>
        <w:tabs>
          <w:tab w:leader="none" w:pos="566" w:val="left"/>
        </w:tabs>
        <w:numPr>
          <w:ilvl w:val="0"/>
          <w:numId w:val="1"/>
        </w:numPr>
        <w:rPr>
          <w:rFonts w:ascii="MS PGothic" w:cs="MS PGothic" w:eastAsia="MS PGothic" w:hAnsi="MS PGothic"/>
          <w:sz w:val="19"/>
          <w:szCs w:val="19"/>
          <w:color w:val="auto"/>
        </w:rPr>
      </w:pPr>
      <w:r>
        <w:rPr>
          <w:rFonts w:ascii="Arial" w:cs="Arial" w:eastAsia="Arial" w:hAnsi="Arial"/>
          <w:sz w:val="19"/>
          <w:szCs w:val="19"/>
          <w:b w:val="1"/>
          <w:bCs w:val="1"/>
          <w:color w:val="auto"/>
        </w:rPr>
        <w:t>QUARTERLY REPORT PURSUANT TO SECTION 13 OR 15(d) OF THE SECURITIES EXCHANGE ACT OF 1934</w:t>
      </w:r>
    </w:p>
    <w:p>
      <w:pPr>
        <w:spacing w:after="0" w:line="63" w:lineRule="exact"/>
        <w:rPr>
          <w:sz w:val="24"/>
          <w:szCs w:val="24"/>
          <w:color w:val="auto"/>
        </w:rPr>
      </w:pPr>
    </w:p>
    <w:p>
      <w:pPr>
        <w:jc w:val="center"/>
        <w:ind w:right="-5"/>
        <w:spacing w:after="0"/>
        <w:rPr>
          <w:sz w:val="20"/>
          <w:szCs w:val="20"/>
          <w:color w:val="auto"/>
        </w:rPr>
      </w:pPr>
      <w:r>
        <w:rPr>
          <w:rFonts w:ascii="Arial" w:cs="Arial" w:eastAsia="Arial" w:hAnsi="Arial"/>
          <w:sz w:val="16"/>
          <w:szCs w:val="16"/>
          <w:b w:val="1"/>
          <w:bCs w:val="1"/>
          <w:color w:val="auto"/>
        </w:rPr>
        <w:t>For the quarterly period ended March 31, 2020</w:t>
      </w:r>
    </w:p>
    <w:p>
      <w:pPr>
        <w:spacing w:after="0" w:line="36" w:lineRule="exact"/>
        <w:rPr>
          <w:sz w:val="24"/>
          <w:szCs w:val="24"/>
          <w:color w:val="auto"/>
        </w:rPr>
      </w:pPr>
    </w:p>
    <w:p>
      <w:pPr>
        <w:jc w:val="center"/>
        <w:ind w:right="-5"/>
        <w:spacing w:after="0"/>
        <w:rPr>
          <w:sz w:val="20"/>
          <w:szCs w:val="20"/>
          <w:color w:val="auto"/>
        </w:rPr>
      </w:pPr>
      <w:r>
        <w:rPr>
          <w:rFonts w:ascii="Arial" w:cs="Arial" w:eastAsia="Arial" w:hAnsi="Arial"/>
          <w:sz w:val="16"/>
          <w:szCs w:val="16"/>
          <w:b w:val="1"/>
          <w:bCs w:val="1"/>
          <w:color w:val="auto"/>
        </w:rPr>
        <w:t>OR</w:t>
      </w:r>
    </w:p>
    <w:p>
      <w:pPr>
        <w:spacing w:after="0" w:line="30" w:lineRule="exact"/>
        <w:rPr>
          <w:sz w:val="24"/>
          <w:szCs w:val="24"/>
          <w:color w:val="auto"/>
        </w:rPr>
      </w:pPr>
    </w:p>
    <w:p>
      <w:pPr>
        <w:ind w:left="566" w:hanging="566"/>
        <w:spacing w:after="0"/>
        <w:tabs>
          <w:tab w:leader="none" w:pos="566" w:val="left"/>
        </w:tabs>
        <w:numPr>
          <w:ilvl w:val="0"/>
          <w:numId w:val="2"/>
        </w:numPr>
        <w:rPr>
          <w:rFonts w:ascii="MS PGothic" w:cs="MS PGothic" w:eastAsia="MS PGothic" w:hAnsi="MS PGothic"/>
          <w:sz w:val="19"/>
          <w:szCs w:val="19"/>
          <w:color w:val="auto"/>
        </w:rPr>
      </w:pPr>
      <w:r>
        <w:rPr>
          <w:rFonts w:ascii="Arial" w:cs="Arial" w:eastAsia="Arial" w:hAnsi="Arial"/>
          <w:sz w:val="19"/>
          <w:szCs w:val="19"/>
          <w:b w:val="1"/>
          <w:bCs w:val="1"/>
          <w:color w:val="auto"/>
        </w:rPr>
        <w:t>TRANSITION REPORT PURSUANT TO SECTION 13 OR 15(d) OF THE SECURITIES EXCHANGE ACT OF 1934</w:t>
      </w:r>
    </w:p>
    <w:p>
      <w:pPr>
        <w:spacing w:after="0" w:line="319" w:lineRule="exact"/>
        <w:rPr>
          <w:sz w:val="24"/>
          <w:szCs w:val="24"/>
          <w:color w:val="auto"/>
        </w:rPr>
      </w:pPr>
    </w:p>
    <w:p>
      <w:pPr>
        <w:jc w:val="center"/>
        <w:ind w:right="-5"/>
        <w:spacing w:after="0"/>
        <w:rPr>
          <w:sz w:val="20"/>
          <w:szCs w:val="20"/>
          <w:color w:val="auto"/>
        </w:rPr>
      </w:pPr>
      <w:r>
        <w:rPr>
          <w:rFonts w:ascii="Arial" w:cs="Arial" w:eastAsia="Arial" w:hAnsi="Arial"/>
          <w:sz w:val="16"/>
          <w:szCs w:val="16"/>
          <w:b w:val="1"/>
          <w:bCs w:val="1"/>
          <w:color w:val="auto"/>
        </w:rPr>
        <w:t>Commission File No. 001-35456</w:t>
      </w:r>
    </w:p>
    <w:p>
      <w:pPr>
        <w:spacing w:after="0" w:line="24" w:lineRule="exact"/>
        <w:rPr>
          <w:sz w:val="24"/>
          <w:szCs w:val="24"/>
          <w:color w:val="auto"/>
        </w:rPr>
      </w:pPr>
    </w:p>
    <w:p>
      <w:pPr>
        <w:jc w:val="center"/>
        <w:ind w:right="-5"/>
        <w:spacing w:after="0"/>
        <w:rPr>
          <w:sz w:val="20"/>
          <w:szCs w:val="20"/>
          <w:color w:val="auto"/>
        </w:rPr>
      </w:pPr>
      <w:r>
        <w:rPr>
          <w:rFonts w:ascii="Arial" w:cs="Arial" w:eastAsia="Arial" w:hAnsi="Arial"/>
          <w:sz w:val="38"/>
          <w:szCs w:val="38"/>
          <w:b w:val="1"/>
          <w:bCs w:val="1"/>
          <w:color w:val="auto"/>
        </w:rPr>
        <w:t>ALLISON TRANSMISSION HOLDINGS, INC.</w:t>
      </w:r>
    </w:p>
    <w:p>
      <w:pPr>
        <w:spacing w:after="0" w:line="60" w:lineRule="exact"/>
        <w:rPr>
          <w:sz w:val="24"/>
          <w:szCs w:val="24"/>
          <w:color w:val="auto"/>
        </w:rPr>
      </w:pPr>
    </w:p>
    <w:p>
      <w:pPr>
        <w:jc w:val="center"/>
        <w:ind w:right="-5"/>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2840355</wp:posOffset>
            </wp:positionH>
            <wp:positionV relativeFrom="paragraph">
              <wp:posOffset>45720</wp:posOffset>
            </wp:positionV>
            <wp:extent cx="1476375" cy="4324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76375" cy="43243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tbl>
      <w:tblPr>
        <w:tblLayout w:type="fixed"/>
        <w:tblInd w:w="1426" w:type="dxa"/>
        <w:tblCellMar>
          <w:top w:w="0" w:type="dxa"/>
          <w:left w:w="0" w:type="dxa"/>
          <w:bottom w:w="0" w:type="dxa"/>
          <w:right w:w="0" w:type="dxa"/>
        </w:tblCellMar>
      </w:tblPr>
      <w:tr>
        <w:trPr>
          <w:trHeight w:val="208"/>
        </w:trPr>
        <w:tc>
          <w:tcPr>
            <w:tcW w:w="6100" w:type="dxa"/>
            <w:vAlign w:val="bottom"/>
          </w:tcPr>
          <w:p>
            <w:pPr>
              <w:jc w:val="center"/>
              <w:ind w:right="3250"/>
              <w:spacing w:after="0"/>
              <w:rPr>
                <w:sz w:val="20"/>
                <w:szCs w:val="20"/>
                <w:color w:val="auto"/>
              </w:rPr>
            </w:pPr>
            <w:r>
              <w:rPr>
                <w:rFonts w:ascii="Arial" w:cs="Arial" w:eastAsia="Arial" w:hAnsi="Arial"/>
                <w:sz w:val="16"/>
                <w:szCs w:val="16"/>
                <w:b w:val="1"/>
                <w:bCs w:val="1"/>
                <w:color w:val="auto"/>
                <w:w w:val="99"/>
              </w:rPr>
              <w:t>Delaware</w:t>
            </w:r>
          </w:p>
        </w:tc>
        <w:tc>
          <w:tcPr>
            <w:tcW w:w="1580" w:type="dxa"/>
            <w:vAlign w:val="bottom"/>
          </w:tcPr>
          <w:p>
            <w:pPr>
              <w:jc w:val="right"/>
              <w:ind w:right="171"/>
              <w:spacing w:after="0"/>
              <w:rPr>
                <w:sz w:val="20"/>
                <w:szCs w:val="20"/>
                <w:color w:val="auto"/>
              </w:rPr>
            </w:pPr>
            <w:r>
              <w:rPr>
                <w:rFonts w:ascii="Arial" w:cs="Arial" w:eastAsia="Arial" w:hAnsi="Arial"/>
                <w:sz w:val="16"/>
                <w:szCs w:val="16"/>
                <w:b w:val="1"/>
                <w:bCs w:val="1"/>
                <w:color w:val="auto"/>
              </w:rPr>
              <w:t>26-0414014</w:t>
            </w:r>
          </w:p>
        </w:tc>
      </w:tr>
      <w:tr>
        <w:trPr>
          <w:trHeight w:val="201"/>
        </w:trPr>
        <w:tc>
          <w:tcPr>
            <w:tcW w:w="6100" w:type="dxa"/>
            <w:vAlign w:val="bottom"/>
          </w:tcPr>
          <w:p>
            <w:pPr>
              <w:jc w:val="center"/>
              <w:ind w:right="3250"/>
              <w:spacing w:after="0"/>
              <w:rPr>
                <w:sz w:val="20"/>
                <w:szCs w:val="20"/>
                <w:color w:val="auto"/>
              </w:rPr>
            </w:pPr>
            <w:r>
              <w:rPr>
                <w:rFonts w:ascii="Arial" w:cs="Arial" w:eastAsia="Arial" w:hAnsi="Arial"/>
                <w:sz w:val="13"/>
                <w:szCs w:val="13"/>
                <w:b w:val="1"/>
                <w:bCs w:val="1"/>
                <w:color w:val="auto"/>
                <w:w w:val="96"/>
              </w:rPr>
              <w:t>(State or Other Jurisdiction of Incorporation or</w:t>
            </w:r>
          </w:p>
        </w:tc>
        <w:tc>
          <w:tcPr>
            <w:tcW w:w="1580" w:type="dxa"/>
            <w:vAlign w:val="bottom"/>
          </w:tcPr>
          <w:p>
            <w:pPr>
              <w:jc w:val="center"/>
              <w:ind w:left="191"/>
              <w:spacing w:after="0"/>
              <w:rPr>
                <w:sz w:val="20"/>
                <w:szCs w:val="20"/>
                <w:color w:val="auto"/>
              </w:rPr>
            </w:pPr>
            <w:r>
              <w:rPr>
                <w:rFonts w:ascii="Arial" w:cs="Arial" w:eastAsia="Arial" w:hAnsi="Arial"/>
                <w:sz w:val="13"/>
                <w:szCs w:val="13"/>
                <w:b w:val="1"/>
                <w:bCs w:val="1"/>
                <w:color w:val="auto"/>
                <w:w w:val="96"/>
              </w:rPr>
              <w:t>(I.R.S. Employer</w:t>
            </w:r>
          </w:p>
        </w:tc>
      </w:tr>
      <w:tr>
        <w:trPr>
          <w:trHeight w:val="177"/>
        </w:trPr>
        <w:tc>
          <w:tcPr>
            <w:tcW w:w="6100" w:type="dxa"/>
            <w:vAlign w:val="bottom"/>
          </w:tcPr>
          <w:p>
            <w:pPr>
              <w:jc w:val="center"/>
              <w:ind w:right="3250"/>
              <w:spacing w:after="0"/>
              <w:rPr>
                <w:sz w:val="20"/>
                <w:szCs w:val="20"/>
                <w:color w:val="auto"/>
              </w:rPr>
            </w:pPr>
            <w:r>
              <w:rPr>
                <w:rFonts w:ascii="Arial" w:cs="Arial" w:eastAsia="Arial" w:hAnsi="Arial"/>
                <w:sz w:val="13"/>
                <w:szCs w:val="13"/>
                <w:b w:val="1"/>
                <w:bCs w:val="1"/>
                <w:color w:val="auto"/>
                <w:w w:val="97"/>
              </w:rPr>
              <w:t>Organization)</w:t>
            </w:r>
          </w:p>
        </w:tc>
        <w:tc>
          <w:tcPr>
            <w:tcW w:w="1580" w:type="dxa"/>
            <w:vAlign w:val="bottom"/>
          </w:tcPr>
          <w:p>
            <w:pPr>
              <w:jc w:val="center"/>
              <w:ind w:left="191"/>
              <w:spacing w:after="0"/>
              <w:rPr>
                <w:sz w:val="20"/>
                <w:szCs w:val="20"/>
                <w:color w:val="auto"/>
              </w:rPr>
            </w:pPr>
            <w:r>
              <w:rPr>
                <w:rFonts w:ascii="Arial" w:cs="Arial" w:eastAsia="Arial" w:hAnsi="Arial"/>
                <w:sz w:val="13"/>
                <w:szCs w:val="13"/>
                <w:b w:val="1"/>
                <w:bCs w:val="1"/>
                <w:color w:val="auto"/>
                <w:w w:val="95"/>
              </w:rPr>
              <w:t>Identification Number)</w:t>
            </w:r>
          </w:p>
        </w:tc>
      </w:tr>
      <w:tr>
        <w:trPr>
          <w:trHeight w:val="245"/>
        </w:trPr>
        <w:tc>
          <w:tcPr>
            <w:tcW w:w="6100" w:type="dxa"/>
            <w:vAlign w:val="bottom"/>
          </w:tcPr>
          <w:p>
            <w:pPr>
              <w:jc w:val="center"/>
              <w:ind w:right="3250"/>
              <w:spacing w:after="0"/>
              <w:rPr>
                <w:sz w:val="20"/>
                <w:szCs w:val="20"/>
                <w:color w:val="auto"/>
              </w:rPr>
            </w:pPr>
            <w:r>
              <w:rPr>
                <w:rFonts w:ascii="Arial" w:cs="Arial" w:eastAsia="Arial" w:hAnsi="Arial"/>
                <w:sz w:val="16"/>
                <w:szCs w:val="16"/>
                <w:b w:val="1"/>
                <w:bCs w:val="1"/>
                <w:color w:val="auto"/>
                <w:w w:val="96"/>
              </w:rPr>
              <w:t>One Allison Way</w:t>
            </w:r>
          </w:p>
        </w:tc>
        <w:tc>
          <w:tcPr>
            <w:tcW w:w="1580" w:type="dxa"/>
            <w:vAlign w:val="bottom"/>
          </w:tcPr>
          <w:p>
            <w:pPr>
              <w:spacing w:after="0"/>
              <w:rPr>
                <w:sz w:val="21"/>
                <w:szCs w:val="21"/>
                <w:color w:val="auto"/>
              </w:rPr>
            </w:pPr>
          </w:p>
        </w:tc>
      </w:tr>
      <w:tr>
        <w:trPr>
          <w:trHeight w:val="376"/>
        </w:trPr>
        <w:tc>
          <w:tcPr>
            <w:tcW w:w="6100" w:type="dxa"/>
            <w:vAlign w:val="bottom"/>
          </w:tcPr>
          <w:p>
            <w:pPr>
              <w:ind w:left="380"/>
              <w:spacing w:after="0"/>
              <w:rPr>
                <w:sz w:val="20"/>
                <w:szCs w:val="20"/>
                <w:color w:val="auto"/>
              </w:rPr>
            </w:pPr>
            <w:r>
              <w:rPr>
                <w:rFonts w:ascii="Arial" w:cs="Arial" w:eastAsia="Arial" w:hAnsi="Arial"/>
                <w:sz w:val="16"/>
                <w:szCs w:val="16"/>
                <w:b w:val="1"/>
                <w:bCs w:val="1"/>
                <w:color w:val="auto"/>
              </w:rPr>
              <w:t>Indianapolis, IN</w:t>
            </w:r>
          </w:p>
        </w:tc>
        <w:tc>
          <w:tcPr>
            <w:tcW w:w="1580" w:type="dxa"/>
            <w:vAlign w:val="bottom"/>
          </w:tcPr>
          <w:p>
            <w:pPr>
              <w:jc w:val="right"/>
              <w:ind w:right="371"/>
              <w:spacing w:after="0"/>
              <w:rPr>
                <w:sz w:val="20"/>
                <w:szCs w:val="20"/>
                <w:color w:val="auto"/>
              </w:rPr>
            </w:pPr>
            <w:r>
              <w:rPr>
                <w:rFonts w:ascii="Arial" w:cs="Arial" w:eastAsia="Arial" w:hAnsi="Arial"/>
                <w:sz w:val="16"/>
                <w:szCs w:val="16"/>
                <w:b w:val="1"/>
                <w:bCs w:val="1"/>
                <w:color w:val="auto"/>
              </w:rPr>
              <w:t>46222</w:t>
            </w:r>
          </w:p>
        </w:tc>
      </w:tr>
      <w:tr>
        <w:trPr>
          <w:trHeight w:val="201"/>
        </w:trPr>
        <w:tc>
          <w:tcPr>
            <w:tcW w:w="6100" w:type="dxa"/>
            <w:vAlign w:val="bottom"/>
          </w:tcPr>
          <w:p>
            <w:pPr>
              <w:jc w:val="center"/>
              <w:ind w:right="3250"/>
              <w:spacing w:after="0"/>
              <w:rPr>
                <w:sz w:val="20"/>
                <w:szCs w:val="20"/>
                <w:color w:val="auto"/>
              </w:rPr>
            </w:pPr>
            <w:r>
              <w:rPr>
                <w:rFonts w:ascii="Arial" w:cs="Arial" w:eastAsia="Arial" w:hAnsi="Arial"/>
                <w:sz w:val="13"/>
                <w:szCs w:val="13"/>
                <w:b w:val="1"/>
                <w:bCs w:val="1"/>
                <w:color w:val="auto"/>
                <w:w w:val="96"/>
              </w:rPr>
              <w:t>(Address of Principal Executive Offices)</w:t>
            </w:r>
          </w:p>
        </w:tc>
        <w:tc>
          <w:tcPr>
            <w:tcW w:w="1580" w:type="dxa"/>
            <w:vAlign w:val="bottom"/>
          </w:tcPr>
          <w:p>
            <w:pPr>
              <w:jc w:val="center"/>
              <w:ind w:left="211"/>
              <w:spacing w:after="0"/>
              <w:rPr>
                <w:sz w:val="20"/>
                <w:szCs w:val="20"/>
                <w:color w:val="auto"/>
              </w:rPr>
            </w:pPr>
            <w:r>
              <w:rPr>
                <w:rFonts w:ascii="Arial" w:cs="Arial" w:eastAsia="Arial" w:hAnsi="Arial"/>
                <w:sz w:val="13"/>
                <w:szCs w:val="13"/>
                <w:b w:val="1"/>
                <w:bCs w:val="1"/>
                <w:color w:val="auto"/>
                <w:w w:val="96"/>
              </w:rPr>
              <w:t>(Zip Code)</w:t>
            </w:r>
          </w:p>
        </w:tc>
      </w:tr>
      <w:tr>
        <w:trPr>
          <w:trHeight w:val="257"/>
        </w:trPr>
        <w:tc>
          <w:tcPr>
            <w:tcW w:w="6100" w:type="dxa"/>
            <w:vAlign w:val="bottom"/>
          </w:tcPr>
          <w:p>
            <w:pPr>
              <w:jc w:val="right"/>
              <w:ind w:right="1290"/>
              <w:spacing w:after="0"/>
              <w:rPr>
                <w:sz w:val="20"/>
                <w:szCs w:val="20"/>
                <w:color w:val="auto"/>
              </w:rPr>
            </w:pPr>
            <w:r>
              <w:rPr>
                <w:rFonts w:ascii="Arial" w:cs="Arial" w:eastAsia="Arial" w:hAnsi="Arial"/>
                <w:sz w:val="16"/>
                <w:szCs w:val="16"/>
                <w:b w:val="1"/>
                <w:bCs w:val="1"/>
                <w:color w:val="auto"/>
              </w:rPr>
              <w:t>(317) 242-5000</w:t>
            </w:r>
          </w:p>
        </w:tc>
        <w:tc>
          <w:tcPr>
            <w:tcW w:w="1580" w:type="dxa"/>
            <w:vAlign w:val="bottom"/>
          </w:tcPr>
          <w:p>
            <w:pPr>
              <w:spacing w:after="0"/>
              <w:rPr>
                <w:sz w:val="22"/>
                <w:szCs w:val="22"/>
                <w:color w:val="auto"/>
              </w:rPr>
            </w:pPr>
          </w:p>
        </w:tc>
      </w:tr>
      <w:tr>
        <w:trPr>
          <w:trHeight w:val="178"/>
        </w:trPr>
        <w:tc>
          <w:tcPr>
            <w:tcW w:w="6100" w:type="dxa"/>
            <w:vAlign w:val="bottom"/>
          </w:tcPr>
          <w:p>
            <w:pPr>
              <w:jc w:val="center"/>
              <w:ind w:left="2230"/>
              <w:spacing w:after="0"/>
              <w:rPr>
                <w:sz w:val="20"/>
                <w:szCs w:val="20"/>
                <w:color w:val="auto"/>
              </w:rPr>
            </w:pPr>
            <w:r>
              <w:rPr>
                <w:rFonts w:ascii="Arial" w:cs="Arial" w:eastAsia="Arial" w:hAnsi="Arial"/>
                <w:sz w:val="13"/>
                <w:szCs w:val="13"/>
                <w:b w:val="1"/>
                <w:bCs w:val="1"/>
                <w:color w:val="auto"/>
                <w:w w:val="95"/>
              </w:rPr>
              <w:t>(Registrant’s Telephone Number, Including Area Code)</w:t>
            </w:r>
          </w:p>
        </w:tc>
        <w:tc>
          <w:tcPr>
            <w:tcW w:w="1580" w:type="dxa"/>
            <w:vAlign w:val="bottom"/>
          </w:tcPr>
          <w:p>
            <w:pPr>
              <w:spacing w:after="0"/>
              <w:rPr>
                <w:sz w:val="15"/>
                <w:szCs w:val="15"/>
                <w:color w:val="auto"/>
              </w:rPr>
            </w:pPr>
          </w:p>
        </w:tc>
      </w:tr>
    </w:tbl>
    <w:p>
      <w:pPr>
        <w:spacing w:after="0" w:line="10" w:lineRule="exact"/>
        <w:rPr>
          <w:sz w:val="24"/>
          <w:szCs w:val="24"/>
          <w:color w:val="auto"/>
        </w:rPr>
      </w:pPr>
    </w:p>
    <w:p>
      <w:pPr>
        <w:jc w:val="center"/>
        <w:ind w:right="-5"/>
        <w:spacing w:after="0"/>
        <w:rPr>
          <w:sz w:val="20"/>
          <w:szCs w:val="20"/>
          <w:color w:val="auto"/>
        </w:rPr>
      </w:pPr>
      <w:r>
        <w:rPr>
          <w:rFonts w:ascii="Arial" w:cs="Arial" w:eastAsia="Arial" w:hAnsi="Arial"/>
          <w:sz w:val="16"/>
          <w:szCs w:val="16"/>
          <w:color w:val="auto"/>
        </w:rPr>
        <w:t>Securities registered pursuant to Section 12(b) of the Act:</w:t>
      </w:r>
    </w:p>
    <w:p>
      <w:pPr>
        <w:spacing w:after="0" w:line="94" w:lineRule="exact"/>
        <w:rPr>
          <w:sz w:val="24"/>
          <w:szCs w:val="24"/>
          <w:color w:val="auto"/>
        </w:rPr>
      </w:pPr>
    </w:p>
    <w:tbl>
      <w:tblPr>
        <w:tblLayout w:type="fixed"/>
        <w:tblInd w:w="6" w:type="dxa"/>
        <w:tblCellMar>
          <w:top w:w="0" w:type="dxa"/>
          <w:left w:w="0" w:type="dxa"/>
          <w:bottom w:w="0" w:type="dxa"/>
          <w:right w:w="0" w:type="dxa"/>
        </w:tblCellMar>
      </w:tblPr>
      <w:tr>
        <w:trPr>
          <w:trHeight w:val="149"/>
        </w:trPr>
        <w:tc>
          <w:tcPr>
            <w:tcW w:w="3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80" w:type="dxa"/>
            <w:vAlign w:val="bottom"/>
          </w:tcPr>
          <w:p>
            <w:pPr>
              <w:jc w:val="center"/>
              <w:spacing w:after="0"/>
              <w:rPr>
                <w:sz w:val="20"/>
                <w:szCs w:val="20"/>
                <w:color w:val="auto"/>
              </w:rPr>
            </w:pPr>
            <w:r>
              <w:rPr>
                <w:rFonts w:ascii="Arial" w:cs="Arial" w:eastAsia="Arial" w:hAnsi="Arial"/>
                <w:sz w:val="13"/>
                <w:szCs w:val="13"/>
                <w:color w:val="auto"/>
                <w:w w:val="95"/>
              </w:rPr>
              <w:t>Name of Each Exchange</w:t>
            </w:r>
          </w:p>
        </w:tc>
      </w:tr>
      <w:tr>
        <w:trPr>
          <w:trHeight w:val="137"/>
        </w:trPr>
        <w:tc>
          <w:tcPr>
            <w:tcW w:w="3680" w:type="dxa"/>
            <w:vAlign w:val="bottom"/>
            <w:tcBorders>
              <w:bottom w:val="single" w:sz="8" w:color="auto"/>
            </w:tcBorders>
          </w:tcPr>
          <w:p>
            <w:pPr>
              <w:jc w:val="center"/>
              <w:spacing w:after="0" w:line="137" w:lineRule="exact"/>
              <w:rPr>
                <w:sz w:val="20"/>
                <w:szCs w:val="20"/>
                <w:color w:val="auto"/>
              </w:rPr>
            </w:pPr>
            <w:r>
              <w:rPr>
                <w:rFonts w:ascii="Arial" w:cs="Arial" w:eastAsia="Arial" w:hAnsi="Arial"/>
                <w:sz w:val="13"/>
                <w:szCs w:val="13"/>
                <w:color w:val="auto"/>
                <w:w w:val="95"/>
              </w:rPr>
              <w:t>Title of Each Class</w:t>
            </w:r>
          </w:p>
        </w:tc>
        <w:tc>
          <w:tcPr>
            <w:tcW w:w="120" w:type="dxa"/>
            <w:vAlign w:val="bottom"/>
          </w:tcPr>
          <w:p>
            <w:pPr>
              <w:spacing w:after="0"/>
              <w:rPr>
                <w:sz w:val="11"/>
                <w:szCs w:val="11"/>
                <w:color w:val="auto"/>
              </w:rPr>
            </w:pPr>
          </w:p>
        </w:tc>
        <w:tc>
          <w:tcPr>
            <w:tcW w:w="3680" w:type="dxa"/>
            <w:vAlign w:val="bottom"/>
            <w:tcBorders>
              <w:bottom w:val="single" w:sz="8" w:color="auto"/>
            </w:tcBorders>
          </w:tcPr>
          <w:p>
            <w:pPr>
              <w:jc w:val="center"/>
              <w:spacing w:after="0" w:line="137" w:lineRule="exact"/>
              <w:rPr>
                <w:sz w:val="20"/>
                <w:szCs w:val="20"/>
                <w:color w:val="auto"/>
              </w:rPr>
            </w:pPr>
            <w:r>
              <w:rPr>
                <w:rFonts w:ascii="Arial" w:cs="Arial" w:eastAsia="Arial" w:hAnsi="Arial"/>
                <w:sz w:val="13"/>
                <w:szCs w:val="13"/>
                <w:color w:val="auto"/>
                <w:w w:val="96"/>
              </w:rPr>
              <w:t>Trading Symbol(s)</w:t>
            </w:r>
          </w:p>
        </w:tc>
        <w:tc>
          <w:tcPr>
            <w:tcW w:w="100" w:type="dxa"/>
            <w:vAlign w:val="bottom"/>
          </w:tcPr>
          <w:p>
            <w:pPr>
              <w:spacing w:after="0"/>
              <w:rPr>
                <w:sz w:val="11"/>
                <w:szCs w:val="11"/>
                <w:color w:val="auto"/>
              </w:rPr>
            </w:pPr>
          </w:p>
        </w:tc>
        <w:tc>
          <w:tcPr>
            <w:tcW w:w="3680" w:type="dxa"/>
            <w:vAlign w:val="bottom"/>
            <w:tcBorders>
              <w:bottom w:val="single" w:sz="8" w:color="auto"/>
            </w:tcBorders>
          </w:tcPr>
          <w:p>
            <w:pPr>
              <w:jc w:val="center"/>
              <w:spacing w:after="0" w:line="137" w:lineRule="exact"/>
              <w:rPr>
                <w:sz w:val="20"/>
                <w:szCs w:val="20"/>
                <w:color w:val="auto"/>
              </w:rPr>
            </w:pPr>
            <w:r>
              <w:rPr>
                <w:rFonts w:ascii="Arial" w:cs="Arial" w:eastAsia="Arial" w:hAnsi="Arial"/>
                <w:sz w:val="13"/>
                <w:szCs w:val="13"/>
                <w:color w:val="auto"/>
                <w:w w:val="96"/>
              </w:rPr>
              <w:t>on which Registered</w:t>
            </w:r>
          </w:p>
        </w:tc>
      </w:tr>
      <w:tr>
        <w:trPr>
          <w:trHeight w:val="226"/>
        </w:trPr>
        <w:tc>
          <w:tcPr>
            <w:tcW w:w="380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7"/>
              </w:rPr>
              <w:t>Common stock, $0.01 par value</w:t>
            </w:r>
          </w:p>
        </w:tc>
        <w:tc>
          <w:tcPr>
            <w:tcW w:w="37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6"/>
              </w:rPr>
              <w:t>ALSN</w:t>
            </w:r>
          </w:p>
        </w:tc>
        <w:tc>
          <w:tcPr>
            <w:tcW w:w="3680" w:type="dxa"/>
            <w:vAlign w:val="bottom"/>
          </w:tcPr>
          <w:p>
            <w:pPr>
              <w:jc w:val="center"/>
              <w:spacing w:after="0"/>
              <w:rPr>
                <w:sz w:val="20"/>
                <w:szCs w:val="20"/>
                <w:color w:val="auto"/>
              </w:rPr>
            </w:pPr>
            <w:r>
              <w:rPr>
                <w:rFonts w:ascii="Arial" w:cs="Arial" w:eastAsia="Arial" w:hAnsi="Arial"/>
                <w:sz w:val="16"/>
                <w:szCs w:val="16"/>
                <w:b w:val="1"/>
                <w:bCs w:val="1"/>
                <w:color w:val="auto"/>
                <w:w w:val="97"/>
              </w:rPr>
              <w:t>New York Stock Exchange</w:t>
            </w:r>
          </w:p>
        </w:tc>
      </w:tr>
    </w:tbl>
    <w:p>
      <w:pPr>
        <w:spacing w:after="0" w:line="35" w:lineRule="exact"/>
        <w:rPr>
          <w:sz w:val="24"/>
          <w:szCs w:val="24"/>
          <w:color w:val="auto"/>
        </w:rPr>
      </w:pPr>
    </w:p>
    <w:p>
      <w:pPr>
        <w:ind w:left="6" w:right="320" w:firstLine="500"/>
        <w:spacing w:after="0" w:line="186"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31" w:lineRule="exact"/>
        <w:rPr>
          <w:sz w:val="24"/>
          <w:szCs w:val="24"/>
          <w:color w:val="auto"/>
        </w:rPr>
      </w:pPr>
    </w:p>
    <w:p>
      <w:pPr>
        <w:ind w:left="6" w:right="380" w:firstLine="500"/>
        <w:spacing w:after="0" w:line="242" w:lineRule="auto"/>
        <w:rPr>
          <w:sz w:val="20"/>
          <w:szCs w:val="20"/>
          <w:color w:val="auto"/>
        </w:rPr>
      </w:pPr>
      <w:r>
        <w:rPr>
          <w:rFonts w:ascii="Arial" w:cs="Arial" w:eastAsia="Arial" w:hAnsi="Arial"/>
          <w:sz w:val="15"/>
          <w:szCs w:val="15"/>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w:t>
      </w:r>
    </w:p>
    <w:p>
      <w:pPr>
        <w:spacing w:after="0" w:line="1" w:lineRule="exact"/>
        <w:rPr>
          <w:sz w:val="24"/>
          <w:szCs w:val="24"/>
          <w:color w:val="auto"/>
        </w:rPr>
      </w:pPr>
    </w:p>
    <w:p>
      <w:pPr>
        <w:ind w:left="6"/>
        <w:spacing w:after="0" w:line="184" w:lineRule="exact"/>
        <w:tabs>
          <w:tab w:leader="none" w:pos="566" w:val="left"/>
          <w:tab w:leader="none" w:pos="1206" w:val="left"/>
        </w:tabs>
        <w:rPr>
          <w:sz w:val="20"/>
          <w:szCs w:val="20"/>
          <w:color w:val="auto"/>
        </w:rPr>
      </w:pPr>
      <w:r>
        <w:rPr>
          <w:rFonts w:ascii="Arial" w:cs="Arial" w:eastAsia="Arial" w:hAnsi="Arial"/>
          <w:sz w:val="16"/>
          <w:szCs w:val="16"/>
          <w:color w:val="auto"/>
        </w:rPr>
        <w:t>files).</w:t>
        <w:tab/>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54" w:lineRule="exact"/>
        <w:rPr>
          <w:sz w:val="24"/>
          <w:szCs w:val="24"/>
          <w:color w:val="auto"/>
        </w:rPr>
      </w:pPr>
    </w:p>
    <w:p>
      <w:pPr>
        <w:ind w:left="6" w:right="300" w:firstLine="500"/>
        <w:spacing w:after="0" w:line="234"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9" w:lineRule="exact"/>
        <w:rPr>
          <w:sz w:val="24"/>
          <w:szCs w:val="24"/>
          <w:color w:val="auto"/>
        </w:rPr>
      </w:pPr>
    </w:p>
    <w:tbl>
      <w:tblPr>
        <w:tblLayout w:type="fixed"/>
        <w:tblInd w:w="6" w:type="dxa"/>
        <w:tblCellMar>
          <w:top w:w="0" w:type="dxa"/>
          <w:left w:w="0" w:type="dxa"/>
          <w:bottom w:w="0" w:type="dxa"/>
          <w:right w:w="0" w:type="dxa"/>
        </w:tblCellMar>
      </w:tblPr>
      <w:tr>
        <w:trPr>
          <w:trHeight w:val="193"/>
        </w:trPr>
        <w:tc>
          <w:tcPr>
            <w:tcW w:w="246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220" w:type="dxa"/>
            <w:vAlign w:val="bottom"/>
          </w:tcPr>
          <w:p>
            <w:pPr>
              <w:ind w:left="920"/>
              <w:spacing w:after="0" w:line="161" w:lineRule="exact"/>
              <w:rPr>
                <w:sz w:val="20"/>
                <w:szCs w:val="20"/>
                <w:color w:val="auto"/>
              </w:rPr>
            </w:pPr>
            <w:r>
              <w:rPr>
                <w:rFonts w:ascii="MS PGothic" w:cs="MS PGothic" w:eastAsia="MS PGothic" w:hAnsi="MS PGothic"/>
                <w:sz w:val="16"/>
                <w:szCs w:val="16"/>
                <w:color w:val="auto"/>
              </w:rPr>
              <w:t>☒</w:t>
            </w:r>
          </w:p>
        </w:tc>
        <w:tc>
          <w:tcPr>
            <w:tcW w:w="4720" w:type="dxa"/>
            <w:vAlign w:val="bottom"/>
          </w:tcPr>
          <w:p>
            <w:pPr>
              <w:ind w:left="2140"/>
              <w:spacing w:after="0"/>
              <w:rPr>
                <w:sz w:val="20"/>
                <w:szCs w:val="20"/>
                <w:color w:val="auto"/>
              </w:rPr>
            </w:pPr>
            <w:r>
              <w:rPr>
                <w:rFonts w:ascii="Arial" w:cs="Arial" w:eastAsia="Arial" w:hAnsi="Arial"/>
                <w:sz w:val="16"/>
                <w:szCs w:val="16"/>
                <w:color w:val="auto"/>
              </w:rPr>
              <w:t>Accelerated filer</w:t>
            </w:r>
          </w:p>
        </w:tc>
        <w:tc>
          <w:tcPr>
            <w:tcW w:w="860" w:type="dxa"/>
            <w:vAlign w:val="bottom"/>
          </w:tcPr>
          <w:p>
            <w:pPr>
              <w:ind w:left="7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188"/>
        </w:trPr>
        <w:tc>
          <w:tcPr>
            <w:tcW w:w="2460" w:type="dxa"/>
            <w:vAlign w:val="bottom"/>
          </w:tcPr>
          <w:p>
            <w:pPr>
              <w:spacing w:after="0"/>
              <w:rPr>
                <w:sz w:val="20"/>
                <w:szCs w:val="20"/>
                <w:color w:val="auto"/>
              </w:rPr>
            </w:pPr>
            <w:r>
              <w:rPr>
                <w:rFonts w:ascii="Arial" w:cs="Arial" w:eastAsia="Arial" w:hAnsi="Arial"/>
                <w:sz w:val="16"/>
                <w:szCs w:val="16"/>
                <w:color w:val="auto"/>
              </w:rPr>
              <w:t>Non-accelerated filer</w:t>
            </w:r>
          </w:p>
        </w:tc>
        <w:tc>
          <w:tcPr>
            <w:tcW w:w="3220" w:type="dxa"/>
            <w:vAlign w:val="bottom"/>
          </w:tcPr>
          <w:p>
            <w:pPr>
              <w:ind w:left="920"/>
              <w:spacing w:after="0" w:line="161" w:lineRule="exact"/>
              <w:rPr>
                <w:sz w:val="20"/>
                <w:szCs w:val="20"/>
                <w:color w:val="auto"/>
              </w:rPr>
            </w:pPr>
            <w:r>
              <w:rPr>
                <w:rFonts w:ascii="MS PGothic" w:cs="MS PGothic" w:eastAsia="MS PGothic" w:hAnsi="MS PGothic"/>
                <w:sz w:val="16"/>
                <w:szCs w:val="16"/>
                <w:color w:val="auto"/>
              </w:rPr>
              <w:t>☐</w:t>
            </w:r>
          </w:p>
        </w:tc>
        <w:tc>
          <w:tcPr>
            <w:tcW w:w="4720" w:type="dxa"/>
            <w:vAlign w:val="bottom"/>
          </w:tcPr>
          <w:p>
            <w:pPr>
              <w:ind w:left="2140"/>
              <w:spacing w:after="0"/>
              <w:rPr>
                <w:sz w:val="20"/>
                <w:szCs w:val="20"/>
                <w:color w:val="auto"/>
              </w:rPr>
            </w:pPr>
            <w:r>
              <w:rPr>
                <w:rFonts w:ascii="Arial" w:cs="Arial" w:eastAsia="Arial" w:hAnsi="Arial"/>
                <w:sz w:val="16"/>
                <w:szCs w:val="16"/>
                <w:color w:val="auto"/>
              </w:rPr>
              <w:t>Smaller reporting company</w:t>
            </w:r>
          </w:p>
        </w:tc>
        <w:tc>
          <w:tcPr>
            <w:tcW w:w="860" w:type="dxa"/>
            <w:vAlign w:val="bottom"/>
          </w:tcPr>
          <w:p>
            <w:pPr>
              <w:ind w:left="7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45"/>
        </w:trPr>
        <w:tc>
          <w:tcPr>
            <w:tcW w:w="2460" w:type="dxa"/>
            <w:vAlign w:val="bottom"/>
          </w:tcPr>
          <w:p>
            <w:pPr>
              <w:spacing w:after="0"/>
              <w:rPr>
                <w:sz w:val="21"/>
                <w:szCs w:val="21"/>
                <w:color w:val="auto"/>
              </w:rPr>
            </w:pPr>
          </w:p>
        </w:tc>
        <w:tc>
          <w:tcPr>
            <w:tcW w:w="3220" w:type="dxa"/>
            <w:vAlign w:val="bottom"/>
          </w:tcPr>
          <w:p>
            <w:pPr>
              <w:spacing w:after="0"/>
              <w:rPr>
                <w:sz w:val="21"/>
                <w:szCs w:val="21"/>
                <w:color w:val="auto"/>
              </w:rPr>
            </w:pPr>
          </w:p>
        </w:tc>
        <w:tc>
          <w:tcPr>
            <w:tcW w:w="4720" w:type="dxa"/>
            <w:vAlign w:val="bottom"/>
          </w:tcPr>
          <w:p>
            <w:pPr>
              <w:ind w:left="2140"/>
              <w:spacing w:after="0"/>
              <w:rPr>
                <w:sz w:val="20"/>
                <w:szCs w:val="20"/>
                <w:color w:val="auto"/>
              </w:rPr>
            </w:pPr>
            <w:r>
              <w:rPr>
                <w:rFonts w:ascii="Arial" w:cs="Arial" w:eastAsia="Arial" w:hAnsi="Arial"/>
                <w:sz w:val="16"/>
                <w:szCs w:val="16"/>
                <w:color w:val="auto"/>
              </w:rPr>
              <w:t>Emerging growth company</w:t>
            </w:r>
          </w:p>
        </w:tc>
        <w:tc>
          <w:tcPr>
            <w:tcW w:w="860" w:type="dxa"/>
            <w:vAlign w:val="bottom"/>
          </w:tcPr>
          <w:p>
            <w:pPr>
              <w:ind w:left="72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24" w:lineRule="exact"/>
        <w:rPr>
          <w:sz w:val="24"/>
          <w:szCs w:val="24"/>
          <w:color w:val="auto"/>
        </w:rPr>
      </w:pPr>
    </w:p>
    <w:p>
      <w:pPr>
        <w:ind w:left="6" w:right="40" w:firstLine="500"/>
        <w:spacing w:after="0" w:line="191"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 w:lineRule="exact"/>
        <w:rPr>
          <w:sz w:val="24"/>
          <w:szCs w:val="24"/>
          <w:color w:val="auto"/>
        </w:rPr>
      </w:pPr>
    </w:p>
    <w:p>
      <w:pPr>
        <w:ind w:left="506" w:right="1640"/>
        <w:spacing w:after="0" w:line="226"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As of April 15, 2020, there were 113,176,677 shares of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172720</wp:posOffset>
            </wp:positionV>
            <wp:extent cx="7150100" cy="146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6"/>
          </w:cols>
          <w:pgMar w:left="314" w:top="233" w:right="319" w:bottom="1440" w:gutter="0" w:footer="0" w:header="0"/>
        </w:sectPr>
      </w:pPr>
    </w:p>
    <w:bookmarkStart w:id="1" w:name="page2"/>
    <w:bookmarkEnd w:id="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83" w:lineRule="exact"/>
        <w:rPr>
          <w:sz w:val="20"/>
          <w:szCs w:val="20"/>
          <w:color w:val="auto"/>
        </w:rPr>
      </w:pPr>
    </w:p>
    <w:p>
      <w:pPr>
        <w:ind w:left="5380"/>
        <w:spacing w:after="0"/>
        <w:rPr>
          <w:sz w:val="20"/>
          <w:szCs w:val="20"/>
          <w:color w:val="auto"/>
        </w:rPr>
      </w:pPr>
      <w:r>
        <w:rPr>
          <w:rFonts w:ascii="Arial" w:cs="Arial" w:eastAsia="Arial" w:hAnsi="Arial"/>
          <w:sz w:val="16"/>
          <w:szCs w:val="16"/>
          <w:b w:val="1"/>
          <w:bCs w:val="1"/>
          <w:color w:val="auto"/>
        </w:rPr>
        <w:t>INDEX</w:t>
      </w:r>
    </w:p>
    <w:p>
      <w:pPr>
        <w:spacing w:after="0" w:line="200" w:lineRule="exact"/>
        <w:rPr>
          <w:sz w:val="20"/>
          <w:szCs w:val="20"/>
          <w:color w:val="auto"/>
        </w:rPr>
      </w:pPr>
    </w:p>
    <w:p>
      <w:pPr>
        <w:spacing w:after="0" w:line="332" w:lineRule="exact"/>
        <w:rPr>
          <w:sz w:val="20"/>
          <w:szCs w:val="20"/>
          <w:color w:val="auto"/>
        </w:rPr>
      </w:pPr>
    </w:p>
    <w:p>
      <w:pPr>
        <w:ind w:left="4320"/>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PART I. FINANCIAL INFORMATION</w:t>
        </w:r>
      </w:hyperlink>
    </w:p>
    <w:p>
      <w:pPr>
        <w:spacing w:after="0" w:line="259" w:lineRule="exact"/>
        <w:rPr>
          <w:sz w:val="20"/>
          <w:szCs w:val="20"/>
          <w:color w:val="auto"/>
        </w:rPr>
      </w:pPr>
    </w:p>
    <w:p>
      <w:pPr>
        <w:spacing w:after="0"/>
        <w:tabs>
          <w:tab w:leader="none" w:pos="900" w:val="left"/>
        </w:tabs>
        <w:rPr>
          <w:rFonts w:ascii="Arial" w:cs="Arial" w:eastAsia="Arial" w:hAnsi="Arial"/>
          <w:sz w:val="15"/>
          <w:szCs w:val="15"/>
          <w:u w:val="single" w:color="auto"/>
          <w:color w:val="0000EE"/>
        </w:rPr>
      </w:pPr>
      <w:r>
        <w:rPr>
          <w:rFonts w:ascii="Arial" w:cs="Arial" w:eastAsia="Arial" w:hAnsi="Arial"/>
          <w:sz w:val="16"/>
          <w:szCs w:val="16"/>
          <w:color w:val="auto"/>
        </w:rPr>
        <w:t>Item 1.</w:t>
      </w:r>
      <w:r>
        <w:rPr>
          <w:sz w:val="20"/>
          <w:szCs w:val="20"/>
          <w:color w:val="auto"/>
        </w:rPr>
        <w:tab/>
      </w:r>
      <w:hyperlink w:anchor="page3">
        <w:r>
          <w:rPr>
            <w:rFonts w:ascii="Arial" w:cs="Arial" w:eastAsia="Arial" w:hAnsi="Arial"/>
            <w:sz w:val="15"/>
            <w:szCs w:val="15"/>
            <w:u w:val="single" w:color="auto"/>
            <w:color w:val="0000EE"/>
          </w:rPr>
          <w:t>Financial Statements</w:t>
        </w:r>
      </w:hyperlink>
    </w:p>
    <w:p>
      <w:pPr>
        <w:spacing w:after="0" w:line="203" w:lineRule="exact"/>
        <w:rPr>
          <w:sz w:val="20"/>
          <w:szCs w:val="20"/>
          <w:color w:val="auto"/>
        </w:rPr>
      </w:pPr>
    </w:p>
    <w:p>
      <w:pPr>
        <w:ind w:left="920"/>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Condensed Consolidated Balance Sheets</w:t>
        </w:r>
      </w:hyperlink>
    </w:p>
    <w:p>
      <w:pPr>
        <w:spacing w:after="0" w:line="239" w:lineRule="exact"/>
        <w:rPr>
          <w:sz w:val="20"/>
          <w:szCs w:val="20"/>
          <w:color w:val="auto"/>
        </w:rPr>
      </w:pPr>
    </w:p>
    <w:p>
      <w:pPr>
        <w:ind w:left="920"/>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Condensed Consolidated Statements of Comprehensive Income</w:t>
        </w:r>
      </w:hyperlink>
    </w:p>
    <w:p>
      <w:pPr>
        <w:spacing w:after="0" w:line="239" w:lineRule="exact"/>
        <w:rPr>
          <w:sz w:val="20"/>
          <w:szCs w:val="20"/>
          <w:color w:val="auto"/>
        </w:rPr>
      </w:pPr>
    </w:p>
    <w:p>
      <w:pPr>
        <w:ind w:left="920"/>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Condensed Consolidated Statements of Cash Flows</w:t>
        </w:r>
      </w:hyperlink>
    </w:p>
    <w:p>
      <w:pPr>
        <w:spacing w:after="0" w:line="274" w:lineRule="exact"/>
        <w:rPr>
          <w:sz w:val="20"/>
          <w:szCs w:val="20"/>
          <w:color w:val="auto"/>
        </w:rPr>
      </w:pPr>
    </w:p>
    <w:p>
      <w:pPr>
        <w:ind w:left="920"/>
        <w:spacing w:after="0"/>
        <w:rPr>
          <w:rFonts w:ascii="Arial" w:cs="Arial" w:eastAsia="Arial" w:hAnsi="Arial"/>
          <w:sz w:val="16"/>
          <w:szCs w:val="16"/>
          <w:u w:val="single" w:color="auto"/>
          <w:color w:val="0000EE"/>
        </w:rPr>
      </w:pPr>
      <w:hyperlink w:anchor="page6">
        <w:r>
          <w:rPr>
            <w:rFonts w:ascii="Arial" w:cs="Arial" w:eastAsia="Arial" w:hAnsi="Arial"/>
            <w:sz w:val="16"/>
            <w:szCs w:val="16"/>
            <w:u w:val="single" w:color="auto"/>
            <w:color w:val="0000EE"/>
          </w:rPr>
          <w:t>Condensed Consolidated Statements of Stockholders’ Equity</w:t>
        </w:r>
      </w:hyperlink>
    </w:p>
    <w:p>
      <w:pPr>
        <w:spacing w:after="0" w:line="203" w:lineRule="exact"/>
        <w:rPr>
          <w:sz w:val="20"/>
          <w:szCs w:val="20"/>
          <w:color w:val="auto"/>
        </w:rPr>
      </w:pPr>
    </w:p>
    <w:p>
      <w:pPr>
        <w:ind w:left="920"/>
        <w:spacing w:after="0"/>
        <w:rPr>
          <w:rFonts w:ascii="Arial" w:cs="Arial" w:eastAsia="Arial" w:hAnsi="Arial"/>
          <w:sz w:val="16"/>
          <w:szCs w:val="16"/>
          <w:u w:val="single" w:color="auto"/>
          <w:color w:val="0000EE"/>
        </w:rPr>
      </w:pPr>
      <w:hyperlink w:anchor="page7">
        <w:r>
          <w:rPr>
            <w:rFonts w:ascii="Arial" w:cs="Arial" w:eastAsia="Arial" w:hAnsi="Arial"/>
            <w:sz w:val="16"/>
            <w:szCs w:val="16"/>
            <w:u w:val="single" w:color="auto"/>
            <w:color w:val="0000EE"/>
          </w:rPr>
          <w:t>Notes to Condensed Consolidated Financial Statements</w:t>
        </w:r>
      </w:hyperlink>
    </w:p>
    <w:p>
      <w:pPr>
        <w:spacing w:after="0" w:line="239" w:lineRule="exact"/>
        <w:rPr>
          <w:sz w:val="20"/>
          <w:szCs w:val="20"/>
          <w:color w:val="auto"/>
        </w:rPr>
      </w:pPr>
    </w:p>
    <w:p>
      <w:pPr>
        <w:spacing w:after="0"/>
        <w:tabs>
          <w:tab w:leader="none" w:pos="900" w:val="left"/>
        </w:tabs>
        <w:rPr>
          <w:rFonts w:ascii="Arial" w:cs="Arial" w:eastAsia="Arial" w:hAnsi="Arial"/>
          <w:sz w:val="15"/>
          <w:szCs w:val="15"/>
          <w:u w:val="single" w:color="auto"/>
          <w:color w:val="0000EE"/>
        </w:rPr>
      </w:pPr>
      <w:r>
        <w:rPr>
          <w:rFonts w:ascii="Arial" w:cs="Arial" w:eastAsia="Arial" w:hAnsi="Arial"/>
          <w:sz w:val="16"/>
          <w:szCs w:val="16"/>
          <w:color w:val="auto"/>
        </w:rPr>
        <w:t>Item 2.</w:t>
      </w:r>
      <w:r>
        <w:rPr>
          <w:sz w:val="20"/>
          <w:szCs w:val="20"/>
          <w:color w:val="auto"/>
        </w:rPr>
        <w:tab/>
      </w:r>
      <w:hyperlink w:anchor="page24">
        <w:r>
          <w:rPr>
            <w:rFonts w:ascii="Arial" w:cs="Arial" w:eastAsia="Arial" w:hAnsi="Arial"/>
            <w:sz w:val="15"/>
            <w:szCs w:val="15"/>
            <w:u w:val="single" w:color="auto"/>
            <w:color w:val="0000EE"/>
          </w:rPr>
          <w:t>Management’s Discussion and Analysis of Financial Condition and Results of Operations</w:t>
        </w:r>
      </w:hyperlink>
    </w:p>
    <w:p>
      <w:pPr>
        <w:spacing w:after="0" w:line="203" w:lineRule="exact"/>
        <w:rPr>
          <w:sz w:val="20"/>
          <w:szCs w:val="20"/>
          <w:color w:val="auto"/>
        </w:rPr>
      </w:pPr>
    </w:p>
    <w:p>
      <w:pPr>
        <w:spacing w:after="0"/>
        <w:tabs>
          <w:tab w:leader="none" w:pos="900" w:val="left"/>
        </w:tabs>
        <w:rPr>
          <w:rFonts w:ascii="Arial" w:cs="Arial" w:eastAsia="Arial" w:hAnsi="Arial"/>
          <w:sz w:val="15"/>
          <w:szCs w:val="15"/>
          <w:u w:val="single" w:color="auto"/>
          <w:color w:val="0000EE"/>
        </w:rPr>
      </w:pPr>
      <w:r>
        <w:rPr>
          <w:rFonts w:ascii="Arial" w:cs="Arial" w:eastAsia="Arial" w:hAnsi="Arial"/>
          <w:sz w:val="16"/>
          <w:szCs w:val="16"/>
          <w:color w:val="auto"/>
        </w:rPr>
        <w:t>Item 3.</w:t>
      </w:r>
      <w:r>
        <w:rPr>
          <w:sz w:val="20"/>
          <w:szCs w:val="20"/>
          <w:color w:val="auto"/>
        </w:rPr>
        <w:tab/>
      </w:r>
      <w:hyperlink w:anchor="page35">
        <w:r>
          <w:rPr>
            <w:rFonts w:ascii="Arial" w:cs="Arial" w:eastAsia="Arial" w:hAnsi="Arial"/>
            <w:sz w:val="15"/>
            <w:szCs w:val="15"/>
            <w:u w:val="single" w:color="auto"/>
            <w:color w:val="0000EE"/>
          </w:rPr>
          <w:t>Quantitative and Qualitative Disclosures About Market Risk</w:t>
        </w:r>
      </w:hyperlink>
    </w:p>
    <w:p>
      <w:pPr>
        <w:spacing w:after="0" w:line="203" w:lineRule="exact"/>
        <w:rPr>
          <w:sz w:val="20"/>
          <w:szCs w:val="20"/>
          <w:color w:val="auto"/>
        </w:rPr>
      </w:pPr>
    </w:p>
    <w:p>
      <w:pPr>
        <w:spacing w:after="0"/>
        <w:tabs>
          <w:tab w:leader="none" w:pos="900" w:val="left"/>
        </w:tabs>
        <w:rPr>
          <w:rFonts w:ascii="Arial" w:cs="Arial" w:eastAsia="Arial" w:hAnsi="Arial"/>
          <w:sz w:val="15"/>
          <w:szCs w:val="15"/>
          <w:u w:val="single" w:color="auto"/>
          <w:color w:val="0000EE"/>
        </w:rPr>
      </w:pPr>
      <w:r>
        <w:rPr>
          <w:rFonts w:ascii="Arial" w:cs="Arial" w:eastAsia="Arial" w:hAnsi="Arial"/>
          <w:sz w:val="16"/>
          <w:szCs w:val="16"/>
          <w:color w:val="auto"/>
        </w:rPr>
        <w:t>Item 4.</w:t>
      </w:r>
      <w:r>
        <w:rPr>
          <w:sz w:val="20"/>
          <w:szCs w:val="20"/>
          <w:color w:val="auto"/>
        </w:rPr>
        <w:tab/>
      </w:r>
      <w:hyperlink w:anchor="page36">
        <w:r>
          <w:rPr>
            <w:rFonts w:ascii="Arial" w:cs="Arial" w:eastAsia="Arial" w:hAnsi="Arial"/>
            <w:sz w:val="15"/>
            <w:szCs w:val="15"/>
            <w:u w:val="single" w:color="auto"/>
            <w:color w:val="0000EE"/>
          </w:rPr>
          <w:t>Controls and Procedures</w:t>
        </w:r>
      </w:hyperlink>
    </w:p>
    <w:p>
      <w:pPr>
        <w:spacing w:after="0" w:line="183" w:lineRule="exact"/>
        <w:rPr>
          <w:sz w:val="20"/>
          <w:szCs w:val="20"/>
          <w:color w:val="auto"/>
        </w:rPr>
      </w:pPr>
    </w:p>
    <w:p>
      <w:pPr>
        <w:ind w:left="4460"/>
        <w:spacing w:after="0"/>
        <w:rPr>
          <w:rFonts w:ascii="Arial" w:cs="Arial" w:eastAsia="Arial" w:hAnsi="Arial"/>
          <w:sz w:val="16"/>
          <w:szCs w:val="16"/>
          <w:b w:val="1"/>
          <w:bCs w:val="1"/>
          <w:u w:val="single" w:color="auto"/>
          <w:color w:val="0000EE"/>
        </w:rPr>
      </w:pPr>
      <w:hyperlink w:anchor="page37">
        <w:r>
          <w:rPr>
            <w:rFonts w:ascii="Arial" w:cs="Arial" w:eastAsia="Arial" w:hAnsi="Arial"/>
            <w:sz w:val="16"/>
            <w:szCs w:val="16"/>
            <w:b w:val="1"/>
            <w:bCs w:val="1"/>
            <w:u w:val="single" w:color="auto"/>
            <w:color w:val="0000EE"/>
          </w:rPr>
          <w:t>PART II. OTHER INFORMATION</w:t>
        </w:r>
      </w:hyperlink>
    </w:p>
    <w:p>
      <w:pPr>
        <w:spacing w:after="0" w:line="259" w:lineRule="exact"/>
        <w:rPr>
          <w:sz w:val="20"/>
          <w:szCs w:val="20"/>
          <w:color w:val="auto"/>
        </w:rPr>
      </w:pPr>
    </w:p>
    <w:p>
      <w:pPr>
        <w:spacing w:after="0"/>
        <w:tabs>
          <w:tab w:leader="none" w:pos="900" w:val="left"/>
        </w:tabs>
        <w:rPr>
          <w:rFonts w:ascii="Arial" w:cs="Arial" w:eastAsia="Arial" w:hAnsi="Arial"/>
          <w:sz w:val="15"/>
          <w:szCs w:val="15"/>
          <w:u w:val="single" w:color="auto"/>
          <w:color w:val="0000EE"/>
        </w:rPr>
      </w:pPr>
      <w:r>
        <w:rPr>
          <w:rFonts w:ascii="Arial" w:cs="Arial" w:eastAsia="Arial" w:hAnsi="Arial"/>
          <w:sz w:val="16"/>
          <w:szCs w:val="16"/>
          <w:color w:val="auto"/>
        </w:rPr>
        <w:t>Item 1.</w:t>
      </w:r>
      <w:r>
        <w:rPr>
          <w:sz w:val="20"/>
          <w:szCs w:val="20"/>
          <w:color w:val="auto"/>
        </w:rPr>
        <w:tab/>
      </w:r>
      <w:hyperlink w:anchor="page37">
        <w:r>
          <w:rPr>
            <w:rFonts w:ascii="Arial" w:cs="Arial" w:eastAsia="Arial" w:hAnsi="Arial"/>
            <w:sz w:val="15"/>
            <w:szCs w:val="15"/>
            <w:u w:val="single" w:color="auto"/>
            <w:color w:val="0000EE"/>
          </w:rPr>
          <w:t>Legal Proceedings</w:t>
        </w:r>
      </w:hyperlink>
    </w:p>
    <w:p>
      <w:pPr>
        <w:spacing w:after="0" w:line="203" w:lineRule="exact"/>
        <w:rPr>
          <w:sz w:val="20"/>
          <w:szCs w:val="20"/>
          <w:color w:val="auto"/>
        </w:rPr>
      </w:pPr>
    </w:p>
    <w:p>
      <w:pPr>
        <w:spacing w:after="0"/>
        <w:tabs>
          <w:tab w:leader="none" w:pos="900" w:val="left"/>
        </w:tabs>
        <w:rPr>
          <w:rFonts w:ascii="Arial" w:cs="Arial" w:eastAsia="Arial" w:hAnsi="Arial"/>
          <w:sz w:val="15"/>
          <w:szCs w:val="15"/>
          <w:u w:val="single" w:color="auto"/>
          <w:color w:val="0000EE"/>
        </w:rPr>
      </w:pPr>
      <w:r>
        <w:rPr>
          <w:rFonts w:ascii="Arial" w:cs="Arial" w:eastAsia="Arial" w:hAnsi="Arial"/>
          <w:sz w:val="16"/>
          <w:szCs w:val="16"/>
          <w:color w:val="auto"/>
        </w:rPr>
        <w:t>Item 1A.</w:t>
      </w:r>
      <w:r>
        <w:rPr>
          <w:sz w:val="20"/>
          <w:szCs w:val="20"/>
          <w:color w:val="auto"/>
        </w:rPr>
        <w:tab/>
      </w:r>
      <w:hyperlink w:anchor="page37">
        <w:r>
          <w:rPr>
            <w:rFonts w:ascii="Arial" w:cs="Arial" w:eastAsia="Arial" w:hAnsi="Arial"/>
            <w:sz w:val="15"/>
            <w:szCs w:val="15"/>
            <w:u w:val="single" w:color="auto"/>
            <w:color w:val="0000EE"/>
          </w:rPr>
          <w:t>Risk Factors</w:t>
        </w:r>
      </w:hyperlink>
    </w:p>
    <w:p>
      <w:pPr>
        <w:spacing w:after="0" w:line="203" w:lineRule="exact"/>
        <w:rPr>
          <w:sz w:val="20"/>
          <w:szCs w:val="20"/>
          <w:color w:val="auto"/>
        </w:rPr>
      </w:pPr>
    </w:p>
    <w:p>
      <w:pPr>
        <w:spacing w:after="0"/>
        <w:tabs>
          <w:tab w:leader="none" w:pos="900" w:val="left"/>
        </w:tabs>
        <w:rPr>
          <w:rFonts w:ascii="Arial" w:cs="Arial" w:eastAsia="Arial" w:hAnsi="Arial"/>
          <w:sz w:val="15"/>
          <w:szCs w:val="15"/>
          <w:u w:val="single" w:color="auto"/>
          <w:color w:val="0000EE"/>
        </w:rPr>
      </w:pPr>
      <w:r>
        <w:rPr>
          <w:rFonts w:ascii="Arial" w:cs="Arial" w:eastAsia="Arial" w:hAnsi="Arial"/>
          <w:sz w:val="16"/>
          <w:szCs w:val="16"/>
          <w:color w:val="auto"/>
        </w:rPr>
        <w:t>Item 2.</w:t>
      </w:r>
      <w:r>
        <w:rPr>
          <w:sz w:val="20"/>
          <w:szCs w:val="20"/>
          <w:color w:val="auto"/>
        </w:rPr>
        <w:tab/>
      </w:r>
      <w:hyperlink w:anchor="page40">
        <w:r>
          <w:rPr>
            <w:rFonts w:ascii="Arial" w:cs="Arial" w:eastAsia="Arial" w:hAnsi="Arial"/>
            <w:sz w:val="15"/>
            <w:szCs w:val="15"/>
            <w:u w:val="single" w:color="auto"/>
            <w:color w:val="0000EE"/>
          </w:rPr>
          <w:t>Unregistered Sales of Equity Securities and Use of Proceeds</w:t>
        </w:r>
      </w:hyperlink>
    </w:p>
    <w:p>
      <w:pPr>
        <w:spacing w:after="0" w:line="203" w:lineRule="exact"/>
        <w:rPr>
          <w:sz w:val="20"/>
          <w:szCs w:val="20"/>
          <w:color w:val="auto"/>
        </w:rPr>
      </w:pPr>
    </w:p>
    <w:p>
      <w:pPr>
        <w:spacing w:after="0"/>
        <w:tabs>
          <w:tab w:leader="none" w:pos="900" w:val="left"/>
        </w:tabs>
        <w:rPr>
          <w:rFonts w:ascii="Arial" w:cs="Arial" w:eastAsia="Arial" w:hAnsi="Arial"/>
          <w:sz w:val="15"/>
          <w:szCs w:val="15"/>
          <w:u w:val="single" w:color="auto"/>
          <w:color w:val="0000EE"/>
        </w:rPr>
      </w:pPr>
      <w:r>
        <w:rPr>
          <w:rFonts w:ascii="Arial" w:cs="Arial" w:eastAsia="Arial" w:hAnsi="Arial"/>
          <w:sz w:val="16"/>
          <w:szCs w:val="16"/>
          <w:color w:val="auto"/>
        </w:rPr>
        <w:t>Item 6.</w:t>
      </w:r>
      <w:r>
        <w:rPr>
          <w:sz w:val="20"/>
          <w:szCs w:val="20"/>
          <w:color w:val="auto"/>
        </w:rPr>
        <w:tab/>
      </w:r>
      <w:hyperlink w:anchor="page41">
        <w:r>
          <w:rPr>
            <w:rFonts w:ascii="Arial" w:cs="Arial" w:eastAsia="Arial" w:hAnsi="Arial"/>
            <w:sz w:val="15"/>
            <w:szCs w:val="15"/>
            <w:u w:val="single" w:color="auto"/>
            <w:color w:val="0000EE"/>
          </w:rPr>
          <w:t>Exhibits</w:t>
        </w:r>
      </w:hyperlink>
    </w:p>
    <w:p>
      <w:pPr>
        <w:spacing w:after="0" w:line="203" w:lineRule="exact"/>
        <w:rPr>
          <w:sz w:val="20"/>
          <w:szCs w:val="20"/>
          <w:color w:val="auto"/>
        </w:rPr>
      </w:pPr>
    </w:p>
    <w:p>
      <w:pPr>
        <w:ind w:left="920"/>
        <w:spacing w:after="0"/>
        <w:rPr>
          <w:rFonts w:ascii="Arial" w:cs="Arial" w:eastAsia="Arial" w:hAnsi="Arial"/>
          <w:sz w:val="16"/>
          <w:szCs w:val="16"/>
          <w:u w:val="single" w:color="auto"/>
          <w:color w:val="0000EE"/>
        </w:rPr>
      </w:pPr>
      <w:hyperlink w:anchor="page42">
        <w:r>
          <w:rPr>
            <w:rFonts w:ascii="Arial" w:cs="Arial" w:eastAsia="Arial" w:hAnsi="Arial"/>
            <w:sz w:val="16"/>
            <w:szCs w:val="16"/>
            <w:u w:val="single" w:color="auto"/>
            <w:color w:val="0000EE"/>
          </w:rPr>
          <w:t>Signatures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5580"/>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55245</wp:posOffset>
            </wp:positionV>
            <wp:extent cx="7150100" cy="146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60"/>
        <w:spacing w:after="0"/>
        <w:rPr>
          <w:sz w:val="20"/>
          <w:szCs w:val="20"/>
          <w:color w:val="auto"/>
        </w:rPr>
      </w:pPr>
      <w:r>
        <w:rPr>
          <w:rFonts w:ascii="Arial" w:cs="Arial" w:eastAsia="Arial" w:hAnsi="Arial"/>
          <w:sz w:val="16"/>
          <w:szCs w:val="16"/>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-132715</wp:posOffset>
            </wp:positionH>
            <wp:positionV relativeFrom="paragraph">
              <wp:posOffset>-3810</wp:posOffset>
            </wp:positionV>
            <wp:extent cx="574040"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4040" cy="762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3 - 6</w:t>
      </w:r>
    </w:p>
    <w:p>
      <w:pPr>
        <w:spacing w:after="0" w:line="239" w:lineRule="exact"/>
        <w:rPr>
          <w:sz w:val="20"/>
          <w:szCs w:val="20"/>
          <w:color w:val="auto"/>
        </w:rPr>
      </w:pPr>
    </w:p>
    <w:p>
      <w:pPr>
        <w:ind w:left="200"/>
        <w:spacing w:after="0"/>
        <w:rPr>
          <w:sz w:val="20"/>
          <w:szCs w:val="20"/>
          <w:color w:val="auto"/>
        </w:rPr>
      </w:pPr>
      <w:r>
        <w:rPr>
          <w:rFonts w:ascii="Arial" w:cs="Arial" w:eastAsia="Arial" w:hAnsi="Arial"/>
          <w:sz w:val="16"/>
          <w:szCs w:val="16"/>
          <w:color w:val="auto"/>
        </w:rPr>
        <w:t>3</w:t>
      </w:r>
    </w:p>
    <w:p>
      <w:pPr>
        <w:spacing w:after="0" w:line="239" w:lineRule="exact"/>
        <w:rPr>
          <w:sz w:val="20"/>
          <w:szCs w:val="20"/>
          <w:color w:val="auto"/>
        </w:rPr>
      </w:pPr>
    </w:p>
    <w:p>
      <w:pPr>
        <w:ind w:left="200"/>
        <w:spacing w:after="0"/>
        <w:rPr>
          <w:sz w:val="20"/>
          <w:szCs w:val="20"/>
          <w:color w:val="auto"/>
        </w:rPr>
      </w:pPr>
      <w:r>
        <w:rPr>
          <w:rFonts w:ascii="Arial" w:cs="Arial" w:eastAsia="Arial" w:hAnsi="Arial"/>
          <w:sz w:val="16"/>
          <w:szCs w:val="16"/>
          <w:color w:val="auto"/>
        </w:rPr>
        <w:t>4</w:t>
      </w:r>
    </w:p>
    <w:p>
      <w:pPr>
        <w:spacing w:after="0" w:line="239" w:lineRule="exact"/>
        <w:rPr>
          <w:sz w:val="20"/>
          <w:szCs w:val="20"/>
          <w:color w:val="auto"/>
        </w:rPr>
      </w:pPr>
    </w:p>
    <w:p>
      <w:pPr>
        <w:ind w:left="200"/>
        <w:spacing w:after="0"/>
        <w:rPr>
          <w:sz w:val="20"/>
          <w:szCs w:val="20"/>
          <w:color w:val="auto"/>
        </w:rPr>
      </w:pPr>
      <w:r>
        <w:rPr>
          <w:rFonts w:ascii="Arial" w:cs="Arial" w:eastAsia="Arial" w:hAnsi="Arial"/>
          <w:sz w:val="16"/>
          <w:szCs w:val="16"/>
          <w:color w:val="auto"/>
        </w:rPr>
        <w:t>5</w:t>
      </w:r>
    </w:p>
    <w:p>
      <w:pPr>
        <w:spacing w:after="0" w:line="239" w:lineRule="exact"/>
        <w:rPr>
          <w:sz w:val="20"/>
          <w:szCs w:val="20"/>
          <w:color w:val="auto"/>
        </w:rPr>
      </w:pPr>
    </w:p>
    <w:p>
      <w:pPr>
        <w:ind w:left="220"/>
        <w:spacing w:after="0"/>
        <w:rPr>
          <w:sz w:val="20"/>
          <w:szCs w:val="20"/>
          <w:color w:val="auto"/>
        </w:rPr>
      </w:pPr>
      <w:r>
        <w:rPr>
          <w:rFonts w:ascii="Arial" w:cs="Arial" w:eastAsia="Arial" w:hAnsi="Arial"/>
          <w:sz w:val="16"/>
          <w:szCs w:val="16"/>
          <w:color w:val="auto"/>
        </w:rPr>
        <w:t>6</w:t>
      </w:r>
    </w:p>
    <w:p>
      <w:pPr>
        <w:spacing w:after="0" w:line="239" w:lineRule="exact"/>
        <w:rPr>
          <w:sz w:val="20"/>
          <w:szCs w:val="20"/>
          <w:color w:val="auto"/>
        </w:rPr>
      </w:pPr>
    </w:p>
    <w:p>
      <w:pPr>
        <w:ind w:left="20"/>
        <w:spacing w:after="0"/>
        <w:rPr>
          <w:sz w:val="20"/>
          <w:szCs w:val="20"/>
          <w:color w:val="auto"/>
        </w:rPr>
      </w:pPr>
      <w:r>
        <w:rPr>
          <w:rFonts w:ascii="Arial" w:cs="Arial" w:eastAsia="Arial" w:hAnsi="Arial"/>
          <w:sz w:val="16"/>
          <w:szCs w:val="16"/>
          <w:color w:val="auto"/>
        </w:rPr>
        <w:t>7–23</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24-34</w:t>
      </w:r>
    </w:p>
    <w:p>
      <w:pPr>
        <w:spacing w:after="0" w:line="203" w:lineRule="exact"/>
        <w:rPr>
          <w:sz w:val="20"/>
          <w:szCs w:val="20"/>
          <w:color w:val="auto"/>
        </w:rPr>
      </w:pPr>
    </w:p>
    <w:p>
      <w:pPr>
        <w:ind w:left="160"/>
        <w:spacing w:after="0"/>
        <w:rPr>
          <w:sz w:val="20"/>
          <w:szCs w:val="20"/>
          <w:color w:val="auto"/>
        </w:rPr>
      </w:pPr>
      <w:r>
        <w:rPr>
          <w:rFonts w:ascii="Arial" w:cs="Arial" w:eastAsia="Arial" w:hAnsi="Arial"/>
          <w:sz w:val="16"/>
          <w:szCs w:val="16"/>
          <w:color w:val="auto"/>
        </w:rPr>
        <w:t>35</w:t>
      </w:r>
    </w:p>
    <w:p>
      <w:pPr>
        <w:spacing w:after="0" w:line="203" w:lineRule="exact"/>
        <w:rPr>
          <w:sz w:val="20"/>
          <w:szCs w:val="20"/>
          <w:color w:val="auto"/>
        </w:rPr>
      </w:pPr>
    </w:p>
    <w:p>
      <w:pPr>
        <w:ind w:left="160"/>
        <w:spacing w:after="0"/>
        <w:rPr>
          <w:sz w:val="20"/>
          <w:szCs w:val="20"/>
          <w:color w:val="auto"/>
        </w:rPr>
      </w:pPr>
      <w:r>
        <w:rPr>
          <w:rFonts w:ascii="Arial" w:cs="Arial" w:eastAsia="Arial" w:hAnsi="Arial"/>
          <w:sz w:val="16"/>
          <w:szCs w:val="16"/>
          <w:color w:val="auto"/>
        </w:rPr>
        <w:t>36</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37-39</w:t>
      </w:r>
    </w:p>
    <w:p>
      <w:pPr>
        <w:spacing w:after="0" w:line="203" w:lineRule="exact"/>
        <w:rPr>
          <w:sz w:val="20"/>
          <w:szCs w:val="20"/>
          <w:color w:val="auto"/>
        </w:rPr>
      </w:pPr>
    </w:p>
    <w:p>
      <w:pPr>
        <w:ind w:left="160"/>
        <w:spacing w:after="0"/>
        <w:rPr>
          <w:sz w:val="20"/>
          <w:szCs w:val="20"/>
          <w:color w:val="auto"/>
        </w:rPr>
      </w:pPr>
      <w:r>
        <w:rPr>
          <w:rFonts w:ascii="Arial" w:cs="Arial" w:eastAsia="Arial" w:hAnsi="Arial"/>
          <w:sz w:val="16"/>
          <w:szCs w:val="16"/>
          <w:color w:val="auto"/>
        </w:rPr>
        <w:t>40</w:t>
      </w:r>
    </w:p>
    <w:p>
      <w:pPr>
        <w:spacing w:after="0" w:line="203" w:lineRule="exact"/>
        <w:rPr>
          <w:sz w:val="20"/>
          <w:szCs w:val="20"/>
          <w:color w:val="auto"/>
        </w:rPr>
      </w:pPr>
    </w:p>
    <w:p>
      <w:pPr>
        <w:ind w:left="160"/>
        <w:spacing w:after="0"/>
        <w:rPr>
          <w:sz w:val="20"/>
          <w:szCs w:val="20"/>
          <w:color w:val="auto"/>
        </w:rPr>
      </w:pPr>
      <w:r>
        <w:rPr>
          <w:rFonts w:ascii="Arial" w:cs="Arial" w:eastAsia="Arial" w:hAnsi="Arial"/>
          <w:sz w:val="16"/>
          <w:szCs w:val="16"/>
          <w:color w:val="auto"/>
        </w:rPr>
        <w:t>41</w:t>
      </w:r>
    </w:p>
    <w:p>
      <w:pPr>
        <w:spacing w:after="0" w:line="239" w:lineRule="exact"/>
        <w:rPr>
          <w:sz w:val="20"/>
          <w:szCs w:val="20"/>
          <w:color w:val="auto"/>
        </w:rPr>
      </w:pPr>
    </w:p>
    <w:p>
      <w:pPr>
        <w:ind w:left="160"/>
        <w:spacing w:after="0"/>
        <w:rPr>
          <w:sz w:val="20"/>
          <w:szCs w:val="20"/>
          <w:color w:val="auto"/>
        </w:rPr>
      </w:pPr>
      <w:r>
        <w:rPr>
          <w:rFonts w:ascii="Arial" w:cs="Arial" w:eastAsia="Arial" w:hAnsi="Arial"/>
          <w:sz w:val="16"/>
          <w:szCs w:val="16"/>
          <w:color w:val="auto"/>
        </w:rPr>
        <w:t>42</w:t>
      </w:r>
    </w:p>
    <w:p>
      <w:pPr>
        <w:sectPr>
          <w:pgSz w:w="11900" w:h="16838" w:orient="portrait"/>
          <w:cols w:equalWidth="0" w:num="2">
            <w:col w:w="9840" w:space="720"/>
            <w:col w:w="480"/>
          </w:cols>
          <w:pgMar w:left="320" w:top="140" w:right="539" w:bottom="1440" w:gutter="0" w:footer="0" w:header="0"/>
        </w:sectPr>
      </w:pPr>
    </w:p>
    <w:bookmarkStart w:id="2" w:name="page3"/>
    <w:bookmarkEnd w:id="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263525</wp:posOffset>
            </wp:positionV>
            <wp:extent cx="7150100"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0100" cy="7620"/>
                    </a:xfrm>
                    <a:prstGeom prst="rect">
                      <a:avLst/>
                    </a:prstGeom>
                    <a:noFill/>
                  </pic:spPr>
                </pic:pic>
              </a:graphicData>
            </a:graphic>
          </wp:anchor>
        </w:drawing>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PART I. FINANCIAL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97790</wp:posOffset>
            </wp:positionV>
            <wp:extent cx="7150100"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0100" cy="7620"/>
                    </a:xfrm>
                    <a:prstGeom prst="rect">
                      <a:avLst/>
                    </a:prstGeom>
                    <a:noFill/>
                  </pic:spPr>
                </pic:pic>
              </a:graphicData>
            </a:graphic>
          </wp:anchor>
        </w:drawing>
      </w:r>
    </w:p>
    <w:p>
      <w:pPr>
        <w:spacing w:after="0" w:line="27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 Financial Statements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Allison Transmission Holdings, Inc.</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Balance Sheets</w:t>
      </w:r>
    </w:p>
    <w:p>
      <w:pPr>
        <w:jc w:val="center"/>
        <w:spacing w:after="0"/>
        <w:rPr>
          <w:sz w:val="20"/>
          <w:szCs w:val="20"/>
          <w:color w:val="auto"/>
        </w:rPr>
      </w:pPr>
      <w:r>
        <w:rPr>
          <w:rFonts w:ascii="Arial" w:cs="Arial" w:eastAsia="Arial" w:hAnsi="Arial"/>
          <w:sz w:val="16"/>
          <w:szCs w:val="16"/>
          <w:b w:val="1"/>
          <w:bCs w:val="1"/>
          <w:color w:val="auto"/>
        </w:rPr>
        <w:t>(unaudited, dollars in millions, except share and per share data)</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62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3"/>
                <w:szCs w:val="13"/>
                <w:b w:val="1"/>
                <w:bCs w:val="1"/>
                <w:color w:val="auto"/>
              </w:rPr>
              <w:t>March 31,</w:t>
            </w: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00" w:type="dxa"/>
            <w:vAlign w:val="bottom"/>
          </w:tcPr>
          <w:p>
            <w:pPr>
              <w:jc w:val="right"/>
              <w:ind w:right="450"/>
              <w:spacing w:after="0"/>
              <w:rPr>
                <w:sz w:val="20"/>
                <w:szCs w:val="20"/>
                <w:color w:val="auto"/>
              </w:rPr>
            </w:pPr>
            <w:r>
              <w:rPr>
                <w:rFonts w:ascii="Arial" w:cs="Arial" w:eastAsia="Arial" w:hAnsi="Arial"/>
                <w:sz w:val="13"/>
                <w:szCs w:val="13"/>
                <w:b w:val="1"/>
                <w:bCs w:val="1"/>
                <w:color w:val="auto"/>
              </w:rPr>
              <w:t>December 31,</w:t>
            </w:r>
          </w:p>
        </w:tc>
        <w:tc>
          <w:tcPr>
            <w:tcW w:w="0" w:type="dxa"/>
            <w:vAlign w:val="bottom"/>
          </w:tcPr>
          <w:p>
            <w:pPr>
              <w:spacing w:after="0"/>
              <w:rPr>
                <w:sz w:val="1"/>
                <w:szCs w:val="1"/>
                <w:color w:val="auto"/>
              </w:rPr>
            </w:pPr>
          </w:p>
        </w:tc>
      </w:tr>
      <w:tr>
        <w:trPr>
          <w:trHeight w:val="153"/>
        </w:trPr>
        <w:tc>
          <w:tcPr>
            <w:tcW w:w="7620" w:type="dxa"/>
            <w:vAlign w:val="bottom"/>
            <w:tcBorders>
              <w:bottom w:val="single" w:sz="8" w:color="CFF0FC"/>
            </w:tcBorders>
          </w:tcPr>
          <w:p>
            <w:pPr>
              <w:spacing w:after="0"/>
              <w:rPr>
                <w:sz w:val="13"/>
                <w:szCs w:val="13"/>
                <w:color w:val="auto"/>
              </w:rPr>
            </w:pPr>
          </w:p>
        </w:tc>
        <w:tc>
          <w:tcPr>
            <w:tcW w:w="1140" w:type="dxa"/>
            <w:vAlign w:val="bottom"/>
            <w:tcBorders>
              <w:bottom w:val="single" w:sz="8" w:color="auto"/>
            </w:tcBorders>
          </w:tcPr>
          <w:p>
            <w:pPr>
              <w:jc w:val="right"/>
              <w:ind w:right="132"/>
              <w:spacing w:after="0"/>
              <w:rPr>
                <w:sz w:val="20"/>
                <w:szCs w:val="20"/>
                <w:color w:val="auto"/>
              </w:rPr>
            </w:pPr>
            <w:r>
              <w:rPr>
                <w:rFonts w:ascii="Arial" w:cs="Arial" w:eastAsia="Arial" w:hAnsi="Arial"/>
                <w:sz w:val="13"/>
                <w:szCs w:val="13"/>
                <w:b w:val="1"/>
                <w:bCs w:val="1"/>
                <w:color w:val="auto"/>
              </w:rPr>
              <w:t>2020</w:t>
            </w:r>
          </w:p>
        </w:tc>
        <w:tc>
          <w:tcPr>
            <w:tcW w:w="580" w:type="dxa"/>
            <w:vAlign w:val="bottom"/>
            <w:tcBorders>
              <w:bottom w:val="single" w:sz="8" w:color="auto"/>
            </w:tcBorders>
          </w:tcPr>
          <w:p>
            <w:pPr>
              <w:spacing w:after="0"/>
              <w:rPr>
                <w:sz w:val="13"/>
                <w:szCs w:val="13"/>
                <w:color w:val="auto"/>
              </w:rPr>
            </w:pPr>
          </w:p>
        </w:tc>
        <w:tc>
          <w:tcPr>
            <w:tcW w:w="18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tcPr>
          <w:p>
            <w:pPr>
              <w:jc w:val="right"/>
              <w:ind w:right="730"/>
              <w:spacing w:after="0"/>
              <w:rPr>
                <w:sz w:val="20"/>
                <w:szCs w:val="20"/>
                <w:color w:val="auto"/>
              </w:rPr>
            </w:pPr>
            <w:r>
              <w:rPr>
                <w:rFonts w:ascii="Arial" w:cs="Arial" w:eastAsia="Arial" w:hAnsi="Arial"/>
                <w:sz w:val="13"/>
                <w:szCs w:val="13"/>
                <w:b w:val="1"/>
                <w:bCs w:val="1"/>
                <w:color w:val="auto"/>
              </w:rPr>
              <w:t>2019</w:t>
            </w:r>
          </w:p>
        </w:tc>
        <w:tc>
          <w:tcPr>
            <w:tcW w:w="0" w:type="dxa"/>
            <w:vAlign w:val="bottom"/>
          </w:tcPr>
          <w:p>
            <w:pPr>
              <w:spacing w:after="0"/>
              <w:rPr>
                <w:sz w:val="1"/>
                <w:szCs w:val="1"/>
                <w:color w:val="auto"/>
              </w:rPr>
            </w:pPr>
          </w:p>
        </w:tc>
      </w:tr>
      <w:tr>
        <w:trPr>
          <w:trHeight w:val="168"/>
        </w:trPr>
        <w:tc>
          <w:tcPr>
            <w:tcW w:w="7620" w:type="dxa"/>
            <w:vAlign w:val="bottom"/>
            <w:shd w:val="clear" w:color="auto" w:fill="CFF0FC"/>
          </w:tcPr>
          <w:p>
            <w:pPr>
              <w:spacing w:after="0"/>
              <w:rPr>
                <w:sz w:val="20"/>
                <w:szCs w:val="20"/>
                <w:color w:val="auto"/>
              </w:rPr>
            </w:pPr>
            <w:r>
              <w:rPr>
                <w:rFonts w:ascii="Arial" w:cs="Arial" w:eastAsia="Arial" w:hAnsi="Arial"/>
                <w:sz w:val="14"/>
                <w:szCs w:val="14"/>
                <w:b w:val="1"/>
                <w:bCs w:val="1"/>
                <w:color w:val="auto"/>
              </w:rPr>
              <w:t>ASSETS</w:t>
            </w:r>
          </w:p>
        </w:tc>
        <w:tc>
          <w:tcPr>
            <w:tcW w:w="114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5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7620" w:type="dxa"/>
            <w:vAlign w:val="bottom"/>
          </w:tcPr>
          <w:p>
            <w:pPr>
              <w:spacing w:after="0"/>
              <w:rPr>
                <w:sz w:val="20"/>
                <w:szCs w:val="20"/>
                <w:color w:val="auto"/>
              </w:rPr>
            </w:pPr>
            <w:r>
              <w:rPr>
                <w:rFonts w:ascii="Arial" w:cs="Arial" w:eastAsia="Arial" w:hAnsi="Arial"/>
                <w:sz w:val="14"/>
                <w:szCs w:val="14"/>
                <w:color w:val="auto"/>
              </w:rPr>
              <w:t>Current Assets</w:t>
            </w:r>
          </w:p>
        </w:tc>
        <w:tc>
          <w:tcPr>
            <w:tcW w:w="1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620" w:type="dxa"/>
            <w:vAlign w:val="bottom"/>
            <w:shd w:val="clear" w:color="auto" w:fill="CFF0FC"/>
          </w:tcPr>
          <w:p>
            <w:pPr>
              <w:ind w:left="200"/>
              <w:spacing w:after="0"/>
              <w:rPr>
                <w:sz w:val="20"/>
                <w:szCs w:val="20"/>
                <w:color w:val="auto"/>
              </w:rPr>
            </w:pPr>
            <w:r>
              <w:rPr>
                <w:rFonts w:ascii="Arial" w:cs="Arial" w:eastAsia="Arial" w:hAnsi="Arial"/>
                <w:sz w:val="14"/>
                <w:szCs w:val="14"/>
                <w:color w:val="auto"/>
              </w:rPr>
              <w:t>Cash and cash equivalents</w:t>
            </w:r>
          </w:p>
        </w:tc>
        <w:tc>
          <w:tcPr>
            <w:tcW w:w="1140" w:type="dxa"/>
            <w:vAlign w:val="bottom"/>
            <w:shd w:val="clear" w:color="auto" w:fill="CFF0FC"/>
          </w:tcPr>
          <w:p>
            <w:pPr>
              <w:jc w:val="right"/>
              <w:ind w:right="992"/>
              <w:spacing w:after="0"/>
              <w:rPr>
                <w:sz w:val="20"/>
                <w:szCs w:val="20"/>
                <w:color w:val="auto"/>
              </w:rPr>
            </w:pPr>
            <w:r>
              <w:rPr>
                <w:rFonts w:ascii="Arial" w:cs="Arial" w:eastAsia="Arial" w:hAnsi="Arial"/>
                <w:sz w:val="14"/>
                <w:szCs w:val="14"/>
                <w:b w:val="1"/>
                <w:bCs w:val="1"/>
                <w:color w:val="auto"/>
                <w:w w:val="76"/>
              </w:rPr>
              <w:t>$</w:t>
            </w:r>
          </w:p>
        </w:tc>
        <w:tc>
          <w:tcPr>
            <w:tcW w:w="580" w:type="dxa"/>
            <w:vAlign w:val="bottom"/>
            <w:shd w:val="clear" w:color="auto" w:fill="CFF0FC"/>
          </w:tcPr>
          <w:p>
            <w:pPr>
              <w:jc w:val="right"/>
              <w:ind w:right="50"/>
              <w:spacing w:after="0"/>
              <w:rPr>
                <w:sz w:val="20"/>
                <w:szCs w:val="20"/>
                <w:color w:val="auto"/>
              </w:rPr>
            </w:pPr>
            <w:r>
              <w:rPr>
                <w:rFonts w:ascii="Arial" w:cs="Arial" w:eastAsia="Arial" w:hAnsi="Arial"/>
                <w:sz w:val="14"/>
                <w:szCs w:val="14"/>
                <w:b w:val="1"/>
                <w:bCs w:val="1"/>
                <w:color w:val="auto"/>
              </w:rPr>
              <w:t>114</w:t>
            </w:r>
          </w:p>
        </w:tc>
        <w:tc>
          <w:tcPr>
            <w:tcW w:w="180" w:type="dxa"/>
            <w:vAlign w:val="bottom"/>
            <w:shd w:val="clear" w:color="auto" w:fill="CFF0FC"/>
          </w:tcPr>
          <w:p>
            <w:pPr>
              <w:spacing w:after="0"/>
              <w:rPr>
                <w:sz w:val="15"/>
                <w:szCs w:val="15"/>
                <w:color w:val="auto"/>
              </w:rPr>
            </w:pPr>
          </w:p>
        </w:tc>
        <w:tc>
          <w:tcPr>
            <w:tcW w:w="240" w:type="dxa"/>
            <w:vAlign w:val="bottom"/>
            <w:shd w:val="clear" w:color="auto" w:fill="CFF0FC"/>
          </w:tcPr>
          <w:p>
            <w:pPr>
              <w:jc w:val="right"/>
              <w:ind w:right="90"/>
              <w:spacing w:after="0"/>
              <w:rPr>
                <w:sz w:val="20"/>
                <w:szCs w:val="20"/>
                <w:color w:val="auto"/>
              </w:rPr>
            </w:pPr>
            <w:r>
              <w:rPr>
                <w:rFonts w:ascii="Arial" w:cs="Arial" w:eastAsia="Arial" w:hAnsi="Arial"/>
                <w:sz w:val="14"/>
                <w:szCs w:val="14"/>
                <w:color w:val="auto"/>
                <w:w w:val="76"/>
              </w:rPr>
              <w:t>$</w:t>
            </w:r>
          </w:p>
        </w:tc>
        <w:tc>
          <w:tcPr>
            <w:tcW w:w="1500" w:type="dxa"/>
            <w:vAlign w:val="bottom"/>
            <w:shd w:val="clear" w:color="auto" w:fill="CFF0FC"/>
          </w:tcPr>
          <w:p>
            <w:pPr>
              <w:jc w:val="right"/>
              <w:ind w:right="50"/>
              <w:spacing w:after="0"/>
              <w:rPr>
                <w:sz w:val="20"/>
                <w:szCs w:val="20"/>
                <w:color w:val="auto"/>
              </w:rPr>
            </w:pPr>
            <w:r>
              <w:rPr>
                <w:rFonts w:ascii="Arial" w:cs="Arial" w:eastAsia="Arial" w:hAnsi="Arial"/>
                <w:sz w:val="14"/>
                <w:szCs w:val="14"/>
                <w:color w:val="auto"/>
              </w:rPr>
              <w:t>192</w:t>
            </w:r>
          </w:p>
        </w:tc>
        <w:tc>
          <w:tcPr>
            <w:tcW w:w="0" w:type="dxa"/>
            <w:vAlign w:val="bottom"/>
          </w:tcPr>
          <w:p>
            <w:pPr>
              <w:spacing w:after="0"/>
              <w:rPr>
                <w:sz w:val="1"/>
                <w:szCs w:val="1"/>
                <w:color w:val="auto"/>
              </w:rPr>
            </w:pPr>
          </w:p>
        </w:tc>
      </w:tr>
      <w:tr>
        <w:trPr>
          <w:trHeight w:val="176"/>
        </w:trPr>
        <w:tc>
          <w:tcPr>
            <w:tcW w:w="7620" w:type="dxa"/>
            <w:vAlign w:val="bottom"/>
          </w:tcPr>
          <w:p>
            <w:pPr>
              <w:ind w:left="200"/>
              <w:spacing w:after="0"/>
              <w:rPr>
                <w:sz w:val="20"/>
                <w:szCs w:val="20"/>
                <w:color w:val="auto"/>
              </w:rPr>
            </w:pPr>
            <w:r>
              <w:rPr>
                <w:rFonts w:ascii="Arial" w:cs="Arial" w:eastAsia="Arial" w:hAnsi="Arial"/>
                <w:sz w:val="14"/>
                <w:szCs w:val="14"/>
                <w:color w:val="auto"/>
              </w:rPr>
              <w:t>Accounts receivable – net of allowances for doubtful accounts of $1</w:t>
            </w:r>
          </w:p>
        </w:tc>
        <w:tc>
          <w:tcPr>
            <w:tcW w:w="1140" w:type="dxa"/>
            <w:vAlign w:val="bottom"/>
          </w:tcPr>
          <w:p>
            <w:pPr>
              <w:spacing w:after="0"/>
              <w:rPr>
                <w:sz w:val="15"/>
                <w:szCs w:val="15"/>
                <w:color w:val="auto"/>
              </w:rPr>
            </w:pPr>
          </w:p>
        </w:tc>
        <w:tc>
          <w:tcPr>
            <w:tcW w:w="580" w:type="dxa"/>
            <w:vAlign w:val="bottom"/>
          </w:tcPr>
          <w:p>
            <w:pPr>
              <w:jc w:val="right"/>
              <w:ind w:right="50"/>
              <w:spacing w:after="0"/>
              <w:rPr>
                <w:sz w:val="20"/>
                <w:szCs w:val="20"/>
                <w:color w:val="auto"/>
              </w:rPr>
            </w:pPr>
            <w:r>
              <w:rPr>
                <w:rFonts w:ascii="Arial" w:cs="Arial" w:eastAsia="Arial" w:hAnsi="Arial"/>
                <w:sz w:val="14"/>
                <w:szCs w:val="14"/>
                <w:b w:val="1"/>
                <w:bCs w:val="1"/>
                <w:color w:val="auto"/>
              </w:rPr>
              <w:t>303</w:t>
            </w: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00" w:type="dxa"/>
            <w:vAlign w:val="bottom"/>
          </w:tcPr>
          <w:p>
            <w:pPr>
              <w:jc w:val="right"/>
              <w:ind w:right="50"/>
              <w:spacing w:after="0"/>
              <w:rPr>
                <w:sz w:val="20"/>
                <w:szCs w:val="20"/>
                <w:color w:val="auto"/>
              </w:rPr>
            </w:pPr>
            <w:r>
              <w:rPr>
                <w:rFonts w:ascii="Arial" w:cs="Arial" w:eastAsia="Arial" w:hAnsi="Arial"/>
                <w:sz w:val="14"/>
                <w:szCs w:val="14"/>
                <w:color w:val="auto"/>
              </w:rPr>
              <w:t>253</w:t>
            </w:r>
          </w:p>
        </w:tc>
        <w:tc>
          <w:tcPr>
            <w:tcW w:w="0" w:type="dxa"/>
            <w:vAlign w:val="bottom"/>
          </w:tcPr>
          <w:p>
            <w:pPr>
              <w:spacing w:after="0"/>
              <w:rPr>
                <w:sz w:val="1"/>
                <w:szCs w:val="1"/>
                <w:color w:val="auto"/>
              </w:rPr>
            </w:pPr>
          </w:p>
        </w:tc>
      </w:tr>
      <w:tr>
        <w:trPr>
          <w:trHeight w:val="176"/>
        </w:trPr>
        <w:tc>
          <w:tcPr>
            <w:tcW w:w="7620" w:type="dxa"/>
            <w:vAlign w:val="bottom"/>
            <w:shd w:val="clear" w:color="auto" w:fill="CFF0FC"/>
          </w:tcPr>
          <w:p>
            <w:pPr>
              <w:ind w:left="200"/>
              <w:spacing w:after="0"/>
              <w:rPr>
                <w:sz w:val="20"/>
                <w:szCs w:val="20"/>
                <w:color w:val="auto"/>
              </w:rPr>
            </w:pPr>
            <w:r>
              <w:rPr>
                <w:rFonts w:ascii="Arial" w:cs="Arial" w:eastAsia="Arial" w:hAnsi="Arial"/>
                <w:sz w:val="14"/>
                <w:szCs w:val="14"/>
                <w:color w:val="auto"/>
              </w:rPr>
              <w:t>Inventories</w:t>
            </w:r>
          </w:p>
        </w:tc>
        <w:tc>
          <w:tcPr>
            <w:tcW w:w="1140" w:type="dxa"/>
            <w:vAlign w:val="bottom"/>
            <w:shd w:val="clear" w:color="auto" w:fill="CFF0FC"/>
          </w:tcPr>
          <w:p>
            <w:pPr>
              <w:spacing w:after="0"/>
              <w:rPr>
                <w:sz w:val="15"/>
                <w:szCs w:val="15"/>
                <w:color w:val="auto"/>
              </w:rPr>
            </w:pPr>
          </w:p>
        </w:tc>
        <w:tc>
          <w:tcPr>
            <w:tcW w:w="580" w:type="dxa"/>
            <w:vAlign w:val="bottom"/>
            <w:shd w:val="clear" w:color="auto" w:fill="CFF0FC"/>
          </w:tcPr>
          <w:p>
            <w:pPr>
              <w:jc w:val="right"/>
              <w:ind w:right="50"/>
              <w:spacing w:after="0"/>
              <w:rPr>
                <w:sz w:val="20"/>
                <w:szCs w:val="20"/>
                <w:color w:val="auto"/>
              </w:rPr>
            </w:pPr>
            <w:r>
              <w:rPr>
                <w:rFonts w:ascii="Arial" w:cs="Arial" w:eastAsia="Arial" w:hAnsi="Arial"/>
                <w:sz w:val="14"/>
                <w:szCs w:val="14"/>
                <w:b w:val="1"/>
                <w:bCs w:val="1"/>
                <w:color w:val="auto"/>
              </w:rPr>
              <w:t>207</w:t>
            </w:r>
          </w:p>
        </w:tc>
        <w:tc>
          <w:tcPr>
            <w:tcW w:w="1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500" w:type="dxa"/>
            <w:vAlign w:val="bottom"/>
            <w:shd w:val="clear" w:color="auto" w:fill="CFF0FC"/>
          </w:tcPr>
          <w:p>
            <w:pPr>
              <w:jc w:val="right"/>
              <w:ind w:right="50"/>
              <w:spacing w:after="0"/>
              <w:rPr>
                <w:sz w:val="20"/>
                <w:szCs w:val="20"/>
                <w:color w:val="auto"/>
              </w:rPr>
            </w:pPr>
            <w:r>
              <w:rPr>
                <w:rFonts w:ascii="Arial" w:cs="Arial" w:eastAsia="Arial" w:hAnsi="Arial"/>
                <w:sz w:val="14"/>
                <w:szCs w:val="14"/>
                <w:color w:val="auto"/>
              </w:rPr>
              <w:t>199</w:t>
            </w:r>
          </w:p>
        </w:tc>
        <w:tc>
          <w:tcPr>
            <w:tcW w:w="0" w:type="dxa"/>
            <w:vAlign w:val="bottom"/>
          </w:tcPr>
          <w:p>
            <w:pPr>
              <w:spacing w:after="0"/>
              <w:rPr>
                <w:sz w:val="1"/>
                <w:szCs w:val="1"/>
                <w:color w:val="auto"/>
              </w:rPr>
            </w:pPr>
          </w:p>
        </w:tc>
      </w:tr>
      <w:tr>
        <w:trPr>
          <w:trHeight w:val="176"/>
        </w:trPr>
        <w:tc>
          <w:tcPr>
            <w:tcW w:w="7620" w:type="dxa"/>
            <w:vAlign w:val="bottom"/>
            <w:tcBorders>
              <w:bottom w:val="single" w:sz="8" w:color="CFF0FC"/>
            </w:tcBorders>
          </w:tcPr>
          <w:p>
            <w:pPr>
              <w:ind w:left="200"/>
              <w:spacing w:after="0"/>
              <w:rPr>
                <w:sz w:val="20"/>
                <w:szCs w:val="20"/>
                <w:color w:val="auto"/>
              </w:rPr>
            </w:pPr>
            <w:r>
              <w:rPr>
                <w:rFonts w:ascii="Arial" w:cs="Arial" w:eastAsia="Arial" w:hAnsi="Arial"/>
                <w:sz w:val="14"/>
                <w:szCs w:val="14"/>
                <w:color w:val="auto"/>
              </w:rPr>
              <w:t>Other current assets</w:t>
            </w:r>
          </w:p>
        </w:tc>
        <w:tc>
          <w:tcPr>
            <w:tcW w:w="11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b w:val="1"/>
                <w:bCs w:val="1"/>
                <w:color w:val="auto"/>
              </w:rPr>
              <w:t>42</w:t>
            </w:r>
          </w:p>
        </w:tc>
        <w:tc>
          <w:tcPr>
            <w:tcW w:w="180" w:type="dxa"/>
            <w:vAlign w:val="bottom"/>
            <w:tcBorders>
              <w:bottom w:val="single" w:sz="8" w:color="CFF0FC"/>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42</w:t>
            </w:r>
          </w:p>
        </w:tc>
        <w:tc>
          <w:tcPr>
            <w:tcW w:w="0" w:type="dxa"/>
            <w:vAlign w:val="bottom"/>
          </w:tcPr>
          <w:p>
            <w:pPr>
              <w:spacing w:after="0"/>
              <w:rPr>
                <w:sz w:val="1"/>
                <w:szCs w:val="1"/>
                <w:color w:val="auto"/>
              </w:rPr>
            </w:pPr>
          </w:p>
        </w:tc>
      </w:tr>
      <w:tr>
        <w:trPr>
          <w:trHeight w:val="168"/>
        </w:trPr>
        <w:tc>
          <w:tcPr>
            <w:tcW w:w="7620" w:type="dxa"/>
            <w:vAlign w:val="bottom"/>
            <w:shd w:val="clear" w:color="auto" w:fill="CFF0FC"/>
          </w:tcPr>
          <w:p>
            <w:pPr>
              <w:spacing w:after="0"/>
              <w:rPr>
                <w:sz w:val="20"/>
                <w:szCs w:val="20"/>
                <w:color w:val="auto"/>
              </w:rPr>
            </w:pPr>
            <w:r>
              <w:rPr>
                <w:rFonts w:ascii="Arial" w:cs="Arial" w:eastAsia="Arial" w:hAnsi="Arial"/>
                <w:sz w:val="14"/>
                <w:szCs w:val="14"/>
                <w:color w:val="auto"/>
              </w:rPr>
              <w:t>Total Current Assets</w:t>
            </w:r>
          </w:p>
        </w:tc>
        <w:tc>
          <w:tcPr>
            <w:tcW w:w="1140" w:type="dxa"/>
            <w:vAlign w:val="bottom"/>
            <w:shd w:val="clear" w:color="auto" w:fill="CFF0FC"/>
          </w:tcPr>
          <w:p>
            <w:pPr>
              <w:spacing w:after="0"/>
              <w:rPr>
                <w:sz w:val="14"/>
                <w:szCs w:val="14"/>
                <w:color w:val="auto"/>
              </w:rPr>
            </w:pPr>
          </w:p>
        </w:tc>
        <w:tc>
          <w:tcPr>
            <w:tcW w:w="580" w:type="dxa"/>
            <w:vAlign w:val="bottom"/>
            <w:shd w:val="clear" w:color="auto" w:fill="CFF0FC"/>
          </w:tcPr>
          <w:p>
            <w:pPr>
              <w:jc w:val="right"/>
              <w:ind w:right="50"/>
              <w:spacing w:after="0"/>
              <w:rPr>
                <w:sz w:val="20"/>
                <w:szCs w:val="20"/>
                <w:color w:val="auto"/>
              </w:rPr>
            </w:pPr>
            <w:r>
              <w:rPr>
                <w:rFonts w:ascii="Arial" w:cs="Arial" w:eastAsia="Arial" w:hAnsi="Arial"/>
                <w:sz w:val="14"/>
                <w:szCs w:val="14"/>
                <w:b w:val="1"/>
                <w:bCs w:val="1"/>
                <w:color w:val="auto"/>
              </w:rPr>
              <w:t>666</w:t>
            </w:r>
          </w:p>
        </w:tc>
        <w:tc>
          <w:tcPr>
            <w:tcW w:w="1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500" w:type="dxa"/>
            <w:vAlign w:val="bottom"/>
            <w:shd w:val="clear" w:color="auto" w:fill="CFF0FC"/>
          </w:tcPr>
          <w:p>
            <w:pPr>
              <w:jc w:val="right"/>
              <w:ind w:right="50"/>
              <w:spacing w:after="0"/>
              <w:rPr>
                <w:sz w:val="20"/>
                <w:szCs w:val="20"/>
                <w:color w:val="auto"/>
              </w:rPr>
            </w:pPr>
            <w:r>
              <w:rPr>
                <w:rFonts w:ascii="Arial" w:cs="Arial" w:eastAsia="Arial" w:hAnsi="Arial"/>
                <w:sz w:val="14"/>
                <w:szCs w:val="14"/>
                <w:color w:val="auto"/>
              </w:rPr>
              <w:t>686</w:t>
            </w:r>
          </w:p>
        </w:tc>
        <w:tc>
          <w:tcPr>
            <w:tcW w:w="0" w:type="dxa"/>
            <w:vAlign w:val="bottom"/>
          </w:tcPr>
          <w:p>
            <w:pPr>
              <w:spacing w:after="0"/>
              <w:rPr>
                <w:sz w:val="1"/>
                <w:szCs w:val="1"/>
                <w:color w:val="auto"/>
              </w:rPr>
            </w:pPr>
          </w:p>
        </w:tc>
      </w:tr>
      <w:tr>
        <w:trPr>
          <w:trHeight w:val="176"/>
        </w:trPr>
        <w:tc>
          <w:tcPr>
            <w:tcW w:w="7620" w:type="dxa"/>
            <w:vAlign w:val="bottom"/>
          </w:tcPr>
          <w:p>
            <w:pPr>
              <w:spacing w:after="0"/>
              <w:rPr>
                <w:sz w:val="20"/>
                <w:szCs w:val="20"/>
                <w:color w:val="auto"/>
              </w:rPr>
            </w:pPr>
            <w:r>
              <w:rPr>
                <w:rFonts w:ascii="Arial" w:cs="Arial" w:eastAsia="Arial" w:hAnsi="Arial"/>
                <w:sz w:val="14"/>
                <w:szCs w:val="14"/>
                <w:color w:val="auto"/>
              </w:rPr>
              <w:t>Property, plant and equipment, net</w:t>
            </w:r>
          </w:p>
        </w:tc>
        <w:tc>
          <w:tcPr>
            <w:tcW w:w="1140" w:type="dxa"/>
            <w:vAlign w:val="bottom"/>
          </w:tcPr>
          <w:p>
            <w:pPr>
              <w:spacing w:after="0"/>
              <w:rPr>
                <w:sz w:val="15"/>
                <w:szCs w:val="15"/>
                <w:color w:val="auto"/>
              </w:rPr>
            </w:pPr>
          </w:p>
        </w:tc>
        <w:tc>
          <w:tcPr>
            <w:tcW w:w="580" w:type="dxa"/>
            <w:vAlign w:val="bottom"/>
          </w:tcPr>
          <w:p>
            <w:pPr>
              <w:jc w:val="right"/>
              <w:ind w:right="50"/>
              <w:spacing w:after="0"/>
              <w:rPr>
                <w:sz w:val="20"/>
                <w:szCs w:val="20"/>
                <w:color w:val="auto"/>
              </w:rPr>
            </w:pPr>
            <w:r>
              <w:rPr>
                <w:rFonts w:ascii="Arial" w:cs="Arial" w:eastAsia="Arial" w:hAnsi="Arial"/>
                <w:sz w:val="14"/>
                <w:szCs w:val="14"/>
                <w:b w:val="1"/>
                <w:bCs w:val="1"/>
                <w:color w:val="auto"/>
              </w:rPr>
              <w:t>627</w:t>
            </w: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00" w:type="dxa"/>
            <w:vAlign w:val="bottom"/>
          </w:tcPr>
          <w:p>
            <w:pPr>
              <w:jc w:val="right"/>
              <w:ind w:right="50"/>
              <w:spacing w:after="0"/>
              <w:rPr>
                <w:sz w:val="20"/>
                <w:szCs w:val="20"/>
                <w:color w:val="auto"/>
              </w:rPr>
            </w:pPr>
            <w:r>
              <w:rPr>
                <w:rFonts w:ascii="Arial" w:cs="Arial" w:eastAsia="Arial" w:hAnsi="Arial"/>
                <w:sz w:val="14"/>
                <w:szCs w:val="14"/>
                <w:color w:val="auto"/>
              </w:rPr>
              <w:t>616</w:t>
            </w:r>
          </w:p>
        </w:tc>
        <w:tc>
          <w:tcPr>
            <w:tcW w:w="0" w:type="dxa"/>
            <w:vAlign w:val="bottom"/>
          </w:tcPr>
          <w:p>
            <w:pPr>
              <w:spacing w:after="0"/>
              <w:rPr>
                <w:sz w:val="1"/>
                <w:szCs w:val="1"/>
                <w:color w:val="auto"/>
              </w:rPr>
            </w:pPr>
          </w:p>
        </w:tc>
      </w:tr>
      <w:tr>
        <w:trPr>
          <w:trHeight w:val="176"/>
        </w:trPr>
        <w:tc>
          <w:tcPr>
            <w:tcW w:w="7620" w:type="dxa"/>
            <w:vAlign w:val="bottom"/>
            <w:shd w:val="clear" w:color="auto" w:fill="CFF0FC"/>
          </w:tcPr>
          <w:p>
            <w:pPr>
              <w:spacing w:after="0"/>
              <w:rPr>
                <w:sz w:val="20"/>
                <w:szCs w:val="20"/>
                <w:color w:val="auto"/>
              </w:rPr>
            </w:pPr>
            <w:r>
              <w:rPr>
                <w:rFonts w:ascii="Arial" w:cs="Arial" w:eastAsia="Arial" w:hAnsi="Arial"/>
                <w:sz w:val="14"/>
                <w:szCs w:val="14"/>
                <w:color w:val="auto"/>
              </w:rPr>
              <w:t>Intangible assets, net</w:t>
            </w:r>
          </w:p>
        </w:tc>
        <w:tc>
          <w:tcPr>
            <w:tcW w:w="1140" w:type="dxa"/>
            <w:vAlign w:val="bottom"/>
            <w:shd w:val="clear" w:color="auto" w:fill="CFF0FC"/>
          </w:tcPr>
          <w:p>
            <w:pPr>
              <w:spacing w:after="0"/>
              <w:rPr>
                <w:sz w:val="15"/>
                <w:szCs w:val="15"/>
                <w:color w:val="auto"/>
              </w:rPr>
            </w:pPr>
          </w:p>
        </w:tc>
        <w:tc>
          <w:tcPr>
            <w:tcW w:w="580" w:type="dxa"/>
            <w:vAlign w:val="bottom"/>
            <w:shd w:val="clear" w:color="auto" w:fill="CFF0FC"/>
          </w:tcPr>
          <w:p>
            <w:pPr>
              <w:jc w:val="right"/>
              <w:ind w:right="50"/>
              <w:spacing w:after="0"/>
              <w:rPr>
                <w:sz w:val="20"/>
                <w:szCs w:val="20"/>
                <w:color w:val="auto"/>
              </w:rPr>
            </w:pPr>
            <w:r>
              <w:rPr>
                <w:rFonts w:ascii="Arial" w:cs="Arial" w:eastAsia="Arial" w:hAnsi="Arial"/>
                <w:sz w:val="14"/>
                <w:szCs w:val="14"/>
                <w:b w:val="1"/>
                <w:bCs w:val="1"/>
                <w:color w:val="auto"/>
              </w:rPr>
              <w:t>1,026</w:t>
            </w:r>
          </w:p>
        </w:tc>
        <w:tc>
          <w:tcPr>
            <w:tcW w:w="1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500" w:type="dxa"/>
            <w:vAlign w:val="bottom"/>
            <w:shd w:val="clear" w:color="auto" w:fill="CFF0FC"/>
          </w:tcPr>
          <w:p>
            <w:pPr>
              <w:jc w:val="right"/>
              <w:ind w:right="50"/>
              <w:spacing w:after="0"/>
              <w:rPr>
                <w:sz w:val="20"/>
                <w:szCs w:val="20"/>
                <w:color w:val="auto"/>
              </w:rPr>
            </w:pPr>
            <w:r>
              <w:rPr>
                <w:rFonts w:ascii="Arial" w:cs="Arial" w:eastAsia="Arial" w:hAnsi="Arial"/>
                <w:sz w:val="14"/>
                <w:szCs w:val="14"/>
                <w:color w:val="auto"/>
              </w:rPr>
              <w:t>1,042</w:t>
            </w:r>
          </w:p>
        </w:tc>
        <w:tc>
          <w:tcPr>
            <w:tcW w:w="0" w:type="dxa"/>
            <w:vAlign w:val="bottom"/>
          </w:tcPr>
          <w:p>
            <w:pPr>
              <w:spacing w:after="0"/>
              <w:rPr>
                <w:sz w:val="1"/>
                <w:szCs w:val="1"/>
                <w:color w:val="auto"/>
              </w:rPr>
            </w:pPr>
          </w:p>
        </w:tc>
      </w:tr>
      <w:tr>
        <w:trPr>
          <w:trHeight w:val="176"/>
        </w:trPr>
        <w:tc>
          <w:tcPr>
            <w:tcW w:w="7620" w:type="dxa"/>
            <w:vAlign w:val="bottom"/>
          </w:tcPr>
          <w:p>
            <w:pPr>
              <w:spacing w:after="0"/>
              <w:rPr>
                <w:sz w:val="20"/>
                <w:szCs w:val="20"/>
                <w:color w:val="auto"/>
              </w:rPr>
            </w:pPr>
            <w:r>
              <w:rPr>
                <w:rFonts w:ascii="Arial" w:cs="Arial" w:eastAsia="Arial" w:hAnsi="Arial"/>
                <w:sz w:val="14"/>
                <w:szCs w:val="14"/>
                <w:color w:val="auto"/>
              </w:rPr>
              <w:t>Goodwill</w:t>
            </w:r>
          </w:p>
        </w:tc>
        <w:tc>
          <w:tcPr>
            <w:tcW w:w="1140" w:type="dxa"/>
            <w:vAlign w:val="bottom"/>
          </w:tcPr>
          <w:p>
            <w:pPr>
              <w:spacing w:after="0"/>
              <w:rPr>
                <w:sz w:val="15"/>
                <w:szCs w:val="15"/>
                <w:color w:val="auto"/>
              </w:rPr>
            </w:pPr>
          </w:p>
        </w:tc>
        <w:tc>
          <w:tcPr>
            <w:tcW w:w="580" w:type="dxa"/>
            <w:vAlign w:val="bottom"/>
          </w:tcPr>
          <w:p>
            <w:pPr>
              <w:jc w:val="right"/>
              <w:ind w:right="50"/>
              <w:spacing w:after="0"/>
              <w:rPr>
                <w:sz w:val="20"/>
                <w:szCs w:val="20"/>
                <w:color w:val="auto"/>
              </w:rPr>
            </w:pPr>
            <w:r>
              <w:rPr>
                <w:rFonts w:ascii="Arial" w:cs="Arial" w:eastAsia="Arial" w:hAnsi="Arial"/>
                <w:sz w:val="14"/>
                <w:szCs w:val="14"/>
                <w:b w:val="1"/>
                <w:bCs w:val="1"/>
                <w:color w:val="auto"/>
              </w:rPr>
              <w:t>2,041</w:t>
            </w: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00" w:type="dxa"/>
            <w:vAlign w:val="bottom"/>
          </w:tcPr>
          <w:p>
            <w:pPr>
              <w:jc w:val="right"/>
              <w:ind w:right="50"/>
              <w:spacing w:after="0"/>
              <w:rPr>
                <w:sz w:val="20"/>
                <w:szCs w:val="20"/>
                <w:color w:val="auto"/>
              </w:rPr>
            </w:pPr>
            <w:r>
              <w:rPr>
                <w:rFonts w:ascii="Arial" w:cs="Arial" w:eastAsia="Arial" w:hAnsi="Arial"/>
                <w:sz w:val="14"/>
                <w:szCs w:val="14"/>
                <w:color w:val="auto"/>
              </w:rPr>
              <w:t>2,041</w:t>
            </w:r>
          </w:p>
        </w:tc>
        <w:tc>
          <w:tcPr>
            <w:tcW w:w="0" w:type="dxa"/>
            <w:vAlign w:val="bottom"/>
          </w:tcPr>
          <w:p>
            <w:pPr>
              <w:spacing w:after="0"/>
              <w:rPr>
                <w:sz w:val="1"/>
                <w:szCs w:val="1"/>
                <w:color w:val="auto"/>
              </w:rPr>
            </w:pPr>
          </w:p>
        </w:tc>
      </w:tr>
      <w:tr>
        <w:trPr>
          <w:trHeight w:val="176"/>
        </w:trPr>
        <w:tc>
          <w:tcPr>
            <w:tcW w:w="7620" w:type="dxa"/>
            <w:vAlign w:val="bottom"/>
            <w:shd w:val="clear" w:color="auto" w:fill="CFF0FC"/>
          </w:tcPr>
          <w:p>
            <w:pPr>
              <w:spacing w:after="0"/>
              <w:rPr>
                <w:sz w:val="20"/>
                <w:szCs w:val="20"/>
                <w:color w:val="auto"/>
              </w:rPr>
            </w:pPr>
            <w:r>
              <w:rPr>
                <w:rFonts w:ascii="Arial" w:cs="Arial" w:eastAsia="Arial" w:hAnsi="Arial"/>
                <w:sz w:val="14"/>
                <w:szCs w:val="14"/>
                <w:color w:val="auto"/>
              </w:rPr>
              <w:t>Other non-current assets</w:t>
            </w:r>
          </w:p>
        </w:tc>
        <w:tc>
          <w:tcPr>
            <w:tcW w:w="1140" w:type="dxa"/>
            <w:vAlign w:val="bottom"/>
            <w:tcBorders>
              <w:bottom w:val="single" w:sz="8" w:color="auto"/>
            </w:tcBorders>
            <w:shd w:val="clear" w:color="auto" w:fill="CFF0FC"/>
          </w:tcPr>
          <w:p>
            <w:pPr>
              <w:spacing w:after="0"/>
              <w:rPr>
                <w:sz w:val="15"/>
                <w:szCs w:val="15"/>
                <w:color w:val="auto"/>
              </w:rPr>
            </w:pPr>
          </w:p>
        </w:tc>
        <w:tc>
          <w:tcPr>
            <w:tcW w:w="58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4"/>
                <w:szCs w:val="14"/>
                <w:b w:val="1"/>
                <w:bCs w:val="1"/>
                <w:color w:val="auto"/>
              </w:rPr>
              <w:t>64</w:t>
            </w:r>
          </w:p>
        </w:tc>
        <w:tc>
          <w:tcPr>
            <w:tcW w:w="180" w:type="dxa"/>
            <w:vAlign w:val="bottom"/>
            <w:shd w:val="clear" w:color="auto" w:fill="CFF0FC"/>
          </w:tcPr>
          <w:p>
            <w:pPr>
              <w:spacing w:after="0"/>
              <w:rPr>
                <w:sz w:val="15"/>
                <w:szCs w:val="15"/>
                <w:color w:val="auto"/>
              </w:rPr>
            </w:pPr>
          </w:p>
        </w:tc>
        <w:tc>
          <w:tcPr>
            <w:tcW w:w="240" w:type="dxa"/>
            <w:vAlign w:val="bottom"/>
            <w:tcBorders>
              <w:bottom w:val="single" w:sz="8" w:color="auto"/>
            </w:tcBorders>
            <w:shd w:val="clear" w:color="auto" w:fill="CFF0FC"/>
          </w:tcPr>
          <w:p>
            <w:pPr>
              <w:spacing w:after="0"/>
              <w:rPr>
                <w:sz w:val="15"/>
                <w:szCs w:val="15"/>
                <w:color w:val="auto"/>
              </w:rPr>
            </w:pPr>
          </w:p>
        </w:tc>
        <w:tc>
          <w:tcPr>
            <w:tcW w:w="150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4"/>
                <w:szCs w:val="14"/>
                <w:color w:val="auto"/>
              </w:rPr>
              <w:t>65</w:t>
            </w:r>
          </w:p>
        </w:tc>
        <w:tc>
          <w:tcPr>
            <w:tcW w:w="0" w:type="dxa"/>
            <w:vAlign w:val="bottom"/>
          </w:tcPr>
          <w:p>
            <w:pPr>
              <w:spacing w:after="0"/>
              <w:rPr>
                <w:sz w:val="1"/>
                <w:szCs w:val="1"/>
                <w:color w:val="auto"/>
              </w:rPr>
            </w:pPr>
          </w:p>
        </w:tc>
      </w:tr>
      <w:tr>
        <w:trPr>
          <w:trHeight w:val="208"/>
        </w:trPr>
        <w:tc>
          <w:tcPr>
            <w:tcW w:w="7620" w:type="dxa"/>
            <w:vAlign w:val="bottom"/>
            <w:tcBorders>
              <w:bottom w:val="single" w:sz="8" w:color="CFF0FC"/>
            </w:tcBorders>
          </w:tcPr>
          <w:p>
            <w:pPr>
              <w:spacing w:after="0"/>
              <w:rPr>
                <w:sz w:val="20"/>
                <w:szCs w:val="20"/>
                <w:color w:val="auto"/>
              </w:rPr>
            </w:pPr>
            <w:r>
              <w:rPr>
                <w:rFonts w:ascii="Arial" w:cs="Arial" w:eastAsia="Arial" w:hAnsi="Arial"/>
                <w:sz w:val="14"/>
                <w:szCs w:val="14"/>
                <w:color w:val="auto"/>
              </w:rPr>
              <w:t>TOTAL ASSETS</w:t>
            </w:r>
          </w:p>
        </w:tc>
        <w:tc>
          <w:tcPr>
            <w:tcW w:w="1140" w:type="dxa"/>
            <w:vAlign w:val="bottom"/>
            <w:tcBorders>
              <w:bottom w:val="single" w:sz="8" w:color="auto"/>
            </w:tcBorders>
          </w:tcPr>
          <w:p>
            <w:pPr>
              <w:jc w:val="right"/>
              <w:ind w:right="992"/>
              <w:spacing w:after="0"/>
              <w:rPr>
                <w:sz w:val="20"/>
                <w:szCs w:val="20"/>
                <w:color w:val="auto"/>
              </w:rPr>
            </w:pPr>
            <w:r>
              <w:rPr>
                <w:rFonts w:ascii="Arial" w:cs="Arial" w:eastAsia="Arial" w:hAnsi="Arial"/>
                <w:sz w:val="14"/>
                <w:szCs w:val="14"/>
                <w:b w:val="1"/>
                <w:bCs w:val="1"/>
                <w:color w:val="auto"/>
                <w:w w:val="76"/>
              </w:rPr>
              <w:t>$</w:t>
            </w:r>
          </w:p>
        </w:tc>
        <w:tc>
          <w:tcPr>
            <w:tcW w:w="58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b w:val="1"/>
                <w:bCs w:val="1"/>
                <w:color w:val="auto"/>
              </w:rPr>
              <w:t>4,424</w:t>
            </w:r>
          </w:p>
        </w:tc>
        <w:tc>
          <w:tcPr>
            <w:tcW w:w="18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jc w:val="right"/>
              <w:ind w:right="90"/>
              <w:spacing w:after="0"/>
              <w:rPr>
                <w:sz w:val="20"/>
                <w:szCs w:val="20"/>
                <w:color w:val="auto"/>
              </w:rPr>
            </w:pPr>
            <w:r>
              <w:rPr>
                <w:rFonts w:ascii="Arial" w:cs="Arial" w:eastAsia="Arial" w:hAnsi="Arial"/>
                <w:sz w:val="14"/>
                <w:szCs w:val="14"/>
                <w:color w:val="auto"/>
                <w:w w:val="76"/>
              </w:rPr>
              <w:t>$</w:t>
            </w:r>
          </w:p>
        </w:tc>
        <w:tc>
          <w:tcPr>
            <w:tcW w:w="150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4,450</w:t>
            </w:r>
          </w:p>
        </w:tc>
        <w:tc>
          <w:tcPr>
            <w:tcW w:w="0" w:type="dxa"/>
            <w:vAlign w:val="bottom"/>
          </w:tcPr>
          <w:p>
            <w:pPr>
              <w:spacing w:after="0"/>
              <w:rPr>
                <w:sz w:val="1"/>
                <w:szCs w:val="1"/>
                <w:color w:val="auto"/>
              </w:rPr>
            </w:pPr>
          </w:p>
        </w:tc>
      </w:tr>
      <w:tr>
        <w:trPr>
          <w:trHeight w:val="151"/>
        </w:trPr>
        <w:tc>
          <w:tcPr>
            <w:tcW w:w="7620" w:type="dxa"/>
            <w:vAlign w:val="bottom"/>
            <w:shd w:val="clear" w:color="auto" w:fill="CFF0FC"/>
          </w:tcPr>
          <w:p>
            <w:pPr>
              <w:spacing w:after="0" w:line="151" w:lineRule="exact"/>
              <w:rPr>
                <w:sz w:val="20"/>
                <w:szCs w:val="20"/>
                <w:color w:val="auto"/>
              </w:rPr>
            </w:pPr>
            <w:r>
              <w:rPr>
                <w:rFonts w:ascii="Arial" w:cs="Arial" w:eastAsia="Arial" w:hAnsi="Arial"/>
                <w:sz w:val="14"/>
                <w:szCs w:val="14"/>
                <w:b w:val="1"/>
                <w:bCs w:val="1"/>
                <w:color w:val="auto"/>
              </w:rPr>
              <w:t>LIABILITIES</w:t>
            </w:r>
          </w:p>
        </w:tc>
        <w:tc>
          <w:tcPr>
            <w:tcW w:w="114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5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7620" w:type="dxa"/>
            <w:vAlign w:val="bottom"/>
          </w:tcPr>
          <w:p>
            <w:pPr>
              <w:spacing w:after="0"/>
              <w:rPr>
                <w:sz w:val="20"/>
                <w:szCs w:val="20"/>
                <w:color w:val="auto"/>
              </w:rPr>
            </w:pPr>
            <w:r>
              <w:rPr>
                <w:rFonts w:ascii="Arial" w:cs="Arial" w:eastAsia="Arial" w:hAnsi="Arial"/>
                <w:sz w:val="14"/>
                <w:szCs w:val="14"/>
                <w:color w:val="auto"/>
              </w:rPr>
              <w:t>Current Liabilities</w:t>
            </w:r>
          </w:p>
        </w:tc>
        <w:tc>
          <w:tcPr>
            <w:tcW w:w="1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620" w:type="dxa"/>
            <w:vAlign w:val="bottom"/>
            <w:shd w:val="clear" w:color="auto" w:fill="CFF0FC"/>
          </w:tcPr>
          <w:p>
            <w:pPr>
              <w:ind w:left="200"/>
              <w:spacing w:after="0"/>
              <w:rPr>
                <w:sz w:val="20"/>
                <w:szCs w:val="20"/>
                <w:color w:val="auto"/>
              </w:rPr>
            </w:pPr>
            <w:r>
              <w:rPr>
                <w:rFonts w:ascii="Arial" w:cs="Arial" w:eastAsia="Arial" w:hAnsi="Arial"/>
                <w:sz w:val="14"/>
                <w:szCs w:val="14"/>
                <w:color w:val="auto"/>
              </w:rPr>
              <w:t>Accounts payable</w:t>
            </w:r>
          </w:p>
        </w:tc>
        <w:tc>
          <w:tcPr>
            <w:tcW w:w="1140" w:type="dxa"/>
            <w:vAlign w:val="bottom"/>
            <w:shd w:val="clear" w:color="auto" w:fill="CFF0FC"/>
          </w:tcPr>
          <w:p>
            <w:pPr>
              <w:jc w:val="right"/>
              <w:ind w:right="992"/>
              <w:spacing w:after="0"/>
              <w:rPr>
                <w:sz w:val="20"/>
                <w:szCs w:val="20"/>
                <w:color w:val="auto"/>
              </w:rPr>
            </w:pPr>
            <w:r>
              <w:rPr>
                <w:rFonts w:ascii="Arial" w:cs="Arial" w:eastAsia="Arial" w:hAnsi="Arial"/>
                <w:sz w:val="14"/>
                <w:szCs w:val="14"/>
                <w:b w:val="1"/>
                <w:bCs w:val="1"/>
                <w:color w:val="auto"/>
                <w:w w:val="76"/>
              </w:rPr>
              <w:t>$</w:t>
            </w:r>
          </w:p>
        </w:tc>
        <w:tc>
          <w:tcPr>
            <w:tcW w:w="580" w:type="dxa"/>
            <w:vAlign w:val="bottom"/>
            <w:shd w:val="clear" w:color="auto" w:fill="CFF0FC"/>
          </w:tcPr>
          <w:p>
            <w:pPr>
              <w:jc w:val="right"/>
              <w:ind w:right="50"/>
              <w:spacing w:after="0"/>
              <w:rPr>
                <w:sz w:val="20"/>
                <w:szCs w:val="20"/>
                <w:color w:val="auto"/>
              </w:rPr>
            </w:pPr>
            <w:r>
              <w:rPr>
                <w:rFonts w:ascii="Arial" w:cs="Arial" w:eastAsia="Arial" w:hAnsi="Arial"/>
                <w:sz w:val="14"/>
                <w:szCs w:val="14"/>
                <w:b w:val="1"/>
                <w:bCs w:val="1"/>
                <w:color w:val="auto"/>
              </w:rPr>
              <w:t>191</w:t>
            </w:r>
          </w:p>
        </w:tc>
        <w:tc>
          <w:tcPr>
            <w:tcW w:w="180" w:type="dxa"/>
            <w:vAlign w:val="bottom"/>
            <w:shd w:val="clear" w:color="auto" w:fill="CFF0FC"/>
          </w:tcPr>
          <w:p>
            <w:pPr>
              <w:spacing w:after="0"/>
              <w:rPr>
                <w:sz w:val="15"/>
                <w:szCs w:val="15"/>
                <w:color w:val="auto"/>
              </w:rPr>
            </w:pPr>
          </w:p>
        </w:tc>
        <w:tc>
          <w:tcPr>
            <w:tcW w:w="240" w:type="dxa"/>
            <w:vAlign w:val="bottom"/>
            <w:shd w:val="clear" w:color="auto" w:fill="CFF0FC"/>
          </w:tcPr>
          <w:p>
            <w:pPr>
              <w:jc w:val="right"/>
              <w:ind w:right="90"/>
              <w:spacing w:after="0"/>
              <w:rPr>
                <w:sz w:val="20"/>
                <w:szCs w:val="20"/>
                <w:color w:val="auto"/>
              </w:rPr>
            </w:pPr>
            <w:r>
              <w:rPr>
                <w:rFonts w:ascii="Arial" w:cs="Arial" w:eastAsia="Arial" w:hAnsi="Arial"/>
                <w:sz w:val="14"/>
                <w:szCs w:val="14"/>
                <w:color w:val="auto"/>
                <w:w w:val="76"/>
              </w:rPr>
              <w:t>$</w:t>
            </w:r>
          </w:p>
        </w:tc>
        <w:tc>
          <w:tcPr>
            <w:tcW w:w="1500" w:type="dxa"/>
            <w:vAlign w:val="bottom"/>
            <w:shd w:val="clear" w:color="auto" w:fill="CFF0FC"/>
          </w:tcPr>
          <w:p>
            <w:pPr>
              <w:jc w:val="right"/>
              <w:ind w:right="50"/>
              <w:spacing w:after="0"/>
              <w:rPr>
                <w:sz w:val="20"/>
                <w:szCs w:val="20"/>
                <w:color w:val="auto"/>
              </w:rPr>
            </w:pPr>
            <w:r>
              <w:rPr>
                <w:rFonts w:ascii="Arial" w:cs="Arial" w:eastAsia="Arial" w:hAnsi="Arial"/>
                <w:sz w:val="14"/>
                <w:szCs w:val="14"/>
                <w:color w:val="auto"/>
              </w:rPr>
              <w:t>150</w:t>
            </w:r>
          </w:p>
        </w:tc>
        <w:tc>
          <w:tcPr>
            <w:tcW w:w="0" w:type="dxa"/>
            <w:vAlign w:val="bottom"/>
          </w:tcPr>
          <w:p>
            <w:pPr>
              <w:spacing w:after="0"/>
              <w:rPr>
                <w:sz w:val="1"/>
                <w:szCs w:val="1"/>
                <w:color w:val="auto"/>
              </w:rPr>
            </w:pPr>
          </w:p>
        </w:tc>
      </w:tr>
      <w:tr>
        <w:trPr>
          <w:trHeight w:val="176"/>
        </w:trPr>
        <w:tc>
          <w:tcPr>
            <w:tcW w:w="7620" w:type="dxa"/>
            <w:vAlign w:val="bottom"/>
          </w:tcPr>
          <w:p>
            <w:pPr>
              <w:ind w:left="200"/>
              <w:spacing w:after="0"/>
              <w:rPr>
                <w:sz w:val="20"/>
                <w:szCs w:val="20"/>
                <w:color w:val="auto"/>
              </w:rPr>
            </w:pPr>
            <w:r>
              <w:rPr>
                <w:rFonts w:ascii="Arial" w:cs="Arial" w:eastAsia="Arial" w:hAnsi="Arial"/>
                <w:sz w:val="14"/>
                <w:szCs w:val="14"/>
                <w:color w:val="auto"/>
              </w:rPr>
              <w:t>Product warranty liability</w:t>
            </w:r>
          </w:p>
        </w:tc>
        <w:tc>
          <w:tcPr>
            <w:tcW w:w="1140" w:type="dxa"/>
            <w:vAlign w:val="bottom"/>
          </w:tcPr>
          <w:p>
            <w:pPr>
              <w:spacing w:after="0"/>
              <w:rPr>
                <w:sz w:val="15"/>
                <w:szCs w:val="15"/>
                <w:color w:val="auto"/>
              </w:rPr>
            </w:pPr>
          </w:p>
        </w:tc>
        <w:tc>
          <w:tcPr>
            <w:tcW w:w="580" w:type="dxa"/>
            <w:vAlign w:val="bottom"/>
          </w:tcPr>
          <w:p>
            <w:pPr>
              <w:jc w:val="right"/>
              <w:ind w:right="50"/>
              <w:spacing w:after="0"/>
              <w:rPr>
                <w:sz w:val="20"/>
                <w:szCs w:val="20"/>
                <w:color w:val="auto"/>
              </w:rPr>
            </w:pPr>
            <w:r>
              <w:rPr>
                <w:rFonts w:ascii="Arial" w:cs="Arial" w:eastAsia="Arial" w:hAnsi="Arial"/>
                <w:sz w:val="14"/>
                <w:szCs w:val="14"/>
                <w:b w:val="1"/>
                <w:bCs w:val="1"/>
                <w:color w:val="auto"/>
              </w:rPr>
              <w:t>25</w:t>
            </w: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00" w:type="dxa"/>
            <w:vAlign w:val="bottom"/>
          </w:tcPr>
          <w:p>
            <w:pPr>
              <w:jc w:val="right"/>
              <w:ind w:right="50"/>
              <w:spacing w:after="0"/>
              <w:rPr>
                <w:sz w:val="20"/>
                <w:szCs w:val="20"/>
                <w:color w:val="auto"/>
              </w:rPr>
            </w:pPr>
            <w:r>
              <w:rPr>
                <w:rFonts w:ascii="Arial" w:cs="Arial" w:eastAsia="Arial" w:hAnsi="Arial"/>
                <w:sz w:val="14"/>
                <w:szCs w:val="14"/>
                <w:color w:val="auto"/>
              </w:rPr>
              <w:t>24</w:t>
            </w:r>
          </w:p>
        </w:tc>
        <w:tc>
          <w:tcPr>
            <w:tcW w:w="0" w:type="dxa"/>
            <w:vAlign w:val="bottom"/>
          </w:tcPr>
          <w:p>
            <w:pPr>
              <w:spacing w:after="0"/>
              <w:rPr>
                <w:sz w:val="1"/>
                <w:szCs w:val="1"/>
                <w:color w:val="auto"/>
              </w:rPr>
            </w:pPr>
          </w:p>
        </w:tc>
      </w:tr>
      <w:tr>
        <w:trPr>
          <w:trHeight w:val="176"/>
        </w:trPr>
        <w:tc>
          <w:tcPr>
            <w:tcW w:w="7620" w:type="dxa"/>
            <w:vAlign w:val="bottom"/>
            <w:shd w:val="clear" w:color="auto" w:fill="CFF0FC"/>
          </w:tcPr>
          <w:p>
            <w:pPr>
              <w:ind w:left="200"/>
              <w:spacing w:after="0"/>
              <w:rPr>
                <w:sz w:val="20"/>
                <w:szCs w:val="20"/>
                <w:color w:val="auto"/>
              </w:rPr>
            </w:pPr>
            <w:r>
              <w:rPr>
                <w:rFonts w:ascii="Arial" w:cs="Arial" w:eastAsia="Arial" w:hAnsi="Arial"/>
                <w:sz w:val="14"/>
                <w:szCs w:val="14"/>
                <w:color w:val="auto"/>
              </w:rPr>
              <w:t>Current portion of long-term debt</w:t>
            </w:r>
          </w:p>
        </w:tc>
        <w:tc>
          <w:tcPr>
            <w:tcW w:w="1140" w:type="dxa"/>
            <w:vAlign w:val="bottom"/>
            <w:shd w:val="clear" w:color="auto" w:fill="CFF0FC"/>
          </w:tcPr>
          <w:p>
            <w:pPr>
              <w:spacing w:after="0"/>
              <w:rPr>
                <w:sz w:val="15"/>
                <w:szCs w:val="15"/>
                <w:color w:val="auto"/>
              </w:rPr>
            </w:pPr>
          </w:p>
        </w:tc>
        <w:tc>
          <w:tcPr>
            <w:tcW w:w="580" w:type="dxa"/>
            <w:vAlign w:val="bottom"/>
            <w:shd w:val="clear" w:color="auto" w:fill="CFF0FC"/>
          </w:tcPr>
          <w:p>
            <w:pPr>
              <w:jc w:val="right"/>
              <w:ind w:right="50"/>
              <w:spacing w:after="0"/>
              <w:rPr>
                <w:sz w:val="20"/>
                <w:szCs w:val="20"/>
                <w:color w:val="auto"/>
              </w:rPr>
            </w:pPr>
            <w:r>
              <w:rPr>
                <w:rFonts w:ascii="Arial" w:cs="Arial" w:eastAsia="Arial" w:hAnsi="Arial"/>
                <w:sz w:val="14"/>
                <w:szCs w:val="14"/>
                <w:b w:val="1"/>
                <w:bCs w:val="1"/>
                <w:color w:val="auto"/>
              </w:rPr>
              <w:t>6</w:t>
            </w:r>
          </w:p>
        </w:tc>
        <w:tc>
          <w:tcPr>
            <w:tcW w:w="1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500" w:type="dxa"/>
            <w:vAlign w:val="bottom"/>
            <w:shd w:val="clear" w:color="auto" w:fill="CFF0FC"/>
          </w:tcPr>
          <w:p>
            <w:pPr>
              <w:jc w:val="right"/>
              <w:ind w:right="50"/>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76"/>
        </w:trPr>
        <w:tc>
          <w:tcPr>
            <w:tcW w:w="7620" w:type="dxa"/>
            <w:vAlign w:val="bottom"/>
          </w:tcPr>
          <w:p>
            <w:pPr>
              <w:ind w:left="200"/>
              <w:spacing w:after="0"/>
              <w:rPr>
                <w:sz w:val="20"/>
                <w:szCs w:val="20"/>
                <w:color w:val="auto"/>
              </w:rPr>
            </w:pPr>
            <w:r>
              <w:rPr>
                <w:rFonts w:ascii="Arial" w:cs="Arial" w:eastAsia="Arial" w:hAnsi="Arial"/>
                <w:sz w:val="14"/>
                <w:szCs w:val="14"/>
                <w:color w:val="auto"/>
              </w:rPr>
              <w:t>Deferred revenue</w:t>
            </w:r>
          </w:p>
        </w:tc>
        <w:tc>
          <w:tcPr>
            <w:tcW w:w="1140" w:type="dxa"/>
            <w:vAlign w:val="bottom"/>
          </w:tcPr>
          <w:p>
            <w:pPr>
              <w:spacing w:after="0"/>
              <w:rPr>
                <w:sz w:val="15"/>
                <w:szCs w:val="15"/>
                <w:color w:val="auto"/>
              </w:rPr>
            </w:pPr>
          </w:p>
        </w:tc>
        <w:tc>
          <w:tcPr>
            <w:tcW w:w="580" w:type="dxa"/>
            <w:vAlign w:val="bottom"/>
          </w:tcPr>
          <w:p>
            <w:pPr>
              <w:jc w:val="right"/>
              <w:ind w:right="50"/>
              <w:spacing w:after="0"/>
              <w:rPr>
                <w:sz w:val="20"/>
                <w:szCs w:val="20"/>
                <w:color w:val="auto"/>
              </w:rPr>
            </w:pPr>
            <w:r>
              <w:rPr>
                <w:rFonts w:ascii="Arial" w:cs="Arial" w:eastAsia="Arial" w:hAnsi="Arial"/>
                <w:sz w:val="14"/>
                <w:szCs w:val="14"/>
                <w:b w:val="1"/>
                <w:bCs w:val="1"/>
                <w:color w:val="auto"/>
              </w:rPr>
              <w:t>34</w:t>
            </w: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00" w:type="dxa"/>
            <w:vAlign w:val="bottom"/>
          </w:tcPr>
          <w:p>
            <w:pPr>
              <w:jc w:val="right"/>
              <w:ind w:right="50"/>
              <w:spacing w:after="0"/>
              <w:rPr>
                <w:sz w:val="20"/>
                <w:szCs w:val="20"/>
                <w:color w:val="auto"/>
              </w:rPr>
            </w:pPr>
            <w:r>
              <w:rPr>
                <w:rFonts w:ascii="Arial" w:cs="Arial" w:eastAsia="Arial" w:hAnsi="Arial"/>
                <w:sz w:val="14"/>
                <w:szCs w:val="14"/>
                <w:color w:val="auto"/>
              </w:rPr>
              <w:t>35</w:t>
            </w:r>
          </w:p>
        </w:tc>
        <w:tc>
          <w:tcPr>
            <w:tcW w:w="0" w:type="dxa"/>
            <w:vAlign w:val="bottom"/>
          </w:tcPr>
          <w:p>
            <w:pPr>
              <w:spacing w:after="0"/>
              <w:rPr>
                <w:sz w:val="1"/>
                <w:szCs w:val="1"/>
                <w:color w:val="auto"/>
              </w:rPr>
            </w:pPr>
          </w:p>
        </w:tc>
      </w:tr>
      <w:tr>
        <w:trPr>
          <w:trHeight w:val="176"/>
        </w:trPr>
        <w:tc>
          <w:tcPr>
            <w:tcW w:w="7620" w:type="dxa"/>
            <w:vAlign w:val="bottom"/>
            <w:shd w:val="clear" w:color="auto" w:fill="CFF0FC"/>
          </w:tcPr>
          <w:p>
            <w:pPr>
              <w:ind w:left="200"/>
              <w:spacing w:after="0"/>
              <w:rPr>
                <w:sz w:val="20"/>
                <w:szCs w:val="20"/>
                <w:color w:val="auto"/>
              </w:rPr>
            </w:pPr>
            <w:r>
              <w:rPr>
                <w:rFonts w:ascii="Arial" w:cs="Arial" w:eastAsia="Arial" w:hAnsi="Arial"/>
                <w:sz w:val="14"/>
                <w:szCs w:val="14"/>
                <w:color w:val="auto"/>
              </w:rPr>
              <w:t>Other current liabilities</w:t>
            </w:r>
          </w:p>
        </w:tc>
        <w:tc>
          <w:tcPr>
            <w:tcW w:w="1140" w:type="dxa"/>
            <w:vAlign w:val="bottom"/>
            <w:tcBorders>
              <w:bottom w:val="single" w:sz="8" w:color="auto"/>
            </w:tcBorders>
            <w:shd w:val="clear" w:color="auto" w:fill="CFF0FC"/>
          </w:tcPr>
          <w:p>
            <w:pPr>
              <w:spacing w:after="0"/>
              <w:rPr>
                <w:sz w:val="15"/>
                <w:szCs w:val="15"/>
                <w:color w:val="auto"/>
              </w:rPr>
            </w:pPr>
          </w:p>
        </w:tc>
        <w:tc>
          <w:tcPr>
            <w:tcW w:w="58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4"/>
                <w:szCs w:val="14"/>
                <w:b w:val="1"/>
                <w:bCs w:val="1"/>
                <w:color w:val="auto"/>
              </w:rPr>
              <w:t>170</w:t>
            </w:r>
          </w:p>
        </w:tc>
        <w:tc>
          <w:tcPr>
            <w:tcW w:w="180" w:type="dxa"/>
            <w:vAlign w:val="bottom"/>
            <w:shd w:val="clear" w:color="auto" w:fill="CFF0FC"/>
          </w:tcPr>
          <w:p>
            <w:pPr>
              <w:spacing w:after="0"/>
              <w:rPr>
                <w:sz w:val="15"/>
                <w:szCs w:val="15"/>
                <w:color w:val="auto"/>
              </w:rPr>
            </w:pPr>
          </w:p>
        </w:tc>
        <w:tc>
          <w:tcPr>
            <w:tcW w:w="240" w:type="dxa"/>
            <w:vAlign w:val="bottom"/>
            <w:tcBorders>
              <w:bottom w:val="single" w:sz="8" w:color="auto"/>
            </w:tcBorders>
            <w:shd w:val="clear" w:color="auto" w:fill="CFF0FC"/>
          </w:tcPr>
          <w:p>
            <w:pPr>
              <w:spacing w:after="0"/>
              <w:rPr>
                <w:sz w:val="15"/>
                <w:szCs w:val="15"/>
                <w:color w:val="auto"/>
              </w:rPr>
            </w:pPr>
          </w:p>
        </w:tc>
        <w:tc>
          <w:tcPr>
            <w:tcW w:w="150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4"/>
                <w:szCs w:val="14"/>
                <w:color w:val="auto"/>
              </w:rPr>
              <w:t>202</w:t>
            </w:r>
          </w:p>
        </w:tc>
        <w:tc>
          <w:tcPr>
            <w:tcW w:w="0" w:type="dxa"/>
            <w:vAlign w:val="bottom"/>
          </w:tcPr>
          <w:p>
            <w:pPr>
              <w:spacing w:after="0"/>
              <w:rPr>
                <w:sz w:val="1"/>
                <w:szCs w:val="1"/>
                <w:color w:val="auto"/>
              </w:rPr>
            </w:pPr>
          </w:p>
        </w:tc>
      </w:tr>
      <w:tr>
        <w:trPr>
          <w:trHeight w:val="168"/>
        </w:trPr>
        <w:tc>
          <w:tcPr>
            <w:tcW w:w="7620" w:type="dxa"/>
            <w:vAlign w:val="bottom"/>
          </w:tcPr>
          <w:p>
            <w:pPr>
              <w:spacing w:after="0"/>
              <w:rPr>
                <w:sz w:val="20"/>
                <w:szCs w:val="20"/>
                <w:color w:val="auto"/>
              </w:rPr>
            </w:pPr>
            <w:r>
              <w:rPr>
                <w:rFonts w:ascii="Arial" w:cs="Arial" w:eastAsia="Arial" w:hAnsi="Arial"/>
                <w:sz w:val="14"/>
                <w:szCs w:val="14"/>
                <w:color w:val="auto"/>
              </w:rPr>
              <w:t>Total Current Liabilities</w:t>
            </w:r>
          </w:p>
        </w:tc>
        <w:tc>
          <w:tcPr>
            <w:tcW w:w="1140" w:type="dxa"/>
            <w:vAlign w:val="bottom"/>
          </w:tcPr>
          <w:p>
            <w:pPr>
              <w:spacing w:after="0"/>
              <w:rPr>
                <w:sz w:val="14"/>
                <w:szCs w:val="14"/>
                <w:color w:val="auto"/>
              </w:rPr>
            </w:pPr>
          </w:p>
        </w:tc>
        <w:tc>
          <w:tcPr>
            <w:tcW w:w="580" w:type="dxa"/>
            <w:vAlign w:val="bottom"/>
          </w:tcPr>
          <w:p>
            <w:pPr>
              <w:jc w:val="right"/>
              <w:ind w:right="50"/>
              <w:spacing w:after="0"/>
              <w:rPr>
                <w:sz w:val="20"/>
                <w:szCs w:val="20"/>
                <w:color w:val="auto"/>
              </w:rPr>
            </w:pPr>
            <w:r>
              <w:rPr>
                <w:rFonts w:ascii="Arial" w:cs="Arial" w:eastAsia="Arial" w:hAnsi="Arial"/>
                <w:sz w:val="14"/>
                <w:szCs w:val="14"/>
                <w:b w:val="1"/>
                <w:bCs w:val="1"/>
                <w:color w:val="auto"/>
              </w:rPr>
              <w:t>426</w:t>
            </w: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00" w:type="dxa"/>
            <w:vAlign w:val="bottom"/>
          </w:tcPr>
          <w:p>
            <w:pPr>
              <w:jc w:val="right"/>
              <w:ind w:right="50"/>
              <w:spacing w:after="0"/>
              <w:rPr>
                <w:sz w:val="20"/>
                <w:szCs w:val="20"/>
                <w:color w:val="auto"/>
              </w:rPr>
            </w:pPr>
            <w:r>
              <w:rPr>
                <w:rFonts w:ascii="Arial" w:cs="Arial" w:eastAsia="Arial" w:hAnsi="Arial"/>
                <w:sz w:val="14"/>
                <w:szCs w:val="14"/>
                <w:color w:val="auto"/>
              </w:rPr>
              <w:t>417</w:t>
            </w:r>
          </w:p>
        </w:tc>
        <w:tc>
          <w:tcPr>
            <w:tcW w:w="0" w:type="dxa"/>
            <w:vAlign w:val="bottom"/>
          </w:tcPr>
          <w:p>
            <w:pPr>
              <w:spacing w:after="0"/>
              <w:rPr>
                <w:sz w:val="1"/>
                <w:szCs w:val="1"/>
                <w:color w:val="auto"/>
              </w:rPr>
            </w:pPr>
          </w:p>
        </w:tc>
      </w:tr>
      <w:tr>
        <w:trPr>
          <w:trHeight w:val="176"/>
        </w:trPr>
        <w:tc>
          <w:tcPr>
            <w:tcW w:w="7620" w:type="dxa"/>
            <w:vAlign w:val="bottom"/>
            <w:shd w:val="clear" w:color="auto" w:fill="CFF0FC"/>
          </w:tcPr>
          <w:p>
            <w:pPr>
              <w:spacing w:after="0"/>
              <w:rPr>
                <w:sz w:val="20"/>
                <w:szCs w:val="20"/>
                <w:color w:val="auto"/>
              </w:rPr>
            </w:pPr>
            <w:r>
              <w:rPr>
                <w:rFonts w:ascii="Arial" w:cs="Arial" w:eastAsia="Arial" w:hAnsi="Arial"/>
                <w:sz w:val="14"/>
                <w:szCs w:val="14"/>
                <w:color w:val="auto"/>
              </w:rPr>
              <w:t>Product warranty liability</w:t>
            </w:r>
          </w:p>
        </w:tc>
        <w:tc>
          <w:tcPr>
            <w:tcW w:w="1140" w:type="dxa"/>
            <w:vAlign w:val="bottom"/>
            <w:shd w:val="clear" w:color="auto" w:fill="CFF0FC"/>
          </w:tcPr>
          <w:p>
            <w:pPr>
              <w:spacing w:after="0"/>
              <w:rPr>
                <w:sz w:val="15"/>
                <w:szCs w:val="15"/>
                <w:color w:val="auto"/>
              </w:rPr>
            </w:pPr>
          </w:p>
        </w:tc>
        <w:tc>
          <w:tcPr>
            <w:tcW w:w="580" w:type="dxa"/>
            <w:vAlign w:val="bottom"/>
            <w:shd w:val="clear" w:color="auto" w:fill="CFF0FC"/>
          </w:tcPr>
          <w:p>
            <w:pPr>
              <w:jc w:val="right"/>
              <w:ind w:right="50"/>
              <w:spacing w:after="0"/>
              <w:rPr>
                <w:sz w:val="20"/>
                <w:szCs w:val="20"/>
                <w:color w:val="auto"/>
              </w:rPr>
            </w:pPr>
            <w:r>
              <w:rPr>
                <w:rFonts w:ascii="Arial" w:cs="Arial" w:eastAsia="Arial" w:hAnsi="Arial"/>
                <w:sz w:val="14"/>
                <w:szCs w:val="14"/>
                <w:b w:val="1"/>
                <w:bCs w:val="1"/>
                <w:color w:val="auto"/>
              </w:rPr>
              <w:t>26</w:t>
            </w:r>
          </w:p>
        </w:tc>
        <w:tc>
          <w:tcPr>
            <w:tcW w:w="1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500" w:type="dxa"/>
            <w:vAlign w:val="bottom"/>
            <w:shd w:val="clear" w:color="auto" w:fill="CFF0FC"/>
          </w:tcPr>
          <w:p>
            <w:pPr>
              <w:jc w:val="right"/>
              <w:ind w:right="50"/>
              <w:spacing w:after="0"/>
              <w:rPr>
                <w:sz w:val="20"/>
                <w:szCs w:val="20"/>
                <w:color w:val="auto"/>
              </w:rPr>
            </w:pPr>
            <w:r>
              <w:rPr>
                <w:rFonts w:ascii="Arial" w:cs="Arial" w:eastAsia="Arial" w:hAnsi="Arial"/>
                <w:sz w:val="14"/>
                <w:szCs w:val="14"/>
                <w:color w:val="auto"/>
              </w:rPr>
              <w:t>28</w:t>
            </w:r>
          </w:p>
        </w:tc>
        <w:tc>
          <w:tcPr>
            <w:tcW w:w="0" w:type="dxa"/>
            <w:vAlign w:val="bottom"/>
          </w:tcPr>
          <w:p>
            <w:pPr>
              <w:spacing w:after="0"/>
              <w:rPr>
                <w:sz w:val="1"/>
                <w:szCs w:val="1"/>
                <w:color w:val="auto"/>
              </w:rPr>
            </w:pPr>
          </w:p>
        </w:tc>
      </w:tr>
      <w:tr>
        <w:trPr>
          <w:trHeight w:val="176"/>
        </w:trPr>
        <w:tc>
          <w:tcPr>
            <w:tcW w:w="7620" w:type="dxa"/>
            <w:vAlign w:val="bottom"/>
          </w:tcPr>
          <w:p>
            <w:pPr>
              <w:spacing w:after="0"/>
              <w:rPr>
                <w:sz w:val="20"/>
                <w:szCs w:val="20"/>
                <w:color w:val="auto"/>
              </w:rPr>
            </w:pPr>
            <w:r>
              <w:rPr>
                <w:rFonts w:ascii="Arial" w:cs="Arial" w:eastAsia="Arial" w:hAnsi="Arial"/>
                <w:sz w:val="14"/>
                <w:szCs w:val="14"/>
                <w:color w:val="auto"/>
              </w:rPr>
              <w:t>Deferred revenue</w:t>
            </w:r>
          </w:p>
        </w:tc>
        <w:tc>
          <w:tcPr>
            <w:tcW w:w="1140" w:type="dxa"/>
            <w:vAlign w:val="bottom"/>
          </w:tcPr>
          <w:p>
            <w:pPr>
              <w:spacing w:after="0"/>
              <w:rPr>
                <w:sz w:val="15"/>
                <w:szCs w:val="15"/>
                <w:color w:val="auto"/>
              </w:rPr>
            </w:pPr>
          </w:p>
        </w:tc>
        <w:tc>
          <w:tcPr>
            <w:tcW w:w="580" w:type="dxa"/>
            <w:vAlign w:val="bottom"/>
          </w:tcPr>
          <w:p>
            <w:pPr>
              <w:jc w:val="right"/>
              <w:ind w:right="50"/>
              <w:spacing w:after="0"/>
              <w:rPr>
                <w:sz w:val="20"/>
                <w:szCs w:val="20"/>
                <w:color w:val="auto"/>
              </w:rPr>
            </w:pPr>
            <w:r>
              <w:rPr>
                <w:rFonts w:ascii="Arial" w:cs="Arial" w:eastAsia="Arial" w:hAnsi="Arial"/>
                <w:sz w:val="14"/>
                <w:szCs w:val="14"/>
                <w:b w:val="1"/>
                <w:bCs w:val="1"/>
                <w:color w:val="auto"/>
              </w:rPr>
              <w:t>106</w:t>
            </w: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00" w:type="dxa"/>
            <w:vAlign w:val="bottom"/>
          </w:tcPr>
          <w:p>
            <w:pPr>
              <w:jc w:val="right"/>
              <w:ind w:right="50"/>
              <w:spacing w:after="0"/>
              <w:rPr>
                <w:sz w:val="20"/>
                <w:szCs w:val="20"/>
                <w:color w:val="auto"/>
              </w:rPr>
            </w:pPr>
            <w:r>
              <w:rPr>
                <w:rFonts w:ascii="Arial" w:cs="Arial" w:eastAsia="Arial" w:hAnsi="Arial"/>
                <w:sz w:val="14"/>
                <w:szCs w:val="14"/>
                <w:color w:val="auto"/>
              </w:rPr>
              <w:t>104</w:t>
            </w:r>
          </w:p>
        </w:tc>
        <w:tc>
          <w:tcPr>
            <w:tcW w:w="0" w:type="dxa"/>
            <w:vAlign w:val="bottom"/>
          </w:tcPr>
          <w:p>
            <w:pPr>
              <w:spacing w:after="0"/>
              <w:rPr>
                <w:sz w:val="1"/>
                <w:szCs w:val="1"/>
                <w:color w:val="auto"/>
              </w:rPr>
            </w:pPr>
          </w:p>
        </w:tc>
      </w:tr>
      <w:tr>
        <w:trPr>
          <w:trHeight w:val="176"/>
        </w:trPr>
        <w:tc>
          <w:tcPr>
            <w:tcW w:w="7620" w:type="dxa"/>
            <w:vAlign w:val="bottom"/>
            <w:shd w:val="clear" w:color="auto" w:fill="CFF0FC"/>
          </w:tcPr>
          <w:p>
            <w:pPr>
              <w:spacing w:after="0"/>
              <w:rPr>
                <w:sz w:val="20"/>
                <w:szCs w:val="20"/>
                <w:color w:val="auto"/>
              </w:rPr>
            </w:pPr>
            <w:r>
              <w:rPr>
                <w:rFonts w:ascii="Arial" w:cs="Arial" w:eastAsia="Arial" w:hAnsi="Arial"/>
                <w:sz w:val="14"/>
                <w:szCs w:val="14"/>
                <w:color w:val="auto"/>
              </w:rPr>
              <w:t>Long-term debt</w:t>
            </w:r>
          </w:p>
        </w:tc>
        <w:tc>
          <w:tcPr>
            <w:tcW w:w="1140" w:type="dxa"/>
            <w:vAlign w:val="bottom"/>
            <w:shd w:val="clear" w:color="auto" w:fill="CFF0FC"/>
          </w:tcPr>
          <w:p>
            <w:pPr>
              <w:spacing w:after="0"/>
              <w:rPr>
                <w:sz w:val="15"/>
                <w:szCs w:val="15"/>
                <w:color w:val="auto"/>
              </w:rPr>
            </w:pPr>
          </w:p>
        </w:tc>
        <w:tc>
          <w:tcPr>
            <w:tcW w:w="580" w:type="dxa"/>
            <w:vAlign w:val="bottom"/>
            <w:shd w:val="clear" w:color="auto" w:fill="CFF0FC"/>
          </w:tcPr>
          <w:p>
            <w:pPr>
              <w:jc w:val="right"/>
              <w:ind w:right="50"/>
              <w:spacing w:after="0"/>
              <w:rPr>
                <w:sz w:val="20"/>
                <w:szCs w:val="20"/>
                <w:color w:val="auto"/>
              </w:rPr>
            </w:pPr>
            <w:r>
              <w:rPr>
                <w:rFonts w:ascii="Arial" w:cs="Arial" w:eastAsia="Arial" w:hAnsi="Arial"/>
                <w:sz w:val="14"/>
                <w:szCs w:val="14"/>
                <w:b w:val="1"/>
                <w:bCs w:val="1"/>
                <w:color w:val="auto"/>
              </w:rPr>
              <w:t>2,512</w:t>
            </w:r>
          </w:p>
        </w:tc>
        <w:tc>
          <w:tcPr>
            <w:tcW w:w="1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500" w:type="dxa"/>
            <w:vAlign w:val="bottom"/>
            <w:shd w:val="clear" w:color="auto" w:fill="CFF0FC"/>
          </w:tcPr>
          <w:p>
            <w:pPr>
              <w:jc w:val="right"/>
              <w:ind w:right="50"/>
              <w:spacing w:after="0"/>
              <w:rPr>
                <w:sz w:val="20"/>
                <w:szCs w:val="20"/>
                <w:color w:val="auto"/>
              </w:rPr>
            </w:pPr>
            <w:r>
              <w:rPr>
                <w:rFonts w:ascii="Arial" w:cs="Arial" w:eastAsia="Arial" w:hAnsi="Arial"/>
                <w:sz w:val="14"/>
                <w:szCs w:val="14"/>
                <w:color w:val="auto"/>
              </w:rPr>
              <w:t>2,512</w:t>
            </w:r>
          </w:p>
        </w:tc>
        <w:tc>
          <w:tcPr>
            <w:tcW w:w="0" w:type="dxa"/>
            <w:vAlign w:val="bottom"/>
          </w:tcPr>
          <w:p>
            <w:pPr>
              <w:spacing w:after="0"/>
              <w:rPr>
                <w:sz w:val="1"/>
                <w:szCs w:val="1"/>
                <w:color w:val="auto"/>
              </w:rPr>
            </w:pPr>
          </w:p>
        </w:tc>
      </w:tr>
      <w:tr>
        <w:trPr>
          <w:trHeight w:val="176"/>
        </w:trPr>
        <w:tc>
          <w:tcPr>
            <w:tcW w:w="7620" w:type="dxa"/>
            <w:vAlign w:val="bottom"/>
          </w:tcPr>
          <w:p>
            <w:pPr>
              <w:spacing w:after="0"/>
              <w:rPr>
                <w:sz w:val="20"/>
                <w:szCs w:val="20"/>
                <w:color w:val="auto"/>
              </w:rPr>
            </w:pPr>
            <w:r>
              <w:rPr>
                <w:rFonts w:ascii="Arial" w:cs="Arial" w:eastAsia="Arial" w:hAnsi="Arial"/>
                <w:sz w:val="14"/>
                <w:szCs w:val="14"/>
                <w:color w:val="auto"/>
              </w:rPr>
              <w:t>Deferred income taxes</w:t>
            </w:r>
          </w:p>
        </w:tc>
        <w:tc>
          <w:tcPr>
            <w:tcW w:w="1140" w:type="dxa"/>
            <w:vAlign w:val="bottom"/>
          </w:tcPr>
          <w:p>
            <w:pPr>
              <w:spacing w:after="0"/>
              <w:rPr>
                <w:sz w:val="15"/>
                <w:szCs w:val="15"/>
                <w:color w:val="auto"/>
              </w:rPr>
            </w:pPr>
          </w:p>
        </w:tc>
        <w:tc>
          <w:tcPr>
            <w:tcW w:w="580" w:type="dxa"/>
            <w:vAlign w:val="bottom"/>
          </w:tcPr>
          <w:p>
            <w:pPr>
              <w:jc w:val="right"/>
              <w:ind w:right="50"/>
              <w:spacing w:after="0"/>
              <w:rPr>
                <w:sz w:val="20"/>
                <w:szCs w:val="20"/>
                <w:color w:val="auto"/>
              </w:rPr>
            </w:pPr>
            <w:r>
              <w:rPr>
                <w:rFonts w:ascii="Arial" w:cs="Arial" w:eastAsia="Arial" w:hAnsi="Arial"/>
                <w:sz w:val="14"/>
                <w:szCs w:val="14"/>
                <w:b w:val="1"/>
                <w:bCs w:val="1"/>
                <w:color w:val="auto"/>
              </w:rPr>
              <w:t>415</w:t>
            </w: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00" w:type="dxa"/>
            <w:vAlign w:val="bottom"/>
          </w:tcPr>
          <w:p>
            <w:pPr>
              <w:jc w:val="right"/>
              <w:ind w:right="50"/>
              <w:spacing w:after="0"/>
              <w:rPr>
                <w:sz w:val="20"/>
                <w:szCs w:val="20"/>
                <w:color w:val="auto"/>
              </w:rPr>
            </w:pPr>
            <w:r>
              <w:rPr>
                <w:rFonts w:ascii="Arial" w:cs="Arial" w:eastAsia="Arial" w:hAnsi="Arial"/>
                <w:sz w:val="14"/>
                <w:szCs w:val="14"/>
                <w:color w:val="auto"/>
              </w:rPr>
              <w:t>387</w:t>
            </w:r>
          </w:p>
        </w:tc>
        <w:tc>
          <w:tcPr>
            <w:tcW w:w="0" w:type="dxa"/>
            <w:vAlign w:val="bottom"/>
          </w:tcPr>
          <w:p>
            <w:pPr>
              <w:spacing w:after="0"/>
              <w:rPr>
                <w:sz w:val="1"/>
                <w:szCs w:val="1"/>
                <w:color w:val="auto"/>
              </w:rPr>
            </w:pPr>
          </w:p>
        </w:tc>
      </w:tr>
      <w:tr>
        <w:trPr>
          <w:trHeight w:val="176"/>
        </w:trPr>
        <w:tc>
          <w:tcPr>
            <w:tcW w:w="7620" w:type="dxa"/>
            <w:vAlign w:val="bottom"/>
            <w:shd w:val="clear" w:color="auto" w:fill="CFF0FC"/>
          </w:tcPr>
          <w:p>
            <w:pPr>
              <w:spacing w:after="0"/>
              <w:rPr>
                <w:sz w:val="20"/>
                <w:szCs w:val="20"/>
                <w:color w:val="auto"/>
              </w:rPr>
            </w:pPr>
            <w:r>
              <w:rPr>
                <w:rFonts w:ascii="Arial" w:cs="Arial" w:eastAsia="Arial" w:hAnsi="Arial"/>
                <w:sz w:val="14"/>
                <w:szCs w:val="14"/>
                <w:color w:val="auto"/>
              </w:rPr>
              <w:t>Other non-current liabilities</w:t>
            </w:r>
          </w:p>
        </w:tc>
        <w:tc>
          <w:tcPr>
            <w:tcW w:w="1140" w:type="dxa"/>
            <w:vAlign w:val="bottom"/>
            <w:tcBorders>
              <w:bottom w:val="single" w:sz="8" w:color="auto"/>
            </w:tcBorders>
            <w:shd w:val="clear" w:color="auto" w:fill="CFF0FC"/>
          </w:tcPr>
          <w:p>
            <w:pPr>
              <w:spacing w:after="0"/>
              <w:rPr>
                <w:sz w:val="15"/>
                <w:szCs w:val="15"/>
                <w:color w:val="auto"/>
              </w:rPr>
            </w:pPr>
          </w:p>
        </w:tc>
        <w:tc>
          <w:tcPr>
            <w:tcW w:w="58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4"/>
                <w:szCs w:val="14"/>
                <w:b w:val="1"/>
                <w:bCs w:val="1"/>
                <w:color w:val="auto"/>
              </w:rPr>
              <w:t>246</w:t>
            </w:r>
          </w:p>
        </w:tc>
        <w:tc>
          <w:tcPr>
            <w:tcW w:w="180" w:type="dxa"/>
            <w:vAlign w:val="bottom"/>
            <w:shd w:val="clear" w:color="auto" w:fill="CFF0FC"/>
          </w:tcPr>
          <w:p>
            <w:pPr>
              <w:spacing w:after="0"/>
              <w:rPr>
                <w:sz w:val="15"/>
                <w:szCs w:val="15"/>
                <w:color w:val="auto"/>
              </w:rPr>
            </w:pPr>
          </w:p>
        </w:tc>
        <w:tc>
          <w:tcPr>
            <w:tcW w:w="240" w:type="dxa"/>
            <w:vAlign w:val="bottom"/>
            <w:tcBorders>
              <w:bottom w:val="single" w:sz="8" w:color="auto"/>
            </w:tcBorders>
            <w:shd w:val="clear" w:color="auto" w:fill="CFF0FC"/>
          </w:tcPr>
          <w:p>
            <w:pPr>
              <w:spacing w:after="0"/>
              <w:rPr>
                <w:sz w:val="15"/>
                <w:szCs w:val="15"/>
                <w:color w:val="auto"/>
              </w:rPr>
            </w:pPr>
          </w:p>
        </w:tc>
        <w:tc>
          <w:tcPr>
            <w:tcW w:w="150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4"/>
                <w:szCs w:val="14"/>
                <w:color w:val="auto"/>
              </w:rPr>
              <w:t>221</w:t>
            </w:r>
          </w:p>
        </w:tc>
        <w:tc>
          <w:tcPr>
            <w:tcW w:w="0" w:type="dxa"/>
            <w:vAlign w:val="bottom"/>
          </w:tcPr>
          <w:p>
            <w:pPr>
              <w:spacing w:after="0"/>
              <w:rPr>
                <w:sz w:val="1"/>
                <w:szCs w:val="1"/>
                <w:color w:val="auto"/>
              </w:rPr>
            </w:pPr>
          </w:p>
        </w:tc>
      </w:tr>
      <w:tr>
        <w:trPr>
          <w:trHeight w:val="168"/>
        </w:trPr>
        <w:tc>
          <w:tcPr>
            <w:tcW w:w="7620" w:type="dxa"/>
            <w:vAlign w:val="bottom"/>
          </w:tcPr>
          <w:p>
            <w:pPr>
              <w:spacing w:after="0"/>
              <w:rPr>
                <w:sz w:val="20"/>
                <w:szCs w:val="20"/>
                <w:color w:val="auto"/>
              </w:rPr>
            </w:pPr>
            <w:r>
              <w:rPr>
                <w:rFonts w:ascii="Arial" w:cs="Arial" w:eastAsia="Arial" w:hAnsi="Arial"/>
                <w:sz w:val="14"/>
                <w:szCs w:val="14"/>
                <w:color w:val="auto"/>
              </w:rPr>
              <w:t>TOTAL LIABILITIES</w:t>
            </w:r>
          </w:p>
        </w:tc>
        <w:tc>
          <w:tcPr>
            <w:tcW w:w="1140" w:type="dxa"/>
            <w:vAlign w:val="bottom"/>
          </w:tcPr>
          <w:p>
            <w:pPr>
              <w:spacing w:after="0"/>
              <w:rPr>
                <w:sz w:val="14"/>
                <w:szCs w:val="14"/>
                <w:color w:val="auto"/>
              </w:rPr>
            </w:pPr>
          </w:p>
        </w:tc>
        <w:tc>
          <w:tcPr>
            <w:tcW w:w="580" w:type="dxa"/>
            <w:vAlign w:val="bottom"/>
          </w:tcPr>
          <w:p>
            <w:pPr>
              <w:jc w:val="right"/>
              <w:ind w:right="50"/>
              <w:spacing w:after="0"/>
              <w:rPr>
                <w:sz w:val="20"/>
                <w:szCs w:val="20"/>
                <w:color w:val="auto"/>
              </w:rPr>
            </w:pPr>
            <w:r>
              <w:rPr>
                <w:rFonts w:ascii="Arial" w:cs="Arial" w:eastAsia="Arial" w:hAnsi="Arial"/>
                <w:sz w:val="14"/>
                <w:szCs w:val="14"/>
                <w:b w:val="1"/>
                <w:bCs w:val="1"/>
                <w:color w:val="auto"/>
              </w:rPr>
              <w:t>3,731</w:t>
            </w: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00" w:type="dxa"/>
            <w:vAlign w:val="bottom"/>
          </w:tcPr>
          <w:p>
            <w:pPr>
              <w:jc w:val="right"/>
              <w:ind w:right="50"/>
              <w:spacing w:after="0"/>
              <w:rPr>
                <w:sz w:val="20"/>
                <w:szCs w:val="20"/>
                <w:color w:val="auto"/>
              </w:rPr>
            </w:pPr>
            <w:r>
              <w:rPr>
                <w:rFonts w:ascii="Arial" w:cs="Arial" w:eastAsia="Arial" w:hAnsi="Arial"/>
                <w:sz w:val="14"/>
                <w:szCs w:val="14"/>
                <w:color w:val="auto"/>
              </w:rPr>
              <w:t>3,669</w:t>
            </w:r>
          </w:p>
        </w:tc>
        <w:tc>
          <w:tcPr>
            <w:tcW w:w="0" w:type="dxa"/>
            <w:vAlign w:val="bottom"/>
          </w:tcPr>
          <w:p>
            <w:pPr>
              <w:spacing w:after="0"/>
              <w:rPr>
                <w:sz w:val="1"/>
                <w:szCs w:val="1"/>
                <w:color w:val="auto"/>
              </w:rPr>
            </w:pPr>
          </w:p>
        </w:tc>
      </w:tr>
      <w:tr>
        <w:trPr>
          <w:trHeight w:val="176"/>
        </w:trPr>
        <w:tc>
          <w:tcPr>
            <w:tcW w:w="7620" w:type="dxa"/>
            <w:vAlign w:val="bottom"/>
            <w:shd w:val="clear" w:color="auto" w:fill="CFF0FC"/>
          </w:tcPr>
          <w:p>
            <w:pPr>
              <w:spacing w:after="0"/>
              <w:rPr>
                <w:sz w:val="20"/>
                <w:szCs w:val="20"/>
                <w:color w:val="auto"/>
              </w:rPr>
            </w:pPr>
            <w:r>
              <w:rPr>
                <w:rFonts w:ascii="Arial" w:cs="Arial" w:eastAsia="Arial" w:hAnsi="Arial"/>
                <w:sz w:val="14"/>
                <w:szCs w:val="14"/>
                <w:color w:val="auto"/>
              </w:rPr>
              <w:t>Commitments and contingencies (see NOTE P)</w:t>
            </w:r>
          </w:p>
        </w:tc>
        <w:tc>
          <w:tcPr>
            <w:tcW w:w="114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5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620" w:type="dxa"/>
            <w:vAlign w:val="bottom"/>
          </w:tcPr>
          <w:p>
            <w:pPr>
              <w:spacing w:after="0"/>
              <w:rPr>
                <w:sz w:val="20"/>
                <w:szCs w:val="20"/>
                <w:color w:val="auto"/>
              </w:rPr>
            </w:pPr>
            <w:r>
              <w:rPr>
                <w:rFonts w:ascii="Arial" w:cs="Arial" w:eastAsia="Arial" w:hAnsi="Arial"/>
                <w:sz w:val="14"/>
                <w:szCs w:val="14"/>
                <w:b w:val="1"/>
                <w:bCs w:val="1"/>
                <w:color w:val="auto"/>
              </w:rPr>
              <w:t>STOCKHOLDERS’ EQUITY</w:t>
            </w:r>
          </w:p>
        </w:tc>
        <w:tc>
          <w:tcPr>
            <w:tcW w:w="1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7620" w:type="dxa"/>
            <w:vAlign w:val="bottom"/>
            <w:shd w:val="clear" w:color="auto" w:fill="CFF0FC"/>
          </w:tcPr>
          <w:p>
            <w:pPr>
              <w:ind w:left="200"/>
              <w:spacing w:after="0"/>
              <w:rPr>
                <w:sz w:val="20"/>
                <w:szCs w:val="20"/>
                <w:color w:val="auto"/>
              </w:rPr>
            </w:pPr>
            <w:r>
              <w:rPr>
                <w:rFonts w:ascii="Arial" w:cs="Arial" w:eastAsia="Arial" w:hAnsi="Arial"/>
                <w:sz w:val="14"/>
                <w:szCs w:val="14"/>
                <w:color w:val="auto"/>
              </w:rPr>
              <w:t>Common stock, $0.01 par value, 1,880,000,000 shares authorized, 113,176,677 shares issued and outstanding and</w:t>
            </w:r>
          </w:p>
        </w:tc>
        <w:tc>
          <w:tcPr>
            <w:tcW w:w="1140" w:type="dxa"/>
            <w:vAlign w:val="bottom"/>
            <w:shd w:val="clear" w:color="auto" w:fill="CFF0FC"/>
          </w:tcPr>
          <w:p>
            <w:pPr>
              <w:spacing w:after="0"/>
              <w:rPr>
                <w:sz w:val="15"/>
                <w:szCs w:val="15"/>
                <w:color w:val="auto"/>
              </w:rPr>
            </w:pPr>
          </w:p>
        </w:tc>
        <w:tc>
          <w:tcPr>
            <w:tcW w:w="580" w:type="dxa"/>
            <w:vAlign w:val="bottom"/>
            <w:vMerge w:val="restart"/>
            <w:shd w:val="clear" w:color="auto" w:fill="CFF0FC"/>
          </w:tcPr>
          <w:p>
            <w:pPr>
              <w:jc w:val="right"/>
              <w:ind w:right="50"/>
              <w:spacing w:after="0"/>
              <w:rPr>
                <w:sz w:val="20"/>
                <w:szCs w:val="20"/>
                <w:color w:val="auto"/>
              </w:rPr>
            </w:pPr>
            <w:r>
              <w:rPr>
                <w:rFonts w:ascii="Arial" w:cs="Arial" w:eastAsia="Arial" w:hAnsi="Arial"/>
                <w:sz w:val="14"/>
                <w:szCs w:val="14"/>
                <w:b w:val="1"/>
                <w:bCs w:val="1"/>
                <w:color w:val="auto"/>
              </w:rPr>
              <w:t>1</w:t>
            </w:r>
          </w:p>
        </w:tc>
        <w:tc>
          <w:tcPr>
            <w:tcW w:w="1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5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7620" w:type="dxa"/>
            <w:vAlign w:val="bottom"/>
            <w:shd w:val="clear" w:color="auto" w:fill="CFF0FC"/>
          </w:tcPr>
          <w:p>
            <w:pPr>
              <w:ind w:left="200"/>
              <w:spacing w:after="0"/>
              <w:rPr>
                <w:sz w:val="20"/>
                <w:szCs w:val="20"/>
                <w:color w:val="auto"/>
              </w:rPr>
            </w:pPr>
            <w:r>
              <w:rPr>
                <w:rFonts w:ascii="Arial" w:cs="Arial" w:eastAsia="Arial" w:hAnsi="Arial"/>
                <w:sz w:val="14"/>
                <w:szCs w:val="14"/>
                <w:color w:val="auto"/>
              </w:rPr>
              <w:t>118,199,782 shares issued and outstanding, respectively</w:t>
            </w:r>
          </w:p>
        </w:tc>
        <w:tc>
          <w:tcPr>
            <w:tcW w:w="1140" w:type="dxa"/>
            <w:vAlign w:val="bottom"/>
            <w:shd w:val="clear" w:color="auto" w:fill="CFF0FC"/>
          </w:tcPr>
          <w:p>
            <w:pPr>
              <w:spacing w:after="0"/>
              <w:rPr>
                <w:sz w:val="14"/>
                <w:szCs w:val="14"/>
                <w:color w:val="auto"/>
              </w:rPr>
            </w:pPr>
          </w:p>
        </w:tc>
        <w:tc>
          <w:tcPr>
            <w:tcW w:w="580" w:type="dxa"/>
            <w:vAlign w:val="bottom"/>
            <w:vMerge w:val="continue"/>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500" w:type="dxa"/>
            <w:vAlign w:val="bottom"/>
            <w:shd w:val="clear" w:color="auto" w:fill="CFF0FC"/>
          </w:tcPr>
          <w:p>
            <w:pPr>
              <w:jc w:val="right"/>
              <w:ind w:right="50"/>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76"/>
        </w:trPr>
        <w:tc>
          <w:tcPr>
            <w:tcW w:w="7620" w:type="dxa"/>
            <w:vAlign w:val="bottom"/>
          </w:tcPr>
          <w:p>
            <w:pPr>
              <w:ind w:left="200"/>
              <w:spacing w:after="0"/>
              <w:rPr>
                <w:sz w:val="20"/>
                <w:szCs w:val="20"/>
                <w:color w:val="auto"/>
              </w:rPr>
            </w:pPr>
            <w:r>
              <w:rPr>
                <w:rFonts w:ascii="Arial" w:cs="Arial" w:eastAsia="Arial" w:hAnsi="Arial"/>
                <w:sz w:val="14"/>
                <w:szCs w:val="14"/>
                <w:color w:val="auto"/>
              </w:rPr>
              <w:t>Non-voting common stock, $0.01 par value, 20,000,000 shares authorized, none issued and outstanding</w:t>
            </w:r>
          </w:p>
        </w:tc>
        <w:tc>
          <w:tcPr>
            <w:tcW w:w="1140" w:type="dxa"/>
            <w:vAlign w:val="bottom"/>
          </w:tcPr>
          <w:p>
            <w:pPr>
              <w:spacing w:after="0"/>
              <w:rPr>
                <w:sz w:val="15"/>
                <w:szCs w:val="15"/>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5"/>
                <w:szCs w:val="15"/>
                <w:color w:val="auto"/>
              </w:rPr>
            </w:pPr>
          </w:p>
        </w:tc>
        <w:tc>
          <w:tcPr>
            <w:tcW w:w="1500" w:type="dxa"/>
            <w:vAlign w:val="bottom"/>
          </w:tcPr>
          <w:p>
            <w:pPr>
              <w:jc w:val="right"/>
              <w:ind w:right="5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7620" w:type="dxa"/>
            <w:vAlign w:val="bottom"/>
            <w:shd w:val="clear" w:color="auto" w:fill="CFF0FC"/>
          </w:tcPr>
          <w:p>
            <w:pPr>
              <w:ind w:left="200"/>
              <w:spacing w:after="0"/>
              <w:rPr>
                <w:sz w:val="20"/>
                <w:szCs w:val="20"/>
                <w:color w:val="auto"/>
              </w:rPr>
            </w:pPr>
            <w:r>
              <w:rPr>
                <w:rFonts w:ascii="Arial" w:cs="Arial" w:eastAsia="Arial" w:hAnsi="Arial"/>
                <w:sz w:val="14"/>
                <w:szCs w:val="14"/>
                <w:color w:val="auto"/>
              </w:rPr>
              <w:t>Preferred stock, $0.01 par value, 100,000,000 shares authorized, none issued and outstanding</w:t>
            </w:r>
          </w:p>
        </w:tc>
        <w:tc>
          <w:tcPr>
            <w:tcW w:w="1140" w:type="dxa"/>
            <w:vAlign w:val="bottom"/>
            <w:shd w:val="clear" w:color="auto" w:fill="CFF0FC"/>
          </w:tcPr>
          <w:p>
            <w:pPr>
              <w:spacing w:after="0"/>
              <w:rPr>
                <w:sz w:val="15"/>
                <w:szCs w:val="15"/>
                <w:color w:val="auto"/>
              </w:rPr>
            </w:pPr>
          </w:p>
        </w:tc>
        <w:tc>
          <w:tcPr>
            <w:tcW w:w="760" w:type="dxa"/>
            <w:vAlign w:val="bottom"/>
            <w:gridSpan w:val="2"/>
            <w:shd w:val="clear" w:color="auto" w:fill="CFF0FC"/>
          </w:tcPr>
          <w:p>
            <w:pPr>
              <w:jc w:val="right"/>
              <w:ind w:right="30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FF0FC"/>
          </w:tcPr>
          <w:p>
            <w:pPr>
              <w:spacing w:after="0"/>
              <w:rPr>
                <w:sz w:val="15"/>
                <w:szCs w:val="15"/>
                <w:color w:val="auto"/>
              </w:rPr>
            </w:pPr>
          </w:p>
        </w:tc>
        <w:tc>
          <w:tcPr>
            <w:tcW w:w="1500" w:type="dxa"/>
            <w:vAlign w:val="bottom"/>
            <w:shd w:val="clear" w:color="auto" w:fill="CFF0FC"/>
          </w:tcPr>
          <w:p>
            <w:pPr>
              <w:jc w:val="right"/>
              <w:ind w:right="5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7620" w:type="dxa"/>
            <w:vAlign w:val="bottom"/>
          </w:tcPr>
          <w:p>
            <w:pPr>
              <w:ind w:left="200"/>
              <w:spacing w:after="0"/>
              <w:rPr>
                <w:sz w:val="20"/>
                <w:szCs w:val="20"/>
                <w:color w:val="auto"/>
              </w:rPr>
            </w:pPr>
            <w:r>
              <w:rPr>
                <w:rFonts w:ascii="Arial" w:cs="Arial" w:eastAsia="Arial" w:hAnsi="Arial"/>
                <w:sz w:val="14"/>
                <w:szCs w:val="14"/>
                <w:color w:val="auto"/>
              </w:rPr>
              <w:t>Paid in capital</w:t>
            </w:r>
          </w:p>
        </w:tc>
        <w:tc>
          <w:tcPr>
            <w:tcW w:w="1140" w:type="dxa"/>
            <w:vAlign w:val="bottom"/>
          </w:tcPr>
          <w:p>
            <w:pPr>
              <w:spacing w:after="0"/>
              <w:rPr>
                <w:sz w:val="15"/>
                <w:szCs w:val="15"/>
                <w:color w:val="auto"/>
              </w:rPr>
            </w:pPr>
          </w:p>
        </w:tc>
        <w:tc>
          <w:tcPr>
            <w:tcW w:w="580" w:type="dxa"/>
            <w:vAlign w:val="bottom"/>
          </w:tcPr>
          <w:p>
            <w:pPr>
              <w:jc w:val="right"/>
              <w:ind w:right="50"/>
              <w:spacing w:after="0"/>
              <w:rPr>
                <w:sz w:val="20"/>
                <w:szCs w:val="20"/>
                <w:color w:val="auto"/>
              </w:rPr>
            </w:pPr>
            <w:r>
              <w:rPr>
                <w:rFonts w:ascii="Arial" w:cs="Arial" w:eastAsia="Arial" w:hAnsi="Arial"/>
                <w:sz w:val="14"/>
                <w:szCs w:val="14"/>
                <w:b w:val="1"/>
                <w:bCs w:val="1"/>
                <w:color w:val="auto"/>
              </w:rPr>
              <w:t>1,804</w:t>
            </w: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00" w:type="dxa"/>
            <w:vAlign w:val="bottom"/>
          </w:tcPr>
          <w:p>
            <w:pPr>
              <w:jc w:val="right"/>
              <w:ind w:right="50"/>
              <w:spacing w:after="0"/>
              <w:rPr>
                <w:sz w:val="20"/>
                <w:szCs w:val="20"/>
                <w:color w:val="auto"/>
              </w:rPr>
            </w:pPr>
            <w:r>
              <w:rPr>
                <w:rFonts w:ascii="Arial" w:cs="Arial" w:eastAsia="Arial" w:hAnsi="Arial"/>
                <w:sz w:val="14"/>
                <w:szCs w:val="14"/>
                <w:color w:val="auto"/>
              </w:rPr>
              <w:t>1,802</w:t>
            </w:r>
          </w:p>
        </w:tc>
        <w:tc>
          <w:tcPr>
            <w:tcW w:w="0" w:type="dxa"/>
            <w:vAlign w:val="bottom"/>
          </w:tcPr>
          <w:p>
            <w:pPr>
              <w:spacing w:after="0"/>
              <w:rPr>
                <w:sz w:val="1"/>
                <w:szCs w:val="1"/>
                <w:color w:val="auto"/>
              </w:rPr>
            </w:pPr>
          </w:p>
        </w:tc>
      </w:tr>
      <w:tr>
        <w:trPr>
          <w:trHeight w:val="176"/>
        </w:trPr>
        <w:tc>
          <w:tcPr>
            <w:tcW w:w="7620" w:type="dxa"/>
            <w:vAlign w:val="bottom"/>
            <w:shd w:val="clear" w:color="auto" w:fill="CFF0FC"/>
          </w:tcPr>
          <w:p>
            <w:pPr>
              <w:ind w:left="200"/>
              <w:spacing w:after="0"/>
              <w:rPr>
                <w:sz w:val="20"/>
                <w:szCs w:val="20"/>
                <w:color w:val="auto"/>
              </w:rPr>
            </w:pPr>
            <w:r>
              <w:rPr>
                <w:rFonts w:ascii="Arial" w:cs="Arial" w:eastAsia="Arial" w:hAnsi="Arial"/>
                <w:sz w:val="14"/>
                <w:szCs w:val="14"/>
                <w:color w:val="auto"/>
              </w:rPr>
              <w:t>Accumulated deficit</w:t>
            </w:r>
          </w:p>
        </w:tc>
        <w:tc>
          <w:tcPr>
            <w:tcW w:w="114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b w:val="1"/>
                <w:bCs w:val="1"/>
                <w:color w:val="auto"/>
              </w:rPr>
              <w:t>(1,031)</w:t>
            </w:r>
          </w:p>
        </w:tc>
        <w:tc>
          <w:tcPr>
            <w:tcW w:w="1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(970)</w:t>
            </w:r>
          </w:p>
        </w:tc>
        <w:tc>
          <w:tcPr>
            <w:tcW w:w="0" w:type="dxa"/>
            <w:vAlign w:val="bottom"/>
          </w:tcPr>
          <w:p>
            <w:pPr>
              <w:spacing w:after="0"/>
              <w:rPr>
                <w:sz w:val="1"/>
                <w:szCs w:val="1"/>
                <w:color w:val="auto"/>
              </w:rPr>
            </w:pPr>
          </w:p>
        </w:tc>
      </w:tr>
      <w:tr>
        <w:trPr>
          <w:trHeight w:val="176"/>
        </w:trPr>
        <w:tc>
          <w:tcPr>
            <w:tcW w:w="7620" w:type="dxa"/>
            <w:vAlign w:val="bottom"/>
            <w:tcBorders>
              <w:bottom w:val="single" w:sz="8" w:color="CFF0FC"/>
            </w:tcBorders>
          </w:tcPr>
          <w:p>
            <w:pPr>
              <w:ind w:left="200"/>
              <w:spacing w:after="0"/>
              <w:rPr>
                <w:sz w:val="20"/>
                <w:szCs w:val="20"/>
                <w:color w:val="auto"/>
              </w:rPr>
            </w:pPr>
            <w:r>
              <w:rPr>
                <w:rFonts w:ascii="Arial" w:cs="Arial" w:eastAsia="Arial" w:hAnsi="Arial"/>
                <w:sz w:val="14"/>
                <w:szCs w:val="14"/>
                <w:color w:val="auto"/>
              </w:rPr>
              <w:t>Accumulated other comprehensive loss, net of tax</w:t>
            </w:r>
          </w:p>
        </w:tc>
        <w:tc>
          <w:tcPr>
            <w:tcW w:w="11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(81)</w:t>
            </w:r>
          </w:p>
        </w:tc>
        <w:tc>
          <w:tcPr>
            <w:tcW w:w="180" w:type="dxa"/>
            <w:vAlign w:val="bottom"/>
            <w:tcBorders>
              <w:bottom w:val="single" w:sz="8" w:color="CFF0FC"/>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w:t>
            </w:r>
          </w:p>
        </w:tc>
        <w:tc>
          <w:tcPr>
            <w:tcW w:w="0" w:type="dxa"/>
            <w:vAlign w:val="bottom"/>
          </w:tcPr>
          <w:p>
            <w:pPr>
              <w:spacing w:after="0"/>
              <w:rPr>
                <w:sz w:val="1"/>
                <w:szCs w:val="1"/>
                <w:color w:val="auto"/>
              </w:rPr>
            </w:pPr>
          </w:p>
        </w:tc>
      </w:tr>
      <w:tr>
        <w:trPr>
          <w:trHeight w:val="168"/>
        </w:trPr>
        <w:tc>
          <w:tcPr>
            <w:tcW w:w="7620" w:type="dxa"/>
            <w:vAlign w:val="bottom"/>
            <w:shd w:val="clear" w:color="auto" w:fill="CFF0FC"/>
          </w:tcPr>
          <w:p>
            <w:pPr>
              <w:spacing w:after="0"/>
              <w:rPr>
                <w:sz w:val="20"/>
                <w:szCs w:val="20"/>
                <w:color w:val="auto"/>
              </w:rPr>
            </w:pPr>
            <w:r>
              <w:rPr>
                <w:rFonts w:ascii="Arial" w:cs="Arial" w:eastAsia="Arial" w:hAnsi="Arial"/>
                <w:sz w:val="14"/>
                <w:szCs w:val="14"/>
                <w:color w:val="auto"/>
              </w:rPr>
              <w:t>TOTAL STOCKHOLDERS’ EQUITY</w:t>
            </w:r>
          </w:p>
        </w:tc>
        <w:tc>
          <w:tcPr>
            <w:tcW w:w="1140" w:type="dxa"/>
            <w:vAlign w:val="bottom"/>
            <w:tcBorders>
              <w:bottom w:val="single" w:sz="8" w:color="auto"/>
            </w:tcBorders>
            <w:shd w:val="clear" w:color="auto" w:fill="CFF0FC"/>
          </w:tcPr>
          <w:p>
            <w:pPr>
              <w:spacing w:after="0"/>
              <w:rPr>
                <w:sz w:val="14"/>
                <w:szCs w:val="14"/>
                <w:color w:val="auto"/>
              </w:rPr>
            </w:pPr>
          </w:p>
        </w:tc>
        <w:tc>
          <w:tcPr>
            <w:tcW w:w="58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4"/>
                <w:szCs w:val="14"/>
                <w:b w:val="1"/>
                <w:bCs w:val="1"/>
                <w:color w:val="auto"/>
              </w:rPr>
              <w:t>693</w:t>
            </w:r>
          </w:p>
        </w:tc>
        <w:tc>
          <w:tcPr>
            <w:tcW w:w="180" w:type="dxa"/>
            <w:vAlign w:val="bottom"/>
            <w:shd w:val="clear" w:color="auto" w:fill="CFF0FC"/>
          </w:tcPr>
          <w:p>
            <w:pPr>
              <w:spacing w:after="0"/>
              <w:rPr>
                <w:sz w:val="14"/>
                <w:szCs w:val="14"/>
                <w:color w:val="auto"/>
              </w:rPr>
            </w:pPr>
          </w:p>
        </w:tc>
        <w:tc>
          <w:tcPr>
            <w:tcW w:w="240" w:type="dxa"/>
            <w:vAlign w:val="bottom"/>
            <w:tcBorders>
              <w:bottom w:val="single" w:sz="8" w:color="auto"/>
            </w:tcBorders>
            <w:shd w:val="clear" w:color="auto" w:fill="CFF0FC"/>
          </w:tcPr>
          <w:p>
            <w:pPr>
              <w:spacing w:after="0"/>
              <w:rPr>
                <w:sz w:val="14"/>
                <w:szCs w:val="14"/>
                <w:color w:val="auto"/>
              </w:rPr>
            </w:pPr>
          </w:p>
        </w:tc>
        <w:tc>
          <w:tcPr>
            <w:tcW w:w="150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4"/>
                <w:szCs w:val="14"/>
                <w:color w:val="auto"/>
              </w:rPr>
              <w:t>781</w:t>
            </w:r>
          </w:p>
        </w:tc>
        <w:tc>
          <w:tcPr>
            <w:tcW w:w="0" w:type="dxa"/>
            <w:vAlign w:val="bottom"/>
          </w:tcPr>
          <w:p>
            <w:pPr>
              <w:spacing w:after="0"/>
              <w:rPr>
                <w:sz w:val="1"/>
                <w:szCs w:val="1"/>
                <w:color w:val="auto"/>
              </w:rPr>
            </w:pPr>
          </w:p>
        </w:tc>
      </w:tr>
      <w:tr>
        <w:trPr>
          <w:trHeight w:val="168"/>
        </w:trPr>
        <w:tc>
          <w:tcPr>
            <w:tcW w:w="7620" w:type="dxa"/>
            <w:vAlign w:val="bottom"/>
          </w:tcPr>
          <w:p>
            <w:pPr>
              <w:spacing w:after="0"/>
              <w:rPr>
                <w:sz w:val="20"/>
                <w:szCs w:val="20"/>
                <w:color w:val="auto"/>
              </w:rPr>
            </w:pPr>
            <w:r>
              <w:rPr>
                <w:rFonts w:ascii="Arial" w:cs="Arial" w:eastAsia="Arial" w:hAnsi="Arial"/>
                <w:sz w:val="14"/>
                <w:szCs w:val="14"/>
                <w:color w:val="auto"/>
              </w:rPr>
              <w:t>TOTAL LIABILITIES &amp; STOCKHOLDERS’ EQUITY</w:t>
            </w:r>
          </w:p>
        </w:tc>
        <w:tc>
          <w:tcPr>
            <w:tcW w:w="1140" w:type="dxa"/>
            <w:vAlign w:val="bottom"/>
            <w:tcBorders>
              <w:bottom w:val="single" w:sz="8" w:color="auto"/>
            </w:tcBorders>
          </w:tcPr>
          <w:p>
            <w:pPr>
              <w:jc w:val="right"/>
              <w:ind w:right="992"/>
              <w:spacing w:after="0"/>
              <w:rPr>
                <w:sz w:val="20"/>
                <w:szCs w:val="20"/>
                <w:color w:val="auto"/>
              </w:rPr>
            </w:pPr>
            <w:r>
              <w:rPr>
                <w:rFonts w:ascii="Arial" w:cs="Arial" w:eastAsia="Arial" w:hAnsi="Arial"/>
                <w:sz w:val="14"/>
                <w:szCs w:val="14"/>
                <w:b w:val="1"/>
                <w:bCs w:val="1"/>
                <w:color w:val="auto"/>
                <w:w w:val="76"/>
              </w:rPr>
              <w:t>$</w:t>
            </w:r>
          </w:p>
        </w:tc>
        <w:tc>
          <w:tcPr>
            <w:tcW w:w="58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b w:val="1"/>
                <w:bCs w:val="1"/>
                <w:color w:val="auto"/>
              </w:rPr>
              <w:t>4,424</w:t>
            </w:r>
          </w:p>
        </w:tc>
        <w:tc>
          <w:tcPr>
            <w:tcW w:w="180" w:type="dxa"/>
            <w:vAlign w:val="bottom"/>
          </w:tcPr>
          <w:p>
            <w:pPr>
              <w:spacing w:after="0"/>
              <w:rPr>
                <w:sz w:val="14"/>
                <w:szCs w:val="14"/>
                <w:color w:val="auto"/>
              </w:rPr>
            </w:pPr>
          </w:p>
        </w:tc>
        <w:tc>
          <w:tcPr>
            <w:tcW w:w="240" w:type="dxa"/>
            <w:vAlign w:val="bottom"/>
            <w:tcBorders>
              <w:bottom w:val="single" w:sz="8" w:color="auto"/>
            </w:tcBorders>
          </w:tcPr>
          <w:p>
            <w:pPr>
              <w:jc w:val="right"/>
              <w:ind w:right="90"/>
              <w:spacing w:after="0"/>
              <w:rPr>
                <w:sz w:val="20"/>
                <w:szCs w:val="20"/>
                <w:color w:val="auto"/>
              </w:rPr>
            </w:pPr>
            <w:r>
              <w:rPr>
                <w:rFonts w:ascii="Arial" w:cs="Arial" w:eastAsia="Arial" w:hAnsi="Arial"/>
                <w:sz w:val="14"/>
                <w:szCs w:val="14"/>
                <w:color w:val="auto"/>
                <w:w w:val="76"/>
              </w:rPr>
              <w:t>$</w:t>
            </w:r>
          </w:p>
        </w:tc>
        <w:tc>
          <w:tcPr>
            <w:tcW w:w="150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4,450</w:t>
            </w:r>
          </w:p>
        </w:tc>
        <w:tc>
          <w:tcPr>
            <w:tcW w:w="0" w:type="dxa"/>
            <w:vAlign w:val="bottom"/>
          </w:tcPr>
          <w:p>
            <w:pPr>
              <w:spacing w:after="0"/>
              <w:rPr>
                <w:sz w:val="1"/>
                <w:szCs w:val="1"/>
                <w:color w:val="auto"/>
              </w:rPr>
            </w:pPr>
          </w:p>
        </w:tc>
      </w:tr>
      <w:tr>
        <w:trPr>
          <w:trHeight w:val="20"/>
        </w:trPr>
        <w:tc>
          <w:tcPr>
            <w:tcW w:w="76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 condensed consolidated financial statements.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55245</wp:posOffset>
            </wp:positionV>
            <wp:extent cx="7150100" cy="146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0"/>
          </w:cols>
          <w:pgMar w:left="320" w:top="140" w:right="319" w:bottom="1440" w:gutter="0" w:footer="0" w:header="0"/>
        </w:sectPr>
      </w:pPr>
    </w:p>
    <w:bookmarkStart w:id="3" w:name="page4"/>
    <w:bookmarkEnd w:id="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8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Allison Transmission Holdings, Inc.</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Comprehensive Income</w:t>
      </w:r>
    </w:p>
    <w:p>
      <w:pPr>
        <w:jc w:val="center"/>
        <w:spacing w:after="0"/>
        <w:rPr>
          <w:sz w:val="20"/>
          <w:szCs w:val="20"/>
          <w:color w:val="auto"/>
        </w:rPr>
      </w:pPr>
      <w:r>
        <w:rPr>
          <w:rFonts w:ascii="Arial" w:cs="Arial" w:eastAsia="Arial" w:hAnsi="Arial"/>
          <w:sz w:val="16"/>
          <w:szCs w:val="16"/>
          <w:b w:val="1"/>
          <w:bCs w:val="1"/>
          <w:color w:val="auto"/>
        </w:rPr>
        <w:t>(unaudited, dollars in millions, except per share data)</w:t>
      </w:r>
    </w:p>
    <w:p>
      <w:pPr>
        <w:spacing w:after="0" w:line="204" w:lineRule="exact"/>
        <w:rPr>
          <w:sz w:val="20"/>
          <w:szCs w:val="20"/>
          <w:color w:val="auto"/>
        </w:rPr>
      </w:pPr>
    </w:p>
    <w:p>
      <w:pPr>
        <w:jc w:val="center"/>
        <w:ind w:left="7600"/>
        <w:spacing w:after="0"/>
        <w:rPr>
          <w:sz w:val="20"/>
          <w:szCs w:val="20"/>
          <w:color w:val="auto"/>
        </w:rPr>
      </w:pPr>
      <w:r>
        <w:rPr>
          <w:rFonts w:ascii="Arial" w:cs="Arial" w:eastAsia="Arial" w:hAnsi="Arial"/>
          <w:sz w:val="13"/>
          <w:szCs w:val="13"/>
          <w:b w:val="1"/>
          <w:bCs w:val="1"/>
          <w:color w:val="auto"/>
        </w:rPr>
        <w:t>Three Months Ended</w:t>
      </w:r>
    </w:p>
    <w:p>
      <w:pPr>
        <w:jc w:val="center"/>
        <w:ind w:left="7600"/>
        <w:spacing w:after="0" w:line="231" w:lineRule="auto"/>
        <w:rPr>
          <w:sz w:val="20"/>
          <w:szCs w:val="20"/>
          <w:color w:val="auto"/>
        </w:rPr>
      </w:pPr>
      <w:r>
        <w:rPr>
          <w:rFonts w:ascii="Arial" w:cs="Arial" w:eastAsia="Arial" w:hAnsi="Arial"/>
          <w:sz w:val="13"/>
          <w:szCs w:val="13"/>
          <w:b w:val="1"/>
          <w:bCs w:val="1"/>
          <w:color w:val="auto"/>
        </w:rPr>
        <w:t>March 31,</w:t>
      </w:r>
    </w:p>
    <w:tbl>
      <w:tblPr>
        <w:tblLayout w:type="fixed"/>
        <w:tblInd w:w="0" w:type="dxa"/>
        <w:tblCellMar>
          <w:top w:w="0" w:type="dxa"/>
          <w:left w:w="0" w:type="dxa"/>
          <w:bottom w:w="0" w:type="dxa"/>
          <w:right w:w="0" w:type="dxa"/>
        </w:tblCellMar>
      </w:tblPr>
      <w:tr>
        <w:trPr>
          <w:trHeight w:val="144"/>
        </w:trPr>
        <w:tc>
          <w:tcPr>
            <w:tcW w:w="7740" w:type="dxa"/>
            <w:vAlign w:val="bottom"/>
            <w:tcBorders>
              <w:bottom w:val="single" w:sz="8" w:color="CFF0FC"/>
            </w:tcBorders>
          </w:tcPr>
          <w:p>
            <w:pPr>
              <w:spacing w:after="0"/>
              <w:rPr>
                <w:sz w:val="12"/>
                <w:szCs w:val="12"/>
                <w:color w:val="auto"/>
              </w:rPr>
            </w:pPr>
          </w:p>
        </w:tc>
        <w:tc>
          <w:tcPr>
            <w:tcW w:w="1080" w:type="dxa"/>
            <w:vAlign w:val="bottom"/>
            <w:tcBorders>
              <w:top w:val="single" w:sz="8" w:color="auto"/>
              <w:bottom w:val="single" w:sz="8" w:color="auto"/>
            </w:tcBorders>
          </w:tcPr>
          <w:p>
            <w:pPr>
              <w:jc w:val="right"/>
              <w:ind w:right="91"/>
              <w:spacing w:after="0" w:line="144" w:lineRule="exact"/>
              <w:rPr>
                <w:sz w:val="20"/>
                <w:szCs w:val="20"/>
                <w:color w:val="auto"/>
              </w:rPr>
            </w:pPr>
            <w:r>
              <w:rPr>
                <w:rFonts w:ascii="Arial" w:cs="Arial" w:eastAsia="Arial" w:hAnsi="Arial"/>
                <w:sz w:val="13"/>
                <w:szCs w:val="13"/>
                <w:b w:val="1"/>
                <w:bCs w:val="1"/>
                <w:color w:val="auto"/>
              </w:rPr>
              <w:t>2020</w:t>
            </w:r>
          </w:p>
        </w:tc>
        <w:tc>
          <w:tcPr>
            <w:tcW w:w="58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bottom w:val="single" w:sz="8" w:color="CFF0FC"/>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320" w:type="dxa"/>
            <w:vAlign w:val="bottom"/>
            <w:tcBorders>
              <w:top w:val="single" w:sz="8" w:color="auto"/>
              <w:bottom w:val="single" w:sz="8" w:color="auto"/>
            </w:tcBorders>
          </w:tcPr>
          <w:p>
            <w:pPr>
              <w:jc w:val="right"/>
              <w:ind w:right="710"/>
              <w:spacing w:after="0" w:line="144" w:lineRule="exact"/>
              <w:rPr>
                <w:sz w:val="20"/>
                <w:szCs w:val="20"/>
                <w:color w:val="auto"/>
              </w:rPr>
            </w:pPr>
            <w:r>
              <w:rPr>
                <w:rFonts w:ascii="Arial" w:cs="Arial" w:eastAsia="Arial" w:hAnsi="Arial"/>
                <w:sz w:val="13"/>
                <w:szCs w:val="13"/>
                <w:b w:val="1"/>
                <w:bCs w:val="1"/>
                <w:color w:val="auto"/>
              </w:rPr>
              <w:t>2019</w:t>
            </w:r>
          </w:p>
        </w:tc>
        <w:tc>
          <w:tcPr>
            <w:tcW w:w="0" w:type="dxa"/>
            <w:vAlign w:val="bottom"/>
          </w:tcPr>
          <w:p>
            <w:pPr>
              <w:spacing w:after="0"/>
              <w:rPr>
                <w:sz w:val="1"/>
                <w:szCs w:val="1"/>
                <w:color w:val="auto"/>
              </w:rPr>
            </w:pPr>
          </w:p>
        </w:tc>
      </w:tr>
      <w:tr>
        <w:trPr>
          <w:trHeight w:val="168"/>
        </w:trPr>
        <w:tc>
          <w:tcPr>
            <w:tcW w:w="7740" w:type="dxa"/>
            <w:vAlign w:val="bottom"/>
            <w:shd w:val="clear" w:color="auto" w:fill="CFF0FC"/>
          </w:tcPr>
          <w:p>
            <w:pPr>
              <w:spacing w:after="0"/>
              <w:rPr>
                <w:sz w:val="20"/>
                <w:szCs w:val="20"/>
                <w:color w:val="auto"/>
              </w:rPr>
            </w:pPr>
            <w:r>
              <w:rPr>
                <w:rFonts w:ascii="Arial" w:cs="Arial" w:eastAsia="Arial" w:hAnsi="Arial"/>
                <w:sz w:val="14"/>
                <w:szCs w:val="14"/>
                <w:color w:val="auto"/>
              </w:rPr>
              <w:t>Net sales</w:t>
            </w:r>
          </w:p>
        </w:tc>
        <w:tc>
          <w:tcPr>
            <w:tcW w:w="1080" w:type="dxa"/>
            <w:vAlign w:val="bottom"/>
            <w:shd w:val="clear" w:color="auto" w:fill="CFF0FC"/>
          </w:tcPr>
          <w:p>
            <w:pPr>
              <w:jc w:val="right"/>
              <w:ind w:right="931"/>
              <w:spacing w:after="0"/>
              <w:rPr>
                <w:sz w:val="20"/>
                <w:szCs w:val="20"/>
                <w:color w:val="auto"/>
              </w:rPr>
            </w:pPr>
            <w:r>
              <w:rPr>
                <w:rFonts w:ascii="Arial" w:cs="Arial" w:eastAsia="Arial" w:hAnsi="Arial"/>
                <w:sz w:val="14"/>
                <w:szCs w:val="14"/>
                <w:b w:val="1"/>
                <w:bCs w:val="1"/>
                <w:color w:val="auto"/>
                <w:w w:val="76"/>
              </w:rPr>
              <w:t>$</w:t>
            </w:r>
          </w:p>
        </w:tc>
        <w:tc>
          <w:tcPr>
            <w:tcW w:w="580" w:type="dxa"/>
            <w:vAlign w:val="bottom"/>
            <w:shd w:val="clear" w:color="auto" w:fill="CFF0FC"/>
          </w:tcPr>
          <w:p>
            <w:pPr>
              <w:jc w:val="right"/>
              <w:ind w:right="50"/>
              <w:spacing w:after="0"/>
              <w:rPr>
                <w:sz w:val="20"/>
                <w:szCs w:val="20"/>
                <w:color w:val="auto"/>
              </w:rPr>
            </w:pPr>
            <w:r>
              <w:rPr>
                <w:rFonts w:ascii="Arial" w:cs="Arial" w:eastAsia="Arial" w:hAnsi="Arial"/>
                <w:sz w:val="14"/>
                <w:szCs w:val="14"/>
                <w:b w:val="1"/>
                <w:bCs w:val="1"/>
                <w:color w:val="auto"/>
              </w:rPr>
              <w:t>637</w:t>
            </w:r>
          </w:p>
        </w:tc>
        <w:tc>
          <w:tcPr>
            <w:tcW w:w="180" w:type="dxa"/>
            <w:vAlign w:val="bottom"/>
            <w:shd w:val="clear" w:color="auto" w:fill="CFF0FC"/>
          </w:tcPr>
          <w:p>
            <w:pPr>
              <w:spacing w:after="0"/>
              <w:rPr>
                <w:sz w:val="14"/>
                <w:szCs w:val="14"/>
                <w:color w:val="auto"/>
              </w:rPr>
            </w:pPr>
          </w:p>
        </w:tc>
        <w:tc>
          <w:tcPr>
            <w:tcW w:w="360" w:type="dxa"/>
            <w:vAlign w:val="bottom"/>
            <w:shd w:val="clear" w:color="auto" w:fill="CFF0FC"/>
          </w:tcPr>
          <w:p>
            <w:pPr>
              <w:jc w:val="right"/>
              <w:ind w:right="210"/>
              <w:spacing w:after="0"/>
              <w:rPr>
                <w:sz w:val="20"/>
                <w:szCs w:val="20"/>
                <w:color w:val="auto"/>
              </w:rPr>
            </w:pPr>
            <w:r>
              <w:rPr>
                <w:rFonts w:ascii="Arial" w:cs="Arial" w:eastAsia="Arial" w:hAnsi="Arial"/>
                <w:sz w:val="14"/>
                <w:szCs w:val="14"/>
                <w:color w:val="auto"/>
                <w:w w:val="76"/>
              </w:rPr>
              <w:t>$</w:t>
            </w:r>
          </w:p>
        </w:tc>
        <w:tc>
          <w:tcPr>
            <w:tcW w:w="1320" w:type="dxa"/>
            <w:vAlign w:val="bottom"/>
            <w:shd w:val="clear" w:color="auto" w:fill="CFF0FC"/>
          </w:tcPr>
          <w:p>
            <w:pPr>
              <w:jc w:val="right"/>
              <w:ind w:right="70"/>
              <w:spacing w:after="0"/>
              <w:rPr>
                <w:sz w:val="20"/>
                <w:szCs w:val="20"/>
                <w:color w:val="auto"/>
              </w:rPr>
            </w:pPr>
            <w:r>
              <w:rPr>
                <w:rFonts w:ascii="Arial" w:cs="Arial" w:eastAsia="Arial" w:hAnsi="Arial"/>
                <w:sz w:val="14"/>
                <w:szCs w:val="14"/>
                <w:color w:val="auto"/>
              </w:rPr>
              <w:t>675</w:t>
            </w:r>
          </w:p>
        </w:tc>
        <w:tc>
          <w:tcPr>
            <w:tcW w:w="0" w:type="dxa"/>
            <w:vAlign w:val="bottom"/>
          </w:tcPr>
          <w:p>
            <w:pPr>
              <w:spacing w:after="0"/>
              <w:rPr>
                <w:sz w:val="1"/>
                <w:szCs w:val="1"/>
                <w:color w:val="auto"/>
              </w:rPr>
            </w:pPr>
          </w:p>
        </w:tc>
      </w:tr>
      <w:tr>
        <w:trPr>
          <w:trHeight w:val="176"/>
        </w:trPr>
        <w:tc>
          <w:tcPr>
            <w:tcW w:w="7740" w:type="dxa"/>
            <w:vAlign w:val="bottom"/>
            <w:tcBorders>
              <w:bottom w:val="single" w:sz="8" w:color="CFF0FC"/>
            </w:tcBorders>
          </w:tcPr>
          <w:p>
            <w:pPr>
              <w:spacing w:after="0"/>
              <w:rPr>
                <w:sz w:val="20"/>
                <w:szCs w:val="20"/>
                <w:color w:val="auto"/>
              </w:rPr>
            </w:pPr>
            <w:r>
              <w:rPr>
                <w:rFonts w:ascii="Arial" w:cs="Arial" w:eastAsia="Arial" w:hAnsi="Arial"/>
                <w:sz w:val="14"/>
                <w:szCs w:val="14"/>
                <w:color w:val="auto"/>
              </w:rPr>
              <w:t>Cost of sales</w:t>
            </w:r>
          </w:p>
        </w:tc>
        <w:tc>
          <w:tcPr>
            <w:tcW w:w="10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b w:val="1"/>
                <w:bCs w:val="1"/>
                <w:color w:val="auto"/>
              </w:rPr>
              <w:t>311</w:t>
            </w:r>
          </w:p>
        </w:tc>
        <w:tc>
          <w:tcPr>
            <w:tcW w:w="180" w:type="dxa"/>
            <w:vAlign w:val="bottom"/>
            <w:tcBorders>
              <w:bottom w:val="single" w:sz="8" w:color="CFF0FC"/>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color w:val="auto"/>
              </w:rPr>
              <w:t>316</w:t>
            </w:r>
          </w:p>
        </w:tc>
        <w:tc>
          <w:tcPr>
            <w:tcW w:w="0" w:type="dxa"/>
            <w:vAlign w:val="bottom"/>
          </w:tcPr>
          <w:p>
            <w:pPr>
              <w:spacing w:after="0"/>
              <w:rPr>
                <w:sz w:val="1"/>
                <w:szCs w:val="1"/>
                <w:color w:val="auto"/>
              </w:rPr>
            </w:pPr>
          </w:p>
        </w:tc>
      </w:tr>
      <w:tr>
        <w:trPr>
          <w:trHeight w:val="168"/>
        </w:trPr>
        <w:tc>
          <w:tcPr>
            <w:tcW w:w="7740" w:type="dxa"/>
            <w:vAlign w:val="bottom"/>
            <w:shd w:val="clear" w:color="auto" w:fill="CFF0FC"/>
          </w:tcPr>
          <w:p>
            <w:pPr>
              <w:spacing w:after="0"/>
              <w:rPr>
                <w:sz w:val="20"/>
                <w:szCs w:val="20"/>
                <w:color w:val="auto"/>
              </w:rPr>
            </w:pPr>
            <w:r>
              <w:rPr>
                <w:rFonts w:ascii="Arial" w:cs="Arial" w:eastAsia="Arial" w:hAnsi="Arial"/>
                <w:sz w:val="14"/>
                <w:szCs w:val="14"/>
                <w:b w:val="1"/>
                <w:bCs w:val="1"/>
                <w:color w:val="auto"/>
              </w:rPr>
              <w:t>Gross profit</w:t>
            </w:r>
          </w:p>
        </w:tc>
        <w:tc>
          <w:tcPr>
            <w:tcW w:w="1080" w:type="dxa"/>
            <w:vAlign w:val="bottom"/>
            <w:shd w:val="clear" w:color="auto" w:fill="CFF0FC"/>
          </w:tcPr>
          <w:p>
            <w:pPr>
              <w:spacing w:after="0"/>
              <w:rPr>
                <w:sz w:val="14"/>
                <w:szCs w:val="14"/>
                <w:color w:val="auto"/>
              </w:rPr>
            </w:pPr>
          </w:p>
        </w:tc>
        <w:tc>
          <w:tcPr>
            <w:tcW w:w="580" w:type="dxa"/>
            <w:vAlign w:val="bottom"/>
            <w:shd w:val="clear" w:color="auto" w:fill="CFF0FC"/>
          </w:tcPr>
          <w:p>
            <w:pPr>
              <w:jc w:val="right"/>
              <w:ind w:right="50"/>
              <w:spacing w:after="0"/>
              <w:rPr>
                <w:sz w:val="20"/>
                <w:szCs w:val="20"/>
                <w:color w:val="auto"/>
              </w:rPr>
            </w:pPr>
            <w:r>
              <w:rPr>
                <w:rFonts w:ascii="Arial" w:cs="Arial" w:eastAsia="Arial" w:hAnsi="Arial"/>
                <w:sz w:val="14"/>
                <w:szCs w:val="14"/>
                <w:b w:val="1"/>
                <w:bCs w:val="1"/>
                <w:color w:val="auto"/>
              </w:rPr>
              <w:t>326</w:t>
            </w:r>
          </w:p>
        </w:tc>
        <w:tc>
          <w:tcPr>
            <w:tcW w:w="18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320" w:type="dxa"/>
            <w:vAlign w:val="bottom"/>
            <w:shd w:val="clear" w:color="auto" w:fill="CFF0FC"/>
          </w:tcPr>
          <w:p>
            <w:pPr>
              <w:jc w:val="right"/>
              <w:ind w:right="70"/>
              <w:spacing w:after="0"/>
              <w:rPr>
                <w:sz w:val="20"/>
                <w:szCs w:val="20"/>
                <w:color w:val="auto"/>
              </w:rPr>
            </w:pPr>
            <w:r>
              <w:rPr>
                <w:rFonts w:ascii="Arial" w:cs="Arial" w:eastAsia="Arial" w:hAnsi="Arial"/>
                <w:sz w:val="14"/>
                <w:szCs w:val="14"/>
                <w:color w:val="auto"/>
              </w:rPr>
              <w:t>359</w:t>
            </w:r>
          </w:p>
        </w:tc>
        <w:tc>
          <w:tcPr>
            <w:tcW w:w="0" w:type="dxa"/>
            <w:vAlign w:val="bottom"/>
          </w:tcPr>
          <w:p>
            <w:pPr>
              <w:spacing w:after="0"/>
              <w:rPr>
                <w:sz w:val="1"/>
                <w:szCs w:val="1"/>
                <w:color w:val="auto"/>
              </w:rPr>
            </w:pPr>
          </w:p>
        </w:tc>
      </w:tr>
      <w:tr>
        <w:trPr>
          <w:trHeight w:val="176"/>
        </w:trPr>
        <w:tc>
          <w:tcPr>
            <w:tcW w:w="7740" w:type="dxa"/>
            <w:vAlign w:val="bottom"/>
          </w:tcPr>
          <w:p>
            <w:pPr>
              <w:spacing w:after="0"/>
              <w:rPr>
                <w:sz w:val="20"/>
                <w:szCs w:val="20"/>
                <w:color w:val="auto"/>
              </w:rPr>
            </w:pPr>
            <w:r>
              <w:rPr>
                <w:rFonts w:ascii="Arial" w:cs="Arial" w:eastAsia="Arial" w:hAnsi="Arial"/>
                <w:sz w:val="14"/>
                <w:szCs w:val="14"/>
                <w:color w:val="auto"/>
              </w:rPr>
              <w:t>Selling, general and administrative</w:t>
            </w:r>
          </w:p>
        </w:tc>
        <w:tc>
          <w:tcPr>
            <w:tcW w:w="1080" w:type="dxa"/>
            <w:vAlign w:val="bottom"/>
          </w:tcPr>
          <w:p>
            <w:pPr>
              <w:spacing w:after="0"/>
              <w:rPr>
                <w:sz w:val="15"/>
                <w:szCs w:val="15"/>
                <w:color w:val="auto"/>
              </w:rPr>
            </w:pPr>
          </w:p>
        </w:tc>
        <w:tc>
          <w:tcPr>
            <w:tcW w:w="580" w:type="dxa"/>
            <w:vAlign w:val="bottom"/>
          </w:tcPr>
          <w:p>
            <w:pPr>
              <w:jc w:val="right"/>
              <w:ind w:right="50"/>
              <w:spacing w:after="0"/>
              <w:rPr>
                <w:sz w:val="20"/>
                <w:szCs w:val="20"/>
                <w:color w:val="auto"/>
              </w:rPr>
            </w:pPr>
            <w:r>
              <w:rPr>
                <w:rFonts w:ascii="Arial" w:cs="Arial" w:eastAsia="Arial" w:hAnsi="Arial"/>
                <w:sz w:val="14"/>
                <w:szCs w:val="14"/>
                <w:b w:val="1"/>
                <w:bCs w:val="1"/>
                <w:color w:val="auto"/>
              </w:rPr>
              <w:t>75</w:t>
            </w:r>
          </w:p>
        </w:tc>
        <w:tc>
          <w:tcPr>
            <w:tcW w:w="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20" w:type="dxa"/>
            <w:vAlign w:val="bottom"/>
          </w:tcPr>
          <w:p>
            <w:pPr>
              <w:jc w:val="right"/>
              <w:ind w:right="70"/>
              <w:spacing w:after="0"/>
              <w:rPr>
                <w:sz w:val="20"/>
                <w:szCs w:val="20"/>
                <w:color w:val="auto"/>
              </w:rPr>
            </w:pPr>
            <w:r>
              <w:rPr>
                <w:rFonts w:ascii="Arial" w:cs="Arial" w:eastAsia="Arial" w:hAnsi="Arial"/>
                <w:sz w:val="14"/>
                <w:szCs w:val="14"/>
                <w:color w:val="auto"/>
              </w:rPr>
              <w:t>84</w:t>
            </w:r>
          </w:p>
        </w:tc>
        <w:tc>
          <w:tcPr>
            <w:tcW w:w="0" w:type="dxa"/>
            <w:vAlign w:val="bottom"/>
          </w:tcPr>
          <w:p>
            <w:pPr>
              <w:spacing w:after="0"/>
              <w:rPr>
                <w:sz w:val="1"/>
                <w:szCs w:val="1"/>
                <w:color w:val="auto"/>
              </w:rPr>
            </w:pPr>
          </w:p>
        </w:tc>
      </w:tr>
      <w:tr>
        <w:trPr>
          <w:trHeight w:val="176"/>
        </w:trPr>
        <w:tc>
          <w:tcPr>
            <w:tcW w:w="7740" w:type="dxa"/>
            <w:vAlign w:val="bottom"/>
            <w:shd w:val="clear" w:color="auto" w:fill="CFF0FC"/>
          </w:tcPr>
          <w:p>
            <w:pPr>
              <w:spacing w:after="0"/>
              <w:rPr>
                <w:sz w:val="20"/>
                <w:szCs w:val="20"/>
                <w:color w:val="auto"/>
              </w:rPr>
            </w:pPr>
            <w:r>
              <w:rPr>
                <w:rFonts w:ascii="Arial" w:cs="Arial" w:eastAsia="Arial" w:hAnsi="Arial"/>
                <w:sz w:val="14"/>
                <w:szCs w:val="14"/>
                <w:color w:val="auto"/>
              </w:rPr>
              <w:t>Engineering — research and development</w:t>
            </w:r>
          </w:p>
        </w:tc>
        <w:tc>
          <w:tcPr>
            <w:tcW w:w="1080" w:type="dxa"/>
            <w:vAlign w:val="bottom"/>
            <w:tcBorders>
              <w:bottom w:val="single" w:sz="8" w:color="auto"/>
            </w:tcBorders>
            <w:shd w:val="clear" w:color="auto" w:fill="CFF0FC"/>
          </w:tcPr>
          <w:p>
            <w:pPr>
              <w:spacing w:after="0"/>
              <w:rPr>
                <w:sz w:val="15"/>
                <w:szCs w:val="15"/>
                <w:color w:val="auto"/>
              </w:rPr>
            </w:pPr>
          </w:p>
        </w:tc>
        <w:tc>
          <w:tcPr>
            <w:tcW w:w="58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4"/>
                <w:szCs w:val="14"/>
                <w:b w:val="1"/>
                <w:bCs w:val="1"/>
                <w:color w:val="auto"/>
              </w:rPr>
              <w:t>36</w:t>
            </w:r>
          </w:p>
        </w:tc>
        <w:tc>
          <w:tcPr>
            <w:tcW w:w="180" w:type="dxa"/>
            <w:vAlign w:val="bottom"/>
            <w:shd w:val="clear" w:color="auto" w:fill="CFF0FC"/>
          </w:tcPr>
          <w:p>
            <w:pPr>
              <w:spacing w:after="0"/>
              <w:rPr>
                <w:sz w:val="15"/>
                <w:szCs w:val="15"/>
                <w:color w:val="auto"/>
              </w:rPr>
            </w:pPr>
          </w:p>
        </w:tc>
        <w:tc>
          <w:tcPr>
            <w:tcW w:w="360" w:type="dxa"/>
            <w:vAlign w:val="bottom"/>
            <w:tcBorders>
              <w:bottom w:val="single" w:sz="8" w:color="auto"/>
            </w:tcBorders>
            <w:shd w:val="clear" w:color="auto" w:fill="CFF0FC"/>
          </w:tcPr>
          <w:p>
            <w:pPr>
              <w:spacing w:after="0"/>
              <w:rPr>
                <w:sz w:val="15"/>
                <w:szCs w:val="15"/>
                <w:color w:val="auto"/>
              </w:rPr>
            </w:pPr>
          </w:p>
        </w:tc>
        <w:tc>
          <w:tcPr>
            <w:tcW w:w="132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168"/>
        </w:trPr>
        <w:tc>
          <w:tcPr>
            <w:tcW w:w="7740" w:type="dxa"/>
            <w:vAlign w:val="bottom"/>
          </w:tcPr>
          <w:p>
            <w:pPr>
              <w:spacing w:after="0"/>
              <w:rPr>
                <w:sz w:val="20"/>
                <w:szCs w:val="20"/>
                <w:color w:val="auto"/>
              </w:rPr>
            </w:pPr>
            <w:r>
              <w:rPr>
                <w:rFonts w:ascii="Arial" w:cs="Arial" w:eastAsia="Arial" w:hAnsi="Arial"/>
                <w:sz w:val="14"/>
                <w:szCs w:val="14"/>
                <w:b w:val="1"/>
                <w:bCs w:val="1"/>
                <w:color w:val="auto"/>
              </w:rPr>
              <w:t>Operating income</w:t>
            </w:r>
          </w:p>
        </w:tc>
        <w:tc>
          <w:tcPr>
            <w:tcW w:w="1080" w:type="dxa"/>
            <w:vAlign w:val="bottom"/>
          </w:tcPr>
          <w:p>
            <w:pPr>
              <w:spacing w:after="0"/>
              <w:rPr>
                <w:sz w:val="14"/>
                <w:szCs w:val="14"/>
                <w:color w:val="auto"/>
              </w:rPr>
            </w:pPr>
          </w:p>
        </w:tc>
        <w:tc>
          <w:tcPr>
            <w:tcW w:w="580" w:type="dxa"/>
            <w:vAlign w:val="bottom"/>
          </w:tcPr>
          <w:p>
            <w:pPr>
              <w:jc w:val="right"/>
              <w:ind w:right="50"/>
              <w:spacing w:after="0"/>
              <w:rPr>
                <w:sz w:val="20"/>
                <w:szCs w:val="20"/>
                <w:color w:val="auto"/>
              </w:rPr>
            </w:pPr>
            <w:r>
              <w:rPr>
                <w:rFonts w:ascii="Arial" w:cs="Arial" w:eastAsia="Arial" w:hAnsi="Arial"/>
                <w:sz w:val="14"/>
                <w:szCs w:val="14"/>
                <w:b w:val="1"/>
                <w:bCs w:val="1"/>
                <w:color w:val="auto"/>
              </w:rPr>
              <w:t>215</w:t>
            </w: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20" w:type="dxa"/>
            <w:vAlign w:val="bottom"/>
          </w:tcPr>
          <w:p>
            <w:pPr>
              <w:jc w:val="right"/>
              <w:ind w:right="70"/>
              <w:spacing w:after="0"/>
              <w:rPr>
                <w:sz w:val="20"/>
                <w:szCs w:val="20"/>
                <w:color w:val="auto"/>
              </w:rPr>
            </w:pPr>
            <w:r>
              <w:rPr>
                <w:rFonts w:ascii="Arial" w:cs="Arial" w:eastAsia="Arial" w:hAnsi="Arial"/>
                <w:sz w:val="14"/>
                <w:szCs w:val="14"/>
                <w:color w:val="auto"/>
              </w:rPr>
              <w:t>244</w:t>
            </w:r>
          </w:p>
        </w:tc>
        <w:tc>
          <w:tcPr>
            <w:tcW w:w="0" w:type="dxa"/>
            <w:vAlign w:val="bottom"/>
          </w:tcPr>
          <w:p>
            <w:pPr>
              <w:spacing w:after="0"/>
              <w:rPr>
                <w:sz w:val="1"/>
                <w:szCs w:val="1"/>
                <w:color w:val="auto"/>
              </w:rPr>
            </w:pPr>
          </w:p>
        </w:tc>
      </w:tr>
      <w:tr>
        <w:trPr>
          <w:trHeight w:val="176"/>
        </w:trPr>
        <w:tc>
          <w:tcPr>
            <w:tcW w:w="7740" w:type="dxa"/>
            <w:vAlign w:val="bottom"/>
            <w:shd w:val="clear" w:color="auto" w:fill="CFF0FC"/>
          </w:tcPr>
          <w:p>
            <w:pPr>
              <w:spacing w:after="0"/>
              <w:rPr>
                <w:sz w:val="20"/>
                <w:szCs w:val="20"/>
                <w:color w:val="auto"/>
              </w:rPr>
            </w:pPr>
            <w:r>
              <w:rPr>
                <w:rFonts w:ascii="Arial" w:cs="Arial" w:eastAsia="Arial" w:hAnsi="Arial"/>
                <w:sz w:val="14"/>
                <w:szCs w:val="14"/>
                <w:color w:val="auto"/>
              </w:rPr>
              <w:t>Interest expense, net</w:t>
            </w:r>
          </w:p>
        </w:tc>
        <w:tc>
          <w:tcPr>
            <w:tcW w:w="108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b w:val="1"/>
                <w:bCs w:val="1"/>
                <w:color w:val="auto"/>
              </w:rPr>
              <w:t>(33)</w:t>
            </w:r>
          </w:p>
        </w:tc>
        <w:tc>
          <w:tcPr>
            <w:tcW w:w="18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320" w:type="dxa"/>
            <w:vAlign w:val="bottom"/>
            <w:shd w:val="clear" w:color="auto" w:fill="CFF0FC"/>
          </w:tcPr>
          <w:p>
            <w:pPr>
              <w:jc w:val="right"/>
              <w:ind w:right="10"/>
              <w:spacing w:after="0"/>
              <w:rPr>
                <w:sz w:val="20"/>
                <w:szCs w:val="20"/>
                <w:color w:val="auto"/>
              </w:rPr>
            </w:pPr>
            <w:r>
              <w:rPr>
                <w:rFonts w:ascii="Arial" w:cs="Arial" w:eastAsia="Arial" w:hAnsi="Arial"/>
                <w:sz w:val="14"/>
                <w:szCs w:val="14"/>
                <w:color w:val="auto"/>
              </w:rPr>
              <w:t>(36)</w:t>
            </w:r>
          </w:p>
        </w:tc>
        <w:tc>
          <w:tcPr>
            <w:tcW w:w="0" w:type="dxa"/>
            <w:vAlign w:val="bottom"/>
          </w:tcPr>
          <w:p>
            <w:pPr>
              <w:spacing w:after="0"/>
              <w:rPr>
                <w:sz w:val="1"/>
                <w:szCs w:val="1"/>
                <w:color w:val="auto"/>
              </w:rPr>
            </w:pPr>
          </w:p>
        </w:tc>
      </w:tr>
      <w:tr>
        <w:trPr>
          <w:trHeight w:val="176"/>
        </w:trPr>
        <w:tc>
          <w:tcPr>
            <w:tcW w:w="7740" w:type="dxa"/>
            <w:vAlign w:val="bottom"/>
            <w:tcBorders>
              <w:bottom w:val="single" w:sz="8" w:color="CFF0FC"/>
            </w:tcBorders>
          </w:tcPr>
          <w:p>
            <w:pPr>
              <w:spacing w:after="0"/>
              <w:rPr>
                <w:sz w:val="20"/>
                <w:szCs w:val="20"/>
                <w:color w:val="auto"/>
              </w:rPr>
            </w:pPr>
            <w:r>
              <w:rPr>
                <w:rFonts w:ascii="Arial" w:cs="Arial" w:eastAsia="Arial" w:hAnsi="Arial"/>
                <w:sz w:val="14"/>
                <w:szCs w:val="14"/>
                <w:color w:val="auto"/>
              </w:rPr>
              <w:t>Other (expense) income, net</w:t>
            </w:r>
          </w:p>
        </w:tc>
        <w:tc>
          <w:tcPr>
            <w:tcW w:w="10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w:t>
            </w:r>
          </w:p>
        </w:tc>
        <w:tc>
          <w:tcPr>
            <w:tcW w:w="180" w:type="dxa"/>
            <w:vAlign w:val="bottom"/>
            <w:tcBorders>
              <w:bottom w:val="single" w:sz="8" w:color="CFF0FC"/>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68"/>
        </w:trPr>
        <w:tc>
          <w:tcPr>
            <w:tcW w:w="7740" w:type="dxa"/>
            <w:vAlign w:val="bottom"/>
            <w:shd w:val="clear" w:color="auto" w:fill="CFF0FC"/>
          </w:tcPr>
          <w:p>
            <w:pPr>
              <w:spacing w:after="0"/>
              <w:rPr>
                <w:sz w:val="20"/>
                <w:szCs w:val="20"/>
                <w:color w:val="auto"/>
              </w:rPr>
            </w:pPr>
            <w:r>
              <w:rPr>
                <w:rFonts w:ascii="Arial" w:cs="Arial" w:eastAsia="Arial" w:hAnsi="Arial"/>
                <w:sz w:val="14"/>
                <w:szCs w:val="14"/>
                <w:b w:val="1"/>
                <w:bCs w:val="1"/>
                <w:color w:val="auto"/>
              </w:rPr>
              <w:t>Income before income taxes</w:t>
            </w:r>
          </w:p>
        </w:tc>
        <w:tc>
          <w:tcPr>
            <w:tcW w:w="1080" w:type="dxa"/>
            <w:vAlign w:val="bottom"/>
            <w:shd w:val="clear" w:color="auto" w:fill="CFF0FC"/>
          </w:tcPr>
          <w:p>
            <w:pPr>
              <w:spacing w:after="0"/>
              <w:rPr>
                <w:sz w:val="14"/>
                <w:szCs w:val="14"/>
                <w:color w:val="auto"/>
              </w:rPr>
            </w:pPr>
          </w:p>
        </w:tc>
        <w:tc>
          <w:tcPr>
            <w:tcW w:w="580" w:type="dxa"/>
            <w:vAlign w:val="bottom"/>
            <w:shd w:val="clear" w:color="auto" w:fill="CFF0FC"/>
          </w:tcPr>
          <w:p>
            <w:pPr>
              <w:jc w:val="right"/>
              <w:ind w:right="50"/>
              <w:spacing w:after="0"/>
              <w:rPr>
                <w:sz w:val="20"/>
                <w:szCs w:val="20"/>
                <w:color w:val="auto"/>
              </w:rPr>
            </w:pPr>
            <w:r>
              <w:rPr>
                <w:rFonts w:ascii="Arial" w:cs="Arial" w:eastAsia="Arial" w:hAnsi="Arial"/>
                <w:sz w:val="14"/>
                <w:szCs w:val="14"/>
                <w:b w:val="1"/>
                <w:bCs w:val="1"/>
                <w:color w:val="auto"/>
              </w:rPr>
              <w:t>181</w:t>
            </w:r>
          </w:p>
        </w:tc>
        <w:tc>
          <w:tcPr>
            <w:tcW w:w="18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320" w:type="dxa"/>
            <w:vAlign w:val="bottom"/>
            <w:shd w:val="clear" w:color="auto" w:fill="CFF0FC"/>
          </w:tcPr>
          <w:p>
            <w:pPr>
              <w:jc w:val="right"/>
              <w:ind w:right="70"/>
              <w:spacing w:after="0"/>
              <w:rPr>
                <w:sz w:val="20"/>
                <w:szCs w:val="20"/>
                <w:color w:val="auto"/>
              </w:rPr>
            </w:pPr>
            <w:r>
              <w:rPr>
                <w:rFonts w:ascii="Arial" w:cs="Arial" w:eastAsia="Arial" w:hAnsi="Arial"/>
                <w:sz w:val="14"/>
                <w:szCs w:val="14"/>
                <w:color w:val="auto"/>
              </w:rPr>
              <w:t>211</w:t>
            </w:r>
          </w:p>
        </w:tc>
        <w:tc>
          <w:tcPr>
            <w:tcW w:w="0" w:type="dxa"/>
            <w:vAlign w:val="bottom"/>
          </w:tcPr>
          <w:p>
            <w:pPr>
              <w:spacing w:after="0"/>
              <w:rPr>
                <w:sz w:val="1"/>
                <w:szCs w:val="1"/>
                <w:color w:val="auto"/>
              </w:rPr>
            </w:pPr>
          </w:p>
        </w:tc>
      </w:tr>
      <w:tr>
        <w:trPr>
          <w:trHeight w:val="176"/>
        </w:trPr>
        <w:tc>
          <w:tcPr>
            <w:tcW w:w="7740" w:type="dxa"/>
            <w:vAlign w:val="bottom"/>
            <w:tcBorders>
              <w:bottom w:val="single" w:sz="8" w:color="CFF0FC"/>
            </w:tcBorders>
          </w:tcPr>
          <w:p>
            <w:pPr>
              <w:spacing w:after="0"/>
              <w:rPr>
                <w:sz w:val="20"/>
                <w:szCs w:val="20"/>
                <w:color w:val="auto"/>
              </w:rPr>
            </w:pPr>
            <w:r>
              <w:rPr>
                <w:rFonts w:ascii="Arial" w:cs="Arial" w:eastAsia="Arial" w:hAnsi="Arial"/>
                <w:sz w:val="14"/>
                <w:szCs w:val="14"/>
                <w:color w:val="auto"/>
              </w:rPr>
              <w:t>Income tax expense</w:t>
            </w:r>
          </w:p>
        </w:tc>
        <w:tc>
          <w:tcPr>
            <w:tcW w:w="10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(42)</w:t>
            </w:r>
          </w:p>
        </w:tc>
        <w:tc>
          <w:tcPr>
            <w:tcW w:w="180" w:type="dxa"/>
            <w:vAlign w:val="bottom"/>
            <w:tcBorders>
              <w:bottom w:val="single" w:sz="8" w:color="CFF0FC"/>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(44)</w:t>
            </w:r>
          </w:p>
        </w:tc>
        <w:tc>
          <w:tcPr>
            <w:tcW w:w="0" w:type="dxa"/>
            <w:vAlign w:val="bottom"/>
          </w:tcPr>
          <w:p>
            <w:pPr>
              <w:spacing w:after="0"/>
              <w:rPr>
                <w:sz w:val="1"/>
                <w:szCs w:val="1"/>
                <w:color w:val="auto"/>
              </w:rPr>
            </w:pPr>
          </w:p>
        </w:tc>
      </w:tr>
      <w:tr>
        <w:trPr>
          <w:trHeight w:val="168"/>
        </w:trPr>
        <w:tc>
          <w:tcPr>
            <w:tcW w:w="77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4"/>
                <w:szCs w:val="14"/>
                <w:b w:val="1"/>
                <w:bCs w:val="1"/>
                <w:color w:val="auto"/>
              </w:rPr>
              <w:t>Net income</w:t>
            </w:r>
          </w:p>
        </w:tc>
        <w:tc>
          <w:tcPr>
            <w:tcW w:w="1080" w:type="dxa"/>
            <w:vAlign w:val="bottom"/>
            <w:tcBorders>
              <w:bottom w:val="single" w:sz="8" w:color="auto"/>
            </w:tcBorders>
            <w:shd w:val="clear" w:color="auto" w:fill="CFF0FC"/>
          </w:tcPr>
          <w:p>
            <w:pPr>
              <w:jc w:val="right"/>
              <w:ind w:right="931"/>
              <w:spacing w:after="0"/>
              <w:rPr>
                <w:sz w:val="20"/>
                <w:szCs w:val="20"/>
                <w:color w:val="auto"/>
              </w:rPr>
            </w:pPr>
            <w:r>
              <w:rPr>
                <w:rFonts w:ascii="Arial" w:cs="Arial" w:eastAsia="Arial" w:hAnsi="Arial"/>
                <w:sz w:val="14"/>
                <w:szCs w:val="14"/>
                <w:b w:val="1"/>
                <w:bCs w:val="1"/>
                <w:color w:val="auto"/>
                <w:w w:val="76"/>
              </w:rPr>
              <w:t>$</w:t>
            </w:r>
          </w:p>
        </w:tc>
        <w:tc>
          <w:tcPr>
            <w:tcW w:w="58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4"/>
                <w:szCs w:val="14"/>
                <w:b w:val="1"/>
                <w:bCs w:val="1"/>
                <w:color w:val="auto"/>
              </w:rPr>
              <w:t>139</w:t>
            </w:r>
          </w:p>
        </w:tc>
        <w:tc>
          <w:tcPr>
            <w:tcW w:w="180" w:type="dxa"/>
            <w:vAlign w:val="bottom"/>
            <w:tcBorders>
              <w:bottom w:val="single" w:sz="8" w:color="CFF0FC"/>
            </w:tcBorders>
            <w:shd w:val="clear" w:color="auto" w:fill="CFF0FC"/>
          </w:tcPr>
          <w:p>
            <w:pPr>
              <w:spacing w:after="0"/>
              <w:rPr>
                <w:sz w:val="14"/>
                <w:szCs w:val="14"/>
                <w:color w:val="auto"/>
              </w:rPr>
            </w:pPr>
          </w:p>
        </w:tc>
        <w:tc>
          <w:tcPr>
            <w:tcW w:w="360" w:type="dxa"/>
            <w:vAlign w:val="bottom"/>
            <w:tcBorders>
              <w:bottom w:val="single" w:sz="8" w:color="auto"/>
            </w:tcBorders>
            <w:shd w:val="clear" w:color="auto" w:fill="CFF0FC"/>
          </w:tcPr>
          <w:p>
            <w:pPr>
              <w:jc w:val="right"/>
              <w:ind w:right="210"/>
              <w:spacing w:after="0"/>
              <w:rPr>
                <w:sz w:val="20"/>
                <w:szCs w:val="20"/>
                <w:color w:val="auto"/>
              </w:rPr>
            </w:pPr>
            <w:r>
              <w:rPr>
                <w:rFonts w:ascii="Arial" w:cs="Arial" w:eastAsia="Arial" w:hAnsi="Arial"/>
                <w:sz w:val="14"/>
                <w:szCs w:val="14"/>
                <w:color w:val="auto"/>
                <w:w w:val="76"/>
              </w:rPr>
              <w:t>$</w:t>
            </w:r>
          </w:p>
        </w:tc>
        <w:tc>
          <w:tcPr>
            <w:tcW w:w="132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4"/>
                <w:szCs w:val="14"/>
                <w:color w:val="auto"/>
              </w:rPr>
              <w:t>167</w:t>
            </w:r>
          </w:p>
        </w:tc>
        <w:tc>
          <w:tcPr>
            <w:tcW w:w="0" w:type="dxa"/>
            <w:vAlign w:val="bottom"/>
          </w:tcPr>
          <w:p>
            <w:pPr>
              <w:spacing w:after="0"/>
              <w:rPr>
                <w:sz w:val="1"/>
                <w:szCs w:val="1"/>
                <w:color w:val="auto"/>
              </w:rPr>
            </w:pPr>
          </w:p>
        </w:tc>
      </w:tr>
      <w:tr>
        <w:trPr>
          <w:trHeight w:val="20"/>
        </w:trPr>
        <w:tc>
          <w:tcPr>
            <w:tcW w:w="7740" w:type="dxa"/>
            <w:vAlign w:val="bottom"/>
            <w:vMerge w:val="restart"/>
          </w:tcPr>
          <w:p>
            <w:pPr>
              <w:spacing w:after="0"/>
              <w:rPr>
                <w:sz w:val="20"/>
                <w:szCs w:val="20"/>
                <w:color w:val="auto"/>
              </w:rPr>
            </w:pPr>
            <w:r>
              <w:rPr>
                <w:rFonts w:ascii="Arial" w:cs="Arial" w:eastAsia="Arial" w:hAnsi="Arial"/>
                <w:sz w:val="14"/>
                <w:szCs w:val="14"/>
                <w:b w:val="1"/>
                <w:bCs w:val="1"/>
                <w:color w:val="auto"/>
              </w:rPr>
              <w:t>Basic earnings per share attributable to common stockholders</w:t>
            </w:r>
          </w:p>
        </w:tc>
        <w:tc>
          <w:tcPr>
            <w:tcW w:w="10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7740" w:type="dxa"/>
            <w:vAlign w:val="bottom"/>
            <w:tcBorders>
              <w:bottom w:val="single" w:sz="8" w:color="CFF0FC"/>
            </w:tcBorders>
            <w:vMerge w:val="continue"/>
          </w:tcPr>
          <w:p>
            <w:pPr>
              <w:spacing w:after="0"/>
              <w:rPr>
                <w:sz w:val="16"/>
                <w:szCs w:val="16"/>
                <w:color w:val="auto"/>
              </w:rPr>
            </w:pPr>
          </w:p>
        </w:tc>
        <w:tc>
          <w:tcPr>
            <w:tcW w:w="1080" w:type="dxa"/>
            <w:vAlign w:val="bottom"/>
            <w:tcBorders>
              <w:bottom w:val="single" w:sz="8" w:color="auto"/>
            </w:tcBorders>
          </w:tcPr>
          <w:p>
            <w:pPr>
              <w:jc w:val="right"/>
              <w:ind w:right="931"/>
              <w:spacing w:after="0" w:line="151" w:lineRule="exact"/>
              <w:rPr>
                <w:sz w:val="20"/>
                <w:szCs w:val="20"/>
                <w:color w:val="auto"/>
              </w:rPr>
            </w:pPr>
            <w:r>
              <w:rPr>
                <w:rFonts w:ascii="Arial" w:cs="Arial" w:eastAsia="Arial" w:hAnsi="Arial"/>
                <w:sz w:val="14"/>
                <w:szCs w:val="14"/>
                <w:b w:val="1"/>
                <w:bCs w:val="1"/>
                <w:color w:val="auto"/>
                <w:w w:val="76"/>
              </w:rPr>
              <w:t>$</w:t>
            </w:r>
          </w:p>
        </w:tc>
        <w:tc>
          <w:tcPr>
            <w:tcW w:w="580" w:type="dxa"/>
            <w:vAlign w:val="bottom"/>
            <w:tcBorders>
              <w:bottom w:val="single" w:sz="8" w:color="auto"/>
            </w:tcBorders>
          </w:tcPr>
          <w:p>
            <w:pPr>
              <w:jc w:val="right"/>
              <w:ind w:right="50"/>
              <w:spacing w:after="0" w:line="151" w:lineRule="exact"/>
              <w:rPr>
                <w:sz w:val="20"/>
                <w:szCs w:val="20"/>
                <w:color w:val="auto"/>
              </w:rPr>
            </w:pPr>
            <w:r>
              <w:rPr>
                <w:rFonts w:ascii="Arial" w:cs="Arial" w:eastAsia="Arial" w:hAnsi="Arial"/>
                <w:sz w:val="14"/>
                <w:szCs w:val="14"/>
                <w:b w:val="1"/>
                <w:bCs w:val="1"/>
                <w:color w:val="auto"/>
              </w:rPr>
              <w:t>1.20</w:t>
            </w:r>
          </w:p>
        </w:tc>
        <w:tc>
          <w:tcPr>
            <w:tcW w:w="180" w:type="dxa"/>
            <w:vAlign w:val="bottom"/>
            <w:tcBorders>
              <w:bottom w:val="single" w:sz="8" w:color="CFF0FC"/>
            </w:tcBorders>
          </w:tcPr>
          <w:p>
            <w:pPr>
              <w:spacing w:after="0"/>
              <w:rPr>
                <w:sz w:val="16"/>
                <w:szCs w:val="16"/>
                <w:color w:val="auto"/>
              </w:rPr>
            </w:pPr>
          </w:p>
        </w:tc>
        <w:tc>
          <w:tcPr>
            <w:tcW w:w="360" w:type="dxa"/>
            <w:vAlign w:val="bottom"/>
            <w:tcBorders>
              <w:bottom w:val="single" w:sz="8" w:color="auto"/>
            </w:tcBorders>
          </w:tcPr>
          <w:p>
            <w:pPr>
              <w:jc w:val="right"/>
              <w:ind w:right="210"/>
              <w:spacing w:after="0" w:line="151" w:lineRule="exact"/>
              <w:rPr>
                <w:sz w:val="20"/>
                <w:szCs w:val="20"/>
                <w:color w:val="auto"/>
              </w:rPr>
            </w:pPr>
            <w:r>
              <w:rPr>
                <w:rFonts w:ascii="Arial" w:cs="Arial" w:eastAsia="Arial" w:hAnsi="Arial"/>
                <w:sz w:val="14"/>
                <w:szCs w:val="14"/>
                <w:color w:val="auto"/>
                <w:w w:val="76"/>
              </w:rPr>
              <w:t>$</w:t>
            </w:r>
          </w:p>
        </w:tc>
        <w:tc>
          <w:tcPr>
            <w:tcW w:w="1320" w:type="dxa"/>
            <w:vAlign w:val="bottom"/>
            <w:tcBorders>
              <w:bottom w:val="single" w:sz="8" w:color="auto"/>
            </w:tcBorders>
          </w:tcPr>
          <w:p>
            <w:pPr>
              <w:jc w:val="right"/>
              <w:ind w:right="70"/>
              <w:spacing w:after="0" w:line="151" w:lineRule="exact"/>
              <w:rPr>
                <w:sz w:val="20"/>
                <w:szCs w:val="20"/>
                <w:color w:val="auto"/>
              </w:rPr>
            </w:pPr>
            <w:r>
              <w:rPr>
                <w:rFonts w:ascii="Arial" w:cs="Arial" w:eastAsia="Arial" w:hAnsi="Arial"/>
                <w:sz w:val="14"/>
                <w:szCs w:val="14"/>
                <w:color w:val="auto"/>
              </w:rPr>
              <w:t>1.33</w:t>
            </w:r>
          </w:p>
        </w:tc>
        <w:tc>
          <w:tcPr>
            <w:tcW w:w="0" w:type="dxa"/>
            <w:vAlign w:val="bottom"/>
          </w:tcPr>
          <w:p>
            <w:pPr>
              <w:spacing w:after="0"/>
              <w:rPr>
                <w:sz w:val="1"/>
                <w:szCs w:val="1"/>
                <w:color w:val="auto"/>
              </w:rPr>
            </w:pPr>
          </w:p>
        </w:tc>
      </w:tr>
      <w:tr>
        <w:trPr>
          <w:trHeight w:val="151"/>
        </w:trPr>
        <w:tc>
          <w:tcPr>
            <w:tcW w:w="7740" w:type="dxa"/>
            <w:vAlign w:val="bottom"/>
            <w:tcBorders>
              <w:bottom w:val="single" w:sz="8" w:color="CFF0FC"/>
            </w:tcBorders>
            <w:shd w:val="clear" w:color="auto" w:fill="CFF0FC"/>
          </w:tcPr>
          <w:p>
            <w:pPr>
              <w:spacing w:after="0" w:line="151" w:lineRule="exact"/>
              <w:rPr>
                <w:sz w:val="20"/>
                <w:szCs w:val="20"/>
                <w:color w:val="auto"/>
              </w:rPr>
            </w:pPr>
            <w:r>
              <w:rPr>
                <w:rFonts w:ascii="Arial" w:cs="Arial" w:eastAsia="Arial" w:hAnsi="Arial"/>
                <w:sz w:val="14"/>
                <w:szCs w:val="14"/>
                <w:b w:val="1"/>
                <w:bCs w:val="1"/>
                <w:color w:val="auto"/>
              </w:rPr>
              <w:t>Diluted earnings per share attributable to common stockholders</w:t>
            </w:r>
          </w:p>
        </w:tc>
        <w:tc>
          <w:tcPr>
            <w:tcW w:w="1080" w:type="dxa"/>
            <w:vAlign w:val="bottom"/>
            <w:tcBorders>
              <w:bottom w:val="single" w:sz="8" w:color="auto"/>
            </w:tcBorders>
            <w:shd w:val="clear" w:color="auto" w:fill="CFF0FC"/>
          </w:tcPr>
          <w:p>
            <w:pPr>
              <w:jc w:val="right"/>
              <w:ind w:right="931"/>
              <w:spacing w:after="0" w:line="151" w:lineRule="exact"/>
              <w:rPr>
                <w:sz w:val="20"/>
                <w:szCs w:val="20"/>
                <w:color w:val="auto"/>
              </w:rPr>
            </w:pPr>
            <w:r>
              <w:rPr>
                <w:rFonts w:ascii="Arial" w:cs="Arial" w:eastAsia="Arial" w:hAnsi="Arial"/>
                <w:sz w:val="14"/>
                <w:szCs w:val="14"/>
                <w:b w:val="1"/>
                <w:bCs w:val="1"/>
                <w:color w:val="auto"/>
                <w:w w:val="76"/>
              </w:rPr>
              <w:t>$</w:t>
            </w:r>
          </w:p>
        </w:tc>
        <w:tc>
          <w:tcPr>
            <w:tcW w:w="580" w:type="dxa"/>
            <w:vAlign w:val="bottom"/>
            <w:tcBorders>
              <w:bottom w:val="single" w:sz="8" w:color="auto"/>
            </w:tcBorders>
            <w:shd w:val="clear" w:color="auto" w:fill="CFF0FC"/>
          </w:tcPr>
          <w:p>
            <w:pPr>
              <w:jc w:val="right"/>
              <w:ind w:right="50"/>
              <w:spacing w:after="0" w:line="151" w:lineRule="exact"/>
              <w:rPr>
                <w:sz w:val="20"/>
                <w:szCs w:val="20"/>
                <w:color w:val="auto"/>
              </w:rPr>
            </w:pPr>
            <w:r>
              <w:rPr>
                <w:rFonts w:ascii="Arial" w:cs="Arial" w:eastAsia="Arial" w:hAnsi="Arial"/>
                <w:sz w:val="14"/>
                <w:szCs w:val="14"/>
                <w:b w:val="1"/>
                <w:bCs w:val="1"/>
                <w:color w:val="auto"/>
              </w:rPr>
              <w:t>1.20</w:t>
            </w:r>
          </w:p>
        </w:tc>
        <w:tc>
          <w:tcPr>
            <w:tcW w:w="180" w:type="dxa"/>
            <w:vAlign w:val="bottom"/>
            <w:tcBorders>
              <w:bottom w:val="single" w:sz="8" w:color="CFF0FC"/>
            </w:tcBorders>
            <w:shd w:val="clear" w:color="auto" w:fill="CFF0FC"/>
          </w:tcPr>
          <w:p>
            <w:pPr>
              <w:spacing w:after="0"/>
              <w:rPr>
                <w:sz w:val="13"/>
                <w:szCs w:val="13"/>
                <w:color w:val="auto"/>
              </w:rPr>
            </w:pPr>
          </w:p>
        </w:tc>
        <w:tc>
          <w:tcPr>
            <w:tcW w:w="360" w:type="dxa"/>
            <w:vAlign w:val="bottom"/>
            <w:tcBorders>
              <w:bottom w:val="single" w:sz="8" w:color="auto"/>
            </w:tcBorders>
            <w:shd w:val="clear" w:color="auto" w:fill="CFF0FC"/>
          </w:tcPr>
          <w:p>
            <w:pPr>
              <w:jc w:val="right"/>
              <w:ind w:right="210"/>
              <w:spacing w:after="0" w:line="151" w:lineRule="exact"/>
              <w:rPr>
                <w:sz w:val="20"/>
                <w:szCs w:val="20"/>
                <w:color w:val="auto"/>
              </w:rPr>
            </w:pPr>
            <w:r>
              <w:rPr>
                <w:rFonts w:ascii="Arial" w:cs="Arial" w:eastAsia="Arial" w:hAnsi="Arial"/>
                <w:sz w:val="14"/>
                <w:szCs w:val="14"/>
                <w:color w:val="auto"/>
                <w:w w:val="76"/>
              </w:rPr>
              <w:t>$</w:t>
            </w:r>
          </w:p>
        </w:tc>
        <w:tc>
          <w:tcPr>
            <w:tcW w:w="1320" w:type="dxa"/>
            <w:vAlign w:val="bottom"/>
            <w:tcBorders>
              <w:bottom w:val="single" w:sz="8" w:color="auto"/>
            </w:tcBorders>
            <w:shd w:val="clear" w:color="auto" w:fill="CFF0FC"/>
          </w:tcPr>
          <w:p>
            <w:pPr>
              <w:jc w:val="right"/>
              <w:ind w:right="70"/>
              <w:spacing w:after="0" w:line="151" w:lineRule="exact"/>
              <w:rPr>
                <w:sz w:val="20"/>
                <w:szCs w:val="20"/>
                <w:color w:val="auto"/>
              </w:rPr>
            </w:pPr>
            <w:r>
              <w:rPr>
                <w:rFonts w:ascii="Arial" w:cs="Arial" w:eastAsia="Arial" w:hAnsi="Arial"/>
                <w:sz w:val="14"/>
                <w:szCs w:val="14"/>
                <w:color w:val="auto"/>
              </w:rPr>
              <w:t>1.32</w:t>
            </w:r>
          </w:p>
        </w:tc>
        <w:tc>
          <w:tcPr>
            <w:tcW w:w="0" w:type="dxa"/>
            <w:vAlign w:val="bottom"/>
          </w:tcPr>
          <w:p>
            <w:pPr>
              <w:spacing w:after="0"/>
              <w:rPr>
                <w:sz w:val="1"/>
                <w:szCs w:val="1"/>
                <w:color w:val="auto"/>
              </w:rPr>
            </w:pPr>
          </w:p>
        </w:tc>
      </w:tr>
      <w:tr>
        <w:trPr>
          <w:trHeight w:val="20"/>
        </w:trPr>
        <w:tc>
          <w:tcPr>
            <w:tcW w:w="7740" w:type="dxa"/>
            <w:vAlign w:val="bottom"/>
            <w:vMerge w:val="restart"/>
          </w:tcPr>
          <w:p>
            <w:pPr>
              <w:spacing w:after="0"/>
              <w:rPr>
                <w:sz w:val="20"/>
                <w:szCs w:val="20"/>
                <w:color w:val="auto"/>
              </w:rPr>
            </w:pPr>
            <w:r>
              <w:rPr>
                <w:rFonts w:ascii="Arial" w:cs="Arial" w:eastAsia="Arial" w:hAnsi="Arial"/>
                <w:sz w:val="14"/>
                <w:szCs w:val="14"/>
                <w:b w:val="1"/>
                <w:bCs w:val="1"/>
                <w:color w:val="auto"/>
              </w:rPr>
              <w:t>Comprehensive income, net of tax</w:t>
            </w:r>
          </w:p>
        </w:tc>
        <w:tc>
          <w:tcPr>
            <w:tcW w:w="10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7740" w:type="dxa"/>
            <w:vAlign w:val="bottom"/>
            <w:vMerge w:val="continue"/>
          </w:tcPr>
          <w:p>
            <w:pPr>
              <w:spacing w:after="0"/>
              <w:rPr>
                <w:sz w:val="13"/>
                <w:szCs w:val="13"/>
                <w:color w:val="auto"/>
              </w:rPr>
            </w:pPr>
          </w:p>
        </w:tc>
        <w:tc>
          <w:tcPr>
            <w:tcW w:w="1080" w:type="dxa"/>
            <w:vAlign w:val="bottom"/>
            <w:tcBorders>
              <w:bottom w:val="single" w:sz="8" w:color="auto"/>
            </w:tcBorders>
          </w:tcPr>
          <w:p>
            <w:pPr>
              <w:jc w:val="right"/>
              <w:ind w:right="931"/>
              <w:spacing w:after="0" w:line="151" w:lineRule="exact"/>
              <w:rPr>
                <w:sz w:val="20"/>
                <w:szCs w:val="20"/>
                <w:color w:val="auto"/>
              </w:rPr>
            </w:pPr>
            <w:r>
              <w:rPr>
                <w:rFonts w:ascii="Arial" w:cs="Arial" w:eastAsia="Arial" w:hAnsi="Arial"/>
                <w:sz w:val="14"/>
                <w:szCs w:val="14"/>
                <w:b w:val="1"/>
                <w:bCs w:val="1"/>
                <w:color w:val="auto"/>
                <w:w w:val="76"/>
              </w:rPr>
              <w:t>$</w:t>
            </w:r>
          </w:p>
        </w:tc>
        <w:tc>
          <w:tcPr>
            <w:tcW w:w="580" w:type="dxa"/>
            <w:vAlign w:val="bottom"/>
            <w:tcBorders>
              <w:bottom w:val="single" w:sz="8" w:color="auto"/>
            </w:tcBorders>
          </w:tcPr>
          <w:p>
            <w:pPr>
              <w:jc w:val="right"/>
              <w:ind w:right="50"/>
              <w:spacing w:after="0" w:line="151" w:lineRule="exact"/>
              <w:rPr>
                <w:sz w:val="20"/>
                <w:szCs w:val="20"/>
                <w:color w:val="auto"/>
              </w:rPr>
            </w:pPr>
            <w:r>
              <w:rPr>
                <w:rFonts w:ascii="Arial" w:cs="Arial" w:eastAsia="Arial" w:hAnsi="Arial"/>
                <w:sz w:val="14"/>
                <w:szCs w:val="14"/>
                <w:b w:val="1"/>
                <w:bCs w:val="1"/>
                <w:color w:val="auto"/>
              </w:rPr>
              <w:t>110</w:t>
            </w:r>
          </w:p>
        </w:tc>
        <w:tc>
          <w:tcPr>
            <w:tcW w:w="180" w:type="dxa"/>
            <w:vAlign w:val="bottom"/>
          </w:tcPr>
          <w:p>
            <w:pPr>
              <w:spacing w:after="0"/>
              <w:rPr>
                <w:sz w:val="13"/>
                <w:szCs w:val="13"/>
                <w:color w:val="auto"/>
              </w:rPr>
            </w:pPr>
          </w:p>
        </w:tc>
        <w:tc>
          <w:tcPr>
            <w:tcW w:w="360" w:type="dxa"/>
            <w:vAlign w:val="bottom"/>
            <w:tcBorders>
              <w:bottom w:val="single" w:sz="8" w:color="auto"/>
            </w:tcBorders>
          </w:tcPr>
          <w:p>
            <w:pPr>
              <w:jc w:val="right"/>
              <w:ind w:right="210"/>
              <w:spacing w:after="0" w:line="151" w:lineRule="exact"/>
              <w:rPr>
                <w:sz w:val="20"/>
                <w:szCs w:val="20"/>
                <w:color w:val="auto"/>
              </w:rPr>
            </w:pPr>
            <w:r>
              <w:rPr>
                <w:rFonts w:ascii="Arial" w:cs="Arial" w:eastAsia="Arial" w:hAnsi="Arial"/>
                <w:sz w:val="14"/>
                <w:szCs w:val="14"/>
                <w:color w:val="auto"/>
                <w:w w:val="76"/>
              </w:rPr>
              <w:t>$</w:t>
            </w:r>
          </w:p>
        </w:tc>
        <w:tc>
          <w:tcPr>
            <w:tcW w:w="1320" w:type="dxa"/>
            <w:vAlign w:val="bottom"/>
            <w:tcBorders>
              <w:bottom w:val="single" w:sz="8" w:color="auto"/>
            </w:tcBorders>
          </w:tcPr>
          <w:p>
            <w:pPr>
              <w:jc w:val="right"/>
              <w:ind w:right="70"/>
              <w:spacing w:after="0" w:line="151" w:lineRule="exact"/>
              <w:rPr>
                <w:sz w:val="20"/>
                <w:szCs w:val="20"/>
                <w:color w:val="auto"/>
              </w:rPr>
            </w:pPr>
            <w:r>
              <w:rPr>
                <w:rFonts w:ascii="Arial" w:cs="Arial" w:eastAsia="Arial" w:hAnsi="Arial"/>
                <w:sz w:val="14"/>
                <w:szCs w:val="14"/>
                <w:color w:val="auto"/>
              </w:rPr>
              <w:t>164</w:t>
            </w:r>
          </w:p>
        </w:tc>
        <w:tc>
          <w:tcPr>
            <w:tcW w:w="0" w:type="dxa"/>
            <w:vAlign w:val="bottom"/>
          </w:tcPr>
          <w:p>
            <w:pPr>
              <w:spacing w:after="0"/>
              <w:rPr>
                <w:sz w:val="1"/>
                <w:szCs w:val="1"/>
                <w:color w:val="auto"/>
              </w:rPr>
            </w:pPr>
          </w:p>
        </w:tc>
      </w:tr>
      <w:tr>
        <w:trPr>
          <w:trHeight w:val="20"/>
        </w:trPr>
        <w:tc>
          <w:tcPr>
            <w:tcW w:w="77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 condensed consolidated financial statements.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55245</wp:posOffset>
            </wp:positionV>
            <wp:extent cx="7150100" cy="146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0"/>
          </w:cols>
          <w:pgMar w:left="320" w:top="140" w:right="319" w:bottom="1440" w:gutter="0" w:footer="0" w:header="0"/>
        </w:sectPr>
      </w:pPr>
    </w:p>
    <w:bookmarkStart w:id="4" w:name="page5"/>
    <w:bookmarkEnd w:id="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8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Allison Transmission Holdings, Inc.</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Cash Flows</w:t>
      </w:r>
    </w:p>
    <w:p>
      <w:pPr>
        <w:jc w:val="center"/>
        <w:spacing w:after="0"/>
        <w:rPr>
          <w:sz w:val="20"/>
          <w:szCs w:val="20"/>
          <w:color w:val="auto"/>
        </w:rPr>
      </w:pPr>
      <w:r>
        <w:rPr>
          <w:rFonts w:ascii="Arial" w:cs="Arial" w:eastAsia="Arial" w:hAnsi="Arial"/>
          <w:sz w:val="16"/>
          <w:szCs w:val="16"/>
          <w:b w:val="1"/>
          <w:bCs w:val="1"/>
          <w:color w:val="auto"/>
        </w:rPr>
        <w:t>(unaudited, dollars in millions)</w:t>
      </w:r>
    </w:p>
    <w:p>
      <w:pPr>
        <w:spacing w:after="0" w:line="204" w:lineRule="exact"/>
        <w:rPr>
          <w:sz w:val="20"/>
          <w:szCs w:val="20"/>
          <w:color w:val="auto"/>
        </w:rPr>
      </w:pPr>
    </w:p>
    <w:p>
      <w:pPr>
        <w:jc w:val="center"/>
        <w:ind w:left="7600"/>
        <w:spacing w:after="0"/>
        <w:rPr>
          <w:sz w:val="20"/>
          <w:szCs w:val="20"/>
          <w:color w:val="auto"/>
        </w:rPr>
      </w:pPr>
      <w:r>
        <w:rPr>
          <w:rFonts w:ascii="Arial" w:cs="Arial" w:eastAsia="Arial" w:hAnsi="Arial"/>
          <w:sz w:val="13"/>
          <w:szCs w:val="13"/>
          <w:b w:val="1"/>
          <w:bCs w:val="1"/>
          <w:color w:val="auto"/>
        </w:rPr>
        <w:t>For the Three Months</w:t>
      </w:r>
    </w:p>
    <w:p>
      <w:pPr>
        <w:jc w:val="center"/>
        <w:ind w:left="7600"/>
        <w:spacing w:after="0" w:line="231" w:lineRule="auto"/>
        <w:rPr>
          <w:sz w:val="20"/>
          <w:szCs w:val="20"/>
          <w:color w:val="auto"/>
        </w:rPr>
      </w:pPr>
      <w:r>
        <w:rPr>
          <w:rFonts w:ascii="Arial" w:cs="Arial" w:eastAsia="Arial" w:hAnsi="Arial"/>
          <w:sz w:val="13"/>
          <w:szCs w:val="13"/>
          <w:b w:val="1"/>
          <w:bCs w:val="1"/>
          <w:color w:val="auto"/>
        </w:rPr>
        <w:t>Ended March 31,</w:t>
      </w:r>
    </w:p>
    <w:tbl>
      <w:tblPr>
        <w:tblLayout w:type="fixed"/>
        <w:tblInd w:w="0" w:type="dxa"/>
        <w:tblCellMar>
          <w:top w:w="0" w:type="dxa"/>
          <w:left w:w="0" w:type="dxa"/>
          <w:bottom w:w="0" w:type="dxa"/>
          <w:right w:w="0" w:type="dxa"/>
        </w:tblCellMar>
      </w:tblPr>
      <w:tr>
        <w:trPr>
          <w:trHeight w:val="144"/>
        </w:trPr>
        <w:tc>
          <w:tcPr>
            <w:tcW w:w="7740" w:type="dxa"/>
            <w:vAlign w:val="bottom"/>
            <w:tcBorders>
              <w:bottom w:val="single" w:sz="8" w:color="CFF0FC"/>
            </w:tcBorders>
          </w:tcPr>
          <w:p>
            <w:pPr>
              <w:spacing w:after="0"/>
              <w:rPr>
                <w:sz w:val="12"/>
                <w:szCs w:val="12"/>
                <w:color w:val="auto"/>
              </w:rPr>
            </w:pPr>
          </w:p>
        </w:tc>
        <w:tc>
          <w:tcPr>
            <w:tcW w:w="1080" w:type="dxa"/>
            <w:vAlign w:val="bottom"/>
            <w:tcBorders>
              <w:top w:val="single" w:sz="8" w:color="auto"/>
              <w:bottom w:val="single" w:sz="8" w:color="auto"/>
            </w:tcBorders>
          </w:tcPr>
          <w:p>
            <w:pPr>
              <w:jc w:val="right"/>
              <w:ind w:right="91"/>
              <w:spacing w:after="0" w:line="144" w:lineRule="exact"/>
              <w:rPr>
                <w:sz w:val="20"/>
                <w:szCs w:val="20"/>
                <w:color w:val="auto"/>
              </w:rPr>
            </w:pPr>
            <w:r>
              <w:rPr>
                <w:rFonts w:ascii="Arial" w:cs="Arial" w:eastAsia="Arial" w:hAnsi="Arial"/>
                <w:sz w:val="13"/>
                <w:szCs w:val="13"/>
                <w:b w:val="1"/>
                <w:bCs w:val="1"/>
                <w:color w:val="auto"/>
              </w:rPr>
              <w:t>2020</w:t>
            </w:r>
          </w:p>
        </w:tc>
        <w:tc>
          <w:tcPr>
            <w:tcW w:w="58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bottom w:val="single" w:sz="8" w:color="CFF0FC"/>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320" w:type="dxa"/>
            <w:vAlign w:val="bottom"/>
            <w:tcBorders>
              <w:top w:val="single" w:sz="8" w:color="auto"/>
              <w:bottom w:val="single" w:sz="8" w:color="auto"/>
            </w:tcBorders>
          </w:tcPr>
          <w:p>
            <w:pPr>
              <w:jc w:val="right"/>
              <w:ind w:right="710"/>
              <w:spacing w:after="0" w:line="144" w:lineRule="exact"/>
              <w:rPr>
                <w:sz w:val="20"/>
                <w:szCs w:val="20"/>
                <w:color w:val="auto"/>
              </w:rPr>
            </w:pPr>
            <w:r>
              <w:rPr>
                <w:rFonts w:ascii="Arial" w:cs="Arial" w:eastAsia="Arial" w:hAnsi="Arial"/>
                <w:sz w:val="13"/>
                <w:szCs w:val="13"/>
                <w:b w:val="1"/>
                <w:bCs w:val="1"/>
                <w:color w:val="auto"/>
              </w:rPr>
              <w:t>2019</w:t>
            </w:r>
          </w:p>
        </w:tc>
      </w:tr>
      <w:tr>
        <w:trPr>
          <w:trHeight w:val="168"/>
        </w:trPr>
        <w:tc>
          <w:tcPr>
            <w:tcW w:w="7740" w:type="dxa"/>
            <w:vAlign w:val="bottom"/>
            <w:shd w:val="clear" w:color="auto" w:fill="CFF0FC"/>
          </w:tcPr>
          <w:p>
            <w:pPr>
              <w:spacing w:after="0"/>
              <w:rPr>
                <w:sz w:val="20"/>
                <w:szCs w:val="20"/>
                <w:color w:val="auto"/>
              </w:rPr>
            </w:pPr>
            <w:r>
              <w:rPr>
                <w:rFonts w:ascii="Arial" w:cs="Arial" w:eastAsia="Arial" w:hAnsi="Arial"/>
                <w:sz w:val="14"/>
                <w:szCs w:val="14"/>
                <w:b w:val="1"/>
                <w:bCs w:val="1"/>
                <w:color w:val="auto"/>
              </w:rPr>
              <w:t>CASH FLOWS FROM OPERATING ACTIVITIES:</w:t>
            </w:r>
          </w:p>
        </w:tc>
        <w:tc>
          <w:tcPr>
            <w:tcW w:w="108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320" w:type="dxa"/>
            <w:vAlign w:val="bottom"/>
            <w:shd w:val="clear" w:color="auto" w:fill="CFF0FC"/>
          </w:tcPr>
          <w:p>
            <w:pPr>
              <w:spacing w:after="0"/>
              <w:rPr>
                <w:sz w:val="14"/>
                <w:szCs w:val="14"/>
                <w:color w:val="auto"/>
              </w:rPr>
            </w:pPr>
          </w:p>
        </w:tc>
      </w:tr>
      <w:tr>
        <w:trPr>
          <w:trHeight w:val="176"/>
        </w:trPr>
        <w:tc>
          <w:tcPr>
            <w:tcW w:w="7740" w:type="dxa"/>
            <w:vAlign w:val="bottom"/>
          </w:tcPr>
          <w:p>
            <w:pPr>
              <w:spacing w:after="0"/>
              <w:rPr>
                <w:sz w:val="20"/>
                <w:szCs w:val="20"/>
                <w:color w:val="auto"/>
              </w:rPr>
            </w:pPr>
            <w:r>
              <w:rPr>
                <w:rFonts w:ascii="Arial" w:cs="Arial" w:eastAsia="Arial" w:hAnsi="Arial"/>
                <w:sz w:val="14"/>
                <w:szCs w:val="14"/>
                <w:color w:val="auto"/>
              </w:rPr>
              <w:t>Net income</w:t>
            </w:r>
          </w:p>
        </w:tc>
        <w:tc>
          <w:tcPr>
            <w:tcW w:w="1080" w:type="dxa"/>
            <w:vAlign w:val="bottom"/>
          </w:tcPr>
          <w:p>
            <w:pPr>
              <w:jc w:val="right"/>
              <w:ind w:right="931"/>
              <w:spacing w:after="0"/>
              <w:rPr>
                <w:sz w:val="20"/>
                <w:szCs w:val="20"/>
                <w:color w:val="auto"/>
              </w:rPr>
            </w:pPr>
            <w:r>
              <w:rPr>
                <w:rFonts w:ascii="Arial" w:cs="Arial" w:eastAsia="Arial" w:hAnsi="Arial"/>
                <w:sz w:val="14"/>
                <w:szCs w:val="14"/>
                <w:b w:val="1"/>
                <w:bCs w:val="1"/>
                <w:color w:val="auto"/>
                <w:w w:val="76"/>
              </w:rPr>
              <w:t>$</w:t>
            </w:r>
          </w:p>
        </w:tc>
        <w:tc>
          <w:tcPr>
            <w:tcW w:w="580" w:type="dxa"/>
            <w:vAlign w:val="bottom"/>
          </w:tcPr>
          <w:p>
            <w:pPr>
              <w:jc w:val="right"/>
              <w:ind w:right="50"/>
              <w:spacing w:after="0"/>
              <w:rPr>
                <w:sz w:val="20"/>
                <w:szCs w:val="20"/>
                <w:color w:val="auto"/>
              </w:rPr>
            </w:pPr>
            <w:r>
              <w:rPr>
                <w:rFonts w:ascii="Arial" w:cs="Arial" w:eastAsia="Arial" w:hAnsi="Arial"/>
                <w:sz w:val="14"/>
                <w:szCs w:val="14"/>
                <w:b w:val="1"/>
                <w:bCs w:val="1"/>
                <w:color w:val="auto"/>
              </w:rPr>
              <w:t>139</w:t>
            </w:r>
          </w:p>
        </w:tc>
        <w:tc>
          <w:tcPr>
            <w:tcW w:w="54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70"/>
              <w:spacing w:after="0"/>
              <w:rPr>
                <w:sz w:val="20"/>
                <w:szCs w:val="20"/>
                <w:color w:val="auto"/>
              </w:rPr>
            </w:pPr>
            <w:r>
              <w:rPr>
                <w:rFonts w:ascii="Arial" w:cs="Arial" w:eastAsia="Arial" w:hAnsi="Arial"/>
                <w:sz w:val="14"/>
                <w:szCs w:val="14"/>
                <w:color w:val="auto"/>
              </w:rPr>
              <w:t>167</w:t>
            </w:r>
          </w:p>
        </w:tc>
      </w:tr>
      <w:tr>
        <w:trPr>
          <w:trHeight w:val="176"/>
        </w:trPr>
        <w:tc>
          <w:tcPr>
            <w:tcW w:w="7740" w:type="dxa"/>
            <w:vAlign w:val="bottom"/>
            <w:shd w:val="clear" w:color="auto" w:fill="CFF0FC"/>
          </w:tcPr>
          <w:p>
            <w:pPr>
              <w:spacing w:after="0"/>
              <w:rPr>
                <w:sz w:val="20"/>
                <w:szCs w:val="20"/>
                <w:color w:val="auto"/>
              </w:rPr>
            </w:pPr>
            <w:r>
              <w:rPr>
                <w:rFonts w:ascii="Arial" w:cs="Arial" w:eastAsia="Arial" w:hAnsi="Arial"/>
                <w:sz w:val="14"/>
                <w:szCs w:val="14"/>
                <w:color w:val="auto"/>
              </w:rPr>
              <w:t>Adjustments to reconcile net income to net cash provided by operating activities:</w:t>
            </w:r>
          </w:p>
        </w:tc>
        <w:tc>
          <w:tcPr>
            <w:tcW w:w="108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320" w:type="dxa"/>
            <w:vAlign w:val="bottom"/>
            <w:shd w:val="clear" w:color="auto" w:fill="CFF0FC"/>
          </w:tcPr>
          <w:p>
            <w:pPr>
              <w:spacing w:after="0"/>
              <w:rPr>
                <w:sz w:val="15"/>
                <w:szCs w:val="15"/>
                <w:color w:val="auto"/>
              </w:rPr>
            </w:pPr>
          </w:p>
        </w:tc>
      </w:tr>
      <w:tr>
        <w:trPr>
          <w:trHeight w:val="176"/>
        </w:trPr>
        <w:tc>
          <w:tcPr>
            <w:tcW w:w="7740" w:type="dxa"/>
            <w:vAlign w:val="bottom"/>
          </w:tcPr>
          <w:p>
            <w:pPr>
              <w:ind w:left="200"/>
              <w:spacing w:after="0"/>
              <w:rPr>
                <w:sz w:val="20"/>
                <w:szCs w:val="20"/>
                <w:color w:val="auto"/>
              </w:rPr>
            </w:pPr>
            <w:r>
              <w:rPr>
                <w:rFonts w:ascii="Arial" w:cs="Arial" w:eastAsia="Arial" w:hAnsi="Arial"/>
                <w:sz w:val="14"/>
                <w:szCs w:val="14"/>
                <w:color w:val="auto"/>
              </w:rPr>
              <w:t>Deferred income taxes</w:t>
            </w:r>
          </w:p>
        </w:tc>
        <w:tc>
          <w:tcPr>
            <w:tcW w:w="1080" w:type="dxa"/>
            <w:vAlign w:val="bottom"/>
          </w:tcPr>
          <w:p>
            <w:pPr>
              <w:spacing w:after="0"/>
              <w:rPr>
                <w:sz w:val="15"/>
                <w:szCs w:val="15"/>
                <w:color w:val="auto"/>
              </w:rPr>
            </w:pPr>
          </w:p>
        </w:tc>
        <w:tc>
          <w:tcPr>
            <w:tcW w:w="580" w:type="dxa"/>
            <w:vAlign w:val="bottom"/>
          </w:tcPr>
          <w:p>
            <w:pPr>
              <w:jc w:val="right"/>
              <w:ind w:right="50"/>
              <w:spacing w:after="0"/>
              <w:rPr>
                <w:sz w:val="20"/>
                <w:szCs w:val="20"/>
                <w:color w:val="auto"/>
              </w:rPr>
            </w:pPr>
            <w:r>
              <w:rPr>
                <w:rFonts w:ascii="Arial" w:cs="Arial" w:eastAsia="Arial" w:hAnsi="Arial"/>
                <w:sz w:val="14"/>
                <w:szCs w:val="14"/>
                <w:b w:val="1"/>
                <w:bCs w:val="1"/>
                <w:color w:val="auto"/>
              </w:rPr>
              <w:t>35</w:t>
            </w:r>
          </w:p>
        </w:tc>
        <w:tc>
          <w:tcPr>
            <w:tcW w:w="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20" w:type="dxa"/>
            <w:vAlign w:val="bottom"/>
          </w:tcPr>
          <w:p>
            <w:pPr>
              <w:jc w:val="right"/>
              <w:ind w:right="70"/>
              <w:spacing w:after="0"/>
              <w:rPr>
                <w:sz w:val="20"/>
                <w:szCs w:val="20"/>
                <w:color w:val="auto"/>
              </w:rPr>
            </w:pPr>
            <w:r>
              <w:rPr>
                <w:rFonts w:ascii="Arial" w:cs="Arial" w:eastAsia="Arial" w:hAnsi="Arial"/>
                <w:sz w:val="14"/>
                <w:szCs w:val="14"/>
                <w:color w:val="auto"/>
              </w:rPr>
              <w:t>13</w:t>
            </w:r>
          </w:p>
        </w:tc>
      </w:tr>
      <w:tr>
        <w:trPr>
          <w:trHeight w:val="176"/>
        </w:trPr>
        <w:tc>
          <w:tcPr>
            <w:tcW w:w="7740" w:type="dxa"/>
            <w:vAlign w:val="bottom"/>
            <w:shd w:val="clear" w:color="auto" w:fill="CFF0FC"/>
          </w:tcPr>
          <w:p>
            <w:pPr>
              <w:ind w:left="200"/>
              <w:spacing w:after="0"/>
              <w:rPr>
                <w:sz w:val="20"/>
                <w:szCs w:val="20"/>
                <w:color w:val="auto"/>
              </w:rPr>
            </w:pPr>
            <w:r>
              <w:rPr>
                <w:rFonts w:ascii="Arial" w:cs="Arial" w:eastAsia="Arial" w:hAnsi="Arial"/>
                <w:sz w:val="14"/>
                <w:szCs w:val="14"/>
                <w:color w:val="auto"/>
              </w:rPr>
              <w:t>Depreciation of property, plant and equipment</w:t>
            </w:r>
          </w:p>
        </w:tc>
        <w:tc>
          <w:tcPr>
            <w:tcW w:w="1080" w:type="dxa"/>
            <w:vAlign w:val="bottom"/>
            <w:shd w:val="clear" w:color="auto" w:fill="CFF0FC"/>
          </w:tcPr>
          <w:p>
            <w:pPr>
              <w:spacing w:after="0"/>
              <w:rPr>
                <w:sz w:val="15"/>
                <w:szCs w:val="15"/>
                <w:color w:val="auto"/>
              </w:rPr>
            </w:pPr>
          </w:p>
        </w:tc>
        <w:tc>
          <w:tcPr>
            <w:tcW w:w="580" w:type="dxa"/>
            <w:vAlign w:val="bottom"/>
            <w:shd w:val="clear" w:color="auto" w:fill="CFF0FC"/>
          </w:tcPr>
          <w:p>
            <w:pPr>
              <w:jc w:val="right"/>
              <w:ind w:right="50"/>
              <w:spacing w:after="0"/>
              <w:rPr>
                <w:sz w:val="20"/>
                <w:szCs w:val="20"/>
                <w:color w:val="auto"/>
              </w:rPr>
            </w:pPr>
            <w:r>
              <w:rPr>
                <w:rFonts w:ascii="Arial" w:cs="Arial" w:eastAsia="Arial" w:hAnsi="Arial"/>
                <w:sz w:val="14"/>
                <w:szCs w:val="14"/>
                <w:b w:val="1"/>
                <w:bCs w:val="1"/>
                <w:color w:val="auto"/>
              </w:rPr>
              <w:t>22</w:t>
            </w:r>
          </w:p>
        </w:tc>
        <w:tc>
          <w:tcPr>
            <w:tcW w:w="18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320" w:type="dxa"/>
            <w:vAlign w:val="bottom"/>
            <w:shd w:val="clear" w:color="auto" w:fill="CFF0FC"/>
          </w:tcPr>
          <w:p>
            <w:pPr>
              <w:jc w:val="right"/>
              <w:ind w:right="70"/>
              <w:spacing w:after="0"/>
              <w:rPr>
                <w:sz w:val="20"/>
                <w:szCs w:val="20"/>
                <w:color w:val="auto"/>
              </w:rPr>
            </w:pPr>
            <w:r>
              <w:rPr>
                <w:rFonts w:ascii="Arial" w:cs="Arial" w:eastAsia="Arial" w:hAnsi="Arial"/>
                <w:sz w:val="14"/>
                <w:szCs w:val="14"/>
                <w:color w:val="auto"/>
              </w:rPr>
              <w:t>18</w:t>
            </w:r>
          </w:p>
        </w:tc>
      </w:tr>
      <w:tr>
        <w:trPr>
          <w:trHeight w:val="176"/>
        </w:trPr>
        <w:tc>
          <w:tcPr>
            <w:tcW w:w="7740" w:type="dxa"/>
            <w:vAlign w:val="bottom"/>
          </w:tcPr>
          <w:p>
            <w:pPr>
              <w:ind w:left="200"/>
              <w:spacing w:after="0"/>
              <w:rPr>
                <w:sz w:val="20"/>
                <w:szCs w:val="20"/>
                <w:color w:val="auto"/>
              </w:rPr>
            </w:pPr>
            <w:r>
              <w:rPr>
                <w:rFonts w:ascii="Arial" w:cs="Arial" w:eastAsia="Arial" w:hAnsi="Arial"/>
                <w:sz w:val="14"/>
                <w:szCs w:val="14"/>
                <w:color w:val="auto"/>
              </w:rPr>
              <w:t>Amortization of intangible assets</w:t>
            </w:r>
          </w:p>
        </w:tc>
        <w:tc>
          <w:tcPr>
            <w:tcW w:w="1080" w:type="dxa"/>
            <w:vAlign w:val="bottom"/>
          </w:tcPr>
          <w:p>
            <w:pPr>
              <w:spacing w:after="0"/>
              <w:rPr>
                <w:sz w:val="15"/>
                <w:szCs w:val="15"/>
                <w:color w:val="auto"/>
              </w:rPr>
            </w:pPr>
          </w:p>
        </w:tc>
        <w:tc>
          <w:tcPr>
            <w:tcW w:w="580" w:type="dxa"/>
            <w:vAlign w:val="bottom"/>
          </w:tcPr>
          <w:p>
            <w:pPr>
              <w:jc w:val="right"/>
              <w:ind w:right="50"/>
              <w:spacing w:after="0"/>
              <w:rPr>
                <w:sz w:val="20"/>
                <w:szCs w:val="20"/>
                <w:color w:val="auto"/>
              </w:rPr>
            </w:pPr>
            <w:r>
              <w:rPr>
                <w:rFonts w:ascii="Arial" w:cs="Arial" w:eastAsia="Arial" w:hAnsi="Arial"/>
                <w:sz w:val="14"/>
                <w:szCs w:val="14"/>
                <w:b w:val="1"/>
                <w:bCs w:val="1"/>
                <w:color w:val="auto"/>
              </w:rPr>
              <w:t>16</w:t>
            </w:r>
          </w:p>
        </w:tc>
        <w:tc>
          <w:tcPr>
            <w:tcW w:w="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20" w:type="dxa"/>
            <w:vAlign w:val="bottom"/>
          </w:tcPr>
          <w:p>
            <w:pPr>
              <w:jc w:val="right"/>
              <w:ind w:right="70"/>
              <w:spacing w:after="0"/>
              <w:rPr>
                <w:sz w:val="20"/>
                <w:szCs w:val="20"/>
                <w:color w:val="auto"/>
              </w:rPr>
            </w:pPr>
            <w:r>
              <w:rPr>
                <w:rFonts w:ascii="Arial" w:cs="Arial" w:eastAsia="Arial" w:hAnsi="Arial"/>
                <w:sz w:val="14"/>
                <w:szCs w:val="14"/>
                <w:color w:val="auto"/>
              </w:rPr>
              <w:t>22</w:t>
            </w:r>
          </w:p>
        </w:tc>
      </w:tr>
      <w:tr>
        <w:trPr>
          <w:trHeight w:val="176"/>
        </w:trPr>
        <w:tc>
          <w:tcPr>
            <w:tcW w:w="7740" w:type="dxa"/>
            <w:vAlign w:val="bottom"/>
            <w:shd w:val="clear" w:color="auto" w:fill="CFF0FC"/>
          </w:tcPr>
          <w:p>
            <w:pPr>
              <w:ind w:left="200"/>
              <w:spacing w:after="0"/>
              <w:rPr>
                <w:sz w:val="20"/>
                <w:szCs w:val="20"/>
                <w:color w:val="auto"/>
              </w:rPr>
            </w:pPr>
            <w:r>
              <w:rPr>
                <w:rFonts w:ascii="Arial" w:cs="Arial" w:eastAsia="Arial" w:hAnsi="Arial"/>
                <w:sz w:val="14"/>
                <w:szCs w:val="14"/>
                <w:color w:val="auto"/>
              </w:rPr>
              <w:t>Stock-based compensation</w:t>
            </w:r>
          </w:p>
        </w:tc>
        <w:tc>
          <w:tcPr>
            <w:tcW w:w="1080" w:type="dxa"/>
            <w:vAlign w:val="bottom"/>
            <w:shd w:val="clear" w:color="auto" w:fill="CFF0FC"/>
          </w:tcPr>
          <w:p>
            <w:pPr>
              <w:spacing w:after="0"/>
              <w:rPr>
                <w:sz w:val="15"/>
                <w:szCs w:val="15"/>
                <w:color w:val="auto"/>
              </w:rPr>
            </w:pPr>
          </w:p>
        </w:tc>
        <w:tc>
          <w:tcPr>
            <w:tcW w:w="580" w:type="dxa"/>
            <w:vAlign w:val="bottom"/>
            <w:shd w:val="clear" w:color="auto" w:fill="CFF0FC"/>
          </w:tcPr>
          <w:p>
            <w:pPr>
              <w:jc w:val="right"/>
              <w:ind w:right="50"/>
              <w:spacing w:after="0"/>
              <w:rPr>
                <w:sz w:val="20"/>
                <w:szCs w:val="20"/>
                <w:color w:val="auto"/>
              </w:rPr>
            </w:pPr>
            <w:r>
              <w:rPr>
                <w:rFonts w:ascii="Arial" w:cs="Arial" w:eastAsia="Arial" w:hAnsi="Arial"/>
                <w:sz w:val="14"/>
                <w:szCs w:val="14"/>
                <w:b w:val="1"/>
                <w:bCs w:val="1"/>
                <w:color w:val="auto"/>
              </w:rPr>
              <w:t>3</w:t>
            </w:r>
          </w:p>
        </w:tc>
        <w:tc>
          <w:tcPr>
            <w:tcW w:w="18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320" w:type="dxa"/>
            <w:vAlign w:val="bottom"/>
            <w:shd w:val="clear" w:color="auto" w:fill="CFF0FC"/>
          </w:tcPr>
          <w:p>
            <w:pPr>
              <w:jc w:val="right"/>
              <w:ind w:right="70"/>
              <w:spacing w:after="0"/>
              <w:rPr>
                <w:sz w:val="20"/>
                <w:szCs w:val="20"/>
                <w:color w:val="auto"/>
              </w:rPr>
            </w:pPr>
            <w:r>
              <w:rPr>
                <w:rFonts w:ascii="Arial" w:cs="Arial" w:eastAsia="Arial" w:hAnsi="Arial"/>
                <w:sz w:val="14"/>
                <w:szCs w:val="14"/>
                <w:color w:val="auto"/>
              </w:rPr>
              <w:t>3</w:t>
            </w:r>
          </w:p>
        </w:tc>
      </w:tr>
      <w:tr>
        <w:trPr>
          <w:trHeight w:val="176"/>
        </w:trPr>
        <w:tc>
          <w:tcPr>
            <w:tcW w:w="7740" w:type="dxa"/>
            <w:vAlign w:val="bottom"/>
          </w:tcPr>
          <w:p>
            <w:pPr>
              <w:ind w:left="200"/>
              <w:spacing w:after="0"/>
              <w:rPr>
                <w:sz w:val="20"/>
                <w:szCs w:val="20"/>
                <w:color w:val="auto"/>
              </w:rPr>
            </w:pPr>
            <w:r>
              <w:rPr>
                <w:rFonts w:ascii="Arial" w:cs="Arial" w:eastAsia="Arial" w:hAnsi="Arial"/>
                <w:sz w:val="14"/>
                <w:szCs w:val="14"/>
                <w:color w:val="auto"/>
              </w:rPr>
              <w:t>Amortization of deferred financing costs</w:t>
            </w:r>
          </w:p>
        </w:tc>
        <w:tc>
          <w:tcPr>
            <w:tcW w:w="1080" w:type="dxa"/>
            <w:vAlign w:val="bottom"/>
          </w:tcPr>
          <w:p>
            <w:pPr>
              <w:spacing w:after="0"/>
              <w:rPr>
                <w:sz w:val="15"/>
                <w:szCs w:val="15"/>
                <w:color w:val="auto"/>
              </w:rPr>
            </w:pPr>
          </w:p>
        </w:tc>
        <w:tc>
          <w:tcPr>
            <w:tcW w:w="580" w:type="dxa"/>
            <w:vAlign w:val="bottom"/>
          </w:tcPr>
          <w:p>
            <w:pPr>
              <w:jc w:val="right"/>
              <w:ind w:right="50"/>
              <w:spacing w:after="0"/>
              <w:rPr>
                <w:sz w:val="20"/>
                <w:szCs w:val="20"/>
                <w:color w:val="auto"/>
              </w:rPr>
            </w:pPr>
            <w:r>
              <w:rPr>
                <w:rFonts w:ascii="Arial" w:cs="Arial" w:eastAsia="Arial" w:hAnsi="Arial"/>
                <w:sz w:val="14"/>
                <w:szCs w:val="14"/>
                <w:b w:val="1"/>
                <w:bCs w:val="1"/>
                <w:color w:val="auto"/>
              </w:rPr>
              <w:t>1</w:t>
            </w:r>
          </w:p>
        </w:tc>
        <w:tc>
          <w:tcPr>
            <w:tcW w:w="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20" w:type="dxa"/>
            <w:vAlign w:val="bottom"/>
          </w:tcPr>
          <w:p>
            <w:pPr>
              <w:jc w:val="right"/>
              <w:ind w:right="70"/>
              <w:spacing w:after="0"/>
              <w:rPr>
                <w:sz w:val="20"/>
                <w:szCs w:val="20"/>
                <w:color w:val="auto"/>
              </w:rPr>
            </w:pPr>
            <w:r>
              <w:rPr>
                <w:rFonts w:ascii="Arial" w:cs="Arial" w:eastAsia="Arial" w:hAnsi="Arial"/>
                <w:sz w:val="14"/>
                <w:szCs w:val="14"/>
                <w:color w:val="auto"/>
              </w:rPr>
              <w:t>1</w:t>
            </w:r>
          </w:p>
        </w:tc>
      </w:tr>
      <w:tr>
        <w:trPr>
          <w:trHeight w:val="176"/>
        </w:trPr>
        <w:tc>
          <w:tcPr>
            <w:tcW w:w="7740" w:type="dxa"/>
            <w:vAlign w:val="bottom"/>
            <w:shd w:val="clear" w:color="auto" w:fill="CFF0FC"/>
          </w:tcPr>
          <w:p>
            <w:pPr>
              <w:ind w:left="200"/>
              <w:spacing w:after="0"/>
              <w:rPr>
                <w:sz w:val="20"/>
                <w:szCs w:val="20"/>
                <w:color w:val="auto"/>
              </w:rPr>
            </w:pPr>
            <w:r>
              <w:rPr>
                <w:rFonts w:ascii="Arial" w:cs="Arial" w:eastAsia="Arial" w:hAnsi="Arial"/>
                <w:sz w:val="14"/>
                <w:szCs w:val="14"/>
                <w:color w:val="auto"/>
              </w:rPr>
              <w:t>Expenses related to long-term debt refinancing</w:t>
            </w:r>
          </w:p>
        </w:tc>
        <w:tc>
          <w:tcPr>
            <w:tcW w:w="1080" w:type="dxa"/>
            <w:vAlign w:val="bottom"/>
            <w:shd w:val="clear" w:color="auto" w:fill="CFF0FC"/>
          </w:tcPr>
          <w:p>
            <w:pPr>
              <w:spacing w:after="0"/>
              <w:rPr>
                <w:sz w:val="15"/>
                <w:szCs w:val="15"/>
                <w:color w:val="auto"/>
              </w:rPr>
            </w:pPr>
          </w:p>
        </w:tc>
        <w:tc>
          <w:tcPr>
            <w:tcW w:w="580" w:type="dxa"/>
            <w:vAlign w:val="bottom"/>
            <w:shd w:val="clear" w:color="auto" w:fill="CFF0FC"/>
          </w:tcPr>
          <w:p>
            <w:pPr>
              <w:jc w:val="right"/>
              <w:ind w:right="50"/>
              <w:spacing w:after="0"/>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320" w:type="dxa"/>
            <w:vAlign w:val="bottom"/>
            <w:shd w:val="clear" w:color="auto" w:fill="CFF0FC"/>
          </w:tcPr>
          <w:p>
            <w:pPr>
              <w:jc w:val="right"/>
              <w:ind w:right="70"/>
              <w:spacing w:after="0"/>
              <w:rPr>
                <w:sz w:val="20"/>
                <w:szCs w:val="20"/>
                <w:color w:val="auto"/>
              </w:rPr>
            </w:pPr>
            <w:r>
              <w:rPr>
                <w:rFonts w:ascii="Arial" w:cs="Arial" w:eastAsia="Arial" w:hAnsi="Arial"/>
                <w:sz w:val="14"/>
                <w:szCs w:val="14"/>
                <w:color w:val="auto"/>
              </w:rPr>
              <w:t>5</w:t>
            </w:r>
          </w:p>
        </w:tc>
      </w:tr>
      <w:tr>
        <w:trPr>
          <w:trHeight w:val="176"/>
        </w:trPr>
        <w:tc>
          <w:tcPr>
            <w:tcW w:w="7740" w:type="dxa"/>
            <w:vAlign w:val="bottom"/>
          </w:tcPr>
          <w:p>
            <w:pPr>
              <w:ind w:left="200"/>
              <w:spacing w:after="0"/>
              <w:rPr>
                <w:sz w:val="20"/>
                <w:szCs w:val="20"/>
                <w:color w:val="auto"/>
              </w:rPr>
            </w:pPr>
            <w:r>
              <w:rPr>
                <w:rFonts w:ascii="Arial" w:cs="Arial" w:eastAsia="Arial" w:hAnsi="Arial"/>
                <w:sz w:val="14"/>
                <w:szCs w:val="14"/>
                <w:color w:val="auto"/>
              </w:rPr>
              <w:t>Other</w:t>
            </w:r>
          </w:p>
        </w:tc>
        <w:tc>
          <w:tcPr>
            <w:tcW w:w="1080" w:type="dxa"/>
            <w:vAlign w:val="bottom"/>
          </w:tcPr>
          <w:p>
            <w:pPr>
              <w:spacing w:after="0"/>
              <w:rPr>
                <w:sz w:val="15"/>
                <w:szCs w:val="15"/>
                <w:color w:val="auto"/>
              </w:rPr>
            </w:pPr>
          </w:p>
        </w:tc>
        <w:tc>
          <w:tcPr>
            <w:tcW w:w="580" w:type="dxa"/>
            <w:vAlign w:val="bottom"/>
          </w:tcPr>
          <w:p>
            <w:pPr>
              <w:jc w:val="right"/>
              <w:ind w:right="50"/>
              <w:spacing w:after="0"/>
              <w:rPr>
                <w:sz w:val="20"/>
                <w:szCs w:val="20"/>
                <w:color w:val="auto"/>
              </w:rPr>
            </w:pPr>
            <w:r>
              <w:rPr>
                <w:rFonts w:ascii="Arial" w:cs="Arial" w:eastAsia="Arial" w:hAnsi="Arial"/>
                <w:sz w:val="14"/>
                <w:szCs w:val="14"/>
                <w:b w:val="1"/>
                <w:bCs w:val="1"/>
                <w:color w:val="auto"/>
              </w:rPr>
              <w:t>3</w:t>
            </w:r>
          </w:p>
        </w:tc>
        <w:tc>
          <w:tcPr>
            <w:tcW w:w="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20" w:type="dxa"/>
            <w:vAlign w:val="bottom"/>
          </w:tcPr>
          <w:p>
            <w:pPr>
              <w:jc w:val="right"/>
              <w:ind w:right="10"/>
              <w:spacing w:after="0"/>
              <w:rPr>
                <w:sz w:val="20"/>
                <w:szCs w:val="20"/>
                <w:color w:val="auto"/>
              </w:rPr>
            </w:pPr>
            <w:r>
              <w:rPr>
                <w:rFonts w:ascii="Arial" w:cs="Arial" w:eastAsia="Arial" w:hAnsi="Arial"/>
                <w:sz w:val="14"/>
                <w:szCs w:val="14"/>
                <w:color w:val="auto"/>
              </w:rPr>
              <w:t>(1)</w:t>
            </w:r>
          </w:p>
        </w:tc>
      </w:tr>
      <w:tr>
        <w:trPr>
          <w:trHeight w:val="176"/>
        </w:trPr>
        <w:tc>
          <w:tcPr>
            <w:tcW w:w="7740" w:type="dxa"/>
            <w:vAlign w:val="bottom"/>
            <w:shd w:val="clear" w:color="auto" w:fill="CFF0FC"/>
          </w:tcPr>
          <w:p>
            <w:pPr>
              <w:spacing w:after="0"/>
              <w:rPr>
                <w:sz w:val="20"/>
                <w:szCs w:val="20"/>
                <w:color w:val="auto"/>
              </w:rPr>
            </w:pPr>
            <w:r>
              <w:rPr>
                <w:rFonts w:ascii="Arial" w:cs="Arial" w:eastAsia="Arial" w:hAnsi="Arial"/>
                <w:sz w:val="14"/>
                <w:szCs w:val="14"/>
                <w:color w:val="auto"/>
              </w:rPr>
              <w:t>Changes in assets and liabilities:</w:t>
            </w:r>
          </w:p>
        </w:tc>
        <w:tc>
          <w:tcPr>
            <w:tcW w:w="108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320" w:type="dxa"/>
            <w:vAlign w:val="bottom"/>
            <w:shd w:val="clear" w:color="auto" w:fill="CFF0FC"/>
          </w:tcPr>
          <w:p>
            <w:pPr>
              <w:spacing w:after="0"/>
              <w:rPr>
                <w:sz w:val="15"/>
                <w:szCs w:val="15"/>
                <w:color w:val="auto"/>
              </w:rPr>
            </w:pPr>
          </w:p>
        </w:tc>
      </w:tr>
      <w:tr>
        <w:trPr>
          <w:trHeight w:val="176"/>
        </w:trPr>
        <w:tc>
          <w:tcPr>
            <w:tcW w:w="7740" w:type="dxa"/>
            <w:vAlign w:val="bottom"/>
          </w:tcPr>
          <w:p>
            <w:pPr>
              <w:ind w:left="200"/>
              <w:spacing w:after="0"/>
              <w:rPr>
                <w:sz w:val="20"/>
                <w:szCs w:val="20"/>
                <w:color w:val="auto"/>
              </w:rPr>
            </w:pPr>
            <w:r>
              <w:rPr>
                <w:rFonts w:ascii="Arial" w:cs="Arial" w:eastAsia="Arial" w:hAnsi="Arial"/>
                <w:sz w:val="14"/>
                <w:szCs w:val="14"/>
                <w:color w:val="auto"/>
              </w:rPr>
              <w:t>Accounts receivable</w:t>
            </w:r>
          </w:p>
        </w:tc>
        <w:tc>
          <w:tcPr>
            <w:tcW w:w="10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rPr>
              <w:t>(51)</w:t>
            </w:r>
          </w:p>
        </w:tc>
        <w:tc>
          <w:tcPr>
            <w:tcW w:w="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20" w:type="dxa"/>
            <w:vAlign w:val="bottom"/>
          </w:tcPr>
          <w:p>
            <w:pPr>
              <w:jc w:val="right"/>
              <w:ind w:right="10"/>
              <w:spacing w:after="0"/>
              <w:rPr>
                <w:sz w:val="20"/>
                <w:szCs w:val="20"/>
                <w:color w:val="auto"/>
              </w:rPr>
            </w:pPr>
            <w:r>
              <w:rPr>
                <w:rFonts w:ascii="Arial" w:cs="Arial" w:eastAsia="Arial" w:hAnsi="Arial"/>
                <w:sz w:val="14"/>
                <w:szCs w:val="14"/>
                <w:color w:val="auto"/>
              </w:rPr>
              <w:t>(54)</w:t>
            </w:r>
          </w:p>
        </w:tc>
      </w:tr>
      <w:tr>
        <w:trPr>
          <w:trHeight w:val="176"/>
        </w:trPr>
        <w:tc>
          <w:tcPr>
            <w:tcW w:w="7740" w:type="dxa"/>
            <w:vAlign w:val="bottom"/>
            <w:shd w:val="clear" w:color="auto" w:fill="CFF0FC"/>
          </w:tcPr>
          <w:p>
            <w:pPr>
              <w:ind w:left="200"/>
              <w:spacing w:after="0"/>
              <w:rPr>
                <w:sz w:val="20"/>
                <w:szCs w:val="20"/>
                <w:color w:val="auto"/>
              </w:rPr>
            </w:pPr>
            <w:r>
              <w:rPr>
                <w:rFonts w:ascii="Arial" w:cs="Arial" w:eastAsia="Arial" w:hAnsi="Arial"/>
                <w:sz w:val="14"/>
                <w:szCs w:val="14"/>
                <w:color w:val="auto"/>
              </w:rPr>
              <w:t>Inventories</w:t>
            </w:r>
          </w:p>
        </w:tc>
        <w:tc>
          <w:tcPr>
            <w:tcW w:w="108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b w:val="1"/>
                <w:bCs w:val="1"/>
                <w:color w:val="auto"/>
              </w:rPr>
              <w:t>(9)</w:t>
            </w:r>
          </w:p>
        </w:tc>
        <w:tc>
          <w:tcPr>
            <w:tcW w:w="18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320" w:type="dxa"/>
            <w:vAlign w:val="bottom"/>
            <w:shd w:val="clear" w:color="auto" w:fill="CFF0FC"/>
          </w:tcPr>
          <w:p>
            <w:pPr>
              <w:jc w:val="right"/>
              <w:ind w:right="10"/>
              <w:spacing w:after="0"/>
              <w:rPr>
                <w:sz w:val="20"/>
                <w:szCs w:val="20"/>
                <w:color w:val="auto"/>
              </w:rPr>
            </w:pPr>
            <w:r>
              <w:rPr>
                <w:rFonts w:ascii="Arial" w:cs="Arial" w:eastAsia="Arial" w:hAnsi="Arial"/>
                <w:sz w:val="14"/>
                <w:szCs w:val="14"/>
                <w:color w:val="auto"/>
              </w:rPr>
              <w:t>(18)</w:t>
            </w:r>
          </w:p>
        </w:tc>
      </w:tr>
      <w:tr>
        <w:trPr>
          <w:trHeight w:val="176"/>
        </w:trPr>
        <w:tc>
          <w:tcPr>
            <w:tcW w:w="7740" w:type="dxa"/>
            <w:vAlign w:val="bottom"/>
          </w:tcPr>
          <w:p>
            <w:pPr>
              <w:ind w:left="200"/>
              <w:spacing w:after="0"/>
              <w:rPr>
                <w:sz w:val="20"/>
                <w:szCs w:val="20"/>
                <w:color w:val="auto"/>
              </w:rPr>
            </w:pPr>
            <w:r>
              <w:rPr>
                <w:rFonts w:ascii="Arial" w:cs="Arial" w:eastAsia="Arial" w:hAnsi="Arial"/>
                <w:sz w:val="14"/>
                <w:szCs w:val="14"/>
                <w:color w:val="auto"/>
              </w:rPr>
              <w:t>Accounts payable</w:t>
            </w:r>
          </w:p>
        </w:tc>
        <w:tc>
          <w:tcPr>
            <w:tcW w:w="1080" w:type="dxa"/>
            <w:vAlign w:val="bottom"/>
          </w:tcPr>
          <w:p>
            <w:pPr>
              <w:spacing w:after="0"/>
              <w:rPr>
                <w:sz w:val="15"/>
                <w:szCs w:val="15"/>
                <w:color w:val="auto"/>
              </w:rPr>
            </w:pPr>
          </w:p>
        </w:tc>
        <w:tc>
          <w:tcPr>
            <w:tcW w:w="580" w:type="dxa"/>
            <w:vAlign w:val="bottom"/>
          </w:tcPr>
          <w:p>
            <w:pPr>
              <w:jc w:val="right"/>
              <w:ind w:right="50"/>
              <w:spacing w:after="0"/>
              <w:rPr>
                <w:sz w:val="20"/>
                <w:szCs w:val="20"/>
                <w:color w:val="auto"/>
              </w:rPr>
            </w:pPr>
            <w:r>
              <w:rPr>
                <w:rFonts w:ascii="Arial" w:cs="Arial" w:eastAsia="Arial" w:hAnsi="Arial"/>
                <w:sz w:val="14"/>
                <w:szCs w:val="14"/>
                <w:b w:val="1"/>
                <w:bCs w:val="1"/>
                <w:color w:val="auto"/>
              </w:rPr>
              <w:t>21</w:t>
            </w:r>
          </w:p>
        </w:tc>
        <w:tc>
          <w:tcPr>
            <w:tcW w:w="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20" w:type="dxa"/>
            <w:vAlign w:val="bottom"/>
          </w:tcPr>
          <w:p>
            <w:pPr>
              <w:jc w:val="right"/>
              <w:ind w:right="70"/>
              <w:spacing w:after="0"/>
              <w:rPr>
                <w:sz w:val="20"/>
                <w:szCs w:val="20"/>
                <w:color w:val="auto"/>
              </w:rPr>
            </w:pPr>
            <w:r>
              <w:rPr>
                <w:rFonts w:ascii="Arial" w:cs="Arial" w:eastAsia="Arial" w:hAnsi="Arial"/>
                <w:sz w:val="14"/>
                <w:szCs w:val="14"/>
                <w:color w:val="auto"/>
              </w:rPr>
              <w:t>34</w:t>
            </w:r>
          </w:p>
        </w:tc>
      </w:tr>
      <w:tr>
        <w:trPr>
          <w:trHeight w:val="176"/>
        </w:trPr>
        <w:tc>
          <w:tcPr>
            <w:tcW w:w="7740" w:type="dxa"/>
            <w:vAlign w:val="bottom"/>
            <w:shd w:val="clear" w:color="auto" w:fill="CFF0FC"/>
          </w:tcPr>
          <w:p>
            <w:pPr>
              <w:ind w:left="200"/>
              <w:spacing w:after="0"/>
              <w:rPr>
                <w:sz w:val="20"/>
                <w:szCs w:val="20"/>
                <w:color w:val="auto"/>
              </w:rPr>
            </w:pPr>
            <w:r>
              <w:rPr>
                <w:rFonts w:ascii="Arial" w:cs="Arial" w:eastAsia="Arial" w:hAnsi="Arial"/>
                <w:sz w:val="14"/>
                <w:szCs w:val="14"/>
                <w:color w:val="auto"/>
              </w:rPr>
              <w:t>Other assets and liabilities</w:t>
            </w:r>
          </w:p>
        </w:tc>
        <w:tc>
          <w:tcPr>
            <w:tcW w:w="1080" w:type="dxa"/>
            <w:vAlign w:val="bottom"/>
            <w:tcBorders>
              <w:bottom w:val="single" w:sz="8" w:color="auto"/>
            </w:tcBorders>
            <w:shd w:val="clear" w:color="auto" w:fill="CFF0FC"/>
          </w:tcPr>
          <w:p>
            <w:pPr>
              <w:spacing w:after="0"/>
              <w:rPr>
                <w:sz w:val="15"/>
                <w:szCs w:val="15"/>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rPr>
              <w:t>(32)</w:t>
            </w:r>
          </w:p>
        </w:tc>
        <w:tc>
          <w:tcPr>
            <w:tcW w:w="180" w:type="dxa"/>
            <w:vAlign w:val="bottom"/>
            <w:shd w:val="clear" w:color="auto" w:fill="CFF0FC"/>
          </w:tcPr>
          <w:p>
            <w:pPr>
              <w:spacing w:after="0"/>
              <w:rPr>
                <w:sz w:val="15"/>
                <w:szCs w:val="15"/>
                <w:color w:val="auto"/>
              </w:rPr>
            </w:pPr>
          </w:p>
        </w:tc>
        <w:tc>
          <w:tcPr>
            <w:tcW w:w="360" w:type="dxa"/>
            <w:vAlign w:val="bottom"/>
            <w:tcBorders>
              <w:bottom w:val="single" w:sz="8" w:color="auto"/>
            </w:tcBorders>
            <w:shd w:val="clear" w:color="auto" w:fill="CFF0FC"/>
          </w:tcPr>
          <w:p>
            <w:pPr>
              <w:spacing w:after="0"/>
              <w:rPr>
                <w:sz w:val="15"/>
                <w:szCs w:val="15"/>
                <w:color w:val="auto"/>
              </w:rPr>
            </w:pPr>
          </w:p>
        </w:tc>
        <w:tc>
          <w:tcPr>
            <w:tcW w:w="132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4"/>
                <w:szCs w:val="14"/>
                <w:color w:val="auto"/>
              </w:rPr>
              <w:t>4</w:t>
            </w:r>
          </w:p>
        </w:tc>
      </w:tr>
      <w:tr>
        <w:trPr>
          <w:trHeight w:val="168"/>
        </w:trPr>
        <w:tc>
          <w:tcPr>
            <w:tcW w:w="7740" w:type="dxa"/>
            <w:vAlign w:val="bottom"/>
          </w:tcPr>
          <w:p>
            <w:pPr>
              <w:ind w:left="420"/>
              <w:spacing w:after="0"/>
              <w:rPr>
                <w:sz w:val="20"/>
                <w:szCs w:val="20"/>
                <w:color w:val="auto"/>
              </w:rPr>
            </w:pPr>
            <w:r>
              <w:rPr>
                <w:rFonts w:ascii="Arial" w:cs="Arial" w:eastAsia="Arial" w:hAnsi="Arial"/>
                <w:sz w:val="14"/>
                <w:szCs w:val="14"/>
                <w:color w:val="auto"/>
              </w:rPr>
              <w:t>Net cash provided by operating activities</w:t>
            </w:r>
          </w:p>
        </w:tc>
        <w:tc>
          <w:tcPr>
            <w:tcW w:w="1080" w:type="dxa"/>
            <w:vAlign w:val="bottom"/>
          </w:tcPr>
          <w:p>
            <w:pPr>
              <w:spacing w:after="0"/>
              <w:rPr>
                <w:sz w:val="14"/>
                <w:szCs w:val="14"/>
                <w:color w:val="auto"/>
              </w:rPr>
            </w:pPr>
          </w:p>
        </w:tc>
        <w:tc>
          <w:tcPr>
            <w:tcW w:w="580" w:type="dxa"/>
            <w:vAlign w:val="bottom"/>
          </w:tcPr>
          <w:p>
            <w:pPr>
              <w:jc w:val="right"/>
              <w:ind w:right="50"/>
              <w:spacing w:after="0"/>
              <w:rPr>
                <w:sz w:val="20"/>
                <w:szCs w:val="20"/>
                <w:color w:val="auto"/>
              </w:rPr>
            </w:pPr>
            <w:r>
              <w:rPr>
                <w:rFonts w:ascii="Arial" w:cs="Arial" w:eastAsia="Arial" w:hAnsi="Arial"/>
                <w:sz w:val="14"/>
                <w:szCs w:val="14"/>
                <w:b w:val="1"/>
                <w:bCs w:val="1"/>
                <w:color w:val="auto"/>
              </w:rPr>
              <w:t>148</w:t>
            </w: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20" w:type="dxa"/>
            <w:vAlign w:val="bottom"/>
          </w:tcPr>
          <w:p>
            <w:pPr>
              <w:jc w:val="right"/>
              <w:ind w:right="70"/>
              <w:spacing w:after="0"/>
              <w:rPr>
                <w:sz w:val="20"/>
                <w:szCs w:val="20"/>
                <w:color w:val="auto"/>
              </w:rPr>
            </w:pPr>
            <w:r>
              <w:rPr>
                <w:rFonts w:ascii="Arial" w:cs="Arial" w:eastAsia="Arial" w:hAnsi="Arial"/>
                <w:sz w:val="14"/>
                <w:szCs w:val="14"/>
                <w:color w:val="auto"/>
              </w:rPr>
              <w:t>194</w:t>
            </w:r>
          </w:p>
        </w:tc>
      </w:tr>
      <w:tr>
        <w:trPr>
          <w:trHeight w:val="176"/>
        </w:trPr>
        <w:tc>
          <w:tcPr>
            <w:tcW w:w="7740" w:type="dxa"/>
            <w:vAlign w:val="bottom"/>
            <w:shd w:val="clear" w:color="auto" w:fill="CFF0FC"/>
          </w:tcPr>
          <w:p>
            <w:pPr>
              <w:spacing w:after="0"/>
              <w:rPr>
                <w:sz w:val="20"/>
                <w:szCs w:val="20"/>
                <w:color w:val="auto"/>
              </w:rPr>
            </w:pPr>
            <w:r>
              <w:rPr>
                <w:rFonts w:ascii="Arial" w:cs="Arial" w:eastAsia="Arial" w:hAnsi="Arial"/>
                <w:sz w:val="14"/>
                <w:szCs w:val="14"/>
                <w:b w:val="1"/>
                <w:bCs w:val="1"/>
                <w:color w:val="auto"/>
              </w:rPr>
              <w:t>CASH FLOWS FROM INVESTING ACTIVITIES:</w:t>
            </w:r>
          </w:p>
        </w:tc>
        <w:tc>
          <w:tcPr>
            <w:tcW w:w="108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320" w:type="dxa"/>
            <w:vAlign w:val="bottom"/>
            <w:shd w:val="clear" w:color="auto" w:fill="CFF0FC"/>
          </w:tcPr>
          <w:p>
            <w:pPr>
              <w:spacing w:after="0"/>
              <w:rPr>
                <w:sz w:val="15"/>
                <w:szCs w:val="15"/>
                <w:color w:val="auto"/>
              </w:rPr>
            </w:pPr>
          </w:p>
        </w:tc>
      </w:tr>
      <w:tr>
        <w:trPr>
          <w:trHeight w:val="176"/>
        </w:trPr>
        <w:tc>
          <w:tcPr>
            <w:tcW w:w="7740" w:type="dxa"/>
            <w:vAlign w:val="bottom"/>
            <w:tcBorders>
              <w:bottom w:val="single" w:sz="8" w:color="CFF0FC"/>
            </w:tcBorders>
          </w:tcPr>
          <w:p>
            <w:pPr>
              <w:ind w:left="200"/>
              <w:spacing w:after="0"/>
              <w:rPr>
                <w:sz w:val="20"/>
                <w:szCs w:val="20"/>
                <w:color w:val="auto"/>
              </w:rPr>
            </w:pPr>
            <w:r>
              <w:rPr>
                <w:rFonts w:ascii="Arial" w:cs="Arial" w:eastAsia="Arial" w:hAnsi="Arial"/>
                <w:sz w:val="14"/>
                <w:szCs w:val="14"/>
                <w:color w:val="auto"/>
              </w:rPr>
              <w:t>Additions of long-lived assets</w:t>
            </w:r>
          </w:p>
        </w:tc>
        <w:tc>
          <w:tcPr>
            <w:tcW w:w="10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(21)</w:t>
            </w:r>
          </w:p>
        </w:tc>
        <w:tc>
          <w:tcPr>
            <w:tcW w:w="180" w:type="dxa"/>
            <w:vAlign w:val="bottom"/>
            <w:tcBorders>
              <w:bottom w:val="single" w:sz="8" w:color="CFF0FC"/>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(19)</w:t>
            </w:r>
          </w:p>
        </w:tc>
      </w:tr>
      <w:tr>
        <w:trPr>
          <w:trHeight w:val="168"/>
        </w:trPr>
        <w:tc>
          <w:tcPr>
            <w:tcW w:w="7740" w:type="dxa"/>
            <w:vAlign w:val="bottom"/>
            <w:shd w:val="clear" w:color="auto" w:fill="CFF0FC"/>
          </w:tcPr>
          <w:p>
            <w:pPr>
              <w:ind w:left="420"/>
              <w:spacing w:after="0"/>
              <w:rPr>
                <w:sz w:val="20"/>
                <w:szCs w:val="20"/>
                <w:color w:val="auto"/>
              </w:rPr>
            </w:pPr>
            <w:r>
              <w:rPr>
                <w:rFonts w:ascii="Arial" w:cs="Arial" w:eastAsia="Arial" w:hAnsi="Arial"/>
                <w:sz w:val="14"/>
                <w:szCs w:val="14"/>
                <w:color w:val="auto"/>
              </w:rPr>
              <w:t>Net cash used for investing activities</w:t>
            </w:r>
          </w:p>
        </w:tc>
        <w:tc>
          <w:tcPr>
            <w:tcW w:w="108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b w:val="1"/>
                <w:bCs w:val="1"/>
                <w:color w:val="auto"/>
              </w:rPr>
              <w:t>(21)</w:t>
            </w:r>
          </w:p>
        </w:tc>
        <w:tc>
          <w:tcPr>
            <w:tcW w:w="18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320" w:type="dxa"/>
            <w:vAlign w:val="bottom"/>
            <w:shd w:val="clear" w:color="auto" w:fill="CFF0FC"/>
          </w:tcPr>
          <w:p>
            <w:pPr>
              <w:jc w:val="right"/>
              <w:ind w:right="10"/>
              <w:spacing w:after="0"/>
              <w:rPr>
                <w:sz w:val="20"/>
                <w:szCs w:val="20"/>
                <w:color w:val="auto"/>
              </w:rPr>
            </w:pPr>
            <w:r>
              <w:rPr>
                <w:rFonts w:ascii="Arial" w:cs="Arial" w:eastAsia="Arial" w:hAnsi="Arial"/>
                <w:sz w:val="14"/>
                <w:szCs w:val="14"/>
                <w:color w:val="auto"/>
              </w:rPr>
              <w:t>(19)</w:t>
            </w:r>
          </w:p>
        </w:tc>
      </w:tr>
      <w:tr>
        <w:trPr>
          <w:trHeight w:val="176"/>
        </w:trPr>
        <w:tc>
          <w:tcPr>
            <w:tcW w:w="7740" w:type="dxa"/>
            <w:vAlign w:val="bottom"/>
          </w:tcPr>
          <w:p>
            <w:pPr>
              <w:spacing w:after="0"/>
              <w:rPr>
                <w:sz w:val="20"/>
                <w:szCs w:val="20"/>
                <w:color w:val="auto"/>
              </w:rPr>
            </w:pPr>
            <w:r>
              <w:rPr>
                <w:rFonts w:ascii="Arial" w:cs="Arial" w:eastAsia="Arial" w:hAnsi="Arial"/>
                <w:sz w:val="14"/>
                <w:szCs w:val="14"/>
                <w:b w:val="1"/>
                <w:bCs w:val="1"/>
                <w:color w:val="auto"/>
              </w:rPr>
              <w:t>CASH FLOWS FROM FINANCING ACTIVITIES:</w:t>
            </w:r>
          </w:p>
        </w:tc>
        <w:tc>
          <w:tcPr>
            <w:tcW w:w="10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176"/>
        </w:trPr>
        <w:tc>
          <w:tcPr>
            <w:tcW w:w="7740" w:type="dxa"/>
            <w:vAlign w:val="bottom"/>
            <w:shd w:val="clear" w:color="auto" w:fill="CFF0FC"/>
          </w:tcPr>
          <w:p>
            <w:pPr>
              <w:ind w:left="200"/>
              <w:spacing w:after="0"/>
              <w:rPr>
                <w:sz w:val="20"/>
                <w:szCs w:val="20"/>
                <w:color w:val="auto"/>
              </w:rPr>
            </w:pPr>
            <w:r>
              <w:rPr>
                <w:rFonts w:ascii="Arial" w:cs="Arial" w:eastAsia="Arial" w:hAnsi="Arial"/>
                <w:sz w:val="14"/>
                <w:szCs w:val="14"/>
                <w:color w:val="auto"/>
              </w:rPr>
              <w:t>Borrowings on revolving credit facility</w:t>
            </w:r>
          </w:p>
        </w:tc>
        <w:tc>
          <w:tcPr>
            <w:tcW w:w="1080" w:type="dxa"/>
            <w:vAlign w:val="bottom"/>
            <w:shd w:val="clear" w:color="auto" w:fill="CFF0FC"/>
          </w:tcPr>
          <w:p>
            <w:pPr>
              <w:spacing w:after="0"/>
              <w:rPr>
                <w:sz w:val="15"/>
                <w:szCs w:val="15"/>
                <w:color w:val="auto"/>
              </w:rPr>
            </w:pPr>
          </w:p>
        </w:tc>
        <w:tc>
          <w:tcPr>
            <w:tcW w:w="580" w:type="dxa"/>
            <w:vAlign w:val="bottom"/>
            <w:shd w:val="clear" w:color="auto" w:fill="CFF0FC"/>
          </w:tcPr>
          <w:p>
            <w:pPr>
              <w:jc w:val="right"/>
              <w:ind w:right="50"/>
              <w:spacing w:after="0"/>
              <w:rPr>
                <w:sz w:val="20"/>
                <w:szCs w:val="20"/>
                <w:color w:val="auto"/>
              </w:rPr>
            </w:pPr>
            <w:r>
              <w:rPr>
                <w:rFonts w:ascii="Arial" w:cs="Arial" w:eastAsia="Arial" w:hAnsi="Arial"/>
                <w:sz w:val="14"/>
                <w:szCs w:val="14"/>
                <w:b w:val="1"/>
                <w:bCs w:val="1"/>
                <w:color w:val="auto"/>
              </w:rPr>
              <w:t>300</w:t>
            </w:r>
          </w:p>
        </w:tc>
        <w:tc>
          <w:tcPr>
            <w:tcW w:w="18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320" w:type="dxa"/>
            <w:vAlign w:val="bottom"/>
            <w:shd w:val="clear" w:color="auto" w:fill="CFF0FC"/>
          </w:tcPr>
          <w:p>
            <w:pPr>
              <w:jc w:val="right"/>
              <w:ind w:right="70"/>
              <w:spacing w:after="0"/>
              <w:rPr>
                <w:sz w:val="20"/>
                <w:szCs w:val="20"/>
                <w:color w:val="auto"/>
              </w:rPr>
            </w:pPr>
            <w:r>
              <w:rPr>
                <w:rFonts w:ascii="Arial" w:cs="Arial" w:eastAsia="Arial" w:hAnsi="Arial"/>
                <w:sz w:val="14"/>
                <w:szCs w:val="14"/>
                <w:color w:val="auto"/>
              </w:rPr>
              <w:t>—</w:t>
            </w:r>
          </w:p>
        </w:tc>
      </w:tr>
      <w:tr>
        <w:trPr>
          <w:trHeight w:val="176"/>
        </w:trPr>
        <w:tc>
          <w:tcPr>
            <w:tcW w:w="7740" w:type="dxa"/>
            <w:vAlign w:val="bottom"/>
          </w:tcPr>
          <w:p>
            <w:pPr>
              <w:ind w:left="200"/>
              <w:spacing w:after="0"/>
              <w:rPr>
                <w:sz w:val="20"/>
                <w:szCs w:val="20"/>
                <w:color w:val="auto"/>
              </w:rPr>
            </w:pPr>
            <w:r>
              <w:rPr>
                <w:rFonts w:ascii="Arial" w:cs="Arial" w:eastAsia="Arial" w:hAnsi="Arial"/>
                <w:sz w:val="14"/>
                <w:szCs w:val="14"/>
                <w:color w:val="auto"/>
              </w:rPr>
              <w:t>Payments on revolving credit facility</w:t>
            </w:r>
          </w:p>
        </w:tc>
        <w:tc>
          <w:tcPr>
            <w:tcW w:w="10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rPr>
              <w:t>(300)</w:t>
            </w:r>
          </w:p>
        </w:tc>
        <w:tc>
          <w:tcPr>
            <w:tcW w:w="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20" w:type="dxa"/>
            <w:vAlign w:val="bottom"/>
          </w:tcPr>
          <w:p>
            <w:pPr>
              <w:jc w:val="right"/>
              <w:ind w:right="70"/>
              <w:spacing w:after="0"/>
              <w:rPr>
                <w:sz w:val="20"/>
                <w:szCs w:val="20"/>
                <w:color w:val="auto"/>
              </w:rPr>
            </w:pPr>
            <w:r>
              <w:rPr>
                <w:rFonts w:ascii="Arial" w:cs="Arial" w:eastAsia="Arial" w:hAnsi="Arial"/>
                <w:sz w:val="14"/>
                <w:szCs w:val="14"/>
                <w:color w:val="auto"/>
              </w:rPr>
              <w:t>—</w:t>
            </w:r>
          </w:p>
        </w:tc>
      </w:tr>
      <w:tr>
        <w:trPr>
          <w:trHeight w:val="176"/>
        </w:trPr>
        <w:tc>
          <w:tcPr>
            <w:tcW w:w="7740" w:type="dxa"/>
            <w:vAlign w:val="bottom"/>
            <w:shd w:val="clear" w:color="auto" w:fill="CFF0FC"/>
          </w:tcPr>
          <w:p>
            <w:pPr>
              <w:ind w:left="200"/>
              <w:spacing w:after="0"/>
              <w:rPr>
                <w:sz w:val="20"/>
                <w:szCs w:val="20"/>
                <w:color w:val="auto"/>
              </w:rPr>
            </w:pPr>
            <w:r>
              <w:rPr>
                <w:rFonts w:ascii="Arial" w:cs="Arial" w:eastAsia="Arial" w:hAnsi="Arial"/>
                <w:sz w:val="14"/>
                <w:szCs w:val="14"/>
                <w:color w:val="auto"/>
              </w:rPr>
              <w:t>Repurchases of common stock</w:t>
            </w:r>
          </w:p>
        </w:tc>
        <w:tc>
          <w:tcPr>
            <w:tcW w:w="108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b w:val="1"/>
                <w:bCs w:val="1"/>
                <w:color w:val="auto"/>
              </w:rPr>
              <w:t>(180)</w:t>
            </w:r>
          </w:p>
        </w:tc>
        <w:tc>
          <w:tcPr>
            <w:tcW w:w="18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320" w:type="dxa"/>
            <w:vAlign w:val="bottom"/>
            <w:shd w:val="clear" w:color="auto" w:fill="CFF0FC"/>
          </w:tcPr>
          <w:p>
            <w:pPr>
              <w:jc w:val="right"/>
              <w:ind w:right="10"/>
              <w:spacing w:after="0"/>
              <w:rPr>
                <w:sz w:val="20"/>
                <w:szCs w:val="20"/>
                <w:color w:val="auto"/>
              </w:rPr>
            </w:pPr>
            <w:r>
              <w:rPr>
                <w:rFonts w:ascii="Arial" w:cs="Arial" w:eastAsia="Arial" w:hAnsi="Arial"/>
                <w:sz w:val="14"/>
                <w:szCs w:val="14"/>
                <w:color w:val="auto"/>
              </w:rPr>
              <w:t>(50)</w:t>
            </w:r>
          </w:p>
        </w:tc>
      </w:tr>
      <w:tr>
        <w:trPr>
          <w:trHeight w:val="176"/>
        </w:trPr>
        <w:tc>
          <w:tcPr>
            <w:tcW w:w="7740" w:type="dxa"/>
            <w:vAlign w:val="bottom"/>
          </w:tcPr>
          <w:p>
            <w:pPr>
              <w:ind w:left="200"/>
              <w:spacing w:after="0"/>
              <w:rPr>
                <w:sz w:val="20"/>
                <w:szCs w:val="20"/>
                <w:color w:val="auto"/>
              </w:rPr>
            </w:pPr>
            <w:r>
              <w:rPr>
                <w:rFonts w:ascii="Arial" w:cs="Arial" w:eastAsia="Arial" w:hAnsi="Arial"/>
                <w:sz w:val="14"/>
                <w:szCs w:val="14"/>
                <w:color w:val="auto"/>
              </w:rPr>
              <w:t>Dividend payments</w:t>
            </w:r>
          </w:p>
        </w:tc>
        <w:tc>
          <w:tcPr>
            <w:tcW w:w="10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rPr>
              <w:t>(20)</w:t>
            </w:r>
          </w:p>
        </w:tc>
        <w:tc>
          <w:tcPr>
            <w:tcW w:w="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20" w:type="dxa"/>
            <w:vAlign w:val="bottom"/>
          </w:tcPr>
          <w:p>
            <w:pPr>
              <w:jc w:val="right"/>
              <w:ind w:right="10"/>
              <w:spacing w:after="0"/>
              <w:rPr>
                <w:sz w:val="20"/>
                <w:szCs w:val="20"/>
                <w:color w:val="auto"/>
              </w:rPr>
            </w:pPr>
            <w:r>
              <w:rPr>
                <w:rFonts w:ascii="Arial" w:cs="Arial" w:eastAsia="Arial" w:hAnsi="Arial"/>
                <w:sz w:val="14"/>
                <w:szCs w:val="14"/>
                <w:color w:val="auto"/>
              </w:rPr>
              <w:t>(19)</w:t>
            </w:r>
          </w:p>
        </w:tc>
      </w:tr>
      <w:tr>
        <w:trPr>
          <w:trHeight w:val="176"/>
        </w:trPr>
        <w:tc>
          <w:tcPr>
            <w:tcW w:w="7740" w:type="dxa"/>
            <w:vAlign w:val="bottom"/>
            <w:shd w:val="clear" w:color="auto" w:fill="CFF0FC"/>
          </w:tcPr>
          <w:p>
            <w:pPr>
              <w:ind w:left="200"/>
              <w:spacing w:after="0"/>
              <w:rPr>
                <w:sz w:val="20"/>
                <w:szCs w:val="20"/>
                <w:color w:val="auto"/>
              </w:rPr>
            </w:pPr>
            <w:r>
              <w:rPr>
                <w:rFonts w:ascii="Arial" w:cs="Arial" w:eastAsia="Arial" w:hAnsi="Arial"/>
                <w:sz w:val="14"/>
                <w:szCs w:val="14"/>
                <w:color w:val="auto"/>
              </w:rPr>
              <w:t>Payments on long-term debt</w:t>
            </w:r>
          </w:p>
        </w:tc>
        <w:tc>
          <w:tcPr>
            <w:tcW w:w="108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b w:val="1"/>
                <w:bCs w:val="1"/>
                <w:color w:val="auto"/>
              </w:rPr>
              <w:t>(2)</w:t>
            </w:r>
          </w:p>
        </w:tc>
        <w:tc>
          <w:tcPr>
            <w:tcW w:w="18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320" w:type="dxa"/>
            <w:vAlign w:val="bottom"/>
            <w:shd w:val="clear" w:color="auto" w:fill="CFF0FC"/>
          </w:tcPr>
          <w:p>
            <w:pPr>
              <w:jc w:val="right"/>
              <w:ind w:right="10"/>
              <w:spacing w:after="0"/>
              <w:rPr>
                <w:sz w:val="20"/>
                <w:szCs w:val="20"/>
                <w:color w:val="auto"/>
              </w:rPr>
            </w:pPr>
            <w:r>
              <w:rPr>
                <w:rFonts w:ascii="Arial" w:cs="Arial" w:eastAsia="Arial" w:hAnsi="Arial"/>
                <w:sz w:val="14"/>
                <w:szCs w:val="14"/>
                <w:color w:val="auto"/>
              </w:rPr>
              <w:t>(1,148)</w:t>
            </w:r>
          </w:p>
        </w:tc>
      </w:tr>
      <w:tr>
        <w:trPr>
          <w:trHeight w:val="176"/>
        </w:trPr>
        <w:tc>
          <w:tcPr>
            <w:tcW w:w="7740" w:type="dxa"/>
            <w:vAlign w:val="bottom"/>
          </w:tcPr>
          <w:p>
            <w:pPr>
              <w:ind w:left="200"/>
              <w:spacing w:after="0"/>
              <w:rPr>
                <w:sz w:val="20"/>
                <w:szCs w:val="20"/>
                <w:color w:val="auto"/>
              </w:rPr>
            </w:pPr>
            <w:r>
              <w:rPr>
                <w:rFonts w:ascii="Arial" w:cs="Arial" w:eastAsia="Arial" w:hAnsi="Arial"/>
                <w:sz w:val="14"/>
                <w:szCs w:val="14"/>
                <w:color w:val="auto"/>
              </w:rPr>
              <w:t>Taxes paid related to net share settlement of equity awards</w:t>
            </w:r>
          </w:p>
        </w:tc>
        <w:tc>
          <w:tcPr>
            <w:tcW w:w="10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rPr>
              <w:t>(2)</w:t>
            </w:r>
          </w:p>
        </w:tc>
        <w:tc>
          <w:tcPr>
            <w:tcW w:w="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20" w:type="dxa"/>
            <w:vAlign w:val="bottom"/>
          </w:tcPr>
          <w:p>
            <w:pPr>
              <w:jc w:val="right"/>
              <w:ind w:right="10"/>
              <w:spacing w:after="0"/>
              <w:rPr>
                <w:sz w:val="20"/>
                <w:szCs w:val="20"/>
                <w:color w:val="auto"/>
              </w:rPr>
            </w:pPr>
            <w:r>
              <w:rPr>
                <w:rFonts w:ascii="Arial" w:cs="Arial" w:eastAsia="Arial" w:hAnsi="Arial"/>
                <w:sz w:val="14"/>
                <w:szCs w:val="14"/>
                <w:color w:val="auto"/>
              </w:rPr>
              <w:t>(4)</w:t>
            </w:r>
          </w:p>
        </w:tc>
      </w:tr>
      <w:tr>
        <w:trPr>
          <w:trHeight w:val="176"/>
        </w:trPr>
        <w:tc>
          <w:tcPr>
            <w:tcW w:w="7740" w:type="dxa"/>
            <w:vAlign w:val="bottom"/>
            <w:shd w:val="clear" w:color="auto" w:fill="CFF0FC"/>
          </w:tcPr>
          <w:p>
            <w:pPr>
              <w:ind w:left="200"/>
              <w:spacing w:after="0"/>
              <w:rPr>
                <w:sz w:val="20"/>
                <w:szCs w:val="20"/>
                <w:color w:val="auto"/>
              </w:rPr>
            </w:pPr>
            <w:r>
              <w:rPr>
                <w:rFonts w:ascii="Arial" w:cs="Arial" w:eastAsia="Arial" w:hAnsi="Arial"/>
                <w:sz w:val="14"/>
                <w:szCs w:val="14"/>
                <w:color w:val="auto"/>
              </w:rPr>
              <w:t>Proceeds from exercise of stock options</w:t>
            </w:r>
          </w:p>
        </w:tc>
        <w:tc>
          <w:tcPr>
            <w:tcW w:w="1080" w:type="dxa"/>
            <w:vAlign w:val="bottom"/>
            <w:shd w:val="clear" w:color="auto" w:fill="CFF0FC"/>
          </w:tcPr>
          <w:p>
            <w:pPr>
              <w:spacing w:after="0"/>
              <w:rPr>
                <w:sz w:val="15"/>
                <w:szCs w:val="15"/>
                <w:color w:val="auto"/>
              </w:rPr>
            </w:pPr>
          </w:p>
        </w:tc>
        <w:tc>
          <w:tcPr>
            <w:tcW w:w="580" w:type="dxa"/>
            <w:vAlign w:val="bottom"/>
            <w:shd w:val="clear" w:color="auto" w:fill="CFF0FC"/>
          </w:tcPr>
          <w:p>
            <w:pPr>
              <w:jc w:val="right"/>
              <w:ind w:right="50"/>
              <w:spacing w:after="0"/>
              <w:rPr>
                <w:sz w:val="20"/>
                <w:szCs w:val="20"/>
                <w:color w:val="auto"/>
              </w:rPr>
            </w:pPr>
            <w:r>
              <w:rPr>
                <w:rFonts w:ascii="Arial" w:cs="Arial" w:eastAsia="Arial" w:hAnsi="Arial"/>
                <w:sz w:val="14"/>
                <w:szCs w:val="14"/>
                <w:b w:val="1"/>
                <w:bCs w:val="1"/>
                <w:color w:val="auto"/>
              </w:rPr>
              <w:t>1</w:t>
            </w:r>
          </w:p>
        </w:tc>
        <w:tc>
          <w:tcPr>
            <w:tcW w:w="18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320" w:type="dxa"/>
            <w:vAlign w:val="bottom"/>
            <w:shd w:val="clear" w:color="auto" w:fill="CFF0FC"/>
          </w:tcPr>
          <w:p>
            <w:pPr>
              <w:jc w:val="right"/>
              <w:ind w:right="70"/>
              <w:spacing w:after="0"/>
              <w:rPr>
                <w:sz w:val="20"/>
                <w:szCs w:val="20"/>
                <w:color w:val="auto"/>
              </w:rPr>
            </w:pPr>
            <w:r>
              <w:rPr>
                <w:rFonts w:ascii="Arial" w:cs="Arial" w:eastAsia="Arial" w:hAnsi="Arial"/>
                <w:sz w:val="14"/>
                <w:szCs w:val="14"/>
                <w:color w:val="auto"/>
              </w:rPr>
              <w:t>—</w:t>
            </w:r>
          </w:p>
        </w:tc>
      </w:tr>
      <w:tr>
        <w:trPr>
          <w:trHeight w:val="176"/>
        </w:trPr>
        <w:tc>
          <w:tcPr>
            <w:tcW w:w="7740" w:type="dxa"/>
            <w:vAlign w:val="bottom"/>
          </w:tcPr>
          <w:p>
            <w:pPr>
              <w:ind w:left="200"/>
              <w:spacing w:after="0"/>
              <w:rPr>
                <w:sz w:val="20"/>
                <w:szCs w:val="20"/>
                <w:color w:val="auto"/>
              </w:rPr>
            </w:pPr>
            <w:r>
              <w:rPr>
                <w:rFonts w:ascii="Arial" w:cs="Arial" w:eastAsia="Arial" w:hAnsi="Arial"/>
                <w:sz w:val="14"/>
                <w:szCs w:val="14"/>
                <w:color w:val="auto"/>
              </w:rPr>
              <w:t>Issuance of long-term debt</w:t>
            </w:r>
          </w:p>
        </w:tc>
        <w:tc>
          <w:tcPr>
            <w:tcW w:w="1080" w:type="dxa"/>
            <w:vAlign w:val="bottom"/>
          </w:tcPr>
          <w:p>
            <w:pPr>
              <w:spacing w:after="0"/>
              <w:rPr>
                <w:sz w:val="15"/>
                <w:szCs w:val="15"/>
                <w:color w:val="auto"/>
              </w:rPr>
            </w:pPr>
          </w:p>
        </w:tc>
        <w:tc>
          <w:tcPr>
            <w:tcW w:w="580" w:type="dxa"/>
            <w:vAlign w:val="bottom"/>
          </w:tcPr>
          <w:p>
            <w:pPr>
              <w:jc w:val="right"/>
              <w:ind w:right="5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20" w:type="dxa"/>
            <w:vAlign w:val="bottom"/>
          </w:tcPr>
          <w:p>
            <w:pPr>
              <w:jc w:val="right"/>
              <w:ind w:right="70"/>
              <w:spacing w:after="0"/>
              <w:rPr>
                <w:sz w:val="20"/>
                <w:szCs w:val="20"/>
                <w:color w:val="auto"/>
              </w:rPr>
            </w:pPr>
            <w:r>
              <w:rPr>
                <w:rFonts w:ascii="Arial" w:cs="Arial" w:eastAsia="Arial" w:hAnsi="Arial"/>
                <w:sz w:val="14"/>
                <w:szCs w:val="14"/>
                <w:color w:val="auto"/>
              </w:rPr>
              <w:t>1,148</w:t>
            </w:r>
          </w:p>
        </w:tc>
      </w:tr>
      <w:tr>
        <w:trPr>
          <w:trHeight w:val="176"/>
        </w:trPr>
        <w:tc>
          <w:tcPr>
            <w:tcW w:w="7740" w:type="dxa"/>
            <w:vAlign w:val="bottom"/>
            <w:shd w:val="clear" w:color="auto" w:fill="CFF0FC"/>
          </w:tcPr>
          <w:p>
            <w:pPr>
              <w:ind w:left="200"/>
              <w:spacing w:after="0"/>
              <w:rPr>
                <w:sz w:val="20"/>
                <w:szCs w:val="20"/>
                <w:color w:val="auto"/>
              </w:rPr>
            </w:pPr>
            <w:r>
              <w:rPr>
                <w:rFonts w:ascii="Arial" w:cs="Arial" w:eastAsia="Arial" w:hAnsi="Arial"/>
                <w:sz w:val="14"/>
                <w:szCs w:val="14"/>
                <w:color w:val="auto"/>
              </w:rPr>
              <w:t>Debt financing fees</w:t>
            </w:r>
          </w:p>
        </w:tc>
        <w:tc>
          <w:tcPr>
            <w:tcW w:w="1080" w:type="dxa"/>
            <w:vAlign w:val="bottom"/>
            <w:tcBorders>
              <w:bottom w:val="single" w:sz="8" w:color="auto"/>
            </w:tcBorders>
            <w:shd w:val="clear" w:color="auto" w:fill="CFF0FC"/>
          </w:tcPr>
          <w:p>
            <w:pPr>
              <w:spacing w:after="0"/>
              <w:rPr>
                <w:sz w:val="15"/>
                <w:szCs w:val="15"/>
                <w:color w:val="auto"/>
              </w:rPr>
            </w:pPr>
          </w:p>
        </w:tc>
        <w:tc>
          <w:tcPr>
            <w:tcW w:w="58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CFF0FC"/>
          </w:tcPr>
          <w:p>
            <w:pPr>
              <w:spacing w:after="0"/>
              <w:rPr>
                <w:sz w:val="15"/>
                <w:szCs w:val="15"/>
                <w:color w:val="auto"/>
              </w:rPr>
            </w:pPr>
          </w:p>
        </w:tc>
        <w:tc>
          <w:tcPr>
            <w:tcW w:w="360" w:type="dxa"/>
            <w:vAlign w:val="bottom"/>
            <w:tcBorders>
              <w:bottom w:val="single" w:sz="8" w:color="auto"/>
            </w:tcBorders>
            <w:shd w:val="clear" w:color="auto" w:fill="CFF0FC"/>
          </w:tcPr>
          <w:p>
            <w:pPr>
              <w:spacing w:after="0"/>
              <w:rPr>
                <w:sz w:val="15"/>
                <w:szCs w:val="15"/>
                <w:color w:val="auto"/>
              </w:rPr>
            </w:pPr>
          </w:p>
        </w:tc>
        <w:tc>
          <w:tcPr>
            <w:tcW w:w="13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4"/>
                <w:szCs w:val="14"/>
                <w:color w:val="auto"/>
              </w:rPr>
              <w:t>(10)</w:t>
            </w:r>
          </w:p>
        </w:tc>
      </w:tr>
      <w:tr>
        <w:trPr>
          <w:trHeight w:val="168"/>
        </w:trPr>
        <w:tc>
          <w:tcPr>
            <w:tcW w:w="7740" w:type="dxa"/>
            <w:vAlign w:val="bottom"/>
          </w:tcPr>
          <w:p>
            <w:pPr>
              <w:ind w:left="420"/>
              <w:spacing w:after="0"/>
              <w:rPr>
                <w:sz w:val="20"/>
                <w:szCs w:val="20"/>
                <w:color w:val="auto"/>
              </w:rPr>
            </w:pPr>
            <w:r>
              <w:rPr>
                <w:rFonts w:ascii="Arial" w:cs="Arial" w:eastAsia="Arial" w:hAnsi="Arial"/>
                <w:sz w:val="14"/>
                <w:szCs w:val="14"/>
                <w:color w:val="auto"/>
              </w:rPr>
              <w:t>Net cash used for financing activities</w:t>
            </w:r>
          </w:p>
        </w:tc>
        <w:tc>
          <w:tcPr>
            <w:tcW w:w="10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rPr>
              <w:t>(203)</w:t>
            </w: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20" w:type="dxa"/>
            <w:vAlign w:val="bottom"/>
          </w:tcPr>
          <w:p>
            <w:pPr>
              <w:jc w:val="right"/>
              <w:ind w:right="10"/>
              <w:spacing w:after="0"/>
              <w:rPr>
                <w:sz w:val="20"/>
                <w:szCs w:val="20"/>
                <w:color w:val="auto"/>
              </w:rPr>
            </w:pPr>
            <w:r>
              <w:rPr>
                <w:rFonts w:ascii="Arial" w:cs="Arial" w:eastAsia="Arial" w:hAnsi="Arial"/>
                <w:sz w:val="14"/>
                <w:szCs w:val="14"/>
                <w:color w:val="auto"/>
              </w:rPr>
              <w:t>(83)</w:t>
            </w:r>
          </w:p>
        </w:tc>
      </w:tr>
      <w:tr>
        <w:trPr>
          <w:trHeight w:val="176"/>
        </w:trPr>
        <w:tc>
          <w:tcPr>
            <w:tcW w:w="7740" w:type="dxa"/>
            <w:vAlign w:val="bottom"/>
            <w:shd w:val="clear" w:color="auto" w:fill="CFF0FC"/>
          </w:tcPr>
          <w:p>
            <w:pPr>
              <w:spacing w:after="0"/>
              <w:rPr>
                <w:sz w:val="20"/>
                <w:szCs w:val="20"/>
                <w:color w:val="auto"/>
              </w:rPr>
            </w:pPr>
            <w:r>
              <w:rPr>
                <w:rFonts w:ascii="Arial" w:cs="Arial" w:eastAsia="Arial" w:hAnsi="Arial"/>
                <w:sz w:val="14"/>
                <w:szCs w:val="14"/>
                <w:color w:val="auto"/>
              </w:rPr>
              <w:t>Effect of exchange rate changes on cash</w:t>
            </w:r>
          </w:p>
        </w:tc>
        <w:tc>
          <w:tcPr>
            <w:tcW w:w="1080" w:type="dxa"/>
            <w:vAlign w:val="bottom"/>
            <w:tcBorders>
              <w:bottom w:val="single" w:sz="8" w:color="auto"/>
            </w:tcBorders>
            <w:shd w:val="clear" w:color="auto" w:fill="CFF0FC"/>
          </w:tcPr>
          <w:p>
            <w:pPr>
              <w:spacing w:after="0"/>
              <w:rPr>
                <w:sz w:val="15"/>
                <w:szCs w:val="15"/>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rPr>
              <w:t>(2)</w:t>
            </w:r>
          </w:p>
        </w:tc>
        <w:tc>
          <w:tcPr>
            <w:tcW w:w="180" w:type="dxa"/>
            <w:vAlign w:val="bottom"/>
            <w:shd w:val="clear" w:color="auto" w:fill="CFF0FC"/>
          </w:tcPr>
          <w:p>
            <w:pPr>
              <w:spacing w:after="0"/>
              <w:rPr>
                <w:sz w:val="15"/>
                <w:szCs w:val="15"/>
                <w:color w:val="auto"/>
              </w:rPr>
            </w:pPr>
          </w:p>
        </w:tc>
        <w:tc>
          <w:tcPr>
            <w:tcW w:w="360" w:type="dxa"/>
            <w:vAlign w:val="bottom"/>
            <w:tcBorders>
              <w:bottom w:val="single" w:sz="8" w:color="auto"/>
            </w:tcBorders>
            <w:shd w:val="clear" w:color="auto" w:fill="CFF0FC"/>
          </w:tcPr>
          <w:p>
            <w:pPr>
              <w:spacing w:after="0"/>
              <w:rPr>
                <w:sz w:val="15"/>
                <w:szCs w:val="15"/>
                <w:color w:val="auto"/>
              </w:rPr>
            </w:pPr>
          </w:p>
        </w:tc>
        <w:tc>
          <w:tcPr>
            <w:tcW w:w="132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4"/>
                <w:szCs w:val="14"/>
                <w:color w:val="auto"/>
              </w:rPr>
              <w:t>1</w:t>
            </w:r>
          </w:p>
        </w:tc>
      </w:tr>
      <w:tr>
        <w:trPr>
          <w:trHeight w:val="168"/>
        </w:trPr>
        <w:tc>
          <w:tcPr>
            <w:tcW w:w="7740" w:type="dxa"/>
            <w:vAlign w:val="bottom"/>
          </w:tcPr>
          <w:p>
            <w:pPr>
              <w:ind w:left="420"/>
              <w:spacing w:after="0"/>
              <w:rPr>
                <w:sz w:val="20"/>
                <w:szCs w:val="20"/>
                <w:color w:val="auto"/>
              </w:rPr>
            </w:pPr>
            <w:r>
              <w:rPr>
                <w:rFonts w:ascii="Arial" w:cs="Arial" w:eastAsia="Arial" w:hAnsi="Arial"/>
                <w:sz w:val="14"/>
                <w:szCs w:val="14"/>
                <w:color w:val="auto"/>
              </w:rPr>
              <w:t>Net (decrease) increase in cash and cash equivalents</w:t>
            </w:r>
          </w:p>
        </w:tc>
        <w:tc>
          <w:tcPr>
            <w:tcW w:w="10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rPr>
              <w:t>(78)</w:t>
            </w: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20" w:type="dxa"/>
            <w:vAlign w:val="bottom"/>
          </w:tcPr>
          <w:p>
            <w:pPr>
              <w:jc w:val="right"/>
              <w:ind w:right="70"/>
              <w:spacing w:after="0"/>
              <w:rPr>
                <w:sz w:val="20"/>
                <w:szCs w:val="20"/>
                <w:color w:val="auto"/>
              </w:rPr>
            </w:pPr>
            <w:r>
              <w:rPr>
                <w:rFonts w:ascii="Arial" w:cs="Arial" w:eastAsia="Arial" w:hAnsi="Arial"/>
                <w:sz w:val="14"/>
                <w:szCs w:val="14"/>
                <w:color w:val="auto"/>
              </w:rPr>
              <w:t>93</w:t>
            </w:r>
          </w:p>
        </w:tc>
      </w:tr>
      <w:tr>
        <w:trPr>
          <w:trHeight w:val="176"/>
        </w:trPr>
        <w:tc>
          <w:tcPr>
            <w:tcW w:w="7740" w:type="dxa"/>
            <w:vAlign w:val="bottom"/>
            <w:shd w:val="clear" w:color="auto" w:fill="CFF0FC"/>
          </w:tcPr>
          <w:p>
            <w:pPr>
              <w:spacing w:after="0"/>
              <w:rPr>
                <w:sz w:val="20"/>
                <w:szCs w:val="20"/>
                <w:color w:val="auto"/>
              </w:rPr>
            </w:pPr>
            <w:r>
              <w:rPr>
                <w:rFonts w:ascii="Arial" w:cs="Arial" w:eastAsia="Arial" w:hAnsi="Arial"/>
                <w:sz w:val="14"/>
                <w:szCs w:val="14"/>
                <w:color w:val="auto"/>
              </w:rPr>
              <w:t>Cash and cash equivalents at beginning of period</w:t>
            </w:r>
          </w:p>
        </w:tc>
        <w:tc>
          <w:tcPr>
            <w:tcW w:w="1080" w:type="dxa"/>
            <w:vAlign w:val="bottom"/>
            <w:tcBorders>
              <w:bottom w:val="single" w:sz="8" w:color="auto"/>
            </w:tcBorders>
            <w:shd w:val="clear" w:color="auto" w:fill="CFF0FC"/>
          </w:tcPr>
          <w:p>
            <w:pPr>
              <w:spacing w:after="0"/>
              <w:rPr>
                <w:sz w:val="15"/>
                <w:szCs w:val="15"/>
                <w:color w:val="auto"/>
              </w:rPr>
            </w:pPr>
          </w:p>
        </w:tc>
        <w:tc>
          <w:tcPr>
            <w:tcW w:w="58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4"/>
                <w:szCs w:val="14"/>
                <w:b w:val="1"/>
                <w:bCs w:val="1"/>
                <w:color w:val="auto"/>
              </w:rPr>
              <w:t>192</w:t>
            </w:r>
          </w:p>
        </w:tc>
        <w:tc>
          <w:tcPr>
            <w:tcW w:w="180" w:type="dxa"/>
            <w:vAlign w:val="bottom"/>
            <w:shd w:val="clear" w:color="auto" w:fill="CFF0FC"/>
          </w:tcPr>
          <w:p>
            <w:pPr>
              <w:spacing w:after="0"/>
              <w:rPr>
                <w:sz w:val="15"/>
                <w:szCs w:val="15"/>
                <w:color w:val="auto"/>
              </w:rPr>
            </w:pPr>
          </w:p>
        </w:tc>
        <w:tc>
          <w:tcPr>
            <w:tcW w:w="360" w:type="dxa"/>
            <w:vAlign w:val="bottom"/>
            <w:tcBorders>
              <w:bottom w:val="single" w:sz="8" w:color="auto"/>
            </w:tcBorders>
            <w:shd w:val="clear" w:color="auto" w:fill="CFF0FC"/>
          </w:tcPr>
          <w:p>
            <w:pPr>
              <w:spacing w:after="0"/>
              <w:rPr>
                <w:sz w:val="15"/>
                <w:szCs w:val="15"/>
                <w:color w:val="auto"/>
              </w:rPr>
            </w:pPr>
          </w:p>
        </w:tc>
        <w:tc>
          <w:tcPr>
            <w:tcW w:w="132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4"/>
                <w:szCs w:val="14"/>
                <w:color w:val="auto"/>
              </w:rPr>
              <w:t>231</w:t>
            </w:r>
          </w:p>
        </w:tc>
      </w:tr>
      <w:tr>
        <w:trPr>
          <w:trHeight w:val="208"/>
        </w:trPr>
        <w:tc>
          <w:tcPr>
            <w:tcW w:w="7740" w:type="dxa"/>
            <w:vAlign w:val="bottom"/>
          </w:tcPr>
          <w:p>
            <w:pPr>
              <w:spacing w:after="0"/>
              <w:rPr>
                <w:sz w:val="20"/>
                <w:szCs w:val="20"/>
                <w:color w:val="auto"/>
              </w:rPr>
            </w:pPr>
            <w:r>
              <w:rPr>
                <w:rFonts w:ascii="Arial" w:cs="Arial" w:eastAsia="Arial" w:hAnsi="Arial"/>
                <w:sz w:val="14"/>
                <w:szCs w:val="14"/>
                <w:color w:val="auto"/>
              </w:rPr>
              <w:t>Cash and cash equivalents at end of period</w:t>
            </w:r>
          </w:p>
        </w:tc>
        <w:tc>
          <w:tcPr>
            <w:tcW w:w="1080" w:type="dxa"/>
            <w:vAlign w:val="bottom"/>
          </w:tcPr>
          <w:p>
            <w:pPr>
              <w:jc w:val="right"/>
              <w:ind w:right="931"/>
              <w:spacing w:after="0"/>
              <w:rPr>
                <w:sz w:val="20"/>
                <w:szCs w:val="20"/>
                <w:color w:val="auto"/>
              </w:rPr>
            </w:pPr>
            <w:r>
              <w:rPr>
                <w:rFonts w:ascii="Arial" w:cs="Arial" w:eastAsia="Arial" w:hAnsi="Arial"/>
                <w:sz w:val="14"/>
                <w:szCs w:val="14"/>
                <w:b w:val="1"/>
                <w:bCs w:val="1"/>
                <w:color w:val="auto"/>
                <w:w w:val="76"/>
              </w:rPr>
              <w:t>$</w:t>
            </w:r>
          </w:p>
        </w:tc>
        <w:tc>
          <w:tcPr>
            <w:tcW w:w="580" w:type="dxa"/>
            <w:vAlign w:val="bottom"/>
          </w:tcPr>
          <w:p>
            <w:pPr>
              <w:jc w:val="right"/>
              <w:ind w:right="50"/>
              <w:spacing w:after="0"/>
              <w:rPr>
                <w:sz w:val="20"/>
                <w:szCs w:val="20"/>
                <w:color w:val="auto"/>
              </w:rPr>
            </w:pPr>
            <w:r>
              <w:rPr>
                <w:rFonts w:ascii="Arial" w:cs="Arial" w:eastAsia="Arial" w:hAnsi="Arial"/>
                <w:sz w:val="14"/>
                <w:szCs w:val="14"/>
                <w:b w:val="1"/>
                <w:bCs w:val="1"/>
                <w:color w:val="auto"/>
              </w:rPr>
              <w:t>114</w:t>
            </w:r>
          </w:p>
        </w:tc>
        <w:tc>
          <w:tcPr>
            <w:tcW w:w="54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70"/>
              <w:spacing w:after="0"/>
              <w:rPr>
                <w:sz w:val="20"/>
                <w:szCs w:val="20"/>
                <w:color w:val="auto"/>
              </w:rPr>
            </w:pPr>
            <w:r>
              <w:rPr>
                <w:rFonts w:ascii="Arial" w:cs="Arial" w:eastAsia="Arial" w:hAnsi="Arial"/>
                <w:sz w:val="14"/>
                <w:szCs w:val="14"/>
                <w:color w:val="auto"/>
              </w:rPr>
              <w:t>324</w:t>
            </w:r>
          </w:p>
        </w:tc>
      </w:tr>
      <w:tr>
        <w:trPr>
          <w:trHeight w:val="151"/>
        </w:trPr>
        <w:tc>
          <w:tcPr>
            <w:tcW w:w="7740" w:type="dxa"/>
            <w:vAlign w:val="bottom"/>
            <w:tcBorders>
              <w:top w:val="single" w:sz="8" w:color="CFF0FC"/>
            </w:tcBorders>
            <w:shd w:val="clear" w:color="auto" w:fill="CFF0FC"/>
          </w:tcPr>
          <w:p>
            <w:pPr>
              <w:spacing w:after="0" w:line="151" w:lineRule="exact"/>
              <w:rPr>
                <w:sz w:val="20"/>
                <w:szCs w:val="20"/>
                <w:color w:val="auto"/>
              </w:rPr>
            </w:pPr>
            <w:r>
              <w:rPr>
                <w:rFonts w:ascii="Arial" w:cs="Arial" w:eastAsia="Arial" w:hAnsi="Arial"/>
                <w:sz w:val="14"/>
                <w:szCs w:val="14"/>
                <w:color w:val="auto"/>
              </w:rPr>
              <w:t>Supplemental disclosures:</w:t>
            </w:r>
          </w:p>
        </w:tc>
        <w:tc>
          <w:tcPr>
            <w:tcW w:w="1080" w:type="dxa"/>
            <w:vAlign w:val="bottom"/>
            <w:tcBorders>
              <w:top w:val="single" w:sz="8" w:color="auto"/>
            </w:tcBorders>
            <w:shd w:val="clear" w:color="auto" w:fill="CFF0FC"/>
          </w:tcPr>
          <w:p>
            <w:pPr>
              <w:spacing w:after="0"/>
              <w:rPr>
                <w:sz w:val="13"/>
                <w:szCs w:val="13"/>
                <w:color w:val="auto"/>
              </w:rPr>
            </w:pPr>
          </w:p>
        </w:tc>
        <w:tc>
          <w:tcPr>
            <w:tcW w:w="580" w:type="dxa"/>
            <w:vAlign w:val="bottom"/>
            <w:tcBorders>
              <w:top w:val="single" w:sz="8" w:color="auto"/>
            </w:tcBorders>
            <w:shd w:val="clear" w:color="auto" w:fill="CFF0FC"/>
          </w:tcPr>
          <w:p>
            <w:pPr>
              <w:spacing w:after="0"/>
              <w:rPr>
                <w:sz w:val="13"/>
                <w:szCs w:val="13"/>
                <w:color w:val="auto"/>
              </w:rPr>
            </w:pPr>
          </w:p>
        </w:tc>
        <w:tc>
          <w:tcPr>
            <w:tcW w:w="180" w:type="dxa"/>
            <w:vAlign w:val="bottom"/>
            <w:tcBorders>
              <w:top w:val="single" w:sz="8" w:color="CFF0FC"/>
            </w:tcBorders>
            <w:shd w:val="clear" w:color="auto" w:fill="CFF0FC"/>
          </w:tcPr>
          <w:p>
            <w:pPr>
              <w:spacing w:after="0"/>
              <w:rPr>
                <w:sz w:val="13"/>
                <w:szCs w:val="13"/>
                <w:color w:val="auto"/>
              </w:rPr>
            </w:pPr>
          </w:p>
        </w:tc>
        <w:tc>
          <w:tcPr>
            <w:tcW w:w="360" w:type="dxa"/>
            <w:vAlign w:val="bottom"/>
            <w:tcBorders>
              <w:top w:val="single" w:sz="8" w:color="auto"/>
            </w:tcBorders>
            <w:shd w:val="clear" w:color="auto" w:fill="CFF0FC"/>
          </w:tcPr>
          <w:p>
            <w:pPr>
              <w:spacing w:after="0"/>
              <w:rPr>
                <w:sz w:val="13"/>
                <w:szCs w:val="13"/>
                <w:color w:val="auto"/>
              </w:rPr>
            </w:pPr>
          </w:p>
        </w:tc>
        <w:tc>
          <w:tcPr>
            <w:tcW w:w="1320" w:type="dxa"/>
            <w:vAlign w:val="bottom"/>
            <w:tcBorders>
              <w:top w:val="single" w:sz="8" w:color="auto"/>
            </w:tcBorders>
            <w:shd w:val="clear" w:color="auto" w:fill="CFF0FC"/>
          </w:tcPr>
          <w:p>
            <w:pPr>
              <w:spacing w:after="0"/>
              <w:rPr>
                <w:sz w:val="13"/>
                <w:szCs w:val="13"/>
                <w:color w:val="auto"/>
              </w:rPr>
            </w:pPr>
          </w:p>
        </w:tc>
      </w:tr>
      <w:tr>
        <w:trPr>
          <w:trHeight w:val="176"/>
        </w:trPr>
        <w:tc>
          <w:tcPr>
            <w:tcW w:w="7740" w:type="dxa"/>
            <w:vAlign w:val="bottom"/>
          </w:tcPr>
          <w:p>
            <w:pPr>
              <w:ind w:left="420"/>
              <w:spacing w:after="0"/>
              <w:rPr>
                <w:sz w:val="20"/>
                <w:szCs w:val="20"/>
                <w:color w:val="auto"/>
              </w:rPr>
            </w:pPr>
            <w:r>
              <w:rPr>
                <w:rFonts w:ascii="Arial" w:cs="Arial" w:eastAsia="Arial" w:hAnsi="Arial"/>
                <w:sz w:val="14"/>
                <w:szCs w:val="14"/>
                <w:color w:val="auto"/>
              </w:rPr>
              <w:t>Interest paid</w:t>
            </w:r>
          </w:p>
        </w:tc>
        <w:tc>
          <w:tcPr>
            <w:tcW w:w="1080" w:type="dxa"/>
            <w:vAlign w:val="bottom"/>
          </w:tcPr>
          <w:p>
            <w:pPr>
              <w:jc w:val="right"/>
              <w:ind w:right="931"/>
              <w:spacing w:after="0"/>
              <w:rPr>
                <w:sz w:val="20"/>
                <w:szCs w:val="20"/>
                <w:color w:val="auto"/>
              </w:rPr>
            </w:pPr>
            <w:r>
              <w:rPr>
                <w:rFonts w:ascii="Arial" w:cs="Arial" w:eastAsia="Arial" w:hAnsi="Arial"/>
                <w:sz w:val="14"/>
                <w:szCs w:val="14"/>
                <w:b w:val="1"/>
                <w:bCs w:val="1"/>
                <w:color w:val="auto"/>
                <w:w w:val="76"/>
              </w:rPr>
              <w:t>$</w:t>
            </w:r>
          </w:p>
        </w:tc>
        <w:tc>
          <w:tcPr>
            <w:tcW w:w="580" w:type="dxa"/>
            <w:vAlign w:val="bottom"/>
          </w:tcPr>
          <w:p>
            <w:pPr>
              <w:jc w:val="right"/>
              <w:ind w:right="50"/>
              <w:spacing w:after="0"/>
              <w:rPr>
                <w:sz w:val="20"/>
                <w:szCs w:val="20"/>
                <w:color w:val="auto"/>
              </w:rPr>
            </w:pPr>
            <w:r>
              <w:rPr>
                <w:rFonts w:ascii="Arial" w:cs="Arial" w:eastAsia="Arial" w:hAnsi="Arial"/>
                <w:sz w:val="14"/>
                <w:szCs w:val="14"/>
                <w:b w:val="1"/>
                <w:bCs w:val="1"/>
                <w:color w:val="auto"/>
              </w:rPr>
              <w:t>8</w:t>
            </w:r>
          </w:p>
        </w:tc>
        <w:tc>
          <w:tcPr>
            <w:tcW w:w="54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70"/>
              <w:spacing w:after="0"/>
              <w:rPr>
                <w:sz w:val="20"/>
                <w:szCs w:val="20"/>
                <w:color w:val="auto"/>
              </w:rPr>
            </w:pPr>
            <w:r>
              <w:rPr>
                <w:rFonts w:ascii="Arial" w:cs="Arial" w:eastAsia="Arial" w:hAnsi="Arial"/>
                <w:sz w:val="14"/>
                <w:szCs w:val="14"/>
                <w:color w:val="auto"/>
              </w:rPr>
              <w:t>14</w:t>
            </w:r>
          </w:p>
        </w:tc>
      </w:tr>
      <w:tr>
        <w:trPr>
          <w:trHeight w:val="176"/>
        </w:trPr>
        <w:tc>
          <w:tcPr>
            <w:tcW w:w="7740" w:type="dxa"/>
            <w:vAlign w:val="bottom"/>
            <w:shd w:val="clear" w:color="auto" w:fill="CFF0FC"/>
          </w:tcPr>
          <w:p>
            <w:pPr>
              <w:ind w:left="420"/>
              <w:spacing w:after="0"/>
              <w:rPr>
                <w:sz w:val="20"/>
                <w:szCs w:val="20"/>
                <w:color w:val="auto"/>
              </w:rPr>
            </w:pPr>
            <w:r>
              <w:rPr>
                <w:rFonts w:ascii="Arial" w:cs="Arial" w:eastAsia="Arial" w:hAnsi="Arial"/>
                <w:sz w:val="14"/>
                <w:szCs w:val="14"/>
                <w:color w:val="auto"/>
              </w:rPr>
              <w:t>Income taxes paid</w:t>
            </w:r>
          </w:p>
        </w:tc>
        <w:tc>
          <w:tcPr>
            <w:tcW w:w="1080" w:type="dxa"/>
            <w:vAlign w:val="bottom"/>
            <w:shd w:val="clear" w:color="auto" w:fill="CFF0FC"/>
          </w:tcPr>
          <w:p>
            <w:pPr>
              <w:jc w:val="right"/>
              <w:ind w:right="931"/>
              <w:spacing w:after="0"/>
              <w:rPr>
                <w:sz w:val="20"/>
                <w:szCs w:val="20"/>
                <w:color w:val="auto"/>
              </w:rPr>
            </w:pPr>
            <w:r>
              <w:rPr>
                <w:rFonts w:ascii="Arial" w:cs="Arial" w:eastAsia="Arial" w:hAnsi="Arial"/>
                <w:sz w:val="14"/>
                <w:szCs w:val="14"/>
                <w:b w:val="1"/>
                <w:bCs w:val="1"/>
                <w:color w:val="auto"/>
                <w:w w:val="76"/>
              </w:rPr>
              <w:t>$</w:t>
            </w:r>
          </w:p>
        </w:tc>
        <w:tc>
          <w:tcPr>
            <w:tcW w:w="580" w:type="dxa"/>
            <w:vAlign w:val="bottom"/>
            <w:shd w:val="clear" w:color="auto" w:fill="CFF0FC"/>
          </w:tcPr>
          <w:p>
            <w:pPr>
              <w:jc w:val="right"/>
              <w:ind w:right="50"/>
              <w:spacing w:after="0"/>
              <w:rPr>
                <w:sz w:val="20"/>
                <w:szCs w:val="20"/>
                <w:color w:val="auto"/>
              </w:rPr>
            </w:pPr>
            <w:r>
              <w:rPr>
                <w:rFonts w:ascii="Arial" w:cs="Arial" w:eastAsia="Arial" w:hAnsi="Arial"/>
                <w:sz w:val="14"/>
                <w:szCs w:val="14"/>
                <w:b w:val="1"/>
                <w:bCs w:val="1"/>
                <w:color w:val="auto"/>
              </w:rPr>
              <w:t>6</w:t>
            </w:r>
          </w:p>
        </w:tc>
        <w:tc>
          <w:tcPr>
            <w:tcW w:w="540" w:type="dxa"/>
            <w:vAlign w:val="bottom"/>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w:t>
            </w:r>
          </w:p>
        </w:tc>
        <w:tc>
          <w:tcPr>
            <w:tcW w:w="1320" w:type="dxa"/>
            <w:vAlign w:val="bottom"/>
            <w:shd w:val="clear" w:color="auto" w:fill="CFF0FC"/>
          </w:tcPr>
          <w:p>
            <w:pPr>
              <w:jc w:val="right"/>
              <w:ind w:right="70"/>
              <w:spacing w:after="0"/>
              <w:rPr>
                <w:sz w:val="20"/>
                <w:szCs w:val="20"/>
                <w:color w:val="auto"/>
              </w:rPr>
            </w:pPr>
            <w:r>
              <w:rPr>
                <w:rFonts w:ascii="Arial" w:cs="Arial" w:eastAsia="Arial" w:hAnsi="Arial"/>
                <w:sz w:val="14"/>
                <w:szCs w:val="14"/>
                <w:color w:val="auto"/>
              </w:rPr>
              <w:t>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 condensed consolidated financial statements.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55245</wp:posOffset>
            </wp:positionV>
            <wp:extent cx="7150100" cy="146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0"/>
          </w:cols>
          <w:pgMar w:left="320" w:top="140" w:right="319" w:bottom="1440" w:gutter="0" w:footer="0" w:header="0"/>
        </w:sectPr>
      </w:pPr>
    </w:p>
    <w:bookmarkStart w:id="5" w:name="page6"/>
    <w:bookmarkEnd w:id="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8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Allison Transmission Holdings, Inc.</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Stockholders’ Equity</w:t>
      </w:r>
    </w:p>
    <w:p>
      <w:pPr>
        <w:jc w:val="center"/>
        <w:spacing w:after="0"/>
        <w:rPr>
          <w:sz w:val="20"/>
          <w:szCs w:val="20"/>
          <w:color w:val="auto"/>
        </w:rPr>
      </w:pPr>
      <w:r>
        <w:rPr>
          <w:rFonts w:ascii="Arial" w:cs="Arial" w:eastAsia="Arial" w:hAnsi="Arial"/>
          <w:sz w:val="16"/>
          <w:szCs w:val="16"/>
          <w:b w:val="1"/>
          <w:bCs w:val="1"/>
          <w:color w:val="auto"/>
        </w:rPr>
        <w:t>(unaudited, dollars in millions)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3400" w:type="dxa"/>
            <w:vAlign w:val="bottom"/>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gridSpan w:val="4"/>
          </w:tcPr>
          <w:p>
            <w:pPr>
              <w:spacing w:after="0"/>
              <w:rPr>
                <w:sz w:val="20"/>
                <w:szCs w:val="20"/>
                <w:color w:val="auto"/>
              </w:rPr>
            </w:pPr>
            <w:r>
              <w:rPr>
                <w:rFonts w:ascii="Arial" w:cs="Arial" w:eastAsia="Arial" w:hAnsi="Arial"/>
                <w:sz w:val="13"/>
                <w:szCs w:val="13"/>
                <w:b w:val="1"/>
                <w:bCs w:val="1"/>
                <w:color w:val="auto"/>
                <w:w w:val="95"/>
              </w:rPr>
              <w:t>Three months ended</w:t>
            </w:r>
          </w:p>
        </w:tc>
        <w:tc>
          <w:tcPr>
            <w:tcW w:w="1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34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gridSpan w:val="2"/>
          </w:tcPr>
          <w:p>
            <w:pPr>
              <w:jc w:val="center"/>
              <w:ind w:right="340"/>
              <w:spacing w:after="0" w:line="133" w:lineRule="exact"/>
              <w:rPr>
                <w:sz w:val="20"/>
                <w:szCs w:val="20"/>
                <w:color w:val="auto"/>
              </w:rPr>
            </w:pPr>
            <w:r>
              <w:rPr>
                <w:rFonts w:ascii="Arial" w:cs="Arial" w:eastAsia="Arial" w:hAnsi="Arial"/>
                <w:sz w:val="13"/>
                <w:szCs w:val="13"/>
                <w:b w:val="1"/>
                <w:bCs w:val="1"/>
                <w:color w:val="auto"/>
                <w:w w:val="95"/>
              </w:rPr>
              <w:t>Accumulated</w:t>
            </w: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34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2"/>
          </w:tcPr>
          <w:p>
            <w:pPr>
              <w:jc w:val="center"/>
              <w:ind w:right="340"/>
              <w:spacing w:after="0" w:line="141" w:lineRule="exact"/>
              <w:rPr>
                <w:sz w:val="20"/>
                <w:szCs w:val="20"/>
                <w:color w:val="auto"/>
              </w:rPr>
            </w:pPr>
            <w:r>
              <w:rPr>
                <w:rFonts w:ascii="Arial" w:cs="Arial" w:eastAsia="Arial" w:hAnsi="Arial"/>
                <w:sz w:val="13"/>
                <w:szCs w:val="13"/>
                <w:b w:val="1"/>
                <w:bCs w:val="1"/>
                <w:color w:val="auto"/>
                <w:w w:val="97"/>
              </w:rPr>
              <w:t>Other</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34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3"/>
          </w:tcPr>
          <w:p>
            <w:pPr>
              <w:jc w:val="center"/>
              <w:ind w:right="240"/>
              <w:spacing w:after="0" w:line="141" w:lineRule="exact"/>
              <w:rPr>
                <w:sz w:val="20"/>
                <w:szCs w:val="20"/>
                <w:color w:val="auto"/>
              </w:rPr>
            </w:pPr>
            <w:r>
              <w:rPr>
                <w:rFonts w:ascii="Arial" w:cs="Arial" w:eastAsia="Arial" w:hAnsi="Arial"/>
                <w:sz w:val="13"/>
                <w:szCs w:val="13"/>
                <w:b w:val="1"/>
                <w:bCs w:val="1"/>
                <w:color w:val="auto"/>
                <w:w w:val="96"/>
              </w:rPr>
              <w:t>Non-voting</w:t>
            </w: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3"/>
          </w:tcPr>
          <w:p>
            <w:pPr>
              <w:jc w:val="center"/>
              <w:ind w:right="240"/>
              <w:spacing w:after="0" w:line="141" w:lineRule="exact"/>
              <w:rPr>
                <w:sz w:val="20"/>
                <w:szCs w:val="20"/>
                <w:color w:val="auto"/>
              </w:rPr>
            </w:pPr>
            <w:r>
              <w:rPr>
                <w:rFonts w:ascii="Arial" w:cs="Arial" w:eastAsia="Arial" w:hAnsi="Arial"/>
                <w:sz w:val="13"/>
                <w:szCs w:val="13"/>
                <w:b w:val="1"/>
                <w:bCs w:val="1"/>
                <w:color w:val="auto"/>
                <w:w w:val="95"/>
              </w:rPr>
              <w:t>Accumulated</w:t>
            </w:r>
          </w:p>
        </w:tc>
        <w:tc>
          <w:tcPr>
            <w:tcW w:w="1200" w:type="dxa"/>
            <w:vAlign w:val="bottom"/>
            <w:gridSpan w:val="3"/>
          </w:tcPr>
          <w:p>
            <w:pPr>
              <w:spacing w:after="0" w:line="141" w:lineRule="exact"/>
              <w:rPr>
                <w:sz w:val="20"/>
                <w:szCs w:val="20"/>
                <w:color w:val="auto"/>
              </w:rPr>
            </w:pPr>
            <w:r>
              <w:rPr>
                <w:rFonts w:ascii="Arial" w:cs="Arial" w:eastAsia="Arial" w:hAnsi="Arial"/>
                <w:sz w:val="13"/>
                <w:szCs w:val="13"/>
                <w:b w:val="1"/>
                <w:bCs w:val="1"/>
                <w:color w:val="auto"/>
              </w:rPr>
              <w:t>Comprehensive</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3400" w:type="dxa"/>
            <w:vAlign w:val="bottom"/>
          </w:tcPr>
          <w:p>
            <w:pPr>
              <w:spacing w:after="0"/>
              <w:rPr>
                <w:sz w:val="12"/>
                <w:szCs w:val="12"/>
                <w:color w:val="auto"/>
              </w:rPr>
            </w:pPr>
          </w:p>
        </w:tc>
        <w:tc>
          <w:tcPr>
            <w:tcW w:w="720" w:type="dxa"/>
            <w:vAlign w:val="bottom"/>
          </w:tcPr>
          <w:p>
            <w:pPr>
              <w:jc w:val="right"/>
              <w:spacing w:after="0" w:line="141" w:lineRule="exact"/>
              <w:rPr>
                <w:sz w:val="20"/>
                <w:szCs w:val="20"/>
                <w:color w:val="auto"/>
              </w:rPr>
            </w:pPr>
            <w:r>
              <w:rPr>
                <w:rFonts w:ascii="Arial" w:cs="Arial" w:eastAsia="Arial" w:hAnsi="Arial"/>
                <w:sz w:val="13"/>
                <w:szCs w:val="13"/>
                <w:b w:val="1"/>
                <w:bCs w:val="1"/>
                <w:color w:val="auto"/>
              </w:rPr>
              <w:t>Common</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center"/>
              <w:ind w:left="93"/>
              <w:spacing w:after="0" w:line="141" w:lineRule="exact"/>
              <w:rPr>
                <w:sz w:val="20"/>
                <w:szCs w:val="20"/>
                <w:color w:val="auto"/>
              </w:rPr>
            </w:pPr>
            <w:r>
              <w:rPr>
                <w:rFonts w:ascii="Arial" w:cs="Arial" w:eastAsia="Arial" w:hAnsi="Arial"/>
                <w:sz w:val="13"/>
                <w:szCs w:val="13"/>
                <w:b w:val="1"/>
                <w:bCs w:val="1"/>
                <w:color w:val="auto"/>
                <w:w w:val="95"/>
              </w:rPr>
              <w:t>Common</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jc w:val="right"/>
              <w:spacing w:after="0" w:line="141" w:lineRule="exact"/>
              <w:rPr>
                <w:sz w:val="20"/>
                <w:szCs w:val="20"/>
                <w:color w:val="auto"/>
              </w:rPr>
            </w:pPr>
            <w:r>
              <w:rPr>
                <w:rFonts w:ascii="Arial" w:cs="Arial" w:eastAsia="Arial" w:hAnsi="Arial"/>
                <w:sz w:val="13"/>
                <w:szCs w:val="13"/>
                <w:b w:val="1"/>
                <w:bCs w:val="1"/>
                <w:color w:val="auto"/>
              </w:rPr>
              <w:t>Preferred</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center"/>
              <w:ind w:right="400"/>
              <w:spacing w:after="0" w:line="141" w:lineRule="exact"/>
              <w:rPr>
                <w:sz w:val="20"/>
                <w:szCs w:val="20"/>
                <w:color w:val="auto"/>
              </w:rPr>
            </w:pPr>
            <w:r>
              <w:rPr>
                <w:rFonts w:ascii="Arial" w:cs="Arial" w:eastAsia="Arial" w:hAnsi="Arial"/>
                <w:sz w:val="13"/>
                <w:szCs w:val="13"/>
                <w:b w:val="1"/>
                <w:bCs w:val="1"/>
                <w:color w:val="auto"/>
                <w:w w:val="94"/>
              </w:rPr>
              <w:t>(Deficit)</w:t>
            </w:r>
          </w:p>
        </w:tc>
        <w:tc>
          <w:tcPr>
            <w:tcW w:w="1200" w:type="dxa"/>
            <w:vAlign w:val="bottom"/>
            <w:gridSpan w:val="3"/>
          </w:tcPr>
          <w:p>
            <w:pPr>
              <w:jc w:val="center"/>
              <w:ind w:right="280"/>
              <w:spacing w:after="0" w:line="141" w:lineRule="exact"/>
              <w:rPr>
                <w:sz w:val="20"/>
                <w:szCs w:val="20"/>
                <w:color w:val="auto"/>
              </w:rPr>
            </w:pPr>
            <w:r>
              <w:rPr>
                <w:rFonts w:ascii="Arial" w:cs="Arial" w:eastAsia="Arial" w:hAnsi="Arial"/>
                <w:sz w:val="13"/>
                <w:szCs w:val="13"/>
                <w:b w:val="1"/>
                <w:bCs w:val="1"/>
                <w:color w:val="auto"/>
                <w:w w:val="95"/>
              </w:rPr>
              <w:t>(Loss) Income,</w:t>
            </w:r>
          </w:p>
        </w:tc>
        <w:tc>
          <w:tcPr>
            <w:tcW w:w="1020" w:type="dxa"/>
            <w:vAlign w:val="bottom"/>
            <w:gridSpan w:val="2"/>
          </w:tcPr>
          <w:p>
            <w:pPr>
              <w:jc w:val="right"/>
              <w:ind w:right="110"/>
              <w:spacing w:after="0" w:line="141" w:lineRule="exact"/>
              <w:rPr>
                <w:sz w:val="20"/>
                <w:szCs w:val="20"/>
                <w:color w:val="auto"/>
              </w:rPr>
            </w:pPr>
            <w:r>
              <w:rPr>
                <w:rFonts w:ascii="Arial" w:cs="Arial" w:eastAsia="Arial" w:hAnsi="Arial"/>
                <w:sz w:val="13"/>
                <w:szCs w:val="13"/>
                <w:b w:val="1"/>
                <w:bCs w:val="1"/>
                <w:color w:val="auto"/>
                <w:w w:val="95"/>
              </w:rPr>
              <w:t>Stockholders'</w:t>
            </w:r>
          </w:p>
        </w:tc>
        <w:tc>
          <w:tcPr>
            <w:tcW w:w="0" w:type="dxa"/>
            <w:vAlign w:val="bottom"/>
          </w:tcPr>
          <w:p>
            <w:pPr>
              <w:spacing w:after="0"/>
              <w:rPr>
                <w:sz w:val="1"/>
                <w:szCs w:val="1"/>
                <w:color w:val="auto"/>
              </w:rPr>
            </w:pPr>
          </w:p>
        </w:tc>
      </w:tr>
      <w:tr>
        <w:trPr>
          <w:trHeight w:val="153"/>
        </w:trPr>
        <w:tc>
          <w:tcPr>
            <w:tcW w:w="3400" w:type="dxa"/>
            <w:vAlign w:val="bottom"/>
            <w:tcBorders>
              <w:bottom w:val="single" w:sz="8" w:color="CFF0FC"/>
            </w:tcBorders>
          </w:tcPr>
          <w:p>
            <w:pPr>
              <w:spacing w:after="0"/>
              <w:rPr>
                <w:sz w:val="13"/>
                <w:szCs w:val="13"/>
                <w:color w:val="auto"/>
              </w:rPr>
            </w:pPr>
          </w:p>
        </w:tc>
        <w:tc>
          <w:tcPr>
            <w:tcW w:w="720" w:type="dxa"/>
            <w:vAlign w:val="bottom"/>
            <w:tcBorders>
              <w:bottom w:val="single" w:sz="8" w:color="auto"/>
            </w:tcBorders>
          </w:tcPr>
          <w:p>
            <w:pPr>
              <w:jc w:val="right"/>
              <w:ind w:right="52"/>
              <w:spacing w:after="0"/>
              <w:rPr>
                <w:sz w:val="20"/>
                <w:szCs w:val="20"/>
                <w:color w:val="auto"/>
              </w:rPr>
            </w:pPr>
            <w:r>
              <w:rPr>
                <w:rFonts w:ascii="Arial" w:cs="Arial" w:eastAsia="Arial" w:hAnsi="Arial"/>
                <w:sz w:val="13"/>
                <w:szCs w:val="13"/>
                <w:b w:val="1"/>
                <w:bCs w:val="1"/>
                <w:color w:val="auto"/>
              </w:rPr>
              <w:t>Stock</w:t>
            </w:r>
          </w:p>
        </w:tc>
        <w:tc>
          <w:tcPr>
            <w:tcW w:w="280" w:type="dxa"/>
            <w:vAlign w:val="bottom"/>
            <w:tcBorders>
              <w:bottom w:val="single" w:sz="8" w:color="auto"/>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740" w:type="dxa"/>
            <w:vAlign w:val="bottom"/>
            <w:tcBorders>
              <w:bottom w:val="single" w:sz="8" w:color="auto"/>
            </w:tcBorders>
          </w:tcPr>
          <w:p>
            <w:pPr>
              <w:jc w:val="center"/>
              <w:ind w:left="93"/>
              <w:spacing w:after="0"/>
              <w:rPr>
                <w:sz w:val="20"/>
                <w:szCs w:val="20"/>
                <w:color w:val="auto"/>
              </w:rPr>
            </w:pPr>
            <w:r>
              <w:rPr>
                <w:rFonts w:ascii="Arial" w:cs="Arial" w:eastAsia="Arial" w:hAnsi="Arial"/>
                <w:sz w:val="13"/>
                <w:szCs w:val="13"/>
                <w:b w:val="1"/>
                <w:bCs w:val="1"/>
                <w:color w:val="auto"/>
                <w:w w:val="95"/>
              </w:rPr>
              <w:t>Stock</w:t>
            </w:r>
          </w:p>
        </w:tc>
        <w:tc>
          <w:tcPr>
            <w:tcW w:w="260" w:type="dxa"/>
            <w:vAlign w:val="bottom"/>
            <w:tcBorders>
              <w:bottom w:val="single" w:sz="8" w:color="auto"/>
            </w:tcBorders>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720" w:type="dxa"/>
            <w:vAlign w:val="bottom"/>
            <w:tcBorders>
              <w:bottom w:val="single" w:sz="8" w:color="auto"/>
            </w:tcBorders>
          </w:tcPr>
          <w:p>
            <w:pPr>
              <w:jc w:val="right"/>
              <w:ind w:right="52"/>
              <w:spacing w:after="0"/>
              <w:rPr>
                <w:sz w:val="20"/>
                <w:szCs w:val="20"/>
                <w:color w:val="auto"/>
              </w:rPr>
            </w:pPr>
            <w:r>
              <w:rPr>
                <w:rFonts w:ascii="Arial" w:cs="Arial" w:eastAsia="Arial" w:hAnsi="Arial"/>
                <w:sz w:val="13"/>
                <w:szCs w:val="13"/>
                <w:b w:val="1"/>
                <w:bCs w:val="1"/>
                <w:color w:val="auto"/>
              </w:rPr>
              <w:t>Stock</w:t>
            </w:r>
          </w:p>
        </w:tc>
        <w:tc>
          <w:tcPr>
            <w:tcW w:w="280" w:type="dxa"/>
            <w:vAlign w:val="bottom"/>
            <w:tcBorders>
              <w:bottom w:val="single" w:sz="8" w:color="auto"/>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1000" w:type="dxa"/>
            <w:vAlign w:val="bottom"/>
            <w:tcBorders>
              <w:bottom w:val="single" w:sz="8" w:color="auto"/>
            </w:tcBorders>
            <w:gridSpan w:val="2"/>
          </w:tcPr>
          <w:p>
            <w:pPr>
              <w:spacing w:after="0"/>
              <w:rPr>
                <w:sz w:val="20"/>
                <w:szCs w:val="20"/>
                <w:color w:val="auto"/>
              </w:rPr>
            </w:pPr>
            <w:r>
              <w:rPr>
                <w:rFonts w:ascii="Arial" w:cs="Arial" w:eastAsia="Arial" w:hAnsi="Arial"/>
                <w:sz w:val="13"/>
                <w:szCs w:val="13"/>
                <w:b w:val="1"/>
                <w:bCs w:val="1"/>
                <w:color w:val="auto"/>
              </w:rPr>
              <w:t>Paid-in Capital</w:t>
            </w:r>
          </w:p>
        </w:tc>
        <w:tc>
          <w:tcPr>
            <w:tcW w:w="12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center"/>
              <w:ind w:right="210"/>
              <w:spacing w:after="0"/>
              <w:rPr>
                <w:sz w:val="20"/>
                <w:szCs w:val="20"/>
                <w:color w:val="auto"/>
              </w:rPr>
            </w:pPr>
            <w:r>
              <w:rPr>
                <w:rFonts w:ascii="Arial" w:cs="Arial" w:eastAsia="Arial" w:hAnsi="Arial"/>
                <w:sz w:val="13"/>
                <w:szCs w:val="13"/>
                <w:b w:val="1"/>
                <w:bCs w:val="1"/>
                <w:color w:val="auto"/>
                <w:w w:val="96"/>
              </w:rPr>
              <w:t>Income</w:t>
            </w:r>
          </w:p>
        </w:tc>
        <w:tc>
          <w:tcPr>
            <w:tcW w:w="140" w:type="dxa"/>
            <w:vAlign w:val="bottom"/>
            <w:tcBorders>
              <w:bottom w:val="single" w:sz="8" w:color="CFF0FC"/>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center"/>
              <w:ind w:right="151"/>
              <w:spacing w:after="0"/>
              <w:rPr>
                <w:sz w:val="20"/>
                <w:szCs w:val="20"/>
                <w:color w:val="auto"/>
              </w:rPr>
            </w:pPr>
            <w:r>
              <w:rPr>
                <w:rFonts w:ascii="Arial" w:cs="Arial" w:eastAsia="Arial" w:hAnsi="Arial"/>
                <w:sz w:val="13"/>
                <w:szCs w:val="13"/>
                <w:b w:val="1"/>
                <w:bCs w:val="1"/>
                <w:color w:val="auto"/>
                <w:w w:val="96"/>
              </w:rPr>
              <w:t>net of tax</w:t>
            </w:r>
          </w:p>
        </w:tc>
        <w:tc>
          <w:tcPr>
            <w:tcW w:w="14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30"/>
              <w:spacing w:after="0"/>
              <w:rPr>
                <w:sz w:val="20"/>
                <w:szCs w:val="20"/>
                <w:color w:val="auto"/>
              </w:rPr>
            </w:pPr>
            <w:r>
              <w:rPr>
                <w:rFonts w:ascii="Arial" w:cs="Arial" w:eastAsia="Arial" w:hAnsi="Arial"/>
                <w:sz w:val="13"/>
                <w:szCs w:val="13"/>
                <w:b w:val="1"/>
                <w:bCs w:val="1"/>
                <w:color w:val="auto"/>
              </w:rPr>
              <w:t>Equity</w:t>
            </w:r>
          </w:p>
        </w:tc>
        <w:tc>
          <w:tcPr>
            <w:tcW w:w="0" w:type="dxa"/>
            <w:vAlign w:val="bottom"/>
          </w:tcPr>
          <w:p>
            <w:pPr>
              <w:spacing w:after="0"/>
              <w:rPr>
                <w:sz w:val="1"/>
                <w:szCs w:val="1"/>
                <w:color w:val="auto"/>
              </w:rPr>
            </w:pPr>
          </w:p>
        </w:tc>
      </w:tr>
      <w:tr>
        <w:trPr>
          <w:trHeight w:val="168"/>
        </w:trPr>
        <w:tc>
          <w:tcPr>
            <w:tcW w:w="3400" w:type="dxa"/>
            <w:vAlign w:val="bottom"/>
            <w:shd w:val="clear" w:color="auto" w:fill="CFF0FC"/>
          </w:tcPr>
          <w:p>
            <w:pPr>
              <w:spacing w:after="0"/>
              <w:rPr>
                <w:sz w:val="20"/>
                <w:szCs w:val="20"/>
                <w:color w:val="auto"/>
              </w:rPr>
            </w:pPr>
            <w:r>
              <w:rPr>
                <w:rFonts w:ascii="Arial" w:cs="Arial" w:eastAsia="Arial" w:hAnsi="Arial"/>
                <w:sz w:val="14"/>
                <w:szCs w:val="14"/>
                <w:color w:val="auto"/>
              </w:rPr>
              <w:t>Balance at December 31, 2018</w:t>
            </w:r>
          </w:p>
        </w:tc>
        <w:tc>
          <w:tcPr>
            <w:tcW w:w="720" w:type="dxa"/>
            <w:vAlign w:val="bottom"/>
            <w:shd w:val="clear" w:color="auto" w:fill="CFF0FC"/>
          </w:tcPr>
          <w:p>
            <w:pPr>
              <w:jc w:val="right"/>
              <w:ind w:right="572"/>
              <w:spacing w:after="0"/>
              <w:rPr>
                <w:sz w:val="20"/>
                <w:szCs w:val="20"/>
                <w:color w:val="auto"/>
              </w:rPr>
            </w:pPr>
            <w:r>
              <w:rPr>
                <w:rFonts w:ascii="Arial" w:cs="Arial" w:eastAsia="Arial" w:hAnsi="Arial"/>
                <w:sz w:val="14"/>
                <w:szCs w:val="14"/>
                <w:color w:val="auto"/>
                <w:w w:val="76"/>
              </w:rPr>
              <w:t>$</w:t>
            </w:r>
          </w:p>
        </w:tc>
        <w:tc>
          <w:tcPr>
            <w:tcW w:w="280" w:type="dxa"/>
            <w:vAlign w:val="bottom"/>
            <w:shd w:val="clear" w:color="auto" w:fill="CFF0FC"/>
          </w:tcPr>
          <w:p>
            <w:pPr>
              <w:jc w:val="right"/>
              <w:ind w:right="50"/>
              <w:spacing w:after="0"/>
              <w:rPr>
                <w:sz w:val="20"/>
                <w:szCs w:val="20"/>
                <w:color w:val="auto"/>
              </w:rPr>
            </w:pPr>
            <w:r>
              <w:rPr>
                <w:rFonts w:ascii="Arial" w:cs="Arial" w:eastAsia="Arial" w:hAnsi="Arial"/>
                <w:sz w:val="14"/>
                <w:szCs w:val="14"/>
                <w:color w:val="auto"/>
              </w:rPr>
              <w:t>1</w:t>
            </w:r>
          </w:p>
        </w:tc>
        <w:tc>
          <w:tcPr>
            <w:tcW w:w="120" w:type="dxa"/>
            <w:vAlign w:val="bottom"/>
            <w:shd w:val="clear" w:color="auto" w:fill="CFF0FC"/>
          </w:tcPr>
          <w:p>
            <w:pPr>
              <w:spacing w:after="0"/>
              <w:rPr>
                <w:sz w:val="14"/>
                <w:szCs w:val="14"/>
                <w:color w:val="auto"/>
              </w:rPr>
            </w:pPr>
          </w:p>
        </w:tc>
        <w:tc>
          <w:tcPr>
            <w:tcW w:w="740" w:type="dxa"/>
            <w:vAlign w:val="bottom"/>
            <w:shd w:val="clear" w:color="auto" w:fill="CFF0FC"/>
          </w:tcPr>
          <w:p>
            <w:pPr>
              <w:jc w:val="right"/>
              <w:ind w:right="593"/>
              <w:spacing w:after="0"/>
              <w:rPr>
                <w:sz w:val="20"/>
                <w:szCs w:val="20"/>
                <w:color w:val="auto"/>
              </w:rPr>
            </w:pPr>
            <w:r>
              <w:rPr>
                <w:rFonts w:ascii="Arial" w:cs="Arial" w:eastAsia="Arial" w:hAnsi="Arial"/>
                <w:sz w:val="14"/>
                <w:szCs w:val="14"/>
                <w:color w:val="auto"/>
                <w:w w:val="76"/>
              </w:rPr>
              <w:t>$</w:t>
            </w:r>
          </w:p>
        </w:tc>
        <w:tc>
          <w:tcPr>
            <w:tcW w:w="40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w:t>
            </w:r>
          </w:p>
        </w:tc>
        <w:tc>
          <w:tcPr>
            <w:tcW w:w="720" w:type="dxa"/>
            <w:vAlign w:val="bottom"/>
            <w:shd w:val="clear" w:color="auto" w:fill="CFF0FC"/>
          </w:tcPr>
          <w:p>
            <w:pPr>
              <w:jc w:val="right"/>
              <w:ind w:right="572"/>
              <w:spacing w:after="0"/>
              <w:rPr>
                <w:sz w:val="20"/>
                <w:szCs w:val="20"/>
                <w:color w:val="auto"/>
              </w:rPr>
            </w:pPr>
            <w:r>
              <w:rPr>
                <w:rFonts w:ascii="Arial" w:cs="Arial" w:eastAsia="Arial" w:hAnsi="Arial"/>
                <w:sz w:val="14"/>
                <w:szCs w:val="14"/>
                <w:color w:val="auto"/>
                <w:w w:val="76"/>
              </w:rPr>
              <w:t>$</w:t>
            </w:r>
          </w:p>
        </w:tc>
        <w:tc>
          <w:tcPr>
            <w:tcW w:w="280" w:type="dxa"/>
            <w:vAlign w:val="bottom"/>
            <w:tcBorders>
              <w:right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w:t>
            </w:r>
          </w:p>
        </w:tc>
        <w:tc>
          <w:tcPr>
            <w:tcW w:w="420" w:type="dxa"/>
            <w:vAlign w:val="bottom"/>
            <w:gridSpan w:val="2"/>
            <w:shd w:val="clear" w:color="auto" w:fill="CFF0FC"/>
          </w:tcPr>
          <w:p>
            <w:pPr>
              <w:ind w:left="120"/>
              <w:spacing w:after="0"/>
              <w:rPr>
                <w:sz w:val="20"/>
                <w:szCs w:val="20"/>
                <w:color w:val="auto"/>
              </w:rPr>
            </w:pPr>
            <w:r>
              <w:rPr>
                <w:rFonts w:ascii="Arial" w:cs="Arial" w:eastAsia="Arial" w:hAnsi="Arial"/>
                <w:sz w:val="14"/>
                <w:szCs w:val="14"/>
                <w:color w:val="auto"/>
              </w:rPr>
              <w:t>$</w:t>
            </w:r>
          </w:p>
        </w:tc>
        <w:tc>
          <w:tcPr>
            <w:tcW w:w="700" w:type="dxa"/>
            <w:vAlign w:val="bottom"/>
            <w:shd w:val="clear" w:color="auto" w:fill="CFF0FC"/>
          </w:tcPr>
          <w:p>
            <w:pPr>
              <w:jc w:val="right"/>
              <w:ind w:right="50"/>
              <w:spacing w:after="0"/>
              <w:rPr>
                <w:sz w:val="20"/>
                <w:szCs w:val="20"/>
                <w:color w:val="auto"/>
              </w:rPr>
            </w:pPr>
            <w:r>
              <w:rPr>
                <w:rFonts w:ascii="Arial" w:cs="Arial" w:eastAsia="Arial" w:hAnsi="Arial"/>
                <w:sz w:val="14"/>
                <w:szCs w:val="14"/>
                <w:color w:val="auto"/>
              </w:rPr>
              <w:t>1,788</w:t>
            </w: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jc w:val="right"/>
              <w:ind w:right="11"/>
              <w:spacing w:after="0"/>
              <w:rPr>
                <w:sz w:val="20"/>
                <w:szCs w:val="20"/>
                <w:color w:val="auto"/>
              </w:rPr>
            </w:pPr>
            <w:r>
              <w:rPr>
                <w:rFonts w:ascii="Arial" w:cs="Arial" w:eastAsia="Arial" w:hAnsi="Arial"/>
                <w:sz w:val="14"/>
                <w:szCs w:val="14"/>
                <w:color w:val="auto"/>
                <w:w w:val="76"/>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(1,100)</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20"/>
                <w:szCs w:val="20"/>
                <w:color w:val="auto"/>
              </w:rPr>
            </w:pPr>
            <w:r>
              <w:rPr>
                <w:rFonts w:ascii="Arial" w:cs="Arial" w:eastAsia="Arial" w:hAnsi="Arial"/>
                <w:sz w:val="14"/>
                <w:szCs w:val="14"/>
                <w:color w:val="auto"/>
                <w:w w:val="76"/>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(30)</w:t>
            </w:r>
          </w:p>
        </w:tc>
        <w:tc>
          <w:tcPr>
            <w:tcW w:w="140" w:type="dxa"/>
            <w:vAlign w:val="bottom"/>
            <w:tcBorders>
              <w:right w:val="single" w:sz="8" w:color="CFF0FC"/>
            </w:tcBorders>
            <w:shd w:val="clear" w:color="auto" w:fill="CFF0FC"/>
          </w:tcPr>
          <w:p>
            <w:pPr>
              <w:spacing w:after="0"/>
              <w:rPr>
                <w:sz w:val="14"/>
                <w:szCs w:val="14"/>
                <w:color w:val="auto"/>
              </w:rPr>
            </w:pPr>
          </w:p>
        </w:tc>
        <w:tc>
          <w:tcPr>
            <w:tcW w:w="160" w:type="dxa"/>
            <w:vAlign w:val="bottom"/>
            <w:shd w:val="clear" w:color="auto" w:fill="CFF0FC"/>
          </w:tcPr>
          <w:p>
            <w:pPr>
              <w:jc w:val="right"/>
              <w:ind w:right="47"/>
              <w:spacing w:after="0"/>
              <w:rPr>
                <w:sz w:val="20"/>
                <w:szCs w:val="20"/>
                <w:color w:val="auto"/>
              </w:rPr>
            </w:pPr>
            <w:r>
              <w:rPr>
                <w:rFonts w:ascii="Arial" w:cs="Arial" w:eastAsia="Arial" w:hAnsi="Arial"/>
                <w:sz w:val="10"/>
                <w:szCs w:val="10"/>
                <w:color w:val="auto"/>
                <w:w w:val="71"/>
              </w:rPr>
              <w:t>$</w:t>
            </w:r>
          </w:p>
        </w:tc>
        <w:tc>
          <w:tcPr>
            <w:tcW w:w="860" w:type="dxa"/>
            <w:vAlign w:val="bottom"/>
            <w:shd w:val="clear" w:color="auto" w:fill="CFF0FC"/>
          </w:tcPr>
          <w:p>
            <w:pPr>
              <w:jc w:val="right"/>
              <w:ind w:right="70"/>
              <w:spacing w:after="0"/>
              <w:rPr>
                <w:sz w:val="20"/>
                <w:szCs w:val="20"/>
                <w:color w:val="auto"/>
              </w:rPr>
            </w:pPr>
            <w:r>
              <w:rPr>
                <w:rFonts w:ascii="Arial" w:cs="Arial" w:eastAsia="Arial" w:hAnsi="Arial"/>
                <w:sz w:val="14"/>
                <w:szCs w:val="14"/>
                <w:color w:val="auto"/>
              </w:rPr>
              <w:t>659</w:t>
            </w:r>
          </w:p>
        </w:tc>
        <w:tc>
          <w:tcPr>
            <w:tcW w:w="0" w:type="dxa"/>
            <w:vAlign w:val="bottom"/>
          </w:tcPr>
          <w:p>
            <w:pPr>
              <w:spacing w:after="0"/>
              <w:rPr>
                <w:sz w:val="1"/>
                <w:szCs w:val="1"/>
                <w:color w:val="auto"/>
              </w:rPr>
            </w:pPr>
          </w:p>
        </w:tc>
      </w:tr>
      <w:tr>
        <w:trPr>
          <w:trHeight w:val="176"/>
        </w:trPr>
        <w:tc>
          <w:tcPr>
            <w:tcW w:w="3400" w:type="dxa"/>
            <w:vAlign w:val="bottom"/>
          </w:tcPr>
          <w:p>
            <w:pPr>
              <w:ind w:left="200"/>
              <w:spacing w:after="0"/>
              <w:rPr>
                <w:sz w:val="20"/>
                <w:szCs w:val="20"/>
                <w:color w:val="auto"/>
              </w:rPr>
            </w:pPr>
            <w:r>
              <w:rPr>
                <w:rFonts w:ascii="Arial" w:cs="Arial" w:eastAsia="Arial" w:hAnsi="Arial"/>
                <w:sz w:val="14"/>
                <w:szCs w:val="14"/>
                <w:color w:val="auto"/>
              </w:rPr>
              <w:t>Stock-based compensation</w:t>
            </w:r>
          </w:p>
        </w:tc>
        <w:tc>
          <w:tcPr>
            <w:tcW w:w="720" w:type="dxa"/>
            <w:vAlign w:val="bottom"/>
          </w:tcPr>
          <w:p>
            <w:pPr>
              <w:spacing w:after="0"/>
              <w:rPr>
                <w:sz w:val="15"/>
                <w:szCs w:val="15"/>
                <w:color w:val="auto"/>
              </w:rPr>
            </w:pPr>
          </w:p>
        </w:tc>
        <w:tc>
          <w:tcPr>
            <w:tcW w:w="400" w:type="dxa"/>
            <w:vAlign w:val="bottom"/>
            <w:gridSpan w:val="2"/>
          </w:tcPr>
          <w:p>
            <w:pPr>
              <w:jc w:val="right"/>
              <w:ind w:right="240"/>
              <w:spacing w:after="0"/>
              <w:rPr>
                <w:sz w:val="20"/>
                <w:szCs w:val="20"/>
                <w:color w:val="auto"/>
              </w:rPr>
            </w:pPr>
            <w:r>
              <w:rPr>
                <w:rFonts w:ascii="Arial" w:cs="Arial" w:eastAsia="Arial" w:hAnsi="Arial"/>
                <w:sz w:val="14"/>
                <w:szCs w:val="14"/>
                <w:color w:val="auto"/>
                <w:w w:val="99"/>
              </w:rPr>
              <w:t>—</w:t>
            </w:r>
          </w:p>
        </w:tc>
        <w:tc>
          <w:tcPr>
            <w:tcW w:w="740" w:type="dxa"/>
            <w:vAlign w:val="bottom"/>
          </w:tcPr>
          <w:p>
            <w:pPr>
              <w:spacing w:after="0"/>
              <w:rPr>
                <w:sz w:val="15"/>
                <w:szCs w:val="15"/>
                <w:color w:val="auto"/>
              </w:rPr>
            </w:pPr>
          </w:p>
        </w:tc>
        <w:tc>
          <w:tcPr>
            <w:tcW w:w="400" w:type="dxa"/>
            <w:vAlign w:val="bottom"/>
            <w:gridSpan w:val="2"/>
          </w:tcPr>
          <w:p>
            <w:pPr>
              <w:spacing w:after="0"/>
              <w:rPr>
                <w:sz w:val="20"/>
                <w:szCs w:val="20"/>
                <w:color w:val="auto"/>
              </w:rPr>
            </w:pPr>
            <w:r>
              <w:rPr>
                <w:rFonts w:ascii="Arial" w:cs="Arial" w:eastAsia="Arial" w:hAnsi="Arial"/>
                <w:sz w:val="14"/>
                <w:szCs w:val="14"/>
                <w:color w:val="auto"/>
              </w:rPr>
              <w:t>—</w:t>
            </w:r>
          </w:p>
        </w:tc>
        <w:tc>
          <w:tcPr>
            <w:tcW w:w="720" w:type="dxa"/>
            <w:vAlign w:val="bottom"/>
          </w:tcPr>
          <w:p>
            <w:pPr>
              <w:spacing w:after="0"/>
              <w:rPr>
                <w:sz w:val="15"/>
                <w:szCs w:val="15"/>
                <w:color w:val="auto"/>
              </w:rPr>
            </w:pPr>
          </w:p>
        </w:tc>
        <w:tc>
          <w:tcPr>
            <w:tcW w:w="280" w:type="dxa"/>
            <w:vAlign w:val="bottom"/>
          </w:tcPr>
          <w:p>
            <w:pPr>
              <w:ind w:left="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jc w:val="right"/>
              <w:ind w:right="50"/>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860" w:type="dxa"/>
            <w:vAlign w:val="bottom"/>
          </w:tcPr>
          <w:p>
            <w:pPr>
              <w:jc w:val="right"/>
              <w:ind w:right="70"/>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76"/>
        </w:trPr>
        <w:tc>
          <w:tcPr>
            <w:tcW w:w="3400" w:type="dxa"/>
            <w:vAlign w:val="bottom"/>
            <w:shd w:val="clear" w:color="auto" w:fill="CFF0FC"/>
          </w:tcPr>
          <w:p>
            <w:pPr>
              <w:ind w:left="200"/>
              <w:spacing w:after="0"/>
              <w:rPr>
                <w:sz w:val="20"/>
                <w:szCs w:val="20"/>
                <w:color w:val="auto"/>
              </w:rPr>
            </w:pPr>
            <w:r>
              <w:rPr>
                <w:rFonts w:ascii="Arial" w:cs="Arial" w:eastAsia="Arial" w:hAnsi="Arial"/>
                <w:sz w:val="14"/>
                <w:szCs w:val="14"/>
                <w:color w:val="auto"/>
              </w:rPr>
              <w:t>Pension and OPEB liability adjustment</w:t>
            </w:r>
          </w:p>
        </w:tc>
        <w:tc>
          <w:tcPr>
            <w:tcW w:w="720" w:type="dxa"/>
            <w:vAlign w:val="bottom"/>
            <w:shd w:val="clear" w:color="auto" w:fill="CFF0FC"/>
          </w:tcPr>
          <w:p>
            <w:pPr>
              <w:spacing w:after="0"/>
              <w:rPr>
                <w:sz w:val="15"/>
                <w:szCs w:val="15"/>
                <w:color w:val="auto"/>
              </w:rPr>
            </w:pPr>
          </w:p>
        </w:tc>
        <w:tc>
          <w:tcPr>
            <w:tcW w:w="40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w w:val="99"/>
              </w:rPr>
              <w:t>—</w:t>
            </w:r>
          </w:p>
        </w:tc>
        <w:tc>
          <w:tcPr>
            <w:tcW w:w="740" w:type="dxa"/>
            <w:vAlign w:val="bottom"/>
            <w:shd w:val="clear" w:color="auto" w:fill="CFF0FC"/>
          </w:tcPr>
          <w:p>
            <w:pPr>
              <w:spacing w:after="0"/>
              <w:rPr>
                <w:sz w:val="15"/>
                <w:szCs w:val="15"/>
                <w:color w:val="auto"/>
              </w:rPr>
            </w:pPr>
          </w:p>
        </w:tc>
        <w:tc>
          <w:tcPr>
            <w:tcW w:w="40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w:t>
            </w:r>
          </w:p>
        </w:tc>
        <w:tc>
          <w:tcPr>
            <w:tcW w:w="720" w:type="dxa"/>
            <w:vAlign w:val="bottom"/>
            <w:shd w:val="clear" w:color="auto" w:fill="CFF0FC"/>
          </w:tcPr>
          <w:p>
            <w:pPr>
              <w:spacing w:after="0"/>
              <w:rPr>
                <w:sz w:val="15"/>
                <w:szCs w:val="15"/>
                <w:color w:val="auto"/>
              </w:rPr>
            </w:pPr>
          </w:p>
        </w:tc>
        <w:tc>
          <w:tcPr>
            <w:tcW w:w="280" w:type="dxa"/>
            <w:vAlign w:val="bottom"/>
            <w:tcBorders>
              <w:right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82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5"/>
                <w:szCs w:val="15"/>
                <w:color w:val="auto"/>
              </w:rPr>
            </w:pPr>
          </w:p>
        </w:tc>
        <w:tc>
          <w:tcPr>
            <w:tcW w:w="98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5"/>
                <w:szCs w:val="15"/>
                <w:color w:val="auto"/>
              </w:rPr>
            </w:pPr>
          </w:p>
        </w:tc>
        <w:tc>
          <w:tcPr>
            <w:tcW w:w="980" w:type="dxa"/>
            <w:vAlign w:val="bottom"/>
            <w:shd w:val="clear" w:color="auto" w:fill="CFF0FC"/>
          </w:tcPr>
          <w:p>
            <w:pPr>
              <w:jc w:val="right"/>
              <w:ind w:right="51"/>
              <w:spacing w:after="0"/>
              <w:rPr>
                <w:sz w:val="20"/>
                <w:szCs w:val="20"/>
                <w:color w:val="auto"/>
              </w:rPr>
            </w:pPr>
            <w:r>
              <w:rPr>
                <w:rFonts w:ascii="Arial" w:cs="Arial" w:eastAsia="Arial" w:hAnsi="Arial"/>
                <w:sz w:val="14"/>
                <w:szCs w:val="14"/>
                <w:color w:val="auto"/>
              </w:rPr>
              <w:t>6</w:t>
            </w:r>
          </w:p>
        </w:tc>
        <w:tc>
          <w:tcPr>
            <w:tcW w:w="140" w:type="dxa"/>
            <w:vAlign w:val="bottom"/>
            <w:tcBorders>
              <w:right w:val="single" w:sz="8" w:color="CFF0FC"/>
            </w:tcBorders>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60" w:type="dxa"/>
            <w:vAlign w:val="bottom"/>
            <w:shd w:val="clear" w:color="auto" w:fill="CFF0FC"/>
          </w:tcPr>
          <w:p>
            <w:pPr>
              <w:jc w:val="right"/>
              <w:ind w:right="70"/>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78"/>
        </w:trPr>
        <w:tc>
          <w:tcPr>
            <w:tcW w:w="3400" w:type="dxa"/>
            <w:vAlign w:val="bottom"/>
          </w:tcPr>
          <w:p>
            <w:pPr>
              <w:ind w:left="200"/>
              <w:spacing w:after="0"/>
              <w:rPr>
                <w:sz w:val="20"/>
                <w:szCs w:val="20"/>
                <w:color w:val="auto"/>
              </w:rPr>
            </w:pPr>
            <w:r>
              <w:rPr>
                <w:rFonts w:ascii="Arial" w:cs="Arial" w:eastAsia="Arial" w:hAnsi="Arial"/>
                <w:sz w:val="14"/>
                <w:szCs w:val="14"/>
                <w:color w:val="auto"/>
              </w:rPr>
              <w:t>Available-for-sale securities and interest rate</w:t>
            </w:r>
          </w:p>
        </w:tc>
        <w:tc>
          <w:tcPr>
            <w:tcW w:w="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3400" w:type="dxa"/>
            <w:vAlign w:val="bottom"/>
          </w:tcPr>
          <w:p>
            <w:pPr>
              <w:ind w:left="200"/>
              <w:spacing w:after="0"/>
              <w:rPr>
                <w:sz w:val="20"/>
                <w:szCs w:val="20"/>
                <w:color w:val="auto"/>
              </w:rPr>
            </w:pPr>
            <w:r>
              <w:rPr>
                <w:rFonts w:ascii="Arial" w:cs="Arial" w:eastAsia="Arial" w:hAnsi="Arial"/>
                <w:sz w:val="14"/>
                <w:szCs w:val="14"/>
                <w:color w:val="auto"/>
              </w:rPr>
              <w:t>swaps</w:t>
            </w:r>
          </w:p>
        </w:tc>
        <w:tc>
          <w:tcPr>
            <w:tcW w:w="720" w:type="dxa"/>
            <w:vAlign w:val="bottom"/>
          </w:tcPr>
          <w:p>
            <w:pPr>
              <w:spacing w:after="0"/>
              <w:rPr>
                <w:sz w:val="14"/>
                <w:szCs w:val="14"/>
                <w:color w:val="auto"/>
              </w:rPr>
            </w:pPr>
          </w:p>
        </w:tc>
        <w:tc>
          <w:tcPr>
            <w:tcW w:w="400" w:type="dxa"/>
            <w:vAlign w:val="bottom"/>
            <w:gridSpan w:val="2"/>
          </w:tcPr>
          <w:p>
            <w:pPr>
              <w:jc w:val="right"/>
              <w:ind w:right="240"/>
              <w:spacing w:after="0"/>
              <w:rPr>
                <w:sz w:val="20"/>
                <w:szCs w:val="20"/>
                <w:color w:val="auto"/>
              </w:rPr>
            </w:pPr>
            <w:r>
              <w:rPr>
                <w:rFonts w:ascii="Arial" w:cs="Arial" w:eastAsia="Arial" w:hAnsi="Arial"/>
                <w:sz w:val="14"/>
                <w:szCs w:val="14"/>
                <w:color w:val="auto"/>
                <w:w w:val="99"/>
              </w:rPr>
              <w:t>—</w:t>
            </w:r>
          </w:p>
        </w:tc>
        <w:tc>
          <w:tcPr>
            <w:tcW w:w="740" w:type="dxa"/>
            <w:vAlign w:val="bottom"/>
          </w:tcPr>
          <w:p>
            <w:pPr>
              <w:spacing w:after="0"/>
              <w:rPr>
                <w:sz w:val="14"/>
                <w:szCs w:val="14"/>
                <w:color w:val="auto"/>
              </w:rPr>
            </w:pPr>
          </w:p>
        </w:tc>
        <w:tc>
          <w:tcPr>
            <w:tcW w:w="400" w:type="dxa"/>
            <w:vAlign w:val="bottom"/>
            <w:gridSpan w:val="2"/>
          </w:tcPr>
          <w:p>
            <w:pPr>
              <w:spacing w:after="0"/>
              <w:rPr>
                <w:sz w:val="20"/>
                <w:szCs w:val="20"/>
                <w:color w:val="auto"/>
              </w:rPr>
            </w:pPr>
            <w:r>
              <w:rPr>
                <w:rFonts w:ascii="Arial" w:cs="Arial" w:eastAsia="Arial" w:hAnsi="Arial"/>
                <w:sz w:val="14"/>
                <w:szCs w:val="14"/>
                <w:color w:val="auto"/>
              </w:rPr>
              <w:t>—</w:t>
            </w:r>
          </w:p>
        </w:tc>
        <w:tc>
          <w:tcPr>
            <w:tcW w:w="720" w:type="dxa"/>
            <w:vAlign w:val="bottom"/>
          </w:tcPr>
          <w:p>
            <w:pPr>
              <w:spacing w:after="0"/>
              <w:rPr>
                <w:sz w:val="14"/>
                <w:szCs w:val="14"/>
                <w:color w:val="auto"/>
              </w:rPr>
            </w:pPr>
          </w:p>
        </w:tc>
        <w:tc>
          <w:tcPr>
            <w:tcW w:w="280" w:type="dxa"/>
            <w:vAlign w:val="bottom"/>
          </w:tcPr>
          <w:p>
            <w:pPr>
              <w:ind w:left="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(9)</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jc w:val="right"/>
              <w:ind w:right="10"/>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176"/>
        </w:trPr>
        <w:tc>
          <w:tcPr>
            <w:tcW w:w="3400" w:type="dxa"/>
            <w:vAlign w:val="bottom"/>
            <w:shd w:val="clear" w:color="auto" w:fill="CFF0FC"/>
          </w:tcPr>
          <w:p>
            <w:pPr>
              <w:ind w:left="200"/>
              <w:spacing w:after="0"/>
              <w:rPr>
                <w:sz w:val="20"/>
                <w:szCs w:val="20"/>
                <w:color w:val="auto"/>
              </w:rPr>
            </w:pPr>
            <w:r>
              <w:rPr>
                <w:rFonts w:ascii="Arial" w:cs="Arial" w:eastAsia="Arial" w:hAnsi="Arial"/>
                <w:sz w:val="14"/>
                <w:szCs w:val="14"/>
                <w:color w:val="auto"/>
              </w:rPr>
              <w:t>Issuance of common stock</w:t>
            </w:r>
          </w:p>
        </w:tc>
        <w:tc>
          <w:tcPr>
            <w:tcW w:w="720" w:type="dxa"/>
            <w:vAlign w:val="bottom"/>
            <w:shd w:val="clear" w:color="auto" w:fill="CFF0FC"/>
          </w:tcPr>
          <w:p>
            <w:pPr>
              <w:spacing w:after="0"/>
              <w:rPr>
                <w:sz w:val="15"/>
                <w:szCs w:val="15"/>
                <w:color w:val="auto"/>
              </w:rPr>
            </w:pPr>
          </w:p>
        </w:tc>
        <w:tc>
          <w:tcPr>
            <w:tcW w:w="40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w w:val="99"/>
              </w:rPr>
              <w:t>—</w:t>
            </w:r>
          </w:p>
        </w:tc>
        <w:tc>
          <w:tcPr>
            <w:tcW w:w="740" w:type="dxa"/>
            <w:vAlign w:val="bottom"/>
            <w:shd w:val="clear" w:color="auto" w:fill="CFF0FC"/>
          </w:tcPr>
          <w:p>
            <w:pPr>
              <w:spacing w:after="0"/>
              <w:rPr>
                <w:sz w:val="15"/>
                <w:szCs w:val="15"/>
                <w:color w:val="auto"/>
              </w:rPr>
            </w:pPr>
          </w:p>
        </w:tc>
        <w:tc>
          <w:tcPr>
            <w:tcW w:w="40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w:t>
            </w:r>
          </w:p>
        </w:tc>
        <w:tc>
          <w:tcPr>
            <w:tcW w:w="720" w:type="dxa"/>
            <w:vAlign w:val="bottom"/>
            <w:shd w:val="clear" w:color="auto" w:fill="CFF0FC"/>
          </w:tcPr>
          <w:p>
            <w:pPr>
              <w:spacing w:after="0"/>
              <w:rPr>
                <w:sz w:val="15"/>
                <w:szCs w:val="15"/>
                <w:color w:val="auto"/>
              </w:rPr>
            </w:pPr>
          </w:p>
        </w:tc>
        <w:tc>
          <w:tcPr>
            <w:tcW w:w="280" w:type="dxa"/>
            <w:vAlign w:val="bottom"/>
            <w:tcBorders>
              <w:right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w:t>
            </w: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98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5"/>
                <w:szCs w:val="15"/>
                <w:color w:val="auto"/>
              </w:rPr>
            </w:pPr>
          </w:p>
        </w:tc>
        <w:tc>
          <w:tcPr>
            <w:tcW w:w="1120" w:type="dxa"/>
            <w:vAlign w:val="bottom"/>
            <w:tcBorders>
              <w:right w:val="single" w:sz="8" w:color="CFF0FC"/>
            </w:tcBorders>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5"/>
                <w:szCs w:val="15"/>
                <w:color w:val="auto"/>
              </w:rPr>
            </w:pPr>
          </w:p>
        </w:tc>
        <w:tc>
          <w:tcPr>
            <w:tcW w:w="860" w:type="dxa"/>
            <w:vAlign w:val="bottom"/>
            <w:shd w:val="clear" w:color="auto" w:fill="CFF0FC"/>
          </w:tcPr>
          <w:p>
            <w:pPr>
              <w:jc w:val="right"/>
              <w:ind w:right="10"/>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76"/>
        </w:trPr>
        <w:tc>
          <w:tcPr>
            <w:tcW w:w="3400" w:type="dxa"/>
            <w:vAlign w:val="bottom"/>
          </w:tcPr>
          <w:p>
            <w:pPr>
              <w:ind w:left="200"/>
              <w:spacing w:after="0"/>
              <w:rPr>
                <w:sz w:val="20"/>
                <w:szCs w:val="20"/>
                <w:color w:val="auto"/>
              </w:rPr>
            </w:pPr>
            <w:r>
              <w:rPr>
                <w:rFonts w:ascii="Arial" w:cs="Arial" w:eastAsia="Arial" w:hAnsi="Arial"/>
                <w:sz w:val="14"/>
                <w:szCs w:val="14"/>
                <w:color w:val="auto"/>
              </w:rPr>
              <w:t>Repurchase of common stock</w:t>
            </w:r>
          </w:p>
        </w:tc>
        <w:tc>
          <w:tcPr>
            <w:tcW w:w="720" w:type="dxa"/>
            <w:vAlign w:val="bottom"/>
          </w:tcPr>
          <w:p>
            <w:pPr>
              <w:spacing w:after="0"/>
              <w:rPr>
                <w:sz w:val="15"/>
                <w:szCs w:val="15"/>
                <w:color w:val="auto"/>
              </w:rPr>
            </w:pPr>
          </w:p>
        </w:tc>
        <w:tc>
          <w:tcPr>
            <w:tcW w:w="400" w:type="dxa"/>
            <w:vAlign w:val="bottom"/>
            <w:gridSpan w:val="2"/>
          </w:tcPr>
          <w:p>
            <w:pPr>
              <w:jc w:val="right"/>
              <w:ind w:right="240"/>
              <w:spacing w:after="0"/>
              <w:rPr>
                <w:sz w:val="20"/>
                <w:szCs w:val="20"/>
                <w:color w:val="auto"/>
              </w:rPr>
            </w:pPr>
            <w:r>
              <w:rPr>
                <w:rFonts w:ascii="Arial" w:cs="Arial" w:eastAsia="Arial" w:hAnsi="Arial"/>
                <w:sz w:val="14"/>
                <w:szCs w:val="14"/>
                <w:color w:val="auto"/>
                <w:w w:val="99"/>
              </w:rPr>
              <w:t>—</w:t>
            </w:r>
          </w:p>
        </w:tc>
        <w:tc>
          <w:tcPr>
            <w:tcW w:w="740" w:type="dxa"/>
            <w:vAlign w:val="bottom"/>
          </w:tcPr>
          <w:p>
            <w:pPr>
              <w:spacing w:after="0"/>
              <w:rPr>
                <w:sz w:val="15"/>
                <w:szCs w:val="15"/>
                <w:color w:val="auto"/>
              </w:rPr>
            </w:pPr>
          </w:p>
        </w:tc>
        <w:tc>
          <w:tcPr>
            <w:tcW w:w="400" w:type="dxa"/>
            <w:vAlign w:val="bottom"/>
            <w:gridSpan w:val="2"/>
          </w:tcPr>
          <w:p>
            <w:pPr>
              <w:spacing w:after="0"/>
              <w:rPr>
                <w:sz w:val="20"/>
                <w:szCs w:val="20"/>
                <w:color w:val="auto"/>
              </w:rPr>
            </w:pPr>
            <w:r>
              <w:rPr>
                <w:rFonts w:ascii="Arial" w:cs="Arial" w:eastAsia="Arial" w:hAnsi="Arial"/>
                <w:sz w:val="14"/>
                <w:szCs w:val="14"/>
                <w:color w:val="auto"/>
              </w:rPr>
              <w:t>—</w:t>
            </w:r>
          </w:p>
        </w:tc>
        <w:tc>
          <w:tcPr>
            <w:tcW w:w="720" w:type="dxa"/>
            <w:vAlign w:val="bottom"/>
          </w:tcPr>
          <w:p>
            <w:pPr>
              <w:spacing w:after="0"/>
              <w:rPr>
                <w:sz w:val="15"/>
                <w:szCs w:val="15"/>
                <w:color w:val="auto"/>
              </w:rPr>
            </w:pPr>
          </w:p>
        </w:tc>
        <w:tc>
          <w:tcPr>
            <w:tcW w:w="280" w:type="dxa"/>
            <w:vAlign w:val="bottom"/>
          </w:tcPr>
          <w:p>
            <w:pPr>
              <w:ind w:left="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(50)</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860" w:type="dxa"/>
            <w:vAlign w:val="bottom"/>
          </w:tcPr>
          <w:p>
            <w:pPr>
              <w:jc w:val="right"/>
              <w:ind w:right="10"/>
              <w:spacing w:after="0"/>
              <w:rPr>
                <w:sz w:val="20"/>
                <w:szCs w:val="20"/>
                <w:color w:val="auto"/>
              </w:rPr>
            </w:pPr>
            <w:r>
              <w:rPr>
                <w:rFonts w:ascii="Arial" w:cs="Arial" w:eastAsia="Arial" w:hAnsi="Arial"/>
                <w:sz w:val="14"/>
                <w:szCs w:val="14"/>
                <w:color w:val="auto"/>
              </w:rPr>
              <w:t>(50)</w:t>
            </w:r>
          </w:p>
        </w:tc>
        <w:tc>
          <w:tcPr>
            <w:tcW w:w="0" w:type="dxa"/>
            <w:vAlign w:val="bottom"/>
          </w:tcPr>
          <w:p>
            <w:pPr>
              <w:spacing w:after="0"/>
              <w:rPr>
                <w:sz w:val="1"/>
                <w:szCs w:val="1"/>
                <w:color w:val="auto"/>
              </w:rPr>
            </w:pPr>
          </w:p>
        </w:tc>
      </w:tr>
      <w:tr>
        <w:trPr>
          <w:trHeight w:val="176"/>
        </w:trPr>
        <w:tc>
          <w:tcPr>
            <w:tcW w:w="3400" w:type="dxa"/>
            <w:vAlign w:val="bottom"/>
            <w:shd w:val="clear" w:color="auto" w:fill="CFF0FC"/>
          </w:tcPr>
          <w:p>
            <w:pPr>
              <w:ind w:left="200"/>
              <w:spacing w:after="0"/>
              <w:rPr>
                <w:sz w:val="20"/>
                <w:szCs w:val="20"/>
                <w:color w:val="auto"/>
              </w:rPr>
            </w:pPr>
            <w:r>
              <w:rPr>
                <w:rFonts w:ascii="Arial" w:cs="Arial" w:eastAsia="Arial" w:hAnsi="Arial"/>
                <w:sz w:val="14"/>
                <w:szCs w:val="14"/>
                <w:color w:val="auto"/>
              </w:rPr>
              <w:t>Dividends on common stock</w:t>
            </w:r>
          </w:p>
        </w:tc>
        <w:tc>
          <w:tcPr>
            <w:tcW w:w="720" w:type="dxa"/>
            <w:vAlign w:val="bottom"/>
            <w:shd w:val="clear" w:color="auto" w:fill="CFF0FC"/>
          </w:tcPr>
          <w:p>
            <w:pPr>
              <w:spacing w:after="0"/>
              <w:rPr>
                <w:sz w:val="15"/>
                <w:szCs w:val="15"/>
                <w:color w:val="auto"/>
              </w:rPr>
            </w:pPr>
          </w:p>
        </w:tc>
        <w:tc>
          <w:tcPr>
            <w:tcW w:w="40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w w:val="99"/>
              </w:rPr>
              <w:t>—</w:t>
            </w:r>
          </w:p>
        </w:tc>
        <w:tc>
          <w:tcPr>
            <w:tcW w:w="740" w:type="dxa"/>
            <w:vAlign w:val="bottom"/>
            <w:shd w:val="clear" w:color="auto" w:fill="CFF0FC"/>
          </w:tcPr>
          <w:p>
            <w:pPr>
              <w:spacing w:after="0"/>
              <w:rPr>
                <w:sz w:val="15"/>
                <w:szCs w:val="15"/>
                <w:color w:val="auto"/>
              </w:rPr>
            </w:pPr>
          </w:p>
        </w:tc>
        <w:tc>
          <w:tcPr>
            <w:tcW w:w="40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w:t>
            </w:r>
          </w:p>
        </w:tc>
        <w:tc>
          <w:tcPr>
            <w:tcW w:w="720" w:type="dxa"/>
            <w:vAlign w:val="bottom"/>
            <w:shd w:val="clear" w:color="auto" w:fill="CFF0FC"/>
          </w:tcPr>
          <w:p>
            <w:pPr>
              <w:spacing w:after="0"/>
              <w:rPr>
                <w:sz w:val="15"/>
                <w:szCs w:val="15"/>
                <w:color w:val="auto"/>
              </w:rPr>
            </w:pPr>
          </w:p>
        </w:tc>
        <w:tc>
          <w:tcPr>
            <w:tcW w:w="280" w:type="dxa"/>
            <w:vAlign w:val="bottom"/>
            <w:tcBorders>
              <w:right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82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w:t>
            </w: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120" w:type="dxa"/>
            <w:vAlign w:val="bottom"/>
            <w:tcBorders>
              <w:right w:val="single" w:sz="8" w:color="CFF0FC"/>
            </w:tcBorders>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5"/>
                <w:szCs w:val="15"/>
                <w:color w:val="auto"/>
              </w:rPr>
            </w:pPr>
          </w:p>
        </w:tc>
        <w:tc>
          <w:tcPr>
            <w:tcW w:w="860" w:type="dxa"/>
            <w:vAlign w:val="bottom"/>
            <w:shd w:val="clear" w:color="auto" w:fill="CFF0FC"/>
          </w:tcPr>
          <w:p>
            <w:pPr>
              <w:jc w:val="right"/>
              <w:ind w:right="10"/>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176"/>
        </w:trPr>
        <w:tc>
          <w:tcPr>
            <w:tcW w:w="3400" w:type="dxa"/>
            <w:vAlign w:val="bottom"/>
          </w:tcPr>
          <w:p>
            <w:pPr>
              <w:ind w:left="200"/>
              <w:spacing w:after="0"/>
              <w:rPr>
                <w:sz w:val="20"/>
                <w:szCs w:val="20"/>
                <w:color w:val="auto"/>
              </w:rPr>
            </w:pPr>
            <w:r>
              <w:rPr>
                <w:rFonts w:ascii="Arial" w:cs="Arial" w:eastAsia="Arial" w:hAnsi="Arial"/>
                <w:sz w:val="14"/>
                <w:szCs w:val="14"/>
                <w:color w:val="auto"/>
              </w:rPr>
              <w:t>Impact of adopting accounting standards</w:t>
            </w:r>
          </w:p>
        </w:tc>
        <w:tc>
          <w:tcPr>
            <w:tcW w:w="720" w:type="dxa"/>
            <w:vAlign w:val="bottom"/>
          </w:tcPr>
          <w:p>
            <w:pPr>
              <w:spacing w:after="0"/>
              <w:rPr>
                <w:sz w:val="15"/>
                <w:szCs w:val="15"/>
                <w:color w:val="auto"/>
              </w:rPr>
            </w:pPr>
          </w:p>
        </w:tc>
        <w:tc>
          <w:tcPr>
            <w:tcW w:w="400" w:type="dxa"/>
            <w:vAlign w:val="bottom"/>
            <w:gridSpan w:val="2"/>
          </w:tcPr>
          <w:p>
            <w:pPr>
              <w:jc w:val="right"/>
              <w:ind w:right="240"/>
              <w:spacing w:after="0"/>
              <w:rPr>
                <w:sz w:val="20"/>
                <w:szCs w:val="20"/>
                <w:color w:val="auto"/>
              </w:rPr>
            </w:pPr>
            <w:r>
              <w:rPr>
                <w:rFonts w:ascii="Arial" w:cs="Arial" w:eastAsia="Arial" w:hAnsi="Arial"/>
                <w:sz w:val="14"/>
                <w:szCs w:val="14"/>
                <w:color w:val="auto"/>
                <w:w w:val="99"/>
              </w:rPr>
              <w:t>—</w:t>
            </w:r>
          </w:p>
        </w:tc>
        <w:tc>
          <w:tcPr>
            <w:tcW w:w="740" w:type="dxa"/>
            <w:vAlign w:val="bottom"/>
          </w:tcPr>
          <w:p>
            <w:pPr>
              <w:spacing w:after="0"/>
              <w:rPr>
                <w:sz w:val="15"/>
                <w:szCs w:val="15"/>
                <w:color w:val="auto"/>
              </w:rPr>
            </w:pPr>
          </w:p>
        </w:tc>
        <w:tc>
          <w:tcPr>
            <w:tcW w:w="400" w:type="dxa"/>
            <w:vAlign w:val="bottom"/>
            <w:gridSpan w:val="2"/>
          </w:tcPr>
          <w:p>
            <w:pPr>
              <w:spacing w:after="0"/>
              <w:rPr>
                <w:sz w:val="20"/>
                <w:szCs w:val="20"/>
                <w:color w:val="auto"/>
              </w:rPr>
            </w:pPr>
            <w:r>
              <w:rPr>
                <w:rFonts w:ascii="Arial" w:cs="Arial" w:eastAsia="Arial" w:hAnsi="Arial"/>
                <w:sz w:val="14"/>
                <w:szCs w:val="14"/>
                <w:color w:val="auto"/>
              </w:rPr>
              <w:t>—</w:t>
            </w:r>
          </w:p>
        </w:tc>
        <w:tc>
          <w:tcPr>
            <w:tcW w:w="720" w:type="dxa"/>
            <w:vAlign w:val="bottom"/>
          </w:tcPr>
          <w:p>
            <w:pPr>
              <w:spacing w:after="0"/>
              <w:rPr>
                <w:sz w:val="15"/>
                <w:szCs w:val="15"/>
                <w:color w:val="auto"/>
              </w:rPr>
            </w:pPr>
          </w:p>
        </w:tc>
        <w:tc>
          <w:tcPr>
            <w:tcW w:w="280" w:type="dxa"/>
            <w:vAlign w:val="bottom"/>
          </w:tcPr>
          <w:p>
            <w:pPr>
              <w:ind w:left="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(8)</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860" w:type="dxa"/>
            <w:vAlign w:val="bottom"/>
          </w:tcPr>
          <w:p>
            <w:pPr>
              <w:jc w:val="right"/>
              <w:ind w:right="10"/>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76"/>
        </w:trPr>
        <w:tc>
          <w:tcPr>
            <w:tcW w:w="3400" w:type="dxa"/>
            <w:vAlign w:val="bottom"/>
            <w:shd w:val="clear" w:color="auto" w:fill="CFF0FC"/>
          </w:tcPr>
          <w:p>
            <w:pPr>
              <w:ind w:left="200"/>
              <w:spacing w:after="0"/>
              <w:rPr>
                <w:sz w:val="20"/>
                <w:szCs w:val="20"/>
                <w:color w:val="auto"/>
              </w:rPr>
            </w:pPr>
            <w:r>
              <w:rPr>
                <w:rFonts w:ascii="Arial" w:cs="Arial" w:eastAsia="Arial" w:hAnsi="Arial"/>
                <w:sz w:val="14"/>
                <w:szCs w:val="14"/>
                <w:color w:val="auto"/>
              </w:rPr>
              <w:t>Net income</w:t>
            </w:r>
          </w:p>
        </w:tc>
        <w:tc>
          <w:tcPr>
            <w:tcW w:w="720" w:type="dxa"/>
            <w:vAlign w:val="bottom"/>
            <w:tcBorders>
              <w:bottom w:val="single" w:sz="8" w:color="auto"/>
            </w:tcBorders>
            <w:shd w:val="clear" w:color="auto" w:fill="CFF0FC"/>
          </w:tcPr>
          <w:p>
            <w:pPr>
              <w:spacing w:after="0"/>
              <w:rPr>
                <w:sz w:val="15"/>
                <w:szCs w:val="15"/>
                <w:color w:val="auto"/>
              </w:rPr>
            </w:pPr>
          </w:p>
        </w:tc>
        <w:tc>
          <w:tcPr>
            <w:tcW w:w="28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4"/>
                <w:szCs w:val="14"/>
                <w:color w:val="auto"/>
                <w:w w:val="99"/>
              </w:rPr>
              <w:t>—</w:t>
            </w:r>
          </w:p>
        </w:tc>
        <w:tc>
          <w:tcPr>
            <w:tcW w:w="120" w:type="dxa"/>
            <w:vAlign w:val="bottom"/>
            <w:shd w:val="clear" w:color="auto" w:fill="CFF0FC"/>
          </w:tcPr>
          <w:p>
            <w:pPr>
              <w:spacing w:after="0"/>
              <w:rPr>
                <w:sz w:val="15"/>
                <w:szCs w:val="15"/>
                <w:color w:val="auto"/>
              </w:rPr>
            </w:pPr>
          </w:p>
        </w:tc>
        <w:tc>
          <w:tcPr>
            <w:tcW w:w="740" w:type="dxa"/>
            <w:vAlign w:val="bottom"/>
            <w:tcBorders>
              <w:bottom w:val="single" w:sz="8" w:color="auto"/>
            </w:tcBorders>
            <w:shd w:val="clear" w:color="auto" w:fill="CFF0FC"/>
          </w:tcPr>
          <w:p>
            <w:pPr>
              <w:spacing w:after="0"/>
              <w:rPr>
                <w:sz w:val="15"/>
                <w:szCs w:val="15"/>
                <w:color w:val="auto"/>
              </w:rPr>
            </w:pPr>
          </w:p>
        </w:tc>
        <w:tc>
          <w:tcPr>
            <w:tcW w:w="26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720" w:type="dxa"/>
            <w:vAlign w:val="bottom"/>
            <w:tcBorders>
              <w:bottom w:val="single" w:sz="8" w:color="auto"/>
            </w:tcBorders>
            <w:shd w:val="clear" w:color="auto" w:fill="CFF0FC"/>
          </w:tcPr>
          <w:p>
            <w:pPr>
              <w:spacing w:after="0"/>
              <w:rPr>
                <w:sz w:val="15"/>
                <w:szCs w:val="15"/>
                <w:color w:val="auto"/>
              </w:rPr>
            </w:pPr>
          </w:p>
        </w:tc>
        <w:tc>
          <w:tcPr>
            <w:tcW w:w="280" w:type="dxa"/>
            <w:vAlign w:val="bottom"/>
            <w:tcBorders>
              <w:bottom w:val="single" w:sz="8" w:color="auto"/>
              <w:right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300" w:type="dxa"/>
            <w:vAlign w:val="bottom"/>
            <w:tcBorders>
              <w:bottom w:val="single" w:sz="8" w:color="auto"/>
            </w:tcBorders>
            <w:shd w:val="clear" w:color="auto" w:fill="CFF0FC"/>
          </w:tcPr>
          <w:p>
            <w:pPr>
              <w:spacing w:after="0"/>
              <w:rPr>
                <w:sz w:val="15"/>
                <w:szCs w:val="15"/>
                <w:color w:val="auto"/>
              </w:rPr>
            </w:pPr>
          </w:p>
        </w:tc>
        <w:tc>
          <w:tcPr>
            <w:tcW w:w="70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160" w:type="dxa"/>
            <w:vAlign w:val="bottom"/>
            <w:tcBorders>
              <w:bottom w:val="single" w:sz="8" w:color="auto"/>
            </w:tcBorders>
            <w:shd w:val="clear" w:color="auto" w:fill="CFF0FC"/>
          </w:tcPr>
          <w:p>
            <w:pPr>
              <w:spacing w:after="0"/>
              <w:rPr>
                <w:sz w:val="15"/>
                <w:szCs w:val="15"/>
                <w:color w:val="auto"/>
              </w:rPr>
            </w:pPr>
          </w:p>
        </w:tc>
        <w:tc>
          <w:tcPr>
            <w:tcW w:w="8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4"/>
                <w:szCs w:val="14"/>
                <w:color w:val="auto"/>
              </w:rPr>
              <w:t>167</w:t>
            </w:r>
          </w:p>
        </w:tc>
        <w:tc>
          <w:tcPr>
            <w:tcW w:w="140" w:type="dxa"/>
            <w:vAlign w:val="bottom"/>
            <w:shd w:val="clear" w:color="auto" w:fill="CFF0FC"/>
          </w:tcPr>
          <w:p>
            <w:pPr>
              <w:spacing w:after="0"/>
              <w:rPr>
                <w:sz w:val="15"/>
                <w:szCs w:val="15"/>
                <w:color w:val="auto"/>
              </w:rPr>
            </w:pPr>
          </w:p>
        </w:tc>
        <w:tc>
          <w:tcPr>
            <w:tcW w:w="80" w:type="dxa"/>
            <w:vAlign w:val="bottom"/>
            <w:tcBorders>
              <w:bottom w:val="single" w:sz="8" w:color="auto"/>
            </w:tcBorders>
            <w:shd w:val="clear" w:color="auto" w:fill="CFF0FC"/>
          </w:tcPr>
          <w:p>
            <w:pPr>
              <w:spacing w:after="0"/>
              <w:rPr>
                <w:sz w:val="15"/>
                <w:szCs w:val="15"/>
                <w:color w:val="auto"/>
              </w:rPr>
            </w:pPr>
          </w:p>
        </w:tc>
        <w:tc>
          <w:tcPr>
            <w:tcW w:w="98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4"/>
                <w:szCs w:val="14"/>
                <w:color w:val="auto"/>
              </w:rPr>
              <w:t>—</w:t>
            </w:r>
          </w:p>
        </w:tc>
        <w:tc>
          <w:tcPr>
            <w:tcW w:w="140" w:type="dxa"/>
            <w:vAlign w:val="bottom"/>
            <w:tcBorders>
              <w:right w:val="single" w:sz="8" w:color="CFF0FC"/>
            </w:tcBorders>
            <w:shd w:val="clear" w:color="auto" w:fill="CFF0FC"/>
          </w:tcPr>
          <w:p>
            <w:pPr>
              <w:spacing w:after="0"/>
              <w:rPr>
                <w:sz w:val="15"/>
                <w:szCs w:val="15"/>
                <w:color w:val="auto"/>
              </w:rPr>
            </w:pPr>
          </w:p>
        </w:tc>
        <w:tc>
          <w:tcPr>
            <w:tcW w:w="160" w:type="dxa"/>
            <w:vAlign w:val="bottom"/>
            <w:tcBorders>
              <w:bottom w:val="single" w:sz="8" w:color="auto"/>
            </w:tcBorders>
            <w:shd w:val="clear" w:color="auto" w:fill="CFF0FC"/>
          </w:tcPr>
          <w:p>
            <w:pPr>
              <w:spacing w:after="0"/>
              <w:rPr>
                <w:sz w:val="15"/>
                <w:szCs w:val="15"/>
                <w:color w:val="auto"/>
              </w:rPr>
            </w:pPr>
          </w:p>
        </w:tc>
        <w:tc>
          <w:tcPr>
            <w:tcW w:w="8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4"/>
                <w:szCs w:val="14"/>
                <w:color w:val="auto"/>
              </w:rPr>
              <w:t>167</w:t>
            </w:r>
          </w:p>
        </w:tc>
        <w:tc>
          <w:tcPr>
            <w:tcW w:w="0" w:type="dxa"/>
            <w:vAlign w:val="bottom"/>
          </w:tcPr>
          <w:p>
            <w:pPr>
              <w:spacing w:after="0"/>
              <w:rPr>
                <w:sz w:val="1"/>
                <w:szCs w:val="1"/>
                <w:color w:val="auto"/>
              </w:rPr>
            </w:pPr>
          </w:p>
        </w:tc>
      </w:tr>
      <w:tr>
        <w:trPr>
          <w:trHeight w:val="188"/>
        </w:trPr>
        <w:tc>
          <w:tcPr>
            <w:tcW w:w="3400" w:type="dxa"/>
            <w:vAlign w:val="bottom"/>
          </w:tcPr>
          <w:p>
            <w:pPr>
              <w:spacing w:after="0"/>
              <w:rPr>
                <w:sz w:val="20"/>
                <w:szCs w:val="20"/>
                <w:color w:val="auto"/>
              </w:rPr>
            </w:pPr>
            <w:r>
              <w:rPr>
                <w:rFonts w:ascii="Arial" w:cs="Arial" w:eastAsia="Arial" w:hAnsi="Arial"/>
                <w:sz w:val="14"/>
                <w:szCs w:val="14"/>
                <w:color w:val="auto"/>
              </w:rPr>
              <w:t>Balance at March 31, 2019</w:t>
            </w:r>
          </w:p>
        </w:tc>
        <w:tc>
          <w:tcPr>
            <w:tcW w:w="720" w:type="dxa"/>
            <w:vAlign w:val="bottom"/>
          </w:tcPr>
          <w:p>
            <w:pPr>
              <w:jc w:val="right"/>
              <w:ind w:right="572"/>
              <w:spacing w:after="0"/>
              <w:rPr>
                <w:sz w:val="20"/>
                <w:szCs w:val="20"/>
                <w:color w:val="auto"/>
              </w:rPr>
            </w:pPr>
            <w:r>
              <w:rPr>
                <w:rFonts w:ascii="Arial" w:cs="Arial" w:eastAsia="Arial" w:hAnsi="Arial"/>
                <w:sz w:val="14"/>
                <w:szCs w:val="14"/>
                <w:color w:val="auto"/>
                <w:w w:val="76"/>
              </w:rPr>
              <w:t>$</w:t>
            </w:r>
          </w:p>
        </w:tc>
        <w:tc>
          <w:tcPr>
            <w:tcW w:w="280" w:type="dxa"/>
            <w:vAlign w:val="bottom"/>
          </w:tcPr>
          <w:p>
            <w:pPr>
              <w:jc w:val="right"/>
              <w:ind w:right="50"/>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6"/>
                <w:szCs w:val="16"/>
                <w:color w:val="auto"/>
              </w:rPr>
            </w:pPr>
          </w:p>
        </w:tc>
        <w:tc>
          <w:tcPr>
            <w:tcW w:w="740" w:type="dxa"/>
            <w:vAlign w:val="bottom"/>
          </w:tcPr>
          <w:p>
            <w:pPr>
              <w:jc w:val="right"/>
              <w:ind w:right="593"/>
              <w:spacing w:after="0"/>
              <w:rPr>
                <w:sz w:val="20"/>
                <w:szCs w:val="20"/>
                <w:color w:val="auto"/>
              </w:rPr>
            </w:pPr>
            <w:r>
              <w:rPr>
                <w:rFonts w:ascii="Arial" w:cs="Arial" w:eastAsia="Arial" w:hAnsi="Arial"/>
                <w:sz w:val="14"/>
                <w:szCs w:val="14"/>
                <w:color w:val="auto"/>
                <w:w w:val="76"/>
              </w:rPr>
              <w:t>$</w:t>
            </w:r>
          </w:p>
        </w:tc>
        <w:tc>
          <w:tcPr>
            <w:tcW w:w="260" w:type="dxa"/>
            <w:vAlign w:val="bottom"/>
          </w:tcPr>
          <w:p>
            <w:pPr>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20" w:type="dxa"/>
            <w:vAlign w:val="bottom"/>
          </w:tcPr>
          <w:p>
            <w:pPr>
              <w:jc w:val="right"/>
              <w:ind w:right="572"/>
              <w:spacing w:after="0"/>
              <w:rPr>
                <w:sz w:val="20"/>
                <w:szCs w:val="20"/>
                <w:color w:val="auto"/>
              </w:rPr>
            </w:pPr>
            <w:r>
              <w:rPr>
                <w:rFonts w:ascii="Arial" w:cs="Arial" w:eastAsia="Arial" w:hAnsi="Arial"/>
                <w:sz w:val="14"/>
                <w:szCs w:val="14"/>
                <w:color w:val="auto"/>
                <w:w w:val="76"/>
              </w:rPr>
              <w:t>$</w:t>
            </w:r>
          </w:p>
        </w:tc>
        <w:tc>
          <w:tcPr>
            <w:tcW w:w="280" w:type="dxa"/>
            <w:vAlign w:val="bottom"/>
          </w:tcPr>
          <w:p>
            <w:pPr>
              <w:ind w:left="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300" w:type="dxa"/>
            <w:vAlign w:val="bottom"/>
          </w:tcPr>
          <w:p>
            <w:pPr>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50"/>
              <w:spacing w:after="0"/>
              <w:rPr>
                <w:sz w:val="20"/>
                <w:szCs w:val="20"/>
                <w:color w:val="auto"/>
              </w:rPr>
            </w:pPr>
            <w:r>
              <w:rPr>
                <w:rFonts w:ascii="Arial" w:cs="Arial" w:eastAsia="Arial" w:hAnsi="Arial"/>
                <w:sz w:val="14"/>
                <w:szCs w:val="14"/>
                <w:color w:val="auto"/>
              </w:rPr>
              <w:t>1,787</w:t>
            </w:r>
          </w:p>
        </w:tc>
        <w:tc>
          <w:tcPr>
            <w:tcW w:w="120" w:type="dxa"/>
            <w:vAlign w:val="bottom"/>
          </w:tcPr>
          <w:p>
            <w:pPr>
              <w:spacing w:after="0"/>
              <w:rPr>
                <w:sz w:val="16"/>
                <w:szCs w:val="16"/>
                <w:color w:val="auto"/>
              </w:rPr>
            </w:pPr>
          </w:p>
        </w:tc>
        <w:tc>
          <w:tcPr>
            <w:tcW w:w="160" w:type="dxa"/>
            <w:vAlign w:val="bottom"/>
          </w:tcPr>
          <w:p>
            <w:pPr>
              <w:jc w:val="right"/>
              <w:ind w:right="11"/>
              <w:spacing w:after="0"/>
              <w:rPr>
                <w:sz w:val="20"/>
                <w:szCs w:val="20"/>
                <w:color w:val="auto"/>
              </w:rPr>
            </w:pPr>
            <w:r>
              <w:rPr>
                <w:rFonts w:ascii="Arial" w:cs="Arial" w:eastAsia="Arial" w:hAnsi="Arial"/>
                <w:sz w:val="14"/>
                <w:szCs w:val="14"/>
                <w:color w:val="auto"/>
                <w:w w:val="76"/>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(1,010)</w:t>
            </w:r>
          </w:p>
        </w:tc>
        <w:tc>
          <w:tcPr>
            <w:tcW w:w="140" w:type="dxa"/>
            <w:vAlign w:val="bottom"/>
          </w:tcPr>
          <w:p>
            <w:pPr>
              <w:spacing w:after="0"/>
              <w:rPr>
                <w:sz w:val="16"/>
                <w:szCs w:val="16"/>
                <w:color w:val="auto"/>
              </w:rPr>
            </w:pPr>
          </w:p>
        </w:tc>
        <w:tc>
          <w:tcPr>
            <w:tcW w:w="80" w:type="dxa"/>
            <w:vAlign w:val="bottom"/>
          </w:tcPr>
          <w:p>
            <w:pPr>
              <w:spacing w:after="0"/>
              <w:rPr>
                <w:sz w:val="20"/>
                <w:szCs w:val="20"/>
                <w:color w:val="auto"/>
              </w:rPr>
            </w:pPr>
            <w:r>
              <w:rPr>
                <w:rFonts w:ascii="Arial" w:cs="Arial" w:eastAsia="Arial" w:hAnsi="Arial"/>
                <w:sz w:val="14"/>
                <w:szCs w:val="14"/>
                <w:color w:val="auto"/>
                <w:w w:val="76"/>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(33)</w:t>
            </w:r>
          </w:p>
        </w:tc>
        <w:tc>
          <w:tcPr>
            <w:tcW w:w="140" w:type="dxa"/>
            <w:vAlign w:val="bottom"/>
          </w:tcPr>
          <w:p>
            <w:pPr>
              <w:spacing w:after="0"/>
              <w:rPr>
                <w:sz w:val="16"/>
                <w:szCs w:val="16"/>
                <w:color w:val="auto"/>
              </w:rPr>
            </w:pPr>
          </w:p>
        </w:tc>
        <w:tc>
          <w:tcPr>
            <w:tcW w:w="160" w:type="dxa"/>
            <w:vAlign w:val="bottom"/>
          </w:tcPr>
          <w:p>
            <w:pPr>
              <w:jc w:val="right"/>
              <w:ind w:right="47"/>
              <w:spacing w:after="0"/>
              <w:rPr>
                <w:sz w:val="20"/>
                <w:szCs w:val="20"/>
                <w:color w:val="auto"/>
              </w:rPr>
            </w:pPr>
            <w:r>
              <w:rPr>
                <w:rFonts w:ascii="Arial" w:cs="Arial" w:eastAsia="Arial" w:hAnsi="Arial"/>
                <w:sz w:val="10"/>
                <w:szCs w:val="10"/>
                <w:color w:val="auto"/>
                <w:w w:val="71"/>
              </w:rPr>
              <w:t>$</w:t>
            </w:r>
          </w:p>
        </w:tc>
        <w:tc>
          <w:tcPr>
            <w:tcW w:w="860" w:type="dxa"/>
            <w:vAlign w:val="bottom"/>
          </w:tcPr>
          <w:p>
            <w:pPr>
              <w:jc w:val="right"/>
              <w:ind w:right="70"/>
              <w:spacing w:after="0"/>
              <w:rPr>
                <w:sz w:val="20"/>
                <w:szCs w:val="20"/>
                <w:color w:val="auto"/>
              </w:rPr>
            </w:pPr>
            <w:r>
              <w:rPr>
                <w:rFonts w:ascii="Arial" w:cs="Arial" w:eastAsia="Arial" w:hAnsi="Arial"/>
                <w:sz w:val="14"/>
                <w:szCs w:val="14"/>
                <w:color w:val="auto"/>
              </w:rPr>
              <w:t>745</w:t>
            </w:r>
          </w:p>
        </w:tc>
        <w:tc>
          <w:tcPr>
            <w:tcW w:w="0" w:type="dxa"/>
            <w:vAlign w:val="bottom"/>
          </w:tcPr>
          <w:p>
            <w:pPr>
              <w:spacing w:after="0"/>
              <w:rPr>
                <w:sz w:val="1"/>
                <w:szCs w:val="1"/>
                <w:color w:val="auto"/>
              </w:rPr>
            </w:pPr>
          </w:p>
        </w:tc>
      </w:tr>
      <w:tr>
        <w:trPr>
          <w:trHeight w:val="20"/>
        </w:trPr>
        <w:tc>
          <w:tcPr>
            <w:tcW w:w="3400" w:type="dxa"/>
            <w:vAlign w:val="bottom"/>
            <w:tcBorders>
              <w:top w:val="single" w:sz="8" w:color="CFF0FC"/>
            </w:tcBorders>
            <w:shd w:val="clear" w:color="auto" w:fill="CFF0FC"/>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3400" w:type="dxa"/>
            <w:vAlign w:val="bottom"/>
            <w:shd w:val="clear" w:color="auto" w:fill="CFF0FC"/>
          </w:tcPr>
          <w:p>
            <w:pPr>
              <w:spacing w:after="0" w:line="151" w:lineRule="exact"/>
              <w:rPr>
                <w:sz w:val="20"/>
                <w:szCs w:val="20"/>
                <w:color w:val="auto"/>
              </w:rPr>
            </w:pPr>
            <w:r>
              <w:rPr>
                <w:rFonts w:ascii="Arial" w:cs="Arial" w:eastAsia="Arial" w:hAnsi="Arial"/>
                <w:sz w:val="14"/>
                <w:szCs w:val="14"/>
                <w:color w:val="auto"/>
              </w:rPr>
              <w:t>Balance at December 31, 2019</w:t>
            </w:r>
          </w:p>
        </w:tc>
        <w:tc>
          <w:tcPr>
            <w:tcW w:w="720" w:type="dxa"/>
            <w:vAlign w:val="bottom"/>
            <w:shd w:val="clear" w:color="auto" w:fill="CFF0FC"/>
          </w:tcPr>
          <w:p>
            <w:pPr>
              <w:jc w:val="right"/>
              <w:ind w:right="572"/>
              <w:spacing w:after="0" w:line="151" w:lineRule="exact"/>
              <w:rPr>
                <w:sz w:val="20"/>
                <w:szCs w:val="20"/>
                <w:color w:val="auto"/>
              </w:rPr>
            </w:pPr>
            <w:r>
              <w:rPr>
                <w:rFonts w:ascii="Arial" w:cs="Arial" w:eastAsia="Arial" w:hAnsi="Arial"/>
                <w:sz w:val="14"/>
                <w:szCs w:val="14"/>
                <w:color w:val="auto"/>
                <w:w w:val="76"/>
              </w:rPr>
              <w:t>$</w:t>
            </w:r>
          </w:p>
        </w:tc>
        <w:tc>
          <w:tcPr>
            <w:tcW w:w="280" w:type="dxa"/>
            <w:vAlign w:val="bottom"/>
            <w:shd w:val="clear" w:color="auto" w:fill="CFF0FC"/>
          </w:tcPr>
          <w:p>
            <w:pPr>
              <w:jc w:val="right"/>
              <w:ind w:right="50"/>
              <w:spacing w:after="0" w:line="151" w:lineRule="exact"/>
              <w:rPr>
                <w:sz w:val="20"/>
                <w:szCs w:val="20"/>
                <w:color w:val="auto"/>
              </w:rPr>
            </w:pPr>
            <w:r>
              <w:rPr>
                <w:rFonts w:ascii="Arial" w:cs="Arial" w:eastAsia="Arial" w:hAnsi="Arial"/>
                <w:sz w:val="14"/>
                <w:szCs w:val="14"/>
                <w:color w:val="auto"/>
              </w:rPr>
              <w:t>1</w:t>
            </w:r>
          </w:p>
        </w:tc>
        <w:tc>
          <w:tcPr>
            <w:tcW w:w="120" w:type="dxa"/>
            <w:vAlign w:val="bottom"/>
            <w:shd w:val="clear" w:color="auto" w:fill="CFF0FC"/>
          </w:tcPr>
          <w:p>
            <w:pPr>
              <w:spacing w:after="0"/>
              <w:rPr>
                <w:sz w:val="13"/>
                <w:szCs w:val="13"/>
                <w:color w:val="auto"/>
              </w:rPr>
            </w:pPr>
          </w:p>
        </w:tc>
        <w:tc>
          <w:tcPr>
            <w:tcW w:w="740" w:type="dxa"/>
            <w:vAlign w:val="bottom"/>
            <w:shd w:val="clear" w:color="auto" w:fill="CFF0FC"/>
          </w:tcPr>
          <w:p>
            <w:pPr>
              <w:jc w:val="right"/>
              <w:ind w:right="593"/>
              <w:spacing w:after="0" w:line="151" w:lineRule="exact"/>
              <w:rPr>
                <w:sz w:val="20"/>
                <w:szCs w:val="20"/>
                <w:color w:val="auto"/>
              </w:rPr>
            </w:pPr>
            <w:r>
              <w:rPr>
                <w:rFonts w:ascii="Arial" w:cs="Arial" w:eastAsia="Arial" w:hAnsi="Arial"/>
                <w:sz w:val="14"/>
                <w:szCs w:val="14"/>
                <w:color w:val="auto"/>
                <w:w w:val="76"/>
              </w:rPr>
              <w:t>$</w:t>
            </w:r>
          </w:p>
        </w:tc>
        <w:tc>
          <w:tcPr>
            <w:tcW w:w="260" w:type="dxa"/>
            <w:vAlign w:val="bottom"/>
            <w:shd w:val="clear" w:color="auto" w:fill="CFF0FC"/>
          </w:tcPr>
          <w:p>
            <w:pPr>
              <w:spacing w:after="0" w:line="151" w:lineRule="exact"/>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3"/>
                <w:szCs w:val="13"/>
                <w:color w:val="auto"/>
              </w:rPr>
            </w:pPr>
          </w:p>
        </w:tc>
        <w:tc>
          <w:tcPr>
            <w:tcW w:w="720" w:type="dxa"/>
            <w:vAlign w:val="bottom"/>
            <w:shd w:val="clear" w:color="auto" w:fill="CFF0FC"/>
          </w:tcPr>
          <w:p>
            <w:pPr>
              <w:jc w:val="right"/>
              <w:ind w:right="572"/>
              <w:spacing w:after="0" w:line="151" w:lineRule="exact"/>
              <w:rPr>
                <w:sz w:val="20"/>
                <w:szCs w:val="20"/>
                <w:color w:val="auto"/>
              </w:rPr>
            </w:pPr>
            <w:r>
              <w:rPr>
                <w:rFonts w:ascii="Arial" w:cs="Arial" w:eastAsia="Arial" w:hAnsi="Arial"/>
                <w:sz w:val="14"/>
                <w:szCs w:val="14"/>
                <w:color w:val="auto"/>
                <w:w w:val="76"/>
              </w:rPr>
              <w:t>$</w:t>
            </w:r>
          </w:p>
        </w:tc>
        <w:tc>
          <w:tcPr>
            <w:tcW w:w="280" w:type="dxa"/>
            <w:vAlign w:val="bottom"/>
            <w:tcBorders>
              <w:right w:val="single" w:sz="8" w:color="CFF0FC"/>
            </w:tcBorders>
            <w:shd w:val="clear" w:color="auto" w:fill="CFF0FC"/>
          </w:tcPr>
          <w:p>
            <w:pPr>
              <w:ind w:left="20"/>
              <w:spacing w:after="0" w:line="151" w:lineRule="exact"/>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line="151" w:lineRule="exact"/>
              <w:rPr>
                <w:sz w:val="20"/>
                <w:szCs w:val="20"/>
                <w:color w:val="auto"/>
              </w:rPr>
            </w:pPr>
            <w:r>
              <w:rPr>
                <w:rFonts w:ascii="Arial" w:cs="Arial" w:eastAsia="Arial" w:hAnsi="Arial"/>
                <w:sz w:val="14"/>
                <w:szCs w:val="14"/>
                <w:color w:val="auto"/>
              </w:rPr>
              <w:t>$</w:t>
            </w:r>
          </w:p>
        </w:tc>
        <w:tc>
          <w:tcPr>
            <w:tcW w:w="700" w:type="dxa"/>
            <w:vAlign w:val="bottom"/>
            <w:shd w:val="clear" w:color="auto" w:fill="CFF0FC"/>
          </w:tcPr>
          <w:p>
            <w:pPr>
              <w:jc w:val="right"/>
              <w:ind w:right="50"/>
              <w:spacing w:after="0" w:line="151" w:lineRule="exact"/>
              <w:rPr>
                <w:sz w:val="20"/>
                <w:szCs w:val="20"/>
                <w:color w:val="auto"/>
              </w:rPr>
            </w:pPr>
            <w:r>
              <w:rPr>
                <w:rFonts w:ascii="Arial" w:cs="Arial" w:eastAsia="Arial" w:hAnsi="Arial"/>
                <w:sz w:val="14"/>
                <w:szCs w:val="14"/>
                <w:color w:val="auto"/>
              </w:rPr>
              <w:t>1,802</w:t>
            </w:r>
          </w:p>
        </w:tc>
        <w:tc>
          <w:tcPr>
            <w:tcW w:w="120" w:type="dxa"/>
            <w:vAlign w:val="bottom"/>
            <w:shd w:val="clear" w:color="auto" w:fill="CFF0FC"/>
          </w:tcPr>
          <w:p>
            <w:pPr>
              <w:spacing w:after="0"/>
              <w:rPr>
                <w:sz w:val="13"/>
                <w:szCs w:val="13"/>
                <w:color w:val="auto"/>
              </w:rPr>
            </w:pPr>
          </w:p>
        </w:tc>
        <w:tc>
          <w:tcPr>
            <w:tcW w:w="160" w:type="dxa"/>
            <w:vAlign w:val="bottom"/>
            <w:shd w:val="clear" w:color="auto" w:fill="CFF0FC"/>
          </w:tcPr>
          <w:p>
            <w:pPr>
              <w:jc w:val="right"/>
              <w:ind w:right="11"/>
              <w:spacing w:after="0" w:line="151" w:lineRule="exact"/>
              <w:rPr>
                <w:sz w:val="20"/>
                <w:szCs w:val="20"/>
                <w:color w:val="auto"/>
              </w:rPr>
            </w:pPr>
            <w:r>
              <w:rPr>
                <w:rFonts w:ascii="Arial" w:cs="Arial" w:eastAsia="Arial" w:hAnsi="Arial"/>
                <w:sz w:val="14"/>
                <w:szCs w:val="14"/>
                <w:color w:val="auto"/>
                <w:w w:val="76"/>
              </w:rPr>
              <w:t>$</w:t>
            </w:r>
          </w:p>
        </w:tc>
        <w:tc>
          <w:tcPr>
            <w:tcW w:w="840" w:type="dxa"/>
            <w:vAlign w:val="bottom"/>
            <w:shd w:val="clear" w:color="auto" w:fill="CFF0FC"/>
          </w:tcPr>
          <w:p>
            <w:pPr>
              <w:jc w:val="right"/>
              <w:spacing w:after="0" w:line="151" w:lineRule="exact"/>
              <w:rPr>
                <w:sz w:val="20"/>
                <w:szCs w:val="20"/>
                <w:color w:val="auto"/>
              </w:rPr>
            </w:pPr>
            <w:r>
              <w:rPr>
                <w:rFonts w:ascii="Arial" w:cs="Arial" w:eastAsia="Arial" w:hAnsi="Arial"/>
                <w:sz w:val="14"/>
                <w:szCs w:val="14"/>
                <w:color w:val="auto"/>
              </w:rPr>
              <w:t>(970)</w:t>
            </w: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line="151" w:lineRule="exact"/>
              <w:rPr>
                <w:sz w:val="20"/>
                <w:szCs w:val="20"/>
                <w:color w:val="auto"/>
              </w:rPr>
            </w:pPr>
            <w:r>
              <w:rPr>
                <w:rFonts w:ascii="Arial" w:cs="Arial" w:eastAsia="Arial" w:hAnsi="Arial"/>
                <w:sz w:val="14"/>
                <w:szCs w:val="14"/>
                <w:color w:val="auto"/>
                <w:w w:val="76"/>
              </w:rPr>
              <w:t>$</w:t>
            </w:r>
          </w:p>
        </w:tc>
        <w:tc>
          <w:tcPr>
            <w:tcW w:w="980" w:type="dxa"/>
            <w:vAlign w:val="bottom"/>
            <w:shd w:val="clear" w:color="auto" w:fill="CFF0FC"/>
          </w:tcPr>
          <w:p>
            <w:pPr>
              <w:jc w:val="right"/>
              <w:spacing w:after="0" w:line="151" w:lineRule="exact"/>
              <w:rPr>
                <w:sz w:val="20"/>
                <w:szCs w:val="20"/>
                <w:color w:val="auto"/>
              </w:rPr>
            </w:pPr>
            <w:r>
              <w:rPr>
                <w:rFonts w:ascii="Arial" w:cs="Arial" w:eastAsia="Arial" w:hAnsi="Arial"/>
                <w:sz w:val="14"/>
                <w:szCs w:val="14"/>
                <w:color w:val="auto"/>
              </w:rPr>
              <w:t>(52)</w:t>
            </w:r>
          </w:p>
        </w:tc>
        <w:tc>
          <w:tcPr>
            <w:tcW w:w="140" w:type="dxa"/>
            <w:vAlign w:val="bottom"/>
            <w:tcBorders>
              <w:right w:val="single" w:sz="8" w:color="CFF0FC"/>
            </w:tcBorders>
            <w:shd w:val="clear" w:color="auto" w:fill="CFF0FC"/>
          </w:tcPr>
          <w:p>
            <w:pPr>
              <w:spacing w:after="0"/>
              <w:rPr>
                <w:sz w:val="13"/>
                <w:szCs w:val="13"/>
                <w:color w:val="auto"/>
              </w:rPr>
            </w:pPr>
          </w:p>
        </w:tc>
        <w:tc>
          <w:tcPr>
            <w:tcW w:w="160" w:type="dxa"/>
            <w:vAlign w:val="bottom"/>
            <w:shd w:val="clear" w:color="auto" w:fill="CFF0FC"/>
          </w:tcPr>
          <w:p>
            <w:pPr>
              <w:jc w:val="right"/>
              <w:ind w:right="47"/>
              <w:spacing w:after="0"/>
              <w:rPr>
                <w:sz w:val="20"/>
                <w:szCs w:val="20"/>
                <w:color w:val="auto"/>
              </w:rPr>
            </w:pPr>
            <w:r>
              <w:rPr>
                <w:rFonts w:ascii="Arial" w:cs="Arial" w:eastAsia="Arial" w:hAnsi="Arial"/>
                <w:sz w:val="10"/>
                <w:szCs w:val="10"/>
                <w:color w:val="auto"/>
                <w:w w:val="71"/>
              </w:rPr>
              <w:t>$</w:t>
            </w:r>
          </w:p>
        </w:tc>
        <w:tc>
          <w:tcPr>
            <w:tcW w:w="860" w:type="dxa"/>
            <w:vAlign w:val="bottom"/>
            <w:shd w:val="clear" w:color="auto" w:fill="CFF0FC"/>
          </w:tcPr>
          <w:p>
            <w:pPr>
              <w:jc w:val="right"/>
              <w:ind w:right="70"/>
              <w:spacing w:after="0" w:line="151" w:lineRule="exact"/>
              <w:rPr>
                <w:sz w:val="20"/>
                <w:szCs w:val="20"/>
                <w:color w:val="auto"/>
              </w:rPr>
            </w:pPr>
            <w:r>
              <w:rPr>
                <w:rFonts w:ascii="Arial" w:cs="Arial" w:eastAsia="Arial" w:hAnsi="Arial"/>
                <w:sz w:val="14"/>
                <w:szCs w:val="14"/>
                <w:color w:val="auto"/>
              </w:rPr>
              <w:t>781</w:t>
            </w:r>
          </w:p>
        </w:tc>
        <w:tc>
          <w:tcPr>
            <w:tcW w:w="0" w:type="dxa"/>
            <w:vAlign w:val="bottom"/>
          </w:tcPr>
          <w:p>
            <w:pPr>
              <w:spacing w:after="0"/>
              <w:rPr>
                <w:sz w:val="1"/>
                <w:szCs w:val="1"/>
                <w:color w:val="auto"/>
              </w:rPr>
            </w:pPr>
          </w:p>
        </w:tc>
      </w:tr>
      <w:tr>
        <w:trPr>
          <w:trHeight w:val="176"/>
        </w:trPr>
        <w:tc>
          <w:tcPr>
            <w:tcW w:w="3400" w:type="dxa"/>
            <w:vAlign w:val="bottom"/>
          </w:tcPr>
          <w:p>
            <w:pPr>
              <w:ind w:left="200"/>
              <w:spacing w:after="0"/>
              <w:rPr>
                <w:sz w:val="20"/>
                <w:szCs w:val="20"/>
                <w:color w:val="auto"/>
              </w:rPr>
            </w:pPr>
            <w:r>
              <w:rPr>
                <w:rFonts w:ascii="Arial" w:cs="Arial" w:eastAsia="Arial" w:hAnsi="Arial"/>
                <w:sz w:val="14"/>
                <w:szCs w:val="14"/>
                <w:color w:val="auto"/>
              </w:rPr>
              <w:t>Stock-based compensation</w:t>
            </w:r>
          </w:p>
        </w:tc>
        <w:tc>
          <w:tcPr>
            <w:tcW w:w="720" w:type="dxa"/>
            <w:vAlign w:val="bottom"/>
          </w:tcPr>
          <w:p>
            <w:pPr>
              <w:spacing w:after="0"/>
              <w:rPr>
                <w:sz w:val="15"/>
                <w:szCs w:val="15"/>
                <w:color w:val="auto"/>
              </w:rPr>
            </w:pPr>
          </w:p>
        </w:tc>
        <w:tc>
          <w:tcPr>
            <w:tcW w:w="4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9"/>
              </w:rPr>
              <w:t>—</w:t>
            </w:r>
          </w:p>
        </w:tc>
        <w:tc>
          <w:tcPr>
            <w:tcW w:w="740" w:type="dxa"/>
            <w:vAlign w:val="bottom"/>
          </w:tcPr>
          <w:p>
            <w:pPr>
              <w:spacing w:after="0"/>
              <w:rPr>
                <w:sz w:val="15"/>
                <w:szCs w:val="15"/>
                <w:color w:val="auto"/>
              </w:rPr>
            </w:pPr>
          </w:p>
        </w:tc>
        <w:tc>
          <w:tcPr>
            <w:tcW w:w="400" w:type="dxa"/>
            <w:vAlign w:val="bottom"/>
            <w:gridSpan w:val="2"/>
          </w:tcPr>
          <w:p>
            <w:pPr>
              <w:spacing w:after="0"/>
              <w:rPr>
                <w:sz w:val="20"/>
                <w:szCs w:val="20"/>
                <w:color w:val="auto"/>
              </w:rPr>
            </w:pPr>
            <w:r>
              <w:rPr>
                <w:rFonts w:ascii="Arial" w:cs="Arial" w:eastAsia="Arial" w:hAnsi="Arial"/>
                <w:sz w:val="14"/>
                <w:szCs w:val="14"/>
                <w:b w:val="1"/>
                <w:bCs w:val="1"/>
                <w:color w:val="auto"/>
              </w:rPr>
              <w:t>—</w:t>
            </w:r>
          </w:p>
        </w:tc>
        <w:tc>
          <w:tcPr>
            <w:tcW w:w="720" w:type="dxa"/>
            <w:vAlign w:val="bottom"/>
          </w:tcPr>
          <w:p>
            <w:pPr>
              <w:spacing w:after="0"/>
              <w:rPr>
                <w:sz w:val="15"/>
                <w:szCs w:val="15"/>
                <w:color w:val="auto"/>
              </w:rPr>
            </w:pPr>
          </w:p>
        </w:tc>
        <w:tc>
          <w:tcPr>
            <w:tcW w:w="280" w:type="dxa"/>
            <w:vAlign w:val="bottom"/>
          </w:tcPr>
          <w:p>
            <w:pPr>
              <w:ind w:left="2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jc w:val="right"/>
              <w:ind w:right="50"/>
              <w:spacing w:after="0"/>
              <w:rPr>
                <w:sz w:val="20"/>
                <w:szCs w:val="20"/>
                <w:color w:val="auto"/>
              </w:rPr>
            </w:pPr>
            <w:r>
              <w:rPr>
                <w:rFonts w:ascii="Arial" w:cs="Arial" w:eastAsia="Arial" w:hAnsi="Arial"/>
                <w:sz w:val="14"/>
                <w:szCs w:val="14"/>
                <w:b w:val="1"/>
                <w:bCs w:val="1"/>
                <w:color w:val="auto"/>
              </w:rPr>
              <w:t>3</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5"/>
                <w:szCs w:val="15"/>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5"/>
                <w:szCs w:val="15"/>
                <w:color w:val="auto"/>
              </w:rPr>
            </w:pPr>
          </w:p>
        </w:tc>
        <w:tc>
          <w:tcPr>
            <w:tcW w:w="860" w:type="dxa"/>
            <w:vAlign w:val="bottom"/>
          </w:tcPr>
          <w:p>
            <w:pPr>
              <w:jc w:val="right"/>
              <w:ind w:right="70"/>
              <w:spacing w:after="0"/>
              <w:rPr>
                <w:sz w:val="20"/>
                <w:szCs w:val="20"/>
                <w:color w:val="auto"/>
              </w:rPr>
            </w:pPr>
            <w:r>
              <w:rPr>
                <w:rFonts w:ascii="Arial" w:cs="Arial" w:eastAsia="Arial" w:hAnsi="Arial"/>
                <w:sz w:val="14"/>
                <w:szCs w:val="14"/>
                <w:b w:val="1"/>
                <w:bCs w:val="1"/>
                <w:color w:val="auto"/>
              </w:rPr>
              <w:t>3</w:t>
            </w:r>
          </w:p>
        </w:tc>
        <w:tc>
          <w:tcPr>
            <w:tcW w:w="0" w:type="dxa"/>
            <w:vAlign w:val="bottom"/>
          </w:tcPr>
          <w:p>
            <w:pPr>
              <w:spacing w:after="0"/>
              <w:rPr>
                <w:sz w:val="1"/>
                <w:szCs w:val="1"/>
                <w:color w:val="auto"/>
              </w:rPr>
            </w:pPr>
          </w:p>
        </w:tc>
      </w:tr>
      <w:tr>
        <w:trPr>
          <w:trHeight w:val="176"/>
        </w:trPr>
        <w:tc>
          <w:tcPr>
            <w:tcW w:w="3400" w:type="dxa"/>
            <w:vAlign w:val="bottom"/>
            <w:shd w:val="clear" w:color="auto" w:fill="CFF0FC"/>
          </w:tcPr>
          <w:p>
            <w:pPr>
              <w:ind w:left="200"/>
              <w:spacing w:after="0"/>
              <w:rPr>
                <w:sz w:val="20"/>
                <w:szCs w:val="20"/>
                <w:color w:val="auto"/>
              </w:rPr>
            </w:pPr>
            <w:r>
              <w:rPr>
                <w:rFonts w:ascii="Arial" w:cs="Arial" w:eastAsia="Arial" w:hAnsi="Arial"/>
                <w:sz w:val="14"/>
                <w:szCs w:val="14"/>
                <w:color w:val="auto"/>
              </w:rPr>
              <w:t>Pension and OPEB liability adjustment</w:t>
            </w:r>
          </w:p>
        </w:tc>
        <w:tc>
          <w:tcPr>
            <w:tcW w:w="720" w:type="dxa"/>
            <w:vAlign w:val="bottom"/>
            <w:shd w:val="clear" w:color="auto" w:fill="CFF0FC"/>
          </w:tcPr>
          <w:p>
            <w:pPr>
              <w:spacing w:after="0"/>
              <w:rPr>
                <w:sz w:val="15"/>
                <w:szCs w:val="15"/>
                <w:color w:val="auto"/>
              </w:rPr>
            </w:pPr>
          </w:p>
        </w:tc>
        <w:tc>
          <w:tcPr>
            <w:tcW w:w="40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b w:val="1"/>
                <w:bCs w:val="1"/>
                <w:color w:val="auto"/>
                <w:w w:val="99"/>
              </w:rPr>
              <w:t>—</w:t>
            </w:r>
          </w:p>
        </w:tc>
        <w:tc>
          <w:tcPr>
            <w:tcW w:w="740" w:type="dxa"/>
            <w:vAlign w:val="bottom"/>
            <w:shd w:val="clear" w:color="auto" w:fill="CFF0FC"/>
          </w:tcPr>
          <w:p>
            <w:pPr>
              <w:spacing w:after="0"/>
              <w:rPr>
                <w:sz w:val="15"/>
                <w:szCs w:val="15"/>
                <w:color w:val="auto"/>
              </w:rPr>
            </w:pPr>
          </w:p>
        </w:tc>
        <w:tc>
          <w:tcPr>
            <w:tcW w:w="400" w:type="dxa"/>
            <w:vAlign w:val="bottom"/>
            <w:gridSpan w:val="2"/>
            <w:shd w:val="clear" w:color="auto" w:fill="CFF0FC"/>
          </w:tcPr>
          <w:p>
            <w:pPr>
              <w:spacing w:after="0"/>
              <w:rPr>
                <w:sz w:val="20"/>
                <w:szCs w:val="20"/>
                <w:color w:val="auto"/>
              </w:rPr>
            </w:pPr>
            <w:r>
              <w:rPr>
                <w:rFonts w:ascii="Arial" w:cs="Arial" w:eastAsia="Arial" w:hAnsi="Arial"/>
                <w:sz w:val="14"/>
                <w:szCs w:val="14"/>
                <w:b w:val="1"/>
                <w:bCs w:val="1"/>
                <w:color w:val="auto"/>
              </w:rPr>
              <w:t>—</w:t>
            </w:r>
          </w:p>
        </w:tc>
        <w:tc>
          <w:tcPr>
            <w:tcW w:w="720" w:type="dxa"/>
            <w:vAlign w:val="bottom"/>
            <w:shd w:val="clear" w:color="auto" w:fill="CFF0FC"/>
          </w:tcPr>
          <w:p>
            <w:pPr>
              <w:spacing w:after="0"/>
              <w:rPr>
                <w:sz w:val="15"/>
                <w:szCs w:val="15"/>
                <w:color w:val="auto"/>
              </w:rPr>
            </w:pPr>
          </w:p>
        </w:tc>
        <w:tc>
          <w:tcPr>
            <w:tcW w:w="280" w:type="dxa"/>
            <w:vAlign w:val="bottom"/>
            <w:tcBorders>
              <w:right w:val="single" w:sz="8" w:color="CFF0FC"/>
            </w:tcBorders>
            <w:shd w:val="clear" w:color="auto" w:fill="CFF0FC"/>
          </w:tcPr>
          <w:p>
            <w:pPr>
              <w:ind w:left="20"/>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82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FF0FC"/>
          </w:tcPr>
          <w:p>
            <w:pPr>
              <w:spacing w:after="0"/>
              <w:rPr>
                <w:sz w:val="15"/>
                <w:szCs w:val="15"/>
                <w:color w:val="auto"/>
              </w:rPr>
            </w:pPr>
          </w:p>
        </w:tc>
        <w:tc>
          <w:tcPr>
            <w:tcW w:w="98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b w:val="1"/>
                <w:bCs w:val="1"/>
                <w:color w:val="auto"/>
              </w:rPr>
              <w:t>—</w:t>
            </w:r>
          </w:p>
        </w:tc>
        <w:tc>
          <w:tcPr>
            <w:tcW w:w="80" w:type="dxa"/>
            <w:vAlign w:val="bottom"/>
            <w:shd w:val="clear" w:color="auto" w:fill="CFF0FC"/>
          </w:tcPr>
          <w:p>
            <w:pPr>
              <w:spacing w:after="0"/>
              <w:rPr>
                <w:sz w:val="15"/>
                <w:szCs w:val="15"/>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b w:val="1"/>
                <w:bCs w:val="1"/>
                <w:color w:val="auto"/>
              </w:rPr>
              <w:t>(4)</w:t>
            </w:r>
          </w:p>
        </w:tc>
        <w:tc>
          <w:tcPr>
            <w:tcW w:w="140" w:type="dxa"/>
            <w:vAlign w:val="bottom"/>
            <w:tcBorders>
              <w:right w:val="single" w:sz="8" w:color="CFF0FC"/>
            </w:tcBorders>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60" w:type="dxa"/>
            <w:vAlign w:val="bottom"/>
            <w:shd w:val="clear" w:color="auto" w:fill="CFF0FC"/>
          </w:tcPr>
          <w:p>
            <w:pPr>
              <w:jc w:val="right"/>
              <w:ind w:right="10"/>
              <w:spacing w:after="0"/>
              <w:rPr>
                <w:sz w:val="20"/>
                <w:szCs w:val="20"/>
                <w:color w:val="auto"/>
              </w:rPr>
            </w:pPr>
            <w:r>
              <w:rPr>
                <w:rFonts w:ascii="Arial" w:cs="Arial" w:eastAsia="Arial" w:hAnsi="Arial"/>
                <w:sz w:val="14"/>
                <w:szCs w:val="14"/>
                <w:b w:val="1"/>
                <w:bCs w:val="1"/>
                <w:color w:val="auto"/>
              </w:rPr>
              <w:t>(4)</w:t>
            </w:r>
          </w:p>
        </w:tc>
        <w:tc>
          <w:tcPr>
            <w:tcW w:w="0" w:type="dxa"/>
            <w:vAlign w:val="bottom"/>
          </w:tcPr>
          <w:p>
            <w:pPr>
              <w:spacing w:after="0"/>
              <w:rPr>
                <w:sz w:val="1"/>
                <w:szCs w:val="1"/>
                <w:color w:val="auto"/>
              </w:rPr>
            </w:pPr>
          </w:p>
        </w:tc>
      </w:tr>
      <w:tr>
        <w:trPr>
          <w:trHeight w:val="176"/>
        </w:trPr>
        <w:tc>
          <w:tcPr>
            <w:tcW w:w="3400" w:type="dxa"/>
            <w:vAlign w:val="bottom"/>
          </w:tcPr>
          <w:p>
            <w:pPr>
              <w:ind w:left="200"/>
              <w:spacing w:after="0"/>
              <w:rPr>
                <w:sz w:val="20"/>
                <w:szCs w:val="20"/>
                <w:color w:val="auto"/>
              </w:rPr>
            </w:pPr>
            <w:r>
              <w:rPr>
                <w:rFonts w:ascii="Arial" w:cs="Arial" w:eastAsia="Arial" w:hAnsi="Arial"/>
                <w:sz w:val="14"/>
                <w:szCs w:val="14"/>
                <w:color w:val="auto"/>
              </w:rPr>
              <w:t>Foreign currency translation adjustment</w:t>
            </w:r>
          </w:p>
        </w:tc>
        <w:tc>
          <w:tcPr>
            <w:tcW w:w="720" w:type="dxa"/>
            <w:vAlign w:val="bottom"/>
          </w:tcPr>
          <w:p>
            <w:pPr>
              <w:spacing w:after="0"/>
              <w:rPr>
                <w:sz w:val="15"/>
                <w:szCs w:val="15"/>
                <w:color w:val="auto"/>
              </w:rPr>
            </w:pPr>
          </w:p>
        </w:tc>
        <w:tc>
          <w:tcPr>
            <w:tcW w:w="4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9"/>
              </w:rPr>
              <w:t>—</w:t>
            </w:r>
          </w:p>
        </w:tc>
        <w:tc>
          <w:tcPr>
            <w:tcW w:w="740" w:type="dxa"/>
            <w:vAlign w:val="bottom"/>
          </w:tcPr>
          <w:p>
            <w:pPr>
              <w:spacing w:after="0"/>
              <w:rPr>
                <w:sz w:val="15"/>
                <w:szCs w:val="15"/>
                <w:color w:val="auto"/>
              </w:rPr>
            </w:pPr>
          </w:p>
        </w:tc>
        <w:tc>
          <w:tcPr>
            <w:tcW w:w="400" w:type="dxa"/>
            <w:vAlign w:val="bottom"/>
            <w:gridSpan w:val="2"/>
          </w:tcPr>
          <w:p>
            <w:pPr>
              <w:spacing w:after="0"/>
              <w:rPr>
                <w:sz w:val="20"/>
                <w:szCs w:val="20"/>
                <w:color w:val="auto"/>
              </w:rPr>
            </w:pPr>
            <w:r>
              <w:rPr>
                <w:rFonts w:ascii="Arial" w:cs="Arial" w:eastAsia="Arial" w:hAnsi="Arial"/>
                <w:sz w:val="14"/>
                <w:szCs w:val="14"/>
                <w:b w:val="1"/>
                <w:bCs w:val="1"/>
                <w:color w:val="auto"/>
              </w:rPr>
              <w:t>—</w:t>
            </w:r>
          </w:p>
        </w:tc>
        <w:tc>
          <w:tcPr>
            <w:tcW w:w="720" w:type="dxa"/>
            <w:vAlign w:val="bottom"/>
          </w:tcPr>
          <w:p>
            <w:pPr>
              <w:spacing w:after="0"/>
              <w:rPr>
                <w:sz w:val="15"/>
                <w:szCs w:val="15"/>
                <w:color w:val="auto"/>
              </w:rPr>
            </w:pPr>
          </w:p>
        </w:tc>
        <w:tc>
          <w:tcPr>
            <w:tcW w:w="280" w:type="dxa"/>
            <w:vAlign w:val="bottom"/>
          </w:tcPr>
          <w:p>
            <w:pPr>
              <w:ind w:left="2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5"/>
                <w:szCs w:val="15"/>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(2)</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jc w:val="right"/>
              <w:ind w:right="10"/>
              <w:spacing w:after="0"/>
              <w:rPr>
                <w:sz w:val="20"/>
                <w:szCs w:val="20"/>
                <w:color w:val="auto"/>
              </w:rPr>
            </w:pPr>
            <w:r>
              <w:rPr>
                <w:rFonts w:ascii="Arial" w:cs="Arial" w:eastAsia="Arial" w:hAnsi="Arial"/>
                <w:sz w:val="14"/>
                <w:szCs w:val="14"/>
                <w:b w:val="1"/>
                <w:bCs w:val="1"/>
                <w:color w:val="auto"/>
              </w:rPr>
              <w:t>(2)</w:t>
            </w:r>
          </w:p>
        </w:tc>
        <w:tc>
          <w:tcPr>
            <w:tcW w:w="0" w:type="dxa"/>
            <w:vAlign w:val="bottom"/>
          </w:tcPr>
          <w:p>
            <w:pPr>
              <w:spacing w:after="0"/>
              <w:rPr>
                <w:sz w:val="1"/>
                <w:szCs w:val="1"/>
                <w:color w:val="auto"/>
              </w:rPr>
            </w:pPr>
          </w:p>
        </w:tc>
      </w:tr>
      <w:tr>
        <w:trPr>
          <w:trHeight w:val="178"/>
        </w:trPr>
        <w:tc>
          <w:tcPr>
            <w:tcW w:w="3400" w:type="dxa"/>
            <w:vAlign w:val="bottom"/>
            <w:shd w:val="clear" w:color="auto" w:fill="CFF0FC"/>
          </w:tcPr>
          <w:p>
            <w:pPr>
              <w:ind w:left="200"/>
              <w:spacing w:after="0"/>
              <w:rPr>
                <w:sz w:val="20"/>
                <w:szCs w:val="20"/>
                <w:color w:val="auto"/>
              </w:rPr>
            </w:pPr>
            <w:r>
              <w:rPr>
                <w:rFonts w:ascii="Arial" w:cs="Arial" w:eastAsia="Arial" w:hAnsi="Arial"/>
                <w:sz w:val="14"/>
                <w:szCs w:val="14"/>
                <w:color w:val="auto"/>
              </w:rPr>
              <w:t>Available-for-sale securities and interest rate</w:t>
            </w:r>
          </w:p>
        </w:tc>
        <w:tc>
          <w:tcPr>
            <w:tcW w:w="720" w:type="dxa"/>
            <w:vAlign w:val="bottom"/>
            <w:shd w:val="clear" w:color="auto" w:fill="CFF0FC"/>
          </w:tcPr>
          <w:p>
            <w:pPr>
              <w:spacing w:after="0"/>
              <w:rPr>
                <w:sz w:val="15"/>
                <w:szCs w:val="15"/>
                <w:color w:val="auto"/>
              </w:rPr>
            </w:pPr>
          </w:p>
        </w:tc>
        <w:tc>
          <w:tcPr>
            <w:tcW w:w="400" w:type="dxa"/>
            <w:vAlign w:val="bottom"/>
            <w:gridSpan w:val="2"/>
            <w:vMerge w:val="restart"/>
            <w:shd w:val="clear" w:color="auto" w:fill="CFF0FC"/>
          </w:tcPr>
          <w:p>
            <w:pPr>
              <w:jc w:val="right"/>
              <w:ind w:right="240"/>
              <w:spacing w:after="0"/>
              <w:rPr>
                <w:sz w:val="20"/>
                <w:szCs w:val="20"/>
                <w:color w:val="auto"/>
              </w:rPr>
            </w:pPr>
            <w:r>
              <w:rPr>
                <w:rFonts w:ascii="Arial" w:cs="Arial" w:eastAsia="Arial" w:hAnsi="Arial"/>
                <w:sz w:val="14"/>
                <w:szCs w:val="14"/>
                <w:b w:val="1"/>
                <w:bCs w:val="1"/>
                <w:color w:val="auto"/>
                <w:w w:val="99"/>
              </w:rPr>
              <w:t>—</w:t>
            </w:r>
          </w:p>
        </w:tc>
        <w:tc>
          <w:tcPr>
            <w:tcW w:w="740" w:type="dxa"/>
            <w:vAlign w:val="bottom"/>
            <w:shd w:val="clear" w:color="auto" w:fill="CFF0FC"/>
          </w:tcPr>
          <w:p>
            <w:pPr>
              <w:spacing w:after="0"/>
              <w:rPr>
                <w:sz w:val="15"/>
                <w:szCs w:val="15"/>
                <w:color w:val="auto"/>
              </w:rPr>
            </w:pPr>
          </w:p>
        </w:tc>
        <w:tc>
          <w:tcPr>
            <w:tcW w:w="400" w:type="dxa"/>
            <w:vAlign w:val="bottom"/>
            <w:gridSpan w:val="2"/>
            <w:vMerge w:val="restart"/>
            <w:shd w:val="clear" w:color="auto" w:fill="CFF0FC"/>
          </w:tcPr>
          <w:p>
            <w:pPr>
              <w:spacing w:after="0"/>
              <w:rPr>
                <w:sz w:val="20"/>
                <w:szCs w:val="20"/>
                <w:color w:val="auto"/>
              </w:rPr>
            </w:pPr>
            <w:r>
              <w:rPr>
                <w:rFonts w:ascii="Arial" w:cs="Arial" w:eastAsia="Arial" w:hAnsi="Arial"/>
                <w:sz w:val="14"/>
                <w:szCs w:val="14"/>
                <w:b w:val="1"/>
                <w:bCs w:val="1"/>
                <w:color w:val="auto"/>
              </w:rPr>
              <w:t>—</w:t>
            </w:r>
          </w:p>
        </w:tc>
        <w:tc>
          <w:tcPr>
            <w:tcW w:w="720" w:type="dxa"/>
            <w:vAlign w:val="bottom"/>
            <w:shd w:val="clear" w:color="auto" w:fill="CFF0FC"/>
          </w:tcPr>
          <w:p>
            <w:pPr>
              <w:spacing w:after="0"/>
              <w:rPr>
                <w:sz w:val="15"/>
                <w:szCs w:val="15"/>
                <w:color w:val="auto"/>
              </w:rPr>
            </w:pPr>
          </w:p>
        </w:tc>
        <w:tc>
          <w:tcPr>
            <w:tcW w:w="280" w:type="dxa"/>
            <w:vAlign w:val="bottom"/>
            <w:tcBorders>
              <w:right w:val="single" w:sz="8" w:color="CFF0FC"/>
            </w:tcBorders>
            <w:vMerge w:val="restart"/>
            <w:shd w:val="clear" w:color="auto" w:fill="CFF0FC"/>
          </w:tcPr>
          <w:p>
            <w:pPr>
              <w:ind w:left="20"/>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820" w:type="dxa"/>
            <w:vAlign w:val="bottom"/>
            <w:gridSpan w:val="2"/>
            <w:vMerge w:val="restart"/>
            <w:shd w:val="clear" w:color="auto" w:fill="CFF0FC"/>
          </w:tcPr>
          <w:p>
            <w:pPr>
              <w:jc w:val="right"/>
              <w:ind w:right="240"/>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FF0FC"/>
          </w:tcPr>
          <w:p>
            <w:pPr>
              <w:spacing w:after="0"/>
              <w:rPr>
                <w:sz w:val="15"/>
                <w:szCs w:val="15"/>
                <w:color w:val="auto"/>
              </w:rPr>
            </w:pPr>
          </w:p>
        </w:tc>
        <w:tc>
          <w:tcPr>
            <w:tcW w:w="980" w:type="dxa"/>
            <w:vAlign w:val="bottom"/>
            <w:gridSpan w:val="2"/>
            <w:vMerge w:val="restart"/>
            <w:shd w:val="clear" w:color="auto" w:fill="CFF0FC"/>
          </w:tcPr>
          <w:p>
            <w:pPr>
              <w:jc w:val="right"/>
              <w:ind w:right="260"/>
              <w:spacing w:after="0"/>
              <w:rPr>
                <w:sz w:val="20"/>
                <w:szCs w:val="20"/>
                <w:color w:val="auto"/>
              </w:rPr>
            </w:pPr>
            <w:r>
              <w:rPr>
                <w:rFonts w:ascii="Arial" w:cs="Arial" w:eastAsia="Arial" w:hAnsi="Arial"/>
                <w:sz w:val="14"/>
                <w:szCs w:val="14"/>
                <w:b w:val="1"/>
                <w:bCs w:val="1"/>
                <w:color w:val="auto"/>
              </w:rPr>
              <w:t>—</w:t>
            </w:r>
          </w:p>
        </w:tc>
        <w:tc>
          <w:tcPr>
            <w:tcW w:w="80" w:type="dxa"/>
            <w:vAlign w:val="bottom"/>
            <w:shd w:val="clear" w:color="auto" w:fill="CFF0FC"/>
          </w:tcPr>
          <w:p>
            <w:pPr>
              <w:spacing w:after="0"/>
              <w:rPr>
                <w:sz w:val="15"/>
                <w:szCs w:val="15"/>
                <w:color w:val="auto"/>
              </w:rPr>
            </w:pPr>
          </w:p>
        </w:tc>
        <w:tc>
          <w:tcPr>
            <w:tcW w:w="980" w:type="dxa"/>
            <w:vAlign w:val="bottom"/>
            <w:vMerge w:val="restart"/>
            <w:shd w:val="clear" w:color="auto" w:fill="CFF0FC"/>
          </w:tcPr>
          <w:p>
            <w:pPr>
              <w:jc w:val="right"/>
              <w:spacing w:after="0"/>
              <w:rPr>
                <w:sz w:val="20"/>
                <w:szCs w:val="20"/>
                <w:color w:val="auto"/>
              </w:rPr>
            </w:pPr>
            <w:r>
              <w:rPr>
                <w:rFonts w:ascii="Arial" w:cs="Arial" w:eastAsia="Arial" w:hAnsi="Arial"/>
                <w:sz w:val="14"/>
                <w:szCs w:val="14"/>
                <w:b w:val="1"/>
                <w:bCs w:val="1"/>
                <w:color w:val="auto"/>
              </w:rPr>
              <w:t>(23)</w:t>
            </w:r>
          </w:p>
        </w:tc>
        <w:tc>
          <w:tcPr>
            <w:tcW w:w="140" w:type="dxa"/>
            <w:vAlign w:val="bottom"/>
            <w:tcBorders>
              <w:right w:val="single" w:sz="8" w:color="CFF0FC"/>
            </w:tcBorders>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60" w:type="dxa"/>
            <w:vAlign w:val="bottom"/>
            <w:vMerge w:val="restart"/>
            <w:shd w:val="clear" w:color="auto" w:fill="CFF0FC"/>
          </w:tcPr>
          <w:p>
            <w:pPr>
              <w:jc w:val="right"/>
              <w:ind w:right="10"/>
              <w:spacing w:after="0"/>
              <w:rPr>
                <w:sz w:val="20"/>
                <w:szCs w:val="20"/>
                <w:color w:val="auto"/>
              </w:rPr>
            </w:pPr>
            <w:r>
              <w:rPr>
                <w:rFonts w:ascii="Arial" w:cs="Arial" w:eastAsia="Arial" w:hAnsi="Arial"/>
                <w:sz w:val="14"/>
                <w:szCs w:val="14"/>
                <w:b w:val="1"/>
                <w:bCs w:val="1"/>
                <w:color w:val="auto"/>
              </w:rPr>
              <w:t>(23)</w:t>
            </w:r>
          </w:p>
        </w:tc>
        <w:tc>
          <w:tcPr>
            <w:tcW w:w="0" w:type="dxa"/>
            <w:vAlign w:val="bottom"/>
          </w:tcPr>
          <w:p>
            <w:pPr>
              <w:spacing w:after="0"/>
              <w:rPr>
                <w:sz w:val="1"/>
                <w:szCs w:val="1"/>
                <w:color w:val="auto"/>
              </w:rPr>
            </w:pPr>
          </w:p>
        </w:tc>
      </w:tr>
      <w:tr>
        <w:trPr>
          <w:trHeight w:val="163"/>
        </w:trPr>
        <w:tc>
          <w:tcPr>
            <w:tcW w:w="3400" w:type="dxa"/>
            <w:vAlign w:val="bottom"/>
            <w:shd w:val="clear" w:color="auto" w:fill="CFF0FC"/>
          </w:tcPr>
          <w:p>
            <w:pPr>
              <w:ind w:left="200"/>
              <w:spacing w:after="0"/>
              <w:rPr>
                <w:sz w:val="20"/>
                <w:szCs w:val="20"/>
                <w:color w:val="auto"/>
              </w:rPr>
            </w:pPr>
            <w:r>
              <w:rPr>
                <w:rFonts w:ascii="Arial" w:cs="Arial" w:eastAsia="Arial" w:hAnsi="Arial"/>
                <w:sz w:val="14"/>
                <w:szCs w:val="14"/>
                <w:color w:val="auto"/>
              </w:rPr>
              <w:t>swaps</w:t>
            </w:r>
          </w:p>
        </w:tc>
        <w:tc>
          <w:tcPr>
            <w:tcW w:w="720" w:type="dxa"/>
            <w:vAlign w:val="bottom"/>
            <w:shd w:val="clear" w:color="auto" w:fill="CFF0FC"/>
          </w:tcPr>
          <w:p>
            <w:pPr>
              <w:spacing w:after="0"/>
              <w:rPr>
                <w:sz w:val="14"/>
                <w:szCs w:val="14"/>
                <w:color w:val="auto"/>
              </w:rPr>
            </w:pPr>
          </w:p>
        </w:tc>
        <w:tc>
          <w:tcPr>
            <w:tcW w:w="400" w:type="dxa"/>
            <w:vAlign w:val="bottom"/>
            <w:gridSpan w:val="2"/>
            <w:vMerge w:val="continue"/>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400" w:type="dxa"/>
            <w:vAlign w:val="bottom"/>
            <w:gridSpan w:val="2"/>
            <w:vMerge w:val="continue"/>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280" w:type="dxa"/>
            <w:vAlign w:val="bottom"/>
            <w:tcBorders>
              <w:right w:val="single" w:sz="8" w:color="CFF0FC"/>
            </w:tcBorders>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820" w:type="dxa"/>
            <w:vAlign w:val="bottom"/>
            <w:gridSpan w:val="2"/>
            <w:vMerge w:val="continue"/>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80" w:type="dxa"/>
            <w:vAlign w:val="bottom"/>
            <w:gridSpan w:val="2"/>
            <w:vMerge w:val="continue"/>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80" w:type="dxa"/>
            <w:vAlign w:val="bottom"/>
            <w:vMerge w:val="continue"/>
            <w:shd w:val="clear" w:color="auto" w:fill="CFF0FC"/>
          </w:tcPr>
          <w:p>
            <w:pPr>
              <w:spacing w:after="0"/>
              <w:rPr>
                <w:sz w:val="14"/>
                <w:szCs w:val="14"/>
                <w:color w:val="auto"/>
              </w:rPr>
            </w:pPr>
          </w:p>
        </w:tc>
        <w:tc>
          <w:tcPr>
            <w:tcW w:w="140" w:type="dxa"/>
            <w:vAlign w:val="bottom"/>
            <w:tcBorders>
              <w:right w:val="single" w:sz="8" w:color="CFF0FC"/>
            </w:tcBorders>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60" w:type="dxa"/>
            <w:vAlign w:val="bottom"/>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400" w:type="dxa"/>
            <w:vAlign w:val="bottom"/>
          </w:tcPr>
          <w:p>
            <w:pPr>
              <w:ind w:left="200"/>
              <w:spacing w:after="0"/>
              <w:rPr>
                <w:sz w:val="20"/>
                <w:szCs w:val="20"/>
                <w:color w:val="auto"/>
              </w:rPr>
            </w:pPr>
            <w:r>
              <w:rPr>
                <w:rFonts w:ascii="Arial" w:cs="Arial" w:eastAsia="Arial" w:hAnsi="Arial"/>
                <w:sz w:val="14"/>
                <w:szCs w:val="14"/>
                <w:color w:val="auto"/>
              </w:rPr>
              <w:t>Issuance of common stock</w:t>
            </w:r>
          </w:p>
        </w:tc>
        <w:tc>
          <w:tcPr>
            <w:tcW w:w="720" w:type="dxa"/>
            <w:vAlign w:val="bottom"/>
          </w:tcPr>
          <w:p>
            <w:pPr>
              <w:spacing w:after="0"/>
              <w:rPr>
                <w:sz w:val="15"/>
                <w:szCs w:val="15"/>
                <w:color w:val="auto"/>
              </w:rPr>
            </w:pPr>
          </w:p>
        </w:tc>
        <w:tc>
          <w:tcPr>
            <w:tcW w:w="4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9"/>
              </w:rPr>
              <w:t>—</w:t>
            </w:r>
          </w:p>
        </w:tc>
        <w:tc>
          <w:tcPr>
            <w:tcW w:w="740" w:type="dxa"/>
            <w:vAlign w:val="bottom"/>
          </w:tcPr>
          <w:p>
            <w:pPr>
              <w:spacing w:after="0"/>
              <w:rPr>
                <w:sz w:val="15"/>
                <w:szCs w:val="15"/>
                <w:color w:val="auto"/>
              </w:rPr>
            </w:pPr>
          </w:p>
        </w:tc>
        <w:tc>
          <w:tcPr>
            <w:tcW w:w="400" w:type="dxa"/>
            <w:vAlign w:val="bottom"/>
            <w:gridSpan w:val="2"/>
          </w:tcPr>
          <w:p>
            <w:pPr>
              <w:spacing w:after="0"/>
              <w:rPr>
                <w:sz w:val="20"/>
                <w:szCs w:val="20"/>
                <w:color w:val="auto"/>
              </w:rPr>
            </w:pPr>
            <w:r>
              <w:rPr>
                <w:rFonts w:ascii="Arial" w:cs="Arial" w:eastAsia="Arial" w:hAnsi="Arial"/>
                <w:sz w:val="14"/>
                <w:szCs w:val="14"/>
                <w:b w:val="1"/>
                <w:bCs w:val="1"/>
                <w:color w:val="auto"/>
              </w:rPr>
              <w:t>—</w:t>
            </w:r>
          </w:p>
        </w:tc>
        <w:tc>
          <w:tcPr>
            <w:tcW w:w="720" w:type="dxa"/>
            <w:vAlign w:val="bottom"/>
          </w:tcPr>
          <w:p>
            <w:pPr>
              <w:spacing w:after="0"/>
              <w:rPr>
                <w:sz w:val="15"/>
                <w:szCs w:val="15"/>
                <w:color w:val="auto"/>
              </w:rPr>
            </w:pPr>
          </w:p>
        </w:tc>
        <w:tc>
          <w:tcPr>
            <w:tcW w:w="280" w:type="dxa"/>
            <w:vAlign w:val="bottom"/>
          </w:tcPr>
          <w:p>
            <w:pPr>
              <w:ind w:left="2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(1)</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5"/>
                <w:szCs w:val="15"/>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5"/>
                <w:szCs w:val="15"/>
                <w:color w:val="auto"/>
              </w:rPr>
            </w:pPr>
          </w:p>
        </w:tc>
        <w:tc>
          <w:tcPr>
            <w:tcW w:w="860" w:type="dxa"/>
            <w:vAlign w:val="bottom"/>
          </w:tcPr>
          <w:p>
            <w:pPr>
              <w:jc w:val="right"/>
              <w:ind w:right="10"/>
              <w:spacing w:after="0"/>
              <w:rPr>
                <w:sz w:val="20"/>
                <w:szCs w:val="20"/>
                <w:color w:val="auto"/>
              </w:rPr>
            </w:pPr>
            <w:r>
              <w:rPr>
                <w:rFonts w:ascii="Arial" w:cs="Arial" w:eastAsia="Arial" w:hAnsi="Arial"/>
                <w:sz w:val="14"/>
                <w:szCs w:val="14"/>
                <w:b w:val="1"/>
                <w:bCs w:val="1"/>
                <w:color w:val="auto"/>
              </w:rPr>
              <w:t>(1)</w:t>
            </w:r>
          </w:p>
        </w:tc>
        <w:tc>
          <w:tcPr>
            <w:tcW w:w="0" w:type="dxa"/>
            <w:vAlign w:val="bottom"/>
          </w:tcPr>
          <w:p>
            <w:pPr>
              <w:spacing w:after="0"/>
              <w:rPr>
                <w:sz w:val="1"/>
                <w:szCs w:val="1"/>
                <w:color w:val="auto"/>
              </w:rPr>
            </w:pPr>
          </w:p>
        </w:tc>
      </w:tr>
      <w:tr>
        <w:trPr>
          <w:trHeight w:val="176"/>
        </w:trPr>
        <w:tc>
          <w:tcPr>
            <w:tcW w:w="3400" w:type="dxa"/>
            <w:vAlign w:val="bottom"/>
            <w:shd w:val="clear" w:color="auto" w:fill="CFF0FC"/>
          </w:tcPr>
          <w:p>
            <w:pPr>
              <w:ind w:left="200"/>
              <w:spacing w:after="0"/>
              <w:rPr>
                <w:sz w:val="20"/>
                <w:szCs w:val="20"/>
                <w:color w:val="auto"/>
              </w:rPr>
            </w:pPr>
            <w:r>
              <w:rPr>
                <w:rFonts w:ascii="Arial" w:cs="Arial" w:eastAsia="Arial" w:hAnsi="Arial"/>
                <w:sz w:val="14"/>
                <w:szCs w:val="14"/>
                <w:color w:val="auto"/>
              </w:rPr>
              <w:t>Repurchase of common stock</w:t>
            </w:r>
          </w:p>
        </w:tc>
        <w:tc>
          <w:tcPr>
            <w:tcW w:w="720" w:type="dxa"/>
            <w:vAlign w:val="bottom"/>
            <w:shd w:val="clear" w:color="auto" w:fill="CFF0FC"/>
          </w:tcPr>
          <w:p>
            <w:pPr>
              <w:spacing w:after="0"/>
              <w:rPr>
                <w:sz w:val="15"/>
                <w:szCs w:val="15"/>
                <w:color w:val="auto"/>
              </w:rPr>
            </w:pPr>
          </w:p>
        </w:tc>
        <w:tc>
          <w:tcPr>
            <w:tcW w:w="40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b w:val="1"/>
                <w:bCs w:val="1"/>
                <w:color w:val="auto"/>
                <w:w w:val="99"/>
              </w:rPr>
              <w:t>—</w:t>
            </w:r>
          </w:p>
        </w:tc>
        <w:tc>
          <w:tcPr>
            <w:tcW w:w="740" w:type="dxa"/>
            <w:vAlign w:val="bottom"/>
            <w:shd w:val="clear" w:color="auto" w:fill="CFF0FC"/>
          </w:tcPr>
          <w:p>
            <w:pPr>
              <w:spacing w:after="0"/>
              <w:rPr>
                <w:sz w:val="15"/>
                <w:szCs w:val="15"/>
                <w:color w:val="auto"/>
              </w:rPr>
            </w:pPr>
          </w:p>
        </w:tc>
        <w:tc>
          <w:tcPr>
            <w:tcW w:w="400" w:type="dxa"/>
            <w:vAlign w:val="bottom"/>
            <w:gridSpan w:val="2"/>
            <w:shd w:val="clear" w:color="auto" w:fill="CFF0FC"/>
          </w:tcPr>
          <w:p>
            <w:pPr>
              <w:spacing w:after="0"/>
              <w:rPr>
                <w:sz w:val="20"/>
                <w:szCs w:val="20"/>
                <w:color w:val="auto"/>
              </w:rPr>
            </w:pPr>
            <w:r>
              <w:rPr>
                <w:rFonts w:ascii="Arial" w:cs="Arial" w:eastAsia="Arial" w:hAnsi="Arial"/>
                <w:sz w:val="14"/>
                <w:szCs w:val="14"/>
                <w:b w:val="1"/>
                <w:bCs w:val="1"/>
                <w:color w:val="auto"/>
              </w:rPr>
              <w:t>—</w:t>
            </w:r>
          </w:p>
        </w:tc>
        <w:tc>
          <w:tcPr>
            <w:tcW w:w="720" w:type="dxa"/>
            <w:vAlign w:val="bottom"/>
            <w:shd w:val="clear" w:color="auto" w:fill="CFF0FC"/>
          </w:tcPr>
          <w:p>
            <w:pPr>
              <w:spacing w:after="0"/>
              <w:rPr>
                <w:sz w:val="15"/>
                <w:szCs w:val="15"/>
                <w:color w:val="auto"/>
              </w:rPr>
            </w:pPr>
          </w:p>
        </w:tc>
        <w:tc>
          <w:tcPr>
            <w:tcW w:w="280" w:type="dxa"/>
            <w:vAlign w:val="bottom"/>
            <w:tcBorders>
              <w:right w:val="single" w:sz="8" w:color="CFF0FC"/>
            </w:tcBorders>
            <w:shd w:val="clear" w:color="auto" w:fill="CFF0FC"/>
          </w:tcPr>
          <w:p>
            <w:pPr>
              <w:ind w:left="20"/>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82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b w:val="1"/>
                <w:bCs w:val="1"/>
                <w:color w:val="auto"/>
              </w:rPr>
              <w:t>(180)</w:t>
            </w: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120" w:type="dxa"/>
            <w:vAlign w:val="bottom"/>
            <w:tcBorders>
              <w:right w:val="single" w:sz="8" w:color="CFF0FC"/>
            </w:tcBorders>
            <w:gridSpan w:val="2"/>
            <w:shd w:val="clear" w:color="auto" w:fill="CFF0FC"/>
          </w:tcPr>
          <w:p>
            <w:pPr>
              <w:jc w:val="right"/>
              <w:ind w:right="260"/>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FF0FC"/>
          </w:tcPr>
          <w:p>
            <w:pPr>
              <w:spacing w:after="0"/>
              <w:rPr>
                <w:sz w:val="15"/>
                <w:szCs w:val="15"/>
                <w:color w:val="auto"/>
              </w:rPr>
            </w:pPr>
          </w:p>
        </w:tc>
        <w:tc>
          <w:tcPr>
            <w:tcW w:w="860" w:type="dxa"/>
            <w:vAlign w:val="bottom"/>
            <w:shd w:val="clear" w:color="auto" w:fill="CFF0FC"/>
          </w:tcPr>
          <w:p>
            <w:pPr>
              <w:jc w:val="right"/>
              <w:ind w:right="10"/>
              <w:spacing w:after="0"/>
              <w:rPr>
                <w:sz w:val="20"/>
                <w:szCs w:val="20"/>
                <w:color w:val="auto"/>
              </w:rPr>
            </w:pPr>
            <w:r>
              <w:rPr>
                <w:rFonts w:ascii="Arial" w:cs="Arial" w:eastAsia="Arial" w:hAnsi="Arial"/>
                <w:sz w:val="14"/>
                <w:szCs w:val="14"/>
                <w:b w:val="1"/>
                <w:bCs w:val="1"/>
                <w:color w:val="auto"/>
              </w:rPr>
              <w:t>(180)</w:t>
            </w:r>
          </w:p>
        </w:tc>
        <w:tc>
          <w:tcPr>
            <w:tcW w:w="0" w:type="dxa"/>
            <w:vAlign w:val="bottom"/>
          </w:tcPr>
          <w:p>
            <w:pPr>
              <w:spacing w:after="0"/>
              <w:rPr>
                <w:sz w:val="1"/>
                <w:szCs w:val="1"/>
                <w:color w:val="auto"/>
              </w:rPr>
            </w:pPr>
          </w:p>
        </w:tc>
      </w:tr>
      <w:tr>
        <w:trPr>
          <w:trHeight w:val="176"/>
        </w:trPr>
        <w:tc>
          <w:tcPr>
            <w:tcW w:w="3400" w:type="dxa"/>
            <w:vAlign w:val="bottom"/>
          </w:tcPr>
          <w:p>
            <w:pPr>
              <w:ind w:left="200"/>
              <w:spacing w:after="0"/>
              <w:rPr>
                <w:sz w:val="20"/>
                <w:szCs w:val="20"/>
                <w:color w:val="auto"/>
              </w:rPr>
            </w:pPr>
            <w:r>
              <w:rPr>
                <w:rFonts w:ascii="Arial" w:cs="Arial" w:eastAsia="Arial" w:hAnsi="Arial"/>
                <w:sz w:val="14"/>
                <w:szCs w:val="14"/>
                <w:color w:val="auto"/>
              </w:rPr>
              <w:t>Dividends on common stock</w:t>
            </w:r>
          </w:p>
        </w:tc>
        <w:tc>
          <w:tcPr>
            <w:tcW w:w="720" w:type="dxa"/>
            <w:vAlign w:val="bottom"/>
          </w:tcPr>
          <w:p>
            <w:pPr>
              <w:spacing w:after="0"/>
              <w:rPr>
                <w:sz w:val="15"/>
                <w:szCs w:val="15"/>
                <w:color w:val="auto"/>
              </w:rPr>
            </w:pPr>
          </w:p>
        </w:tc>
        <w:tc>
          <w:tcPr>
            <w:tcW w:w="4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9"/>
              </w:rPr>
              <w:t>—</w:t>
            </w:r>
          </w:p>
        </w:tc>
        <w:tc>
          <w:tcPr>
            <w:tcW w:w="740" w:type="dxa"/>
            <w:vAlign w:val="bottom"/>
          </w:tcPr>
          <w:p>
            <w:pPr>
              <w:spacing w:after="0"/>
              <w:rPr>
                <w:sz w:val="15"/>
                <w:szCs w:val="15"/>
                <w:color w:val="auto"/>
              </w:rPr>
            </w:pPr>
          </w:p>
        </w:tc>
        <w:tc>
          <w:tcPr>
            <w:tcW w:w="400" w:type="dxa"/>
            <w:vAlign w:val="bottom"/>
            <w:gridSpan w:val="2"/>
          </w:tcPr>
          <w:p>
            <w:pPr>
              <w:spacing w:after="0"/>
              <w:rPr>
                <w:sz w:val="20"/>
                <w:szCs w:val="20"/>
                <w:color w:val="auto"/>
              </w:rPr>
            </w:pPr>
            <w:r>
              <w:rPr>
                <w:rFonts w:ascii="Arial" w:cs="Arial" w:eastAsia="Arial" w:hAnsi="Arial"/>
                <w:sz w:val="14"/>
                <w:szCs w:val="14"/>
                <w:b w:val="1"/>
                <w:bCs w:val="1"/>
                <w:color w:val="auto"/>
              </w:rPr>
              <w:t>—</w:t>
            </w:r>
          </w:p>
        </w:tc>
        <w:tc>
          <w:tcPr>
            <w:tcW w:w="720" w:type="dxa"/>
            <w:vAlign w:val="bottom"/>
          </w:tcPr>
          <w:p>
            <w:pPr>
              <w:spacing w:after="0"/>
              <w:rPr>
                <w:sz w:val="15"/>
                <w:szCs w:val="15"/>
                <w:color w:val="auto"/>
              </w:rPr>
            </w:pPr>
          </w:p>
        </w:tc>
        <w:tc>
          <w:tcPr>
            <w:tcW w:w="280" w:type="dxa"/>
            <w:vAlign w:val="bottom"/>
          </w:tcPr>
          <w:p>
            <w:pPr>
              <w:ind w:left="2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(20)</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5"/>
                <w:szCs w:val="15"/>
                <w:color w:val="auto"/>
              </w:rPr>
            </w:pPr>
          </w:p>
        </w:tc>
        <w:tc>
          <w:tcPr>
            <w:tcW w:w="860" w:type="dxa"/>
            <w:vAlign w:val="bottom"/>
          </w:tcPr>
          <w:p>
            <w:pPr>
              <w:jc w:val="right"/>
              <w:ind w:right="10"/>
              <w:spacing w:after="0"/>
              <w:rPr>
                <w:sz w:val="20"/>
                <w:szCs w:val="20"/>
                <w:color w:val="auto"/>
              </w:rPr>
            </w:pPr>
            <w:r>
              <w:rPr>
                <w:rFonts w:ascii="Arial" w:cs="Arial" w:eastAsia="Arial" w:hAnsi="Arial"/>
                <w:sz w:val="14"/>
                <w:szCs w:val="14"/>
                <w:b w:val="1"/>
                <w:bCs w:val="1"/>
                <w:color w:val="auto"/>
              </w:rPr>
              <w:t>(20)</w:t>
            </w:r>
          </w:p>
        </w:tc>
        <w:tc>
          <w:tcPr>
            <w:tcW w:w="0" w:type="dxa"/>
            <w:vAlign w:val="bottom"/>
          </w:tcPr>
          <w:p>
            <w:pPr>
              <w:spacing w:after="0"/>
              <w:rPr>
                <w:sz w:val="1"/>
                <w:szCs w:val="1"/>
                <w:color w:val="auto"/>
              </w:rPr>
            </w:pPr>
          </w:p>
        </w:tc>
      </w:tr>
      <w:tr>
        <w:trPr>
          <w:trHeight w:val="176"/>
        </w:trPr>
        <w:tc>
          <w:tcPr>
            <w:tcW w:w="3400" w:type="dxa"/>
            <w:vAlign w:val="bottom"/>
            <w:shd w:val="clear" w:color="auto" w:fill="CFF0FC"/>
          </w:tcPr>
          <w:p>
            <w:pPr>
              <w:ind w:left="200"/>
              <w:spacing w:after="0"/>
              <w:rPr>
                <w:sz w:val="20"/>
                <w:szCs w:val="20"/>
                <w:color w:val="auto"/>
              </w:rPr>
            </w:pPr>
            <w:r>
              <w:rPr>
                <w:rFonts w:ascii="Arial" w:cs="Arial" w:eastAsia="Arial" w:hAnsi="Arial"/>
                <w:sz w:val="14"/>
                <w:szCs w:val="14"/>
                <w:color w:val="auto"/>
              </w:rPr>
              <w:t>Net income</w:t>
            </w:r>
          </w:p>
        </w:tc>
        <w:tc>
          <w:tcPr>
            <w:tcW w:w="720" w:type="dxa"/>
            <w:vAlign w:val="bottom"/>
            <w:shd w:val="clear" w:color="auto" w:fill="CFF0FC"/>
          </w:tcPr>
          <w:p>
            <w:pPr>
              <w:spacing w:after="0"/>
              <w:rPr>
                <w:sz w:val="15"/>
                <w:szCs w:val="15"/>
                <w:color w:val="auto"/>
              </w:rPr>
            </w:pPr>
          </w:p>
        </w:tc>
        <w:tc>
          <w:tcPr>
            <w:tcW w:w="40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b w:val="1"/>
                <w:bCs w:val="1"/>
                <w:color w:val="auto"/>
                <w:w w:val="99"/>
              </w:rPr>
              <w:t>—</w:t>
            </w:r>
          </w:p>
        </w:tc>
        <w:tc>
          <w:tcPr>
            <w:tcW w:w="740" w:type="dxa"/>
            <w:vAlign w:val="bottom"/>
            <w:shd w:val="clear" w:color="auto" w:fill="CFF0FC"/>
          </w:tcPr>
          <w:p>
            <w:pPr>
              <w:spacing w:after="0"/>
              <w:rPr>
                <w:sz w:val="15"/>
                <w:szCs w:val="15"/>
                <w:color w:val="auto"/>
              </w:rPr>
            </w:pPr>
          </w:p>
        </w:tc>
        <w:tc>
          <w:tcPr>
            <w:tcW w:w="400" w:type="dxa"/>
            <w:vAlign w:val="bottom"/>
            <w:gridSpan w:val="2"/>
            <w:shd w:val="clear" w:color="auto" w:fill="CFF0FC"/>
          </w:tcPr>
          <w:p>
            <w:pPr>
              <w:spacing w:after="0"/>
              <w:rPr>
                <w:sz w:val="20"/>
                <w:szCs w:val="20"/>
                <w:color w:val="auto"/>
              </w:rPr>
            </w:pPr>
            <w:r>
              <w:rPr>
                <w:rFonts w:ascii="Arial" w:cs="Arial" w:eastAsia="Arial" w:hAnsi="Arial"/>
                <w:sz w:val="14"/>
                <w:szCs w:val="14"/>
                <w:b w:val="1"/>
                <w:bCs w:val="1"/>
                <w:color w:val="auto"/>
              </w:rPr>
              <w:t>—</w:t>
            </w:r>
          </w:p>
        </w:tc>
        <w:tc>
          <w:tcPr>
            <w:tcW w:w="720" w:type="dxa"/>
            <w:vAlign w:val="bottom"/>
            <w:shd w:val="clear" w:color="auto" w:fill="CFF0FC"/>
          </w:tcPr>
          <w:p>
            <w:pPr>
              <w:spacing w:after="0"/>
              <w:rPr>
                <w:sz w:val="15"/>
                <w:szCs w:val="15"/>
                <w:color w:val="auto"/>
              </w:rPr>
            </w:pPr>
          </w:p>
        </w:tc>
        <w:tc>
          <w:tcPr>
            <w:tcW w:w="280" w:type="dxa"/>
            <w:vAlign w:val="bottom"/>
            <w:tcBorders>
              <w:right w:val="single" w:sz="8" w:color="CFF0FC"/>
            </w:tcBorders>
            <w:shd w:val="clear" w:color="auto" w:fill="CFF0FC"/>
          </w:tcPr>
          <w:p>
            <w:pPr>
              <w:ind w:left="20"/>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82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FF0FC"/>
          </w:tcPr>
          <w:p>
            <w:pPr>
              <w:spacing w:after="0"/>
              <w:rPr>
                <w:sz w:val="15"/>
                <w:szCs w:val="15"/>
                <w:color w:val="auto"/>
              </w:rPr>
            </w:pPr>
          </w:p>
        </w:tc>
        <w:tc>
          <w:tcPr>
            <w:tcW w:w="840" w:type="dxa"/>
            <w:vAlign w:val="bottom"/>
            <w:shd w:val="clear" w:color="auto" w:fill="CFF0FC"/>
          </w:tcPr>
          <w:p>
            <w:pPr>
              <w:jc w:val="right"/>
              <w:ind w:right="50"/>
              <w:spacing w:after="0"/>
              <w:rPr>
                <w:sz w:val="20"/>
                <w:szCs w:val="20"/>
                <w:color w:val="auto"/>
              </w:rPr>
            </w:pPr>
            <w:r>
              <w:rPr>
                <w:rFonts w:ascii="Arial" w:cs="Arial" w:eastAsia="Arial" w:hAnsi="Arial"/>
                <w:sz w:val="14"/>
                <w:szCs w:val="14"/>
                <w:b w:val="1"/>
                <w:bCs w:val="1"/>
                <w:color w:val="auto"/>
              </w:rPr>
              <w:t>139</w:t>
            </w: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120" w:type="dxa"/>
            <w:vAlign w:val="bottom"/>
            <w:tcBorders>
              <w:right w:val="single" w:sz="8" w:color="CFF0FC"/>
            </w:tcBorders>
            <w:gridSpan w:val="2"/>
            <w:shd w:val="clear" w:color="auto" w:fill="CFF0FC"/>
          </w:tcPr>
          <w:p>
            <w:pPr>
              <w:jc w:val="right"/>
              <w:ind w:right="260"/>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FF0FC"/>
          </w:tcPr>
          <w:p>
            <w:pPr>
              <w:spacing w:after="0"/>
              <w:rPr>
                <w:sz w:val="15"/>
                <w:szCs w:val="15"/>
                <w:color w:val="auto"/>
              </w:rPr>
            </w:pPr>
          </w:p>
        </w:tc>
        <w:tc>
          <w:tcPr>
            <w:tcW w:w="860" w:type="dxa"/>
            <w:vAlign w:val="bottom"/>
            <w:shd w:val="clear" w:color="auto" w:fill="CFF0FC"/>
          </w:tcPr>
          <w:p>
            <w:pPr>
              <w:jc w:val="right"/>
              <w:ind w:right="70"/>
              <w:spacing w:after="0"/>
              <w:rPr>
                <w:sz w:val="20"/>
                <w:szCs w:val="20"/>
                <w:color w:val="auto"/>
              </w:rPr>
            </w:pPr>
            <w:r>
              <w:rPr>
                <w:rFonts w:ascii="Arial" w:cs="Arial" w:eastAsia="Arial" w:hAnsi="Arial"/>
                <w:sz w:val="14"/>
                <w:szCs w:val="14"/>
                <w:b w:val="1"/>
                <w:bCs w:val="1"/>
                <w:color w:val="auto"/>
              </w:rPr>
              <w:t>139</w:t>
            </w:r>
          </w:p>
        </w:tc>
        <w:tc>
          <w:tcPr>
            <w:tcW w:w="0" w:type="dxa"/>
            <w:vAlign w:val="bottom"/>
          </w:tcPr>
          <w:p>
            <w:pPr>
              <w:spacing w:after="0"/>
              <w:rPr>
                <w:sz w:val="1"/>
                <w:szCs w:val="1"/>
                <w:color w:val="auto"/>
              </w:rPr>
            </w:pPr>
          </w:p>
        </w:tc>
      </w:tr>
      <w:tr>
        <w:trPr>
          <w:trHeight w:val="168"/>
        </w:trPr>
        <w:tc>
          <w:tcPr>
            <w:tcW w:w="3400" w:type="dxa"/>
            <w:vAlign w:val="bottom"/>
          </w:tcPr>
          <w:p>
            <w:pPr>
              <w:spacing w:after="0"/>
              <w:rPr>
                <w:sz w:val="20"/>
                <w:szCs w:val="20"/>
                <w:color w:val="auto"/>
              </w:rPr>
            </w:pPr>
            <w:r>
              <w:rPr>
                <w:rFonts w:ascii="Arial" w:cs="Arial" w:eastAsia="Arial" w:hAnsi="Arial"/>
                <w:sz w:val="14"/>
                <w:szCs w:val="14"/>
                <w:color w:val="auto"/>
              </w:rPr>
              <w:t>Balance at March 31, 2020</w:t>
            </w:r>
          </w:p>
        </w:tc>
        <w:tc>
          <w:tcPr>
            <w:tcW w:w="720" w:type="dxa"/>
            <w:vAlign w:val="bottom"/>
            <w:tcBorders>
              <w:top w:val="single" w:sz="8" w:color="auto"/>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w w:val="76"/>
              </w:rPr>
              <w:t>$</w:t>
            </w:r>
          </w:p>
        </w:tc>
        <w:tc>
          <w:tcPr>
            <w:tcW w:w="28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4"/>
                <w:szCs w:val="14"/>
                <w:b w:val="1"/>
                <w:bCs w:val="1"/>
                <w:color w:val="auto"/>
              </w:rPr>
              <w:t>1</w:t>
            </w:r>
          </w:p>
        </w:tc>
        <w:tc>
          <w:tcPr>
            <w:tcW w:w="120" w:type="dxa"/>
            <w:vAlign w:val="bottom"/>
          </w:tcPr>
          <w:p>
            <w:pPr>
              <w:spacing w:after="0"/>
              <w:rPr>
                <w:sz w:val="14"/>
                <w:szCs w:val="14"/>
                <w:color w:val="auto"/>
              </w:rPr>
            </w:pPr>
          </w:p>
        </w:tc>
        <w:tc>
          <w:tcPr>
            <w:tcW w:w="740" w:type="dxa"/>
            <w:vAlign w:val="bottom"/>
            <w:tcBorders>
              <w:top w:val="single" w:sz="8" w:color="auto"/>
              <w:bottom w:val="single" w:sz="8" w:color="auto"/>
            </w:tcBorders>
          </w:tcPr>
          <w:p>
            <w:pPr>
              <w:jc w:val="right"/>
              <w:ind w:right="593"/>
              <w:spacing w:after="0"/>
              <w:rPr>
                <w:sz w:val="20"/>
                <w:szCs w:val="20"/>
                <w:color w:val="auto"/>
              </w:rPr>
            </w:pPr>
            <w:r>
              <w:rPr>
                <w:rFonts w:ascii="Arial" w:cs="Arial" w:eastAsia="Arial" w:hAnsi="Arial"/>
                <w:sz w:val="14"/>
                <w:szCs w:val="14"/>
                <w:b w:val="1"/>
                <w:bCs w:val="1"/>
                <w:color w:val="auto"/>
                <w:w w:val="76"/>
              </w:rPr>
              <w:t>$</w:t>
            </w:r>
          </w:p>
        </w:tc>
        <w:tc>
          <w:tcPr>
            <w:tcW w:w="26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4"/>
                <w:szCs w:val="14"/>
                <w:color w:val="auto"/>
              </w:rPr>
            </w:pPr>
          </w:p>
        </w:tc>
        <w:tc>
          <w:tcPr>
            <w:tcW w:w="720" w:type="dxa"/>
            <w:vAlign w:val="bottom"/>
            <w:tcBorders>
              <w:top w:val="single" w:sz="8" w:color="auto"/>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w w:val="76"/>
              </w:rPr>
              <w:t>$</w:t>
            </w:r>
          </w:p>
        </w:tc>
        <w:tc>
          <w:tcPr>
            <w:tcW w:w="2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4"/>
                <w:szCs w:val="14"/>
                <w:color w:val="auto"/>
              </w:rPr>
            </w:pPr>
          </w:p>
        </w:tc>
        <w:tc>
          <w:tcPr>
            <w:tcW w:w="30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b w:val="1"/>
                <w:bCs w:val="1"/>
                <w:color w:val="auto"/>
              </w:rPr>
              <w:t>$</w:t>
            </w:r>
          </w:p>
        </w:tc>
        <w:tc>
          <w:tcPr>
            <w:tcW w:w="70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4"/>
                <w:szCs w:val="14"/>
                <w:b w:val="1"/>
                <w:bCs w:val="1"/>
                <w:color w:val="auto"/>
              </w:rPr>
              <w:t>1,804</w:t>
            </w:r>
          </w:p>
        </w:tc>
        <w:tc>
          <w:tcPr>
            <w:tcW w:w="12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4"/>
                <w:szCs w:val="14"/>
                <w:b w:val="1"/>
                <w:bCs w:val="1"/>
                <w:color w:val="auto"/>
                <w:w w:val="76"/>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(1,031)</w:t>
            </w:r>
          </w:p>
        </w:tc>
        <w:tc>
          <w:tcPr>
            <w:tcW w:w="14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b w:val="1"/>
                <w:bCs w:val="1"/>
                <w:color w:val="auto"/>
                <w:w w:val="76"/>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(81)</w:t>
            </w:r>
          </w:p>
        </w:tc>
        <w:tc>
          <w:tcPr>
            <w:tcW w:w="14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0"/>
                <w:szCs w:val="10"/>
                <w:b w:val="1"/>
                <w:bCs w:val="1"/>
                <w:color w:val="auto"/>
                <w:w w:val="71"/>
              </w:rPr>
              <w:t>$</w:t>
            </w:r>
          </w:p>
        </w:tc>
        <w:tc>
          <w:tcPr>
            <w:tcW w:w="8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4"/>
                <w:szCs w:val="14"/>
                <w:b w:val="1"/>
                <w:bCs w:val="1"/>
                <w:color w:val="auto"/>
              </w:rPr>
              <w:t>693</w:t>
            </w:r>
          </w:p>
        </w:tc>
        <w:tc>
          <w:tcPr>
            <w:tcW w:w="0" w:type="dxa"/>
            <w:vAlign w:val="bottom"/>
          </w:tcPr>
          <w:p>
            <w:pPr>
              <w:spacing w:after="0"/>
              <w:rPr>
                <w:sz w:val="1"/>
                <w:szCs w:val="1"/>
                <w:color w:val="auto"/>
              </w:rPr>
            </w:pPr>
          </w:p>
        </w:tc>
      </w:tr>
      <w:tr>
        <w:trPr>
          <w:trHeight w:val="20"/>
        </w:trPr>
        <w:tc>
          <w:tcPr>
            <w:tcW w:w="34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 condensed consolidated financial statements.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55245</wp:posOffset>
            </wp:positionV>
            <wp:extent cx="7150100" cy="146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0"/>
          </w:cols>
          <w:pgMar w:left="320" w:top="140" w:right="319" w:bottom="1440" w:gutter="0" w:footer="0" w:header="0"/>
        </w:sectPr>
      </w:pPr>
    </w:p>
    <w:bookmarkStart w:id="6" w:name="page7"/>
    <w:bookmarkEnd w:id="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Allison Transmission Holdings, Inc.</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Notes to Condensed Consolidated Financial Statements</w:t>
      </w:r>
    </w:p>
    <w:p>
      <w:pPr>
        <w:jc w:val="center"/>
        <w:ind w:right="-19"/>
        <w:spacing w:after="0"/>
        <w:rPr>
          <w:sz w:val="20"/>
          <w:szCs w:val="20"/>
          <w:color w:val="auto"/>
        </w:rPr>
      </w:pPr>
      <w:r>
        <w:rPr>
          <w:rFonts w:ascii="Arial" w:cs="Arial" w:eastAsia="Arial" w:hAnsi="Arial"/>
          <w:sz w:val="16"/>
          <w:szCs w:val="16"/>
          <w:b w:val="1"/>
          <w:bCs w:val="1"/>
          <w:color w:val="auto"/>
        </w:rPr>
        <w:t>(UNAUDITED)</w:t>
      </w:r>
    </w:p>
    <w:p>
      <w:pPr>
        <w:spacing w:after="0" w:line="28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A. OVERVIEW</w:t>
      </w:r>
    </w:p>
    <w:p>
      <w:pPr>
        <w:spacing w:after="0" w:line="88" w:lineRule="exact"/>
        <w:rPr>
          <w:sz w:val="20"/>
          <w:szCs w:val="20"/>
          <w:color w:val="auto"/>
        </w:rPr>
      </w:pPr>
    </w:p>
    <w:p>
      <w:pPr>
        <w:ind w:left="260"/>
        <w:spacing w:after="0"/>
        <w:rPr>
          <w:sz w:val="20"/>
          <w:szCs w:val="20"/>
          <w:color w:val="auto"/>
        </w:rPr>
      </w:pPr>
      <w:r>
        <w:rPr>
          <w:rFonts w:ascii="Arial" w:cs="Arial" w:eastAsia="Arial" w:hAnsi="Arial"/>
          <w:sz w:val="16"/>
          <w:szCs w:val="16"/>
          <w:b w:val="1"/>
          <w:bCs w:val="1"/>
          <w:i w:val="1"/>
          <w:iCs w:val="1"/>
          <w:color w:val="auto"/>
        </w:rPr>
        <w:t>Overview</w:t>
      </w:r>
    </w:p>
    <w:p>
      <w:pPr>
        <w:spacing w:after="0" w:line="104" w:lineRule="exact"/>
        <w:rPr>
          <w:sz w:val="20"/>
          <w:szCs w:val="20"/>
          <w:color w:val="auto"/>
        </w:rPr>
      </w:pPr>
    </w:p>
    <w:p>
      <w:pPr>
        <w:ind w:right="240" w:firstLine="528"/>
        <w:spacing w:after="0" w:line="252" w:lineRule="auto"/>
        <w:rPr>
          <w:sz w:val="20"/>
          <w:szCs w:val="20"/>
          <w:color w:val="auto"/>
        </w:rPr>
      </w:pPr>
      <w:r>
        <w:rPr>
          <w:rFonts w:ascii="Arial" w:cs="Arial" w:eastAsia="Arial" w:hAnsi="Arial"/>
          <w:sz w:val="15"/>
          <w:szCs w:val="15"/>
          <w:color w:val="auto"/>
        </w:rPr>
        <w:t>Allison Transmission Holdings, Inc. and its subsidiaries (“Allison,” or the “Company”) design and manufacture vehicle propulsion solutions, including commercial duty on-highway, off-highway and defense fully automatic transmissions and electric hybrid and fully electric systems. The business was founded in 1915 and has been headquartered in Indianapolis, Indiana since inception. Allison was an operating unit of General Motors Corporation from 1929 until 2007, when Allison once again became a stand-alone company. In March 2012, Allison began trading on the New York Stock Exchange under the symbol, “ALSN”.</w:t>
      </w:r>
    </w:p>
    <w:p>
      <w:pPr>
        <w:spacing w:after="0" w:line="74" w:lineRule="exact"/>
        <w:rPr>
          <w:sz w:val="20"/>
          <w:szCs w:val="20"/>
          <w:color w:val="auto"/>
        </w:rPr>
      </w:pPr>
    </w:p>
    <w:p>
      <w:pPr>
        <w:ind w:right="100" w:firstLine="528"/>
        <w:spacing w:after="0" w:line="234" w:lineRule="auto"/>
        <w:rPr>
          <w:sz w:val="20"/>
          <w:szCs w:val="20"/>
          <w:color w:val="auto"/>
        </w:rPr>
      </w:pPr>
      <w:r>
        <w:rPr>
          <w:rFonts w:ascii="Arial" w:cs="Arial" w:eastAsia="Arial" w:hAnsi="Arial"/>
          <w:sz w:val="16"/>
          <w:szCs w:val="16"/>
          <w:color w:val="auto"/>
        </w:rPr>
        <w:t>Although approximately 77% of revenues were generated in North America in 2019, the Company has a global presence by serving customers in Europe, Asia, South America and Africa. The Company serves customers through an independent network of approximately 1,500 independent distributor and dealer locations worldwide.</w:t>
      </w:r>
    </w:p>
    <w:p>
      <w:pPr>
        <w:spacing w:after="0" w:line="84" w:lineRule="exact"/>
        <w:rPr>
          <w:sz w:val="20"/>
          <w:szCs w:val="20"/>
          <w:color w:val="auto"/>
        </w:rPr>
      </w:pPr>
    </w:p>
    <w:p>
      <w:pPr>
        <w:ind w:firstLine="528"/>
        <w:spacing w:after="0" w:line="231" w:lineRule="auto"/>
        <w:rPr>
          <w:sz w:val="20"/>
          <w:szCs w:val="20"/>
          <w:color w:val="auto"/>
        </w:rPr>
      </w:pPr>
      <w:r>
        <w:rPr>
          <w:rFonts w:ascii="Arial" w:cs="Arial" w:eastAsia="Arial" w:hAnsi="Arial"/>
          <w:sz w:val="16"/>
          <w:szCs w:val="16"/>
          <w:color w:val="auto"/>
        </w:rPr>
        <w:t>In March 2020, the World Health Organization categorized the novel coronavirus ("COVID-19") as a pandemic, and it continues to spread throughout the United States and other major markets in which the Company operates across the world. To limit the spread of COVID-19, governments have taken various actions including the issuance of stay-at-home orders and social distancing guidelines. While the majority of the Company’s plants are continuing to operate as essential businesses, the Company’s manufacturing facilities in Hungary, India, Indianapolis and Tennessee have suspended or cut back on operating levels and shifts as a result of government orders, the Company’s inability to obtain component parts from suppliers and/or decreased customer demand, and additional suspensions and cutbacks may occur as the impacts from COVID-19 and related responses continue to develop within the Company’s global supply chains and customer base. The Company is taking a variety of measures to maintain operations with as minimal impact as possible to its stakeholders and to promote the safety and security of its employees, including increased frequency of cleaning and disinfecting of facilities, social distancing, remote working when possible, travel restrictions and limitations on visitor access to facilities.</w:t>
      </w:r>
    </w:p>
    <w:p>
      <w:pPr>
        <w:spacing w:after="0" w:line="25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B. SUMMARY OF SIGNIFICANT ACCOUNTING POLICIES</w:t>
      </w:r>
    </w:p>
    <w:p>
      <w:pPr>
        <w:spacing w:after="0" w:line="88" w:lineRule="exact"/>
        <w:rPr>
          <w:sz w:val="20"/>
          <w:szCs w:val="20"/>
          <w:color w:val="auto"/>
        </w:rPr>
      </w:pPr>
    </w:p>
    <w:p>
      <w:pPr>
        <w:ind w:left="260"/>
        <w:spacing w:after="0"/>
        <w:rPr>
          <w:sz w:val="20"/>
          <w:szCs w:val="20"/>
          <w:color w:val="auto"/>
        </w:rPr>
      </w:pPr>
      <w:r>
        <w:rPr>
          <w:rFonts w:ascii="Arial" w:cs="Arial" w:eastAsia="Arial" w:hAnsi="Arial"/>
          <w:sz w:val="16"/>
          <w:szCs w:val="16"/>
          <w:b w:val="1"/>
          <w:bCs w:val="1"/>
          <w:i w:val="1"/>
          <w:iCs w:val="1"/>
          <w:color w:val="auto"/>
        </w:rPr>
        <w:t>Basis of Presentation and Principles of Consolidation</w:t>
      </w:r>
    </w:p>
    <w:p>
      <w:pPr>
        <w:spacing w:after="0" w:line="104" w:lineRule="exact"/>
        <w:rPr>
          <w:sz w:val="20"/>
          <w:szCs w:val="20"/>
          <w:color w:val="auto"/>
        </w:rPr>
      </w:pPr>
    </w:p>
    <w:p>
      <w:pPr>
        <w:ind w:right="40" w:firstLine="528"/>
        <w:spacing w:after="0" w:line="232" w:lineRule="auto"/>
        <w:rPr>
          <w:sz w:val="20"/>
          <w:szCs w:val="20"/>
          <w:color w:val="auto"/>
        </w:rPr>
      </w:pPr>
      <w:r>
        <w:rPr>
          <w:rFonts w:ascii="Arial" w:cs="Arial" w:eastAsia="Arial" w:hAnsi="Arial"/>
          <w:sz w:val="16"/>
          <w:szCs w:val="16"/>
          <w:color w:val="auto"/>
        </w:rPr>
        <w:t>The condensed consolidated financial statements have been prepared in accordance with accounting principles for interim financial information and with the instructions to Form 10-Q and Article 10 of Regulation S-X. Accordingly, the condensed consolidated financial statements do not include all information and footnotes required by accounting principles generally accepted in the United States of America (“GAAP”) for complete financial statements. The information herein reflects all normal recurring material adjustments, which are, in the opinion of management, necessary for the fair statement of the results for the periods presented. The condensed consolidated financial statements herein consist of all wholly-owned domestic and foreign subsidiaries with all significant intercompany transactions eliminated.</w:t>
      </w:r>
    </w:p>
    <w:p>
      <w:pPr>
        <w:spacing w:after="0" w:line="84" w:lineRule="exact"/>
        <w:rPr>
          <w:sz w:val="20"/>
          <w:szCs w:val="20"/>
          <w:color w:val="auto"/>
        </w:rPr>
      </w:pPr>
    </w:p>
    <w:p>
      <w:pPr>
        <w:ind w:right="20" w:firstLine="528"/>
        <w:spacing w:after="0" w:line="252" w:lineRule="auto"/>
        <w:rPr>
          <w:sz w:val="20"/>
          <w:szCs w:val="20"/>
          <w:color w:val="auto"/>
        </w:rPr>
      </w:pPr>
      <w:r>
        <w:rPr>
          <w:rFonts w:ascii="Arial" w:cs="Arial" w:eastAsia="Arial" w:hAnsi="Arial"/>
          <w:sz w:val="15"/>
          <w:szCs w:val="15"/>
          <w:color w:val="auto"/>
        </w:rPr>
        <w:t>These condensed consolidated financial statements present the financial position, results of comprehensive income, cash flows and statements of equity of the Company. The condensed consolidated financial statements should be read in conjunction with the audited consolidated financial statements included in the Company’s Form 10-K for the year ended December 31, 2019 as filed with the Securities and Exchange Commission on February 27, 2020. The interim period financial results for the three month period presented is not necessarily indicative of results to be expected for any other interim period or for the entire year.</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55245</wp:posOffset>
            </wp:positionV>
            <wp:extent cx="7150100" cy="146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7" w:name="page8"/>
    <w:bookmarkEnd w:id="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26" w:lineRule="exact"/>
        <w:rPr>
          <w:sz w:val="20"/>
          <w:szCs w:val="20"/>
          <w:color w:val="auto"/>
        </w:rPr>
      </w:pPr>
    </w:p>
    <w:p>
      <w:pPr>
        <w:ind w:left="260"/>
        <w:spacing w:after="0"/>
        <w:rPr>
          <w:sz w:val="20"/>
          <w:szCs w:val="20"/>
          <w:color w:val="auto"/>
        </w:rPr>
      </w:pPr>
      <w:r>
        <w:rPr>
          <w:rFonts w:ascii="Arial" w:cs="Arial" w:eastAsia="Arial" w:hAnsi="Arial"/>
          <w:sz w:val="16"/>
          <w:szCs w:val="16"/>
          <w:b w:val="1"/>
          <w:bCs w:val="1"/>
          <w:i w:val="1"/>
          <w:iCs w:val="1"/>
          <w:color w:val="auto"/>
        </w:rPr>
        <w:t>Use of Estimates</w:t>
      </w:r>
    </w:p>
    <w:p>
      <w:pPr>
        <w:spacing w:after="0" w:line="104" w:lineRule="exact"/>
        <w:rPr>
          <w:sz w:val="20"/>
          <w:szCs w:val="20"/>
          <w:color w:val="auto"/>
        </w:rPr>
      </w:pPr>
    </w:p>
    <w:p>
      <w:pPr>
        <w:ind w:right="40" w:firstLine="528"/>
        <w:spacing w:after="0" w:line="231" w:lineRule="auto"/>
        <w:rPr>
          <w:sz w:val="20"/>
          <w:szCs w:val="20"/>
          <w:color w:val="auto"/>
        </w:rPr>
      </w:pPr>
      <w:r>
        <w:rPr>
          <w:rFonts w:ascii="Arial" w:cs="Arial" w:eastAsia="Arial" w:hAnsi="Arial"/>
          <w:sz w:val="16"/>
          <w:szCs w:val="16"/>
          <w:color w:val="auto"/>
        </w:rPr>
        <w:t>The preparation of financial statements in conformity with GAAP requires management to make estimates and assumptions that affect the reported amounts of assets and liabilities, disclosure of contingent assets and liabilities and the reported amounts of revenue and expenses. Estimates include, but are not limited to, sales allowances, government price adjustments, fair market values and future cash flows associated with goodwill, indefinite life intangibles, definite life intangibles, long-lived asset impairment tests, useful lives for depreciation and amortization, warranty liabilities, environmental liabilities, determination of discount and other assumptions for pension and other post-retirement benefit expense, determination of discount rate and period for leases, income taxes and deferred tax valuation allowances, derivative valuation, assumptions for business combinations and contingencies. The Company’s accounting policies involve the application of judgments and assumptions made by management that include inherent risks and uncertainties. Due to the speed with which the COVID-19 situation is developing, actual results could differ materially from the estimates and assumptions used in preparation of the financial statements including, but not limited to, future cash flows associated with goodwill, indefinite life intangibles, definite life intangibles, long-lived impairment tests, determination of discount and other assumptions for pension and other post-retirement benefit expense and income taxes. Changes in estimates are recorded in results of operations in the period that the events or circumstances giving rise to such changes occur.</w:t>
      </w:r>
    </w:p>
    <w:p>
      <w:pPr>
        <w:spacing w:after="0" w:line="112" w:lineRule="exact"/>
        <w:rPr>
          <w:sz w:val="20"/>
          <w:szCs w:val="20"/>
          <w:color w:val="auto"/>
        </w:rPr>
      </w:pPr>
    </w:p>
    <w:p>
      <w:pPr>
        <w:ind w:left="260"/>
        <w:spacing w:after="0"/>
        <w:rPr>
          <w:sz w:val="20"/>
          <w:szCs w:val="20"/>
          <w:color w:val="auto"/>
        </w:rPr>
      </w:pPr>
      <w:r>
        <w:rPr>
          <w:rFonts w:ascii="Arial" w:cs="Arial" w:eastAsia="Arial" w:hAnsi="Arial"/>
          <w:sz w:val="16"/>
          <w:szCs w:val="16"/>
          <w:b w:val="1"/>
          <w:bCs w:val="1"/>
          <w:i w:val="1"/>
          <w:iCs w:val="1"/>
          <w:color w:val="auto"/>
        </w:rPr>
        <w:t>Recently Adopted Accounting Pronouncements</w:t>
      </w:r>
    </w:p>
    <w:p>
      <w:pPr>
        <w:spacing w:after="0" w:line="104" w:lineRule="exact"/>
        <w:rPr>
          <w:sz w:val="20"/>
          <w:szCs w:val="20"/>
          <w:color w:val="auto"/>
        </w:rPr>
      </w:pPr>
    </w:p>
    <w:p>
      <w:pPr>
        <w:ind w:right="80" w:firstLine="528"/>
        <w:spacing w:after="0" w:line="233" w:lineRule="auto"/>
        <w:rPr>
          <w:sz w:val="20"/>
          <w:szCs w:val="20"/>
          <w:color w:val="auto"/>
        </w:rPr>
      </w:pPr>
      <w:r>
        <w:rPr>
          <w:rFonts w:ascii="Arial" w:cs="Arial" w:eastAsia="Arial" w:hAnsi="Arial"/>
          <w:sz w:val="16"/>
          <w:szCs w:val="16"/>
          <w:color w:val="auto"/>
        </w:rPr>
        <w:t>In June 2016, the Financial Accounting Standards Board (“FASB”) issued authoritative accounting guidance on the presentation of financial assets at the net amount expected to be collected, which guidance has subsequently been amended. The guidance also requires the disclosure of financing receivables disaggregated by the year of origination. The Company adopted this guidance using a modified retrospective approach effective January 1, 2020. The adoption of this guidance did not have a material impact on the Company's condensed consolidated financial statements.</w:t>
      </w:r>
    </w:p>
    <w:p>
      <w:pPr>
        <w:spacing w:after="0" w:line="131" w:lineRule="exact"/>
        <w:rPr>
          <w:sz w:val="20"/>
          <w:szCs w:val="20"/>
          <w:color w:val="auto"/>
        </w:rPr>
      </w:pPr>
    </w:p>
    <w:p>
      <w:pPr>
        <w:ind w:firstLine="522"/>
        <w:spacing w:after="0" w:line="255" w:lineRule="auto"/>
        <w:rPr>
          <w:sz w:val="20"/>
          <w:szCs w:val="20"/>
          <w:color w:val="auto"/>
        </w:rPr>
      </w:pPr>
      <w:r>
        <w:rPr>
          <w:rFonts w:ascii="Arial" w:cs="Arial" w:eastAsia="Arial" w:hAnsi="Arial"/>
          <w:sz w:val="15"/>
          <w:szCs w:val="15"/>
          <w:color w:val="auto"/>
        </w:rPr>
        <w:t>In August 2018, the FASB issued authoritative accounting guidance amending disclosure requirements for certain assets subject to fair value measurement. The guidance allows the Company to reduce the amount of disclosure on transfers between Level 1 and Level 2 assets. The Company adopted this guidance effective January 1, 2020. The adoption of this guidance did not have a material impact on the Company's condensed consolidated financial statements.</w:t>
      </w:r>
    </w:p>
    <w:p>
      <w:pPr>
        <w:spacing w:after="0" w:line="73" w:lineRule="exact"/>
        <w:rPr>
          <w:sz w:val="20"/>
          <w:szCs w:val="20"/>
          <w:color w:val="auto"/>
        </w:rPr>
      </w:pPr>
    </w:p>
    <w:p>
      <w:pPr>
        <w:jc w:val="both"/>
        <w:ind w:right="80" w:firstLine="528"/>
        <w:spacing w:after="0" w:line="233" w:lineRule="auto"/>
        <w:rPr>
          <w:sz w:val="20"/>
          <w:szCs w:val="20"/>
          <w:color w:val="auto"/>
        </w:rPr>
      </w:pPr>
      <w:r>
        <w:rPr>
          <w:rFonts w:ascii="Arial" w:cs="Arial" w:eastAsia="Arial" w:hAnsi="Arial"/>
          <w:sz w:val="16"/>
          <w:szCs w:val="16"/>
          <w:color w:val="auto"/>
        </w:rPr>
        <w:t>In August 2018, the FASB issued authoritative accounting guidance on accounting for implementation costs in hosting arrangements to align these costs with existing guidance for internally developed software. The stage of implementation must be assessed to determine if costs should be capitalized or expensed, and capitalized costs should be expensed during the noncancellable term of the agreement. The Company adopted this guidance on a prospective basis effective January 1, 2020. The adoption of this guidance did not have a material impact on the Company's condensed consolidated financial statements.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55245</wp:posOffset>
            </wp:positionV>
            <wp:extent cx="7150100" cy="146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0"/>
          </w:cols>
          <w:pgMar w:left="320" w:top="140" w:right="319" w:bottom="1440" w:gutter="0" w:footer="0" w:header="0"/>
        </w:sectPr>
      </w:pPr>
    </w:p>
    <w:bookmarkStart w:id="8" w:name="page9"/>
    <w:bookmarkEnd w:id="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26" w:lineRule="exact"/>
        <w:rPr>
          <w:sz w:val="20"/>
          <w:szCs w:val="20"/>
          <w:color w:val="auto"/>
        </w:rPr>
      </w:pPr>
    </w:p>
    <w:p>
      <w:pPr>
        <w:ind w:left="260"/>
        <w:spacing w:after="0"/>
        <w:rPr>
          <w:sz w:val="20"/>
          <w:szCs w:val="20"/>
          <w:color w:val="auto"/>
        </w:rPr>
      </w:pPr>
      <w:r>
        <w:rPr>
          <w:rFonts w:ascii="Arial" w:cs="Arial" w:eastAsia="Arial" w:hAnsi="Arial"/>
          <w:sz w:val="16"/>
          <w:szCs w:val="16"/>
          <w:b w:val="1"/>
          <w:bCs w:val="1"/>
          <w:i w:val="1"/>
          <w:iCs w:val="1"/>
          <w:color w:val="auto"/>
        </w:rPr>
        <w:t>Recently Issued Accounting Pronouncements</w:t>
      </w:r>
    </w:p>
    <w:p>
      <w:pPr>
        <w:spacing w:after="0" w:line="104" w:lineRule="exact"/>
        <w:rPr>
          <w:sz w:val="20"/>
          <w:szCs w:val="20"/>
          <w:color w:val="auto"/>
        </w:rPr>
      </w:pPr>
    </w:p>
    <w:p>
      <w:pPr>
        <w:ind w:right="220" w:firstLine="528"/>
        <w:spacing w:after="0" w:line="255" w:lineRule="auto"/>
        <w:rPr>
          <w:sz w:val="20"/>
          <w:szCs w:val="20"/>
          <w:color w:val="auto"/>
        </w:rPr>
      </w:pPr>
      <w:r>
        <w:rPr>
          <w:rFonts w:ascii="Arial" w:cs="Arial" w:eastAsia="Arial" w:hAnsi="Arial"/>
          <w:sz w:val="15"/>
          <w:szCs w:val="15"/>
          <w:color w:val="auto"/>
        </w:rPr>
        <w:t>In August 2018, the FASB issued authoritative accounting guidance amending disclosure requirements for the Company's defined benefit pension plans and other postretirement benefit plan. The guidance will be effective for the Company in 2021, and the Company does not plan to early adopt. Management is currently identifying and evaluating the impact of this guidance on the Company's disclosures and condensed consolidated financial statements.</w:t>
      </w:r>
    </w:p>
    <w:p>
      <w:pPr>
        <w:spacing w:after="0" w:line="73" w:lineRule="exact"/>
        <w:rPr>
          <w:sz w:val="20"/>
          <w:szCs w:val="20"/>
          <w:color w:val="auto"/>
        </w:rPr>
      </w:pPr>
    </w:p>
    <w:p>
      <w:pPr>
        <w:ind w:right="80" w:firstLine="528"/>
        <w:spacing w:after="0" w:line="234" w:lineRule="auto"/>
        <w:rPr>
          <w:sz w:val="20"/>
          <w:szCs w:val="20"/>
          <w:color w:val="auto"/>
        </w:rPr>
      </w:pPr>
      <w:r>
        <w:rPr>
          <w:rFonts w:ascii="Arial" w:cs="Arial" w:eastAsia="Arial" w:hAnsi="Arial"/>
          <w:sz w:val="16"/>
          <w:szCs w:val="16"/>
          <w:color w:val="auto"/>
        </w:rPr>
        <w:t>In December 2019, the FASB issued authoritative accounting guidance to simplify the accounting for income taxes. The guidance identifies specific exceptions to be removed from the calculation and reporting of income taxes. The guidance will be effective for the Company in 2021, and the Company does not plan to early adopt. Management is currently evaluating the impact of this guidance on the Company's condensed consolidated financial statements.</w:t>
      </w:r>
    </w:p>
    <w:p>
      <w:pPr>
        <w:spacing w:after="0" w:line="84" w:lineRule="exact"/>
        <w:rPr>
          <w:sz w:val="20"/>
          <w:szCs w:val="20"/>
          <w:color w:val="auto"/>
        </w:rPr>
      </w:pPr>
    </w:p>
    <w:p>
      <w:pPr>
        <w:ind w:right="120" w:firstLine="528"/>
        <w:spacing w:after="0" w:line="233" w:lineRule="auto"/>
        <w:rPr>
          <w:sz w:val="20"/>
          <w:szCs w:val="20"/>
          <w:color w:val="auto"/>
        </w:rPr>
      </w:pPr>
      <w:r>
        <w:rPr>
          <w:rFonts w:ascii="Arial" w:cs="Arial" w:eastAsia="Arial" w:hAnsi="Arial"/>
          <w:sz w:val="16"/>
          <w:szCs w:val="16"/>
          <w:color w:val="auto"/>
        </w:rPr>
        <w:t>In March 2020, the FASB issued authoritative accounting guidance regarding highly effective cash flow hedges affected by reference rate reform. The guidance allows the Company to continue to classify its interest rate hedges as highly effective subsequent to reference rate reform under certain circumstances. The guidance may be adopted in any interim period between March 2020 and December 2020, with the amendments applied prospectively. Management is currently evaluating the impact of this guidance on the Company's condensed consolidated financial statements.</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C. REVENUE</w:t>
      </w:r>
    </w:p>
    <w:p>
      <w:pPr>
        <w:spacing w:after="0" w:line="106" w:lineRule="exact"/>
        <w:rPr>
          <w:sz w:val="20"/>
          <w:szCs w:val="20"/>
          <w:color w:val="auto"/>
        </w:rPr>
      </w:pPr>
    </w:p>
    <w:p>
      <w:pPr>
        <w:ind w:right="60" w:firstLine="528"/>
        <w:spacing w:after="0" w:line="232" w:lineRule="auto"/>
        <w:rPr>
          <w:sz w:val="20"/>
          <w:szCs w:val="20"/>
          <w:color w:val="auto"/>
        </w:rPr>
      </w:pPr>
      <w:r>
        <w:rPr>
          <w:rFonts w:ascii="Arial" w:cs="Arial" w:eastAsia="Arial" w:hAnsi="Arial"/>
          <w:sz w:val="16"/>
          <w:szCs w:val="16"/>
          <w:color w:val="auto"/>
        </w:rPr>
        <w:t>Revenue is recognized as each distinct performance obligation within a contract is satisfied. A performance obligation is a promise in a contract to transfer a distinct good or service to the customer. The Company enters into long-term agreements (“LTAs”) and distributor agreements with certain customers. The LTAs and distributor agreements do not include committed volumes until underlying purchase orders are issued; therefore, the Company determined that purchase orders are the contract with a customer. A contract’s transaction price is allocated to each distinct performance obligation and recognized as revenue when the performance obligation is satisfied, as there is no right of return.</w:t>
      </w:r>
    </w:p>
    <w:p>
      <w:pPr>
        <w:spacing w:after="0" w:line="85" w:lineRule="exact"/>
        <w:rPr>
          <w:sz w:val="20"/>
          <w:szCs w:val="20"/>
          <w:color w:val="auto"/>
        </w:rPr>
      </w:pPr>
    </w:p>
    <w:p>
      <w:pPr>
        <w:jc w:val="both"/>
        <w:ind w:right="200" w:firstLine="528"/>
        <w:spacing w:after="0" w:line="234" w:lineRule="auto"/>
        <w:rPr>
          <w:sz w:val="20"/>
          <w:szCs w:val="20"/>
          <w:color w:val="auto"/>
        </w:rPr>
      </w:pPr>
      <w:r>
        <w:rPr>
          <w:rFonts w:ascii="Arial" w:cs="Arial" w:eastAsia="Arial" w:hAnsi="Arial"/>
          <w:sz w:val="16"/>
          <w:szCs w:val="16"/>
          <w:color w:val="auto"/>
        </w:rPr>
        <w:t>Some of the Company's contracts include multiple performance obligations, most commonly the sale of both a transmission and Extended Transmission Coverage ("ETC"). The Company allocates the contract’s transaction price to each performance obligation based on the standalone selling price of each distinct good or service in the contract.</w:t>
      </w:r>
    </w:p>
    <w:p>
      <w:pPr>
        <w:spacing w:after="0" w:line="84" w:lineRule="exact"/>
        <w:rPr>
          <w:sz w:val="20"/>
          <w:szCs w:val="20"/>
          <w:color w:val="auto"/>
        </w:rPr>
      </w:pPr>
    </w:p>
    <w:p>
      <w:pPr>
        <w:ind w:firstLine="528"/>
        <w:spacing w:after="0" w:line="252" w:lineRule="auto"/>
        <w:rPr>
          <w:sz w:val="20"/>
          <w:szCs w:val="20"/>
          <w:color w:val="auto"/>
        </w:rPr>
      </w:pPr>
      <w:r>
        <w:rPr>
          <w:rFonts w:ascii="Arial" w:cs="Arial" w:eastAsia="Arial" w:hAnsi="Arial"/>
          <w:sz w:val="15"/>
          <w:szCs w:val="15"/>
          <w:color w:val="auto"/>
        </w:rPr>
        <w:t>The Company may also use volume based discounts and rebates as marketing incentives in the sales of both transmissions and service parts, which are accounted for as variable consideration. The Company records the impact of the incentives as a reduction to revenue when it is determined that the adjustment is not likely to reverse, historically on a quarterly basis. The Company estimates the impact of all other incentives based on the related sales and market conditions in the end market vocation. The Company recorded no adjustments based on variable consideration during the three months ended March 31, 2020 and 2019.</w:t>
      </w:r>
    </w:p>
    <w:p>
      <w:pPr>
        <w:spacing w:after="0" w:line="74" w:lineRule="exact"/>
        <w:rPr>
          <w:sz w:val="20"/>
          <w:szCs w:val="20"/>
          <w:color w:val="auto"/>
        </w:rPr>
      </w:pPr>
    </w:p>
    <w:p>
      <w:pPr>
        <w:jc w:val="both"/>
        <w:ind w:right="180" w:firstLine="528"/>
        <w:spacing w:after="0" w:line="232" w:lineRule="auto"/>
        <w:rPr>
          <w:sz w:val="20"/>
          <w:szCs w:val="20"/>
          <w:color w:val="auto"/>
        </w:rPr>
      </w:pPr>
      <w:r>
        <w:rPr>
          <w:rFonts w:ascii="Arial" w:cs="Arial" w:eastAsia="Arial" w:hAnsi="Arial"/>
          <w:sz w:val="16"/>
          <w:szCs w:val="16"/>
          <w:color w:val="auto"/>
        </w:rPr>
        <w:t>Net sales are made on credit terms, generally 30 days, based on an assessment of the customer’s creditworthiness. For certain goods or services, the Company receives consideration prior to satisfying the related performance obligation. Such consideration is recorded as a contract liability in current and non-current Deferred revenue as of March 31, 2020 and December 31, 2019. See Note J, “Deferred Revenue” for more information including the amount of revenue earned during the three months ended March 31, 2020 and 2019 that had been previously deferred. The Company had no contract assets as of March 31, 2020 and December 31, 2019.</w:t>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55245</wp:posOffset>
            </wp:positionV>
            <wp:extent cx="7150100" cy="146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9" w:name="page10"/>
    <w:bookmarkEnd w:id="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97" w:lineRule="exact"/>
        <w:rPr>
          <w:sz w:val="20"/>
          <w:szCs w:val="20"/>
          <w:color w:val="auto"/>
        </w:rPr>
      </w:pPr>
    </w:p>
    <w:p>
      <w:pPr>
        <w:ind w:right="20" w:firstLine="528"/>
        <w:spacing w:after="0" w:line="237" w:lineRule="auto"/>
        <w:rPr>
          <w:sz w:val="20"/>
          <w:szCs w:val="20"/>
          <w:color w:val="auto"/>
        </w:rPr>
      </w:pPr>
      <w:r>
        <w:rPr>
          <w:rFonts w:ascii="Arial" w:cs="Arial" w:eastAsia="Arial" w:hAnsi="Arial"/>
          <w:sz w:val="16"/>
          <w:szCs w:val="16"/>
          <w:color w:val="auto"/>
        </w:rPr>
        <w:t>The following presents disaggregated revenue by categories that best depict how the nature, amount, timing and uncertainty of revenue and cash flows are affected by economic factors (dollars in millions):</w:t>
      </w:r>
    </w:p>
    <w:p>
      <w:pPr>
        <w:spacing w:after="0" w:line="201" w:lineRule="exact"/>
        <w:rPr>
          <w:sz w:val="20"/>
          <w:szCs w:val="20"/>
          <w:color w:val="auto"/>
        </w:rPr>
      </w:pPr>
    </w:p>
    <w:p>
      <w:pPr>
        <w:jc w:val="center"/>
        <w:ind w:left="7600"/>
        <w:spacing w:after="0"/>
        <w:rPr>
          <w:sz w:val="20"/>
          <w:szCs w:val="20"/>
          <w:color w:val="auto"/>
        </w:rPr>
      </w:pPr>
      <w:r>
        <w:rPr>
          <w:rFonts w:ascii="Arial" w:cs="Arial" w:eastAsia="Arial" w:hAnsi="Arial"/>
          <w:sz w:val="13"/>
          <w:szCs w:val="13"/>
          <w:b w:val="1"/>
          <w:bCs w:val="1"/>
          <w:color w:val="auto"/>
        </w:rPr>
        <w:t>Three Months Ended</w:t>
      </w:r>
    </w:p>
    <w:p>
      <w:pPr>
        <w:jc w:val="center"/>
        <w:ind w:left="7600"/>
        <w:spacing w:after="0" w:line="231" w:lineRule="auto"/>
        <w:rPr>
          <w:sz w:val="20"/>
          <w:szCs w:val="20"/>
          <w:color w:val="auto"/>
        </w:rPr>
      </w:pPr>
      <w:r>
        <w:rPr>
          <w:rFonts w:ascii="Arial" w:cs="Arial" w:eastAsia="Arial" w:hAnsi="Arial"/>
          <w:sz w:val="13"/>
          <w:szCs w:val="13"/>
          <w:b w:val="1"/>
          <w:bCs w:val="1"/>
          <w:color w:val="auto"/>
        </w:rPr>
        <w:t>March 31,</w:t>
      </w:r>
    </w:p>
    <w:tbl>
      <w:tblPr>
        <w:tblLayout w:type="fixed"/>
        <w:tblInd w:w="0" w:type="dxa"/>
        <w:tblCellMar>
          <w:top w:w="0" w:type="dxa"/>
          <w:left w:w="0" w:type="dxa"/>
          <w:bottom w:w="0" w:type="dxa"/>
          <w:right w:w="0" w:type="dxa"/>
        </w:tblCellMar>
      </w:tblPr>
      <w:tr>
        <w:trPr>
          <w:trHeight w:val="144"/>
        </w:trPr>
        <w:tc>
          <w:tcPr>
            <w:tcW w:w="7740" w:type="dxa"/>
            <w:vAlign w:val="bottom"/>
            <w:tcBorders>
              <w:bottom w:val="single" w:sz="8" w:color="CFF0FC"/>
            </w:tcBorders>
          </w:tcPr>
          <w:p>
            <w:pPr>
              <w:spacing w:after="0"/>
              <w:rPr>
                <w:sz w:val="12"/>
                <w:szCs w:val="12"/>
                <w:color w:val="auto"/>
              </w:rPr>
            </w:pPr>
          </w:p>
        </w:tc>
        <w:tc>
          <w:tcPr>
            <w:tcW w:w="1180" w:type="dxa"/>
            <w:vAlign w:val="bottom"/>
            <w:tcBorders>
              <w:top w:val="single" w:sz="8" w:color="auto"/>
              <w:bottom w:val="single" w:sz="8" w:color="auto"/>
            </w:tcBorders>
          </w:tcPr>
          <w:p>
            <w:pPr>
              <w:jc w:val="right"/>
              <w:ind w:right="188"/>
              <w:spacing w:after="0" w:line="144" w:lineRule="exact"/>
              <w:rPr>
                <w:sz w:val="20"/>
                <w:szCs w:val="20"/>
                <w:color w:val="auto"/>
              </w:rPr>
            </w:pPr>
            <w:r>
              <w:rPr>
                <w:rFonts w:ascii="Arial" w:cs="Arial" w:eastAsia="Arial" w:hAnsi="Arial"/>
                <w:sz w:val="13"/>
                <w:szCs w:val="13"/>
                <w:b w:val="1"/>
                <w:bCs w:val="1"/>
                <w:color w:val="auto"/>
              </w:rPr>
              <w:t>2020</w:t>
            </w:r>
          </w:p>
        </w:tc>
        <w:tc>
          <w:tcPr>
            <w:tcW w:w="48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bottom w:val="single" w:sz="8" w:color="CFF0FC"/>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1460" w:type="dxa"/>
            <w:vAlign w:val="bottom"/>
            <w:tcBorders>
              <w:top w:val="single" w:sz="8" w:color="auto"/>
              <w:bottom w:val="single" w:sz="8" w:color="auto"/>
            </w:tcBorders>
          </w:tcPr>
          <w:p>
            <w:pPr>
              <w:jc w:val="right"/>
              <w:ind w:right="705"/>
              <w:spacing w:after="0" w:line="144" w:lineRule="exact"/>
              <w:rPr>
                <w:sz w:val="20"/>
                <w:szCs w:val="20"/>
                <w:color w:val="auto"/>
              </w:rPr>
            </w:pPr>
            <w:r>
              <w:rPr>
                <w:rFonts w:ascii="Arial" w:cs="Arial" w:eastAsia="Arial" w:hAnsi="Arial"/>
                <w:sz w:val="13"/>
                <w:szCs w:val="13"/>
                <w:b w:val="1"/>
                <w:bCs w:val="1"/>
                <w:color w:val="auto"/>
              </w:rPr>
              <w:t>2019</w:t>
            </w:r>
          </w:p>
        </w:tc>
        <w:tc>
          <w:tcPr>
            <w:tcW w:w="0" w:type="dxa"/>
            <w:vAlign w:val="bottom"/>
          </w:tcPr>
          <w:p>
            <w:pPr>
              <w:spacing w:after="0"/>
              <w:rPr>
                <w:sz w:val="1"/>
                <w:szCs w:val="1"/>
                <w:color w:val="auto"/>
              </w:rPr>
            </w:pPr>
          </w:p>
        </w:tc>
      </w:tr>
      <w:tr>
        <w:trPr>
          <w:trHeight w:val="180"/>
        </w:trPr>
        <w:tc>
          <w:tcPr>
            <w:tcW w:w="7740" w:type="dxa"/>
            <w:vAlign w:val="bottom"/>
            <w:shd w:val="clear" w:color="auto" w:fill="CFF0FC"/>
          </w:tcPr>
          <w:p>
            <w:pPr>
              <w:spacing w:after="0" w:line="180" w:lineRule="exact"/>
              <w:rPr>
                <w:sz w:val="20"/>
                <w:szCs w:val="20"/>
                <w:color w:val="auto"/>
              </w:rPr>
            </w:pPr>
            <w:r>
              <w:rPr>
                <w:rFonts w:ascii="Arial" w:cs="Arial" w:eastAsia="Arial" w:hAnsi="Arial"/>
                <w:sz w:val="16"/>
                <w:szCs w:val="16"/>
                <w:color w:val="auto"/>
              </w:rPr>
              <w:t>North America On-Highway</w:t>
            </w:r>
          </w:p>
        </w:tc>
        <w:tc>
          <w:tcPr>
            <w:tcW w:w="1180" w:type="dxa"/>
            <w:vAlign w:val="bottom"/>
            <w:shd w:val="clear" w:color="auto" w:fill="CFF0FC"/>
          </w:tcPr>
          <w:p>
            <w:pPr>
              <w:jc w:val="right"/>
              <w:ind w:right="1008"/>
              <w:spacing w:after="0" w:line="180" w:lineRule="exact"/>
              <w:rPr>
                <w:sz w:val="20"/>
                <w:szCs w:val="20"/>
                <w:color w:val="auto"/>
              </w:rPr>
            </w:pPr>
            <w:r>
              <w:rPr>
                <w:rFonts w:ascii="Arial" w:cs="Arial" w:eastAsia="Arial" w:hAnsi="Arial"/>
                <w:sz w:val="16"/>
                <w:szCs w:val="16"/>
                <w:b w:val="1"/>
                <w:bCs w:val="1"/>
                <w:color w:val="auto"/>
                <w:w w:val="89"/>
              </w:rPr>
              <w:t>$</w:t>
            </w:r>
          </w:p>
        </w:tc>
        <w:tc>
          <w:tcPr>
            <w:tcW w:w="480" w:type="dxa"/>
            <w:vAlign w:val="bottom"/>
            <w:shd w:val="clear" w:color="auto" w:fill="CFF0FC"/>
          </w:tcPr>
          <w:p>
            <w:pPr>
              <w:jc w:val="right"/>
              <w:ind w:right="42"/>
              <w:spacing w:after="0" w:line="180" w:lineRule="exact"/>
              <w:rPr>
                <w:sz w:val="20"/>
                <w:szCs w:val="20"/>
                <w:color w:val="auto"/>
              </w:rPr>
            </w:pPr>
            <w:r>
              <w:rPr>
                <w:rFonts w:ascii="Arial" w:cs="Arial" w:eastAsia="Arial" w:hAnsi="Arial"/>
                <w:sz w:val="16"/>
                <w:szCs w:val="16"/>
                <w:b w:val="1"/>
                <w:bCs w:val="1"/>
                <w:color w:val="auto"/>
              </w:rPr>
              <w:t>352</w:t>
            </w:r>
          </w:p>
        </w:tc>
        <w:tc>
          <w:tcPr>
            <w:tcW w:w="400" w:type="dxa"/>
            <w:vAlign w:val="bottom"/>
            <w:gridSpan w:val="2"/>
            <w:shd w:val="clear" w:color="auto" w:fill="CFF0FC"/>
          </w:tcPr>
          <w:p>
            <w:pPr>
              <w:jc w:val="right"/>
              <w:ind w:right="140"/>
              <w:spacing w:after="0" w:line="180" w:lineRule="exact"/>
              <w:rPr>
                <w:sz w:val="20"/>
                <w:szCs w:val="20"/>
                <w:color w:val="auto"/>
              </w:rPr>
            </w:pPr>
            <w:r>
              <w:rPr>
                <w:rFonts w:ascii="Arial" w:cs="Arial" w:eastAsia="Arial" w:hAnsi="Arial"/>
                <w:sz w:val="16"/>
                <w:szCs w:val="16"/>
                <w:color w:val="auto"/>
              </w:rPr>
              <w:t>$</w:t>
            </w:r>
          </w:p>
        </w:tc>
        <w:tc>
          <w:tcPr>
            <w:tcW w:w="1460" w:type="dxa"/>
            <w:vAlign w:val="bottom"/>
            <w:shd w:val="clear" w:color="auto" w:fill="CFF0FC"/>
          </w:tcPr>
          <w:p>
            <w:pPr>
              <w:jc w:val="right"/>
              <w:ind w:right="65"/>
              <w:spacing w:after="0" w:line="180" w:lineRule="exact"/>
              <w:rPr>
                <w:sz w:val="20"/>
                <w:szCs w:val="20"/>
                <w:color w:val="auto"/>
              </w:rPr>
            </w:pPr>
            <w:r>
              <w:rPr>
                <w:rFonts w:ascii="Arial" w:cs="Arial" w:eastAsia="Arial" w:hAnsi="Arial"/>
                <w:sz w:val="16"/>
                <w:szCs w:val="16"/>
                <w:color w:val="auto"/>
              </w:rPr>
              <w:t>377</w:t>
            </w:r>
          </w:p>
        </w:tc>
        <w:tc>
          <w:tcPr>
            <w:tcW w:w="0" w:type="dxa"/>
            <w:vAlign w:val="bottom"/>
          </w:tcPr>
          <w:p>
            <w:pPr>
              <w:spacing w:after="0"/>
              <w:rPr>
                <w:sz w:val="1"/>
                <w:szCs w:val="1"/>
                <w:color w:val="auto"/>
              </w:rPr>
            </w:pPr>
          </w:p>
        </w:tc>
      </w:tr>
      <w:tr>
        <w:trPr>
          <w:trHeight w:val="188"/>
        </w:trPr>
        <w:tc>
          <w:tcPr>
            <w:tcW w:w="7740" w:type="dxa"/>
            <w:vAlign w:val="bottom"/>
          </w:tcPr>
          <w:p>
            <w:pPr>
              <w:spacing w:after="0"/>
              <w:rPr>
                <w:sz w:val="20"/>
                <w:szCs w:val="20"/>
                <w:color w:val="auto"/>
              </w:rPr>
            </w:pPr>
            <w:r>
              <w:rPr>
                <w:rFonts w:ascii="Arial" w:cs="Arial" w:eastAsia="Arial" w:hAnsi="Arial"/>
                <w:sz w:val="16"/>
                <w:szCs w:val="16"/>
                <w:color w:val="auto"/>
              </w:rPr>
              <w:t>North America Off-Highway</w:t>
            </w:r>
          </w:p>
        </w:tc>
        <w:tc>
          <w:tcPr>
            <w:tcW w:w="1180" w:type="dxa"/>
            <w:vAlign w:val="bottom"/>
          </w:tcPr>
          <w:p>
            <w:pPr>
              <w:spacing w:after="0"/>
              <w:rPr>
                <w:sz w:val="16"/>
                <w:szCs w:val="16"/>
                <w:color w:val="auto"/>
              </w:rPr>
            </w:pPr>
          </w:p>
        </w:tc>
        <w:tc>
          <w:tcPr>
            <w:tcW w:w="480" w:type="dxa"/>
            <w:vAlign w:val="bottom"/>
          </w:tcPr>
          <w:p>
            <w:pPr>
              <w:jc w:val="right"/>
              <w:ind w:right="42"/>
              <w:spacing w:after="0"/>
              <w:rPr>
                <w:sz w:val="20"/>
                <w:szCs w:val="20"/>
                <w:color w:val="auto"/>
              </w:rPr>
            </w:pPr>
            <w:r>
              <w:rPr>
                <w:rFonts w:ascii="Arial" w:cs="Arial" w:eastAsia="Arial" w:hAnsi="Arial"/>
                <w:sz w:val="16"/>
                <w:szCs w:val="16"/>
                <w:b w:val="1"/>
                <w:bCs w:val="1"/>
                <w:color w:val="auto"/>
              </w:rPr>
              <w:t>8</w:t>
            </w: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60" w:type="dxa"/>
            <w:vAlign w:val="bottom"/>
          </w:tcPr>
          <w:p>
            <w:pPr>
              <w:jc w:val="right"/>
              <w:ind w:right="65"/>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188"/>
        </w:trPr>
        <w:tc>
          <w:tcPr>
            <w:tcW w:w="7740" w:type="dxa"/>
            <w:vAlign w:val="bottom"/>
            <w:shd w:val="clear" w:color="auto" w:fill="CFF0FC"/>
          </w:tcPr>
          <w:p>
            <w:pPr>
              <w:spacing w:after="0"/>
              <w:rPr>
                <w:sz w:val="20"/>
                <w:szCs w:val="20"/>
                <w:color w:val="auto"/>
              </w:rPr>
            </w:pPr>
            <w:r>
              <w:rPr>
                <w:rFonts w:ascii="Arial" w:cs="Arial" w:eastAsia="Arial" w:hAnsi="Arial"/>
                <w:sz w:val="16"/>
                <w:szCs w:val="16"/>
                <w:color w:val="auto"/>
              </w:rPr>
              <w:t>Defense</w:t>
            </w:r>
          </w:p>
        </w:tc>
        <w:tc>
          <w:tcPr>
            <w:tcW w:w="1180" w:type="dxa"/>
            <w:vAlign w:val="bottom"/>
            <w:shd w:val="clear" w:color="auto" w:fill="CFF0FC"/>
          </w:tcPr>
          <w:p>
            <w:pPr>
              <w:spacing w:after="0"/>
              <w:rPr>
                <w:sz w:val="16"/>
                <w:szCs w:val="16"/>
                <w:color w:val="auto"/>
              </w:rPr>
            </w:pPr>
          </w:p>
        </w:tc>
        <w:tc>
          <w:tcPr>
            <w:tcW w:w="480" w:type="dxa"/>
            <w:vAlign w:val="bottom"/>
            <w:shd w:val="clear" w:color="auto" w:fill="CFF0FC"/>
          </w:tcPr>
          <w:p>
            <w:pPr>
              <w:jc w:val="right"/>
              <w:ind w:right="42"/>
              <w:spacing w:after="0"/>
              <w:rPr>
                <w:sz w:val="20"/>
                <w:szCs w:val="20"/>
                <w:color w:val="auto"/>
              </w:rPr>
            </w:pPr>
            <w:r>
              <w:rPr>
                <w:rFonts w:ascii="Arial" w:cs="Arial" w:eastAsia="Arial" w:hAnsi="Arial"/>
                <w:sz w:val="16"/>
                <w:szCs w:val="16"/>
                <w:b w:val="1"/>
                <w:bCs w:val="1"/>
                <w:color w:val="auto"/>
              </w:rPr>
              <w:t>40</w:t>
            </w:r>
          </w:p>
        </w:tc>
        <w:tc>
          <w:tcPr>
            <w:tcW w:w="1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460" w:type="dxa"/>
            <w:vAlign w:val="bottom"/>
            <w:shd w:val="clear" w:color="auto" w:fill="CFF0FC"/>
          </w:tcPr>
          <w:p>
            <w:pPr>
              <w:jc w:val="right"/>
              <w:ind w:right="65"/>
              <w:spacing w:after="0"/>
              <w:rPr>
                <w:sz w:val="20"/>
                <w:szCs w:val="20"/>
                <w:color w:val="auto"/>
              </w:rPr>
            </w:pPr>
            <w:r>
              <w:rPr>
                <w:rFonts w:ascii="Arial" w:cs="Arial" w:eastAsia="Arial" w:hAnsi="Arial"/>
                <w:sz w:val="16"/>
                <w:szCs w:val="16"/>
                <w:color w:val="auto"/>
              </w:rPr>
              <w:t>32</w:t>
            </w:r>
          </w:p>
        </w:tc>
        <w:tc>
          <w:tcPr>
            <w:tcW w:w="0" w:type="dxa"/>
            <w:vAlign w:val="bottom"/>
          </w:tcPr>
          <w:p>
            <w:pPr>
              <w:spacing w:after="0"/>
              <w:rPr>
                <w:sz w:val="1"/>
                <w:szCs w:val="1"/>
                <w:color w:val="auto"/>
              </w:rPr>
            </w:pPr>
          </w:p>
        </w:tc>
      </w:tr>
      <w:tr>
        <w:trPr>
          <w:trHeight w:val="188"/>
        </w:trPr>
        <w:tc>
          <w:tcPr>
            <w:tcW w:w="7740" w:type="dxa"/>
            <w:vAlign w:val="bottom"/>
          </w:tcPr>
          <w:p>
            <w:pPr>
              <w:spacing w:after="0"/>
              <w:rPr>
                <w:sz w:val="20"/>
                <w:szCs w:val="20"/>
                <w:color w:val="auto"/>
              </w:rPr>
            </w:pPr>
            <w:r>
              <w:rPr>
                <w:rFonts w:ascii="Arial" w:cs="Arial" w:eastAsia="Arial" w:hAnsi="Arial"/>
                <w:sz w:val="16"/>
                <w:szCs w:val="16"/>
                <w:color w:val="auto"/>
              </w:rPr>
              <w:t>Outside North America On-Highway</w:t>
            </w:r>
          </w:p>
        </w:tc>
        <w:tc>
          <w:tcPr>
            <w:tcW w:w="1180" w:type="dxa"/>
            <w:vAlign w:val="bottom"/>
          </w:tcPr>
          <w:p>
            <w:pPr>
              <w:spacing w:after="0"/>
              <w:rPr>
                <w:sz w:val="16"/>
                <w:szCs w:val="16"/>
                <w:color w:val="auto"/>
              </w:rPr>
            </w:pPr>
          </w:p>
        </w:tc>
        <w:tc>
          <w:tcPr>
            <w:tcW w:w="480" w:type="dxa"/>
            <w:vAlign w:val="bottom"/>
          </w:tcPr>
          <w:p>
            <w:pPr>
              <w:jc w:val="right"/>
              <w:ind w:right="42"/>
              <w:spacing w:after="0"/>
              <w:rPr>
                <w:sz w:val="20"/>
                <w:szCs w:val="20"/>
                <w:color w:val="auto"/>
              </w:rPr>
            </w:pPr>
            <w:r>
              <w:rPr>
                <w:rFonts w:ascii="Arial" w:cs="Arial" w:eastAsia="Arial" w:hAnsi="Arial"/>
                <w:sz w:val="16"/>
                <w:szCs w:val="16"/>
                <w:b w:val="1"/>
                <w:bCs w:val="1"/>
                <w:color w:val="auto"/>
              </w:rPr>
              <w:t>72</w:t>
            </w: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60" w:type="dxa"/>
            <w:vAlign w:val="bottom"/>
          </w:tcPr>
          <w:p>
            <w:pPr>
              <w:jc w:val="right"/>
              <w:ind w:right="65"/>
              <w:spacing w:after="0"/>
              <w:rPr>
                <w:sz w:val="20"/>
                <w:szCs w:val="20"/>
                <w:color w:val="auto"/>
              </w:rPr>
            </w:pPr>
            <w:r>
              <w:rPr>
                <w:rFonts w:ascii="Arial" w:cs="Arial" w:eastAsia="Arial" w:hAnsi="Arial"/>
                <w:sz w:val="16"/>
                <w:szCs w:val="16"/>
                <w:color w:val="auto"/>
              </w:rPr>
              <w:t>94</w:t>
            </w:r>
          </w:p>
        </w:tc>
        <w:tc>
          <w:tcPr>
            <w:tcW w:w="0" w:type="dxa"/>
            <w:vAlign w:val="bottom"/>
          </w:tcPr>
          <w:p>
            <w:pPr>
              <w:spacing w:after="0"/>
              <w:rPr>
                <w:sz w:val="1"/>
                <w:szCs w:val="1"/>
                <w:color w:val="auto"/>
              </w:rPr>
            </w:pPr>
          </w:p>
        </w:tc>
      </w:tr>
      <w:tr>
        <w:trPr>
          <w:trHeight w:val="188"/>
        </w:trPr>
        <w:tc>
          <w:tcPr>
            <w:tcW w:w="7740" w:type="dxa"/>
            <w:vAlign w:val="bottom"/>
            <w:shd w:val="clear" w:color="auto" w:fill="CFF0FC"/>
          </w:tcPr>
          <w:p>
            <w:pPr>
              <w:spacing w:after="0"/>
              <w:rPr>
                <w:sz w:val="20"/>
                <w:szCs w:val="20"/>
                <w:color w:val="auto"/>
              </w:rPr>
            </w:pPr>
            <w:r>
              <w:rPr>
                <w:rFonts w:ascii="Arial" w:cs="Arial" w:eastAsia="Arial" w:hAnsi="Arial"/>
                <w:sz w:val="16"/>
                <w:szCs w:val="16"/>
                <w:color w:val="auto"/>
              </w:rPr>
              <w:t>Outside North America Off-Highway</w:t>
            </w:r>
          </w:p>
        </w:tc>
        <w:tc>
          <w:tcPr>
            <w:tcW w:w="1180" w:type="dxa"/>
            <w:vAlign w:val="bottom"/>
            <w:shd w:val="clear" w:color="auto" w:fill="CFF0FC"/>
          </w:tcPr>
          <w:p>
            <w:pPr>
              <w:spacing w:after="0"/>
              <w:rPr>
                <w:sz w:val="16"/>
                <w:szCs w:val="16"/>
                <w:color w:val="auto"/>
              </w:rPr>
            </w:pPr>
          </w:p>
        </w:tc>
        <w:tc>
          <w:tcPr>
            <w:tcW w:w="480" w:type="dxa"/>
            <w:vAlign w:val="bottom"/>
            <w:shd w:val="clear" w:color="auto" w:fill="CFF0FC"/>
          </w:tcPr>
          <w:p>
            <w:pPr>
              <w:jc w:val="right"/>
              <w:ind w:right="42"/>
              <w:spacing w:after="0"/>
              <w:rPr>
                <w:sz w:val="20"/>
                <w:szCs w:val="20"/>
                <w:color w:val="auto"/>
              </w:rPr>
            </w:pPr>
            <w:r>
              <w:rPr>
                <w:rFonts w:ascii="Arial" w:cs="Arial" w:eastAsia="Arial" w:hAnsi="Arial"/>
                <w:sz w:val="16"/>
                <w:szCs w:val="16"/>
                <w:b w:val="1"/>
                <w:bCs w:val="1"/>
                <w:color w:val="auto"/>
              </w:rPr>
              <w:t>27</w:t>
            </w:r>
          </w:p>
        </w:tc>
        <w:tc>
          <w:tcPr>
            <w:tcW w:w="1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460" w:type="dxa"/>
            <w:vAlign w:val="bottom"/>
            <w:shd w:val="clear" w:color="auto" w:fill="CFF0FC"/>
          </w:tcPr>
          <w:p>
            <w:pPr>
              <w:jc w:val="right"/>
              <w:ind w:right="65"/>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188"/>
        </w:trPr>
        <w:tc>
          <w:tcPr>
            <w:tcW w:w="774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Service Parts, Support Equipment and Other</w:t>
            </w:r>
          </w:p>
        </w:tc>
        <w:tc>
          <w:tcPr>
            <w:tcW w:w="118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b w:val="1"/>
                <w:bCs w:val="1"/>
                <w:color w:val="auto"/>
              </w:rPr>
              <w:t>138</w:t>
            </w:r>
          </w:p>
        </w:tc>
        <w:tc>
          <w:tcPr>
            <w:tcW w:w="180" w:type="dxa"/>
            <w:vAlign w:val="bottom"/>
            <w:tcBorders>
              <w:bottom w:val="single" w:sz="8" w:color="CFF0FC"/>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65"/>
              <w:spacing w:after="0"/>
              <w:rPr>
                <w:sz w:val="20"/>
                <w:szCs w:val="20"/>
                <w:color w:val="auto"/>
              </w:rPr>
            </w:pPr>
            <w:r>
              <w:rPr>
                <w:rFonts w:ascii="Arial" w:cs="Arial" w:eastAsia="Arial" w:hAnsi="Arial"/>
                <w:sz w:val="16"/>
                <w:szCs w:val="16"/>
                <w:color w:val="auto"/>
              </w:rPr>
              <w:t>131</w:t>
            </w:r>
          </w:p>
        </w:tc>
        <w:tc>
          <w:tcPr>
            <w:tcW w:w="0" w:type="dxa"/>
            <w:vAlign w:val="bottom"/>
          </w:tcPr>
          <w:p>
            <w:pPr>
              <w:spacing w:after="0"/>
              <w:rPr>
                <w:sz w:val="1"/>
                <w:szCs w:val="1"/>
                <w:color w:val="auto"/>
              </w:rPr>
            </w:pPr>
          </w:p>
        </w:tc>
      </w:tr>
      <w:tr>
        <w:trPr>
          <w:trHeight w:val="180"/>
        </w:trPr>
        <w:tc>
          <w:tcPr>
            <w:tcW w:w="7740" w:type="dxa"/>
            <w:vAlign w:val="bottom"/>
            <w:shd w:val="clear" w:color="auto" w:fill="CFF0FC"/>
          </w:tcPr>
          <w:p>
            <w:pPr>
              <w:spacing w:after="0" w:line="180" w:lineRule="exact"/>
              <w:rPr>
                <w:sz w:val="20"/>
                <w:szCs w:val="20"/>
                <w:color w:val="auto"/>
              </w:rPr>
            </w:pPr>
            <w:r>
              <w:rPr>
                <w:rFonts w:ascii="Arial" w:cs="Arial" w:eastAsia="Arial" w:hAnsi="Arial"/>
                <w:sz w:val="16"/>
                <w:szCs w:val="16"/>
                <w:color w:val="auto"/>
              </w:rPr>
              <w:t>Total Net Sales</w:t>
            </w:r>
          </w:p>
        </w:tc>
        <w:tc>
          <w:tcPr>
            <w:tcW w:w="1180" w:type="dxa"/>
            <w:vAlign w:val="bottom"/>
            <w:shd w:val="clear" w:color="auto" w:fill="CFF0FC"/>
          </w:tcPr>
          <w:p>
            <w:pPr>
              <w:jc w:val="right"/>
              <w:ind w:right="1008"/>
              <w:spacing w:after="0" w:line="180" w:lineRule="exact"/>
              <w:rPr>
                <w:sz w:val="20"/>
                <w:szCs w:val="20"/>
                <w:color w:val="auto"/>
              </w:rPr>
            </w:pPr>
            <w:r>
              <w:rPr>
                <w:rFonts w:ascii="Arial" w:cs="Arial" w:eastAsia="Arial" w:hAnsi="Arial"/>
                <w:sz w:val="16"/>
                <w:szCs w:val="16"/>
                <w:b w:val="1"/>
                <w:bCs w:val="1"/>
                <w:color w:val="auto"/>
                <w:w w:val="89"/>
              </w:rPr>
              <w:t>$</w:t>
            </w:r>
          </w:p>
        </w:tc>
        <w:tc>
          <w:tcPr>
            <w:tcW w:w="480" w:type="dxa"/>
            <w:vAlign w:val="bottom"/>
            <w:shd w:val="clear" w:color="auto" w:fill="CFF0FC"/>
          </w:tcPr>
          <w:p>
            <w:pPr>
              <w:jc w:val="right"/>
              <w:ind w:right="42"/>
              <w:spacing w:after="0" w:line="180" w:lineRule="exact"/>
              <w:rPr>
                <w:sz w:val="20"/>
                <w:szCs w:val="20"/>
                <w:color w:val="auto"/>
              </w:rPr>
            </w:pPr>
            <w:r>
              <w:rPr>
                <w:rFonts w:ascii="Arial" w:cs="Arial" w:eastAsia="Arial" w:hAnsi="Arial"/>
                <w:sz w:val="16"/>
                <w:szCs w:val="16"/>
                <w:b w:val="1"/>
                <w:bCs w:val="1"/>
                <w:color w:val="auto"/>
              </w:rPr>
              <w:t>637</w:t>
            </w:r>
          </w:p>
        </w:tc>
        <w:tc>
          <w:tcPr>
            <w:tcW w:w="400" w:type="dxa"/>
            <w:vAlign w:val="bottom"/>
            <w:gridSpan w:val="2"/>
            <w:shd w:val="clear" w:color="auto" w:fill="CFF0FC"/>
          </w:tcPr>
          <w:p>
            <w:pPr>
              <w:jc w:val="right"/>
              <w:ind w:right="140"/>
              <w:spacing w:after="0" w:line="180" w:lineRule="exact"/>
              <w:rPr>
                <w:sz w:val="20"/>
                <w:szCs w:val="20"/>
                <w:color w:val="auto"/>
              </w:rPr>
            </w:pPr>
            <w:r>
              <w:rPr>
                <w:rFonts w:ascii="Arial" w:cs="Arial" w:eastAsia="Arial" w:hAnsi="Arial"/>
                <w:sz w:val="16"/>
                <w:szCs w:val="16"/>
                <w:color w:val="auto"/>
              </w:rPr>
              <w:t>$</w:t>
            </w:r>
          </w:p>
        </w:tc>
        <w:tc>
          <w:tcPr>
            <w:tcW w:w="1460" w:type="dxa"/>
            <w:vAlign w:val="bottom"/>
            <w:shd w:val="clear" w:color="auto" w:fill="CFF0FC"/>
          </w:tcPr>
          <w:p>
            <w:pPr>
              <w:jc w:val="right"/>
              <w:ind w:right="65"/>
              <w:spacing w:after="0" w:line="180" w:lineRule="exact"/>
              <w:rPr>
                <w:sz w:val="20"/>
                <w:szCs w:val="20"/>
                <w:color w:val="auto"/>
              </w:rPr>
            </w:pPr>
            <w:r>
              <w:rPr>
                <w:rFonts w:ascii="Arial" w:cs="Arial" w:eastAsia="Arial" w:hAnsi="Arial"/>
                <w:sz w:val="16"/>
                <w:szCs w:val="16"/>
                <w:color w:val="auto"/>
              </w:rPr>
              <w:t>675</w:t>
            </w:r>
          </w:p>
        </w:tc>
        <w:tc>
          <w:tcPr>
            <w:tcW w:w="0" w:type="dxa"/>
            <w:vAlign w:val="bottom"/>
          </w:tcPr>
          <w:p>
            <w:pPr>
              <w:spacing w:after="0"/>
              <w:rPr>
                <w:sz w:val="1"/>
                <w:szCs w:val="1"/>
                <w:color w:val="auto"/>
              </w:rPr>
            </w:pPr>
          </w:p>
        </w:tc>
      </w:tr>
      <w:tr>
        <w:trPr>
          <w:trHeight w:val="20"/>
        </w:trPr>
        <w:tc>
          <w:tcPr>
            <w:tcW w:w="774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6"/>
                <w:szCs w:val="16"/>
                <w:b w:val="1"/>
                <w:bCs w:val="1"/>
                <w:color w:val="auto"/>
              </w:rPr>
              <w:t>NOTE D. INVENTORIES</w:t>
            </w:r>
          </w:p>
        </w:tc>
        <w:tc>
          <w:tcPr>
            <w:tcW w:w="11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5"/>
        </w:trPr>
        <w:tc>
          <w:tcPr>
            <w:tcW w:w="7740" w:type="dxa"/>
            <w:vAlign w:val="bottom"/>
            <w:vMerge w:val="continue"/>
          </w:tcPr>
          <w:p>
            <w:pPr>
              <w:spacing w:after="0"/>
              <w:rPr>
                <w:sz w:val="24"/>
                <w:szCs w:val="24"/>
                <w:color w:val="auto"/>
              </w:rPr>
            </w:pPr>
          </w:p>
        </w:tc>
        <w:tc>
          <w:tcPr>
            <w:tcW w:w="1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7740" w:type="dxa"/>
            <w:vAlign w:val="bottom"/>
          </w:tcPr>
          <w:p>
            <w:pPr>
              <w:ind w:left="520"/>
              <w:spacing w:after="0"/>
              <w:rPr>
                <w:sz w:val="20"/>
                <w:szCs w:val="20"/>
                <w:color w:val="auto"/>
              </w:rPr>
            </w:pPr>
            <w:r>
              <w:rPr>
                <w:rFonts w:ascii="Arial" w:cs="Arial" w:eastAsia="Arial" w:hAnsi="Arial"/>
                <w:sz w:val="16"/>
                <w:szCs w:val="16"/>
                <w:color w:val="auto"/>
              </w:rPr>
              <w:t>Inventories consisted of the following components (dollars in millions):</w:t>
            </w:r>
          </w:p>
        </w:tc>
        <w:tc>
          <w:tcPr>
            <w:tcW w:w="11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41"/>
        </w:trPr>
        <w:tc>
          <w:tcPr>
            <w:tcW w:w="7740" w:type="dxa"/>
            <w:vAlign w:val="bottom"/>
          </w:tcPr>
          <w:p>
            <w:pPr>
              <w:spacing w:after="0"/>
              <w:rPr>
                <w:sz w:val="24"/>
                <w:szCs w:val="24"/>
                <w:color w:val="auto"/>
              </w:rPr>
            </w:pPr>
          </w:p>
        </w:tc>
        <w:tc>
          <w:tcPr>
            <w:tcW w:w="1180" w:type="dxa"/>
            <w:vAlign w:val="bottom"/>
          </w:tcPr>
          <w:p>
            <w:pPr>
              <w:jc w:val="right"/>
              <w:ind w:right="48"/>
              <w:spacing w:after="0"/>
              <w:rPr>
                <w:sz w:val="20"/>
                <w:szCs w:val="20"/>
                <w:color w:val="auto"/>
              </w:rPr>
            </w:pPr>
            <w:r>
              <w:rPr>
                <w:rFonts w:ascii="Arial" w:cs="Arial" w:eastAsia="Arial" w:hAnsi="Arial"/>
                <w:sz w:val="13"/>
                <w:szCs w:val="13"/>
                <w:b w:val="1"/>
                <w:bCs w:val="1"/>
                <w:color w:val="auto"/>
              </w:rPr>
              <w:t>March 31,</w:t>
            </w: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tcPr>
          <w:p>
            <w:pPr>
              <w:jc w:val="right"/>
              <w:ind w:right="425"/>
              <w:spacing w:after="0"/>
              <w:rPr>
                <w:sz w:val="20"/>
                <w:szCs w:val="20"/>
                <w:color w:val="auto"/>
              </w:rPr>
            </w:pPr>
            <w:r>
              <w:rPr>
                <w:rFonts w:ascii="Arial" w:cs="Arial" w:eastAsia="Arial" w:hAnsi="Arial"/>
                <w:sz w:val="13"/>
                <w:szCs w:val="13"/>
                <w:b w:val="1"/>
                <w:bCs w:val="1"/>
                <w:color w:val="auto"/>
              </w:rPr>
              <w:t>December 31,</w:t>
            </w:r>
          </w:p>
        </w:tc>
        <w:tc>
          <w:tcPr>
            <w:tcW w:w="0" w:type="dxa"/>
            <w:vAlign w:val="bottom"/>
          </w:tcPr>
          <w:p>
            <w:pPr>
              <w:spacing w:after="0"/>
              <w:rPr>
                <w:sz w:val="1"/>
                <w:szCs w:val="1"/>
                <w:color w:val="auto"/>
              </w:rPr>
            </w:pPr>
          </w:p>
        </w:tc>
      </w:tr>
      <w:tr>
        <w:trPr>
          <w:trHeight w:val="153"/>
        </w:trPr>
        <w:tc>
          <w:tcPr>
            <w:tcW w:w="7740" w:type="dxa"/>
            <w:vAlign w:val="bottom"/>
            <w:tcBorders>
              <w:bottom w:val="single" w:sz="8" w:color="CFF0FC"/>
            </w:tcBorders>
          </w:tcPr>
          <w:p>
            <w:pPr>
              <w:spacing w:after="0"/>
              <w:rPr>
                <w:sz w:val="13"/>
                <w:szCs w:val="13"/>
                <w:color w:val="auto"/>
              </w:rPr>
            </w:pPr>
          </w:p>
        </w:tc>
        <w:tc>
          <w:tcPr>
            <w:tcW w:w="1180" w:type="dxa"/>
            <w:vAlign w:val="bottom"/>
            <w:tcBorders>
              <w:bottom w:val="single" w:sz="8" w:color="auto"/>
            </w:tcBorders>
          </w:tcPr>
          <w:p>
            <w:pPr>
              <w:jc w:val="right"/>
              <w:ind w:right="188"/>
              <w:spacing w:after="0"/>
              <w:rPr>
                <w:sz w:val="20"/>
                <w:szCs w:val="20"/>
                <w:color w:val="auto"/>
              </w:rPr>
            </w:pPr>
            <w:r>
              <w:rPr>
                <w:rFonts w:ascii="Arial" w:cs="Arial" w:eastAsia="Arial" w:hAnsi="Arial"/>
                <w:sz w:val="13"/>
                <w:szCs w:val="13"/>
                <w:b w:val="1"/>
                <w:bCs w:val="1"/>
                <w:color w:val="auto"/>
              </w:rPr>
              <w:t>2020</w:t>
            </w:r>
          </w:p>
        </w:tc>
        <w:tc>
          <w:tcPr>
            <w:tcW w:w="480" w:type="dxa"/>
            <w:vAlign w:val="bottom"/>
            <w:tcBorders>
              <w:bottom w:val="single" w:sz="8" w:color="auto"/>
            </w:tcBorders>
          </w:tcPr>
          <w:p>
            <w:pPr>
              <w:spacing w:after="0"/>
              <w:rPr>
                <w:sz w:val="13"/>
                <w:szCs w:val="13"/>
                <w:color w:val="auto"/>
              </w:rPr>
            </w:pPr>
          </w:p>
        </w:tc>
        <w:tc>
          <w:tcPr>
            <w:tcW w:w="18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tcPr>
          <w:p>
            <w:pPr>
              <w:jc w:val="right"/>
              <w:ind w:right="705"/>
              <w:spacing w:after="0"/>
              <w:rPr>
                <w:sz w:val="20"/>
                <w:szCs w:val="20"/>
                <w:color w:val="auto"/>
              </w:rPr>
            </w:pPr>
            <w:r>
              <w:rPr>
                <w:rFonts w:ascii="Arial" w:cs="Arial" w:eastAsia="Arial" w:hAnsi="Arial"/>
                <w:sz w:val="13"/>
                <w:szCs w:val="13"/>
                <w:b w:val="1"/>
                <w:bCs w:val="1"/>
                <w:color w:val="auto"/>
              </w:rPr>
              <w:t>2019</w:t>
            </w:r>
          </w:p>
        </w:tc>
        <w:tc>
          <w:tcPr>
            <w:tcW w:w="0" w:type="dxa"/>
            <w:vAlign w:val="bottom"/>
          </w:tcPr>
          <w:p>
            <w:pPr>
              <w:spacing w:after="0"/>
              <w:rPr>
                <w:sz w:val="1"/>
                <w:szCs w:val="1"/>
                <w:color w:val="auto"/>
              </w:rPr>
            </w:pPr>
          </w:p>
        </w:tc>
      </w:tr>
      <w:tr>
        <w:trPr>
          <w:trHeight w:val="180"/>
        </w:trPr>
        <w:tc>
          <w:tcPr>
            <w:tcW w:w="7740" w:type="dxa"/>
            <w:vAlign w:val="bottom"/>
            <w:shd w:val="clear" w:color="auto" w:fill="CFF0FC"/>
          </w:tcPr>
          <w:p>
            <w:pPr>
              <w:spacing w:after="0" w:line="180" w:lineRule="exact"/>
              <w:rPr>
                <w:sz w:val="20"/>
                <w:szCs w:val="20"/>
                <w:color w:val="auto"/>
              </w:rPr>
            </w:pPr>
            <w:r>
              <w:rPr>
                <w:rFonts w:ascii="Arial" w:cs="Arial" w:eastAsia="Arial" w:hAnsi="Arial"/>
                <w:sz w:val="16"/>
                <w:szCs w:val="16"/>
                <w:color w:val="auto"/>
              </w:rPr>
              <w:t>Purchased parts and raw materials</w:t>
            </w:r>
          </w:p>
        </w:tc>
        <w:tc>
          <w:tcPr>
            <w:tcW w:w="1180" w:type="dxa"/>
            <w:vAlign w:val="bottom"/>
            <w:shd w:val="clear" w:color="auto" w:fill="CFF0FC"/>
          </w:tcPr>
          <w:p>
            <w:pPr>
              <w:jc w:val="right"/>
              <w:ind w:right="1008"/>
              <w:spacing w:after="0" w:line="180" w:lineRule="exact"/>
              <w:rPr>
                <w:sz w:val="20"/>
                <w:szCs w:val="20"/>
                <w:color w:val="auto"/>
              </w:rPr>
            </w:pPr>
            <w:r>
              <w:rPr>
                <w:rFonts w:ascii="Arial" w:cs="Arial" w:eastAsia="Arial" w:hAnsi="Arial"/>
                <w:sz w:val="16"/>
                <w:szCs w:val="16"/>
                <w:b w:val="1"/>
                <w:bCs w:val="1"/>
                <w:color w:val="auto"/>
                <w:w w:val="89"/>
              </w:rPr>
              <w:t>$</w:t>
            </w:r>
          </w:p>
        </w:tc>
        <w:tc>
          <w:tcPr>
            <w:tcW w:w="480" w:type="dxa"/>
            <w:vAlign w:val="bottom"/>
            <w:shd w:val="clear" w:color="auto" w:fill="CFF0FC"/>
          </w:tcPr>
          <w:p>
            <w:pPr>
              <w:jc w:val="right"/>
              <w:ind w:right="42"/>
              <w:spacing w:after="0" w:line="180" w:lineRule="exact"/>
              <w:rPr>
                <w:sz w:val="20"/>
                <w:szCs w:val="20"/>
                <w:color w:val="auto"/>
              </w:rPr>
            </w:pPr>
            <w:r>
              <w:rPr>
                <w:rFonts w:ascii="Arial" w:cs="Arial" w:eastAsia="Arial" w:hAnsi="Arial"/>
                <w:sz w:val="16"/>
                <w:szCs w:val="16"/>
                <w:b w:val="1"/>
                <w:bCs w:val="1"/>
                <w:color w:val="auto"/>
              </w:rPr>
              <w:t>103</w:t>
            </w:r>
          </w:p>
        </w:tc>
        <w:tc>
          <w:tcPr>
            <w:tcW w:w="400" w:type="dxa"/>
            <w:vAlign w:val="bottom"/>
            <w:gridSpan w:val="2"/>
            <w:shd w:val="clear" w:color="auto" w:fill="CFF0FC"/>
          </w:tcPr>
          <w:p>
            <w:pPr>
              <w:jc w:val="right"/>
              <w:ind w:right="140"/>
              <w:spacing w:after="0" w:line="180" w:lineRule="exact"/>
              <w:rPr>
                <w:sz w:val="20"/>
                <w:szCs w:val="20"/>
                <w:color w:val="auto"/>
              </w:rPr>
            </w:pPr>
            <w:r>
              <w:rPr>
                <w:rFonts w:ascii="Arial" w:cs="Arial" w:eastAsia="Arial" w:hAnsi="Arial"/>
                <w:sz w:val="16"/>
                <w:szCs w:val="16"/>
                <w:color w:val="auto"/>
              </w:rPr>
              <w:t>$</w:t>
            </w:r>
          </w:p>
        </w:tc>
        <w:tc>
          <w:tcPr>
            <w:tcW w:w="1460" w:type="dxa"/>
            <w:vAlign w:val="bottom"/>
            <w:shd w:val="clear" w:color="auto" w:fill="CFF0FC"/>
          </w:tcPr>
          <w:p>
            <w:pPr>
              <w:jc w:val="right"/>
              <w:ind w:right="65"/>
              <w:spacing w:after="0" w:line="180" w:lineRule="exact"/>
              <w:rPr>
                <w:sz w:val="20"/>
                <w:szCs w:val="20"/>
                <w:color w:val="auto"/>
              </w:rPr>
            </w:pPr>
            <w:r>
              <w:rPr>
                <w:rFonts w:ascii="Arial" w:cs="Arial" w:eastAsia="Arial" w:hAnsi="Arial"/>
                <w:sz w:val="16"/>
                <w:szCs w:val="16"/>
                <w:color w:val="auto"/>
              </w:rPr>
              <w:t>91</w:t>
            </w:r>
          </w:p>
        </w:tc>
        <w:tc>
          <w:tcPr>
            <w:tcW w:w="0" w:type="dxa"/>
            <w:vAlign w:val="bottom"/>
          </w:tcPr>
          <w:p>
            <w:pPr>
              <w:spacing w:after="0"/>
              <w:rPr>
                <w:sz w:val="1"/>
                <w:szCs w:val="1"/>
                <w:color w:val="auto"/>
              </w:rPr>
            </w:pPr>
          </w:p>
        </w:tc>
      </w:tr>
      <w:tr>
        <w:trPr>
          <w:trHeight w:val="188"/>
        </w:trPr>
        <w:tc>
          <w:tcPr>
            <w:tcW w:w="7740" w:type="dxa"/>
            <w:vAlign w:val="bottom"/>
          </w:tcPr>
          <w:p>
            <w:pPr>
              <w:spacing w:after="0"/>
              <w:rPr>
                <w:sz w:val="20"/>
                <w:szCs w:val="20"/>
                <w:color w:val="auto"/>
              </w:rPr>
            </w:pPr>
            <w:r>
              <w:rPr>
                <w:rFonts w:ascii="Arial" w:cs="Arial" w:eastAsia="Arial" w:hAnsi="Arial"/>
                <w:sz w:val="16"/>
                <w:szCs w:val="16"/>
                <w:color w:val="auto"/>
              </w:rPr>
              <w:t>Work in progress</w:t>
            </w:r>
          </w:p>
        </w:tc>
        <w:tc>
          <w:tcPr>
            <w:tcW w:w="1180" w:type="dxa"/>
            <w:vAlign w:val="bottom"/>
          </w:tcPr>
          <w:p>
            <w:pPr>
              <w:spacing w:after="0"/>
              <w:rPr>
                <w:sz w:val="16"/>
                <w:szCs w:val="16"/>
                <w:color w:val="auto"/>
              </w:rPr>
            </w:pPr>
          </w:p>
        </w:tc>
        <w:tc>
          <w:tcPr>
            <w:tcW w:w="480" w:type="dxa"/>
            <w:vAlign w:val="bottom"/>
          </w:tcPr>
          <w:p>
            <w:pPr>
              <w:jc w:val="right"/>
              <w:ind w:right="42"/>
              <w:spacing w:after="0"/>
              <w:rPr>
                <w:sz w:val="20"/>
                <w:szCs w:val="20"/>
                <w:color w:val="auto"/>
              </w:rPr>
            </w:pPr>
            <w:r>
              <w:rPr>
                <w:rFonts w:ascii="Arial" w:cs="Arial" w:eastAsia="Arial" w:hAnsi="Arial"/>
                <w:sz w:val="16"/>
                <w:szCs w:val="16"/>
                <w:b w:val="1"/>
                <w:bCs w:val="1"/>
                <w:color w:val="auto"/>
              </w:rPr>
              <w:t>22</w:t>
            </w: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60" w:type="dxa"/>
            <w:vAlign w:val="bottom"/>
          </w:tcPr>
          <w:p>
            <w:pPr>
              <w:jc w:val="right"/>
              <w:ind w:right="65"/>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188"/>
        </w:trPr>
        <w:tc>
          <w:tcPr>
            <w:tcW w:w="7740" w:type="dxa"/>
            <w:vAlign w:val="bottom"/>
            <w:shd w:val="clear" w:color="auto" w:fill="CFF0FC"/>
          </w:tcPr>
          <w:p>
            <w:pPr>
              <w:spacing w:after="0"/>
              <w:rPr>
                <w:sz w:val="20"/>
                <w:szCs w:val="20"/>
                <w:color w:val="auto"/>
              </w:rPr>
            </w:pPr>
            <w:r>
              <w:rPr>
                <w:rFonts w:ascii="Arial" w:cs="Arial" w:eastAsia="Arial" w:hAnsi="Arial"/>
                <w:sz w:val="16"/>
                <w:szCs w:val="16"/>
                <w:color w:val="auto"/>
              </w:rPr>
              <w:t>Service parts</w:t>
            </w:r>
          </w:p>
        </w:tc>
        <w:tc>
          <w:tcPr>
            <w:tcW w:w="1180" w:type="dxa"/>
            <w:vAlign w:val="bottom"/>
            <w:shd w:val="clear" w:color="auto" w:fill="CFF0FC"/>
          </w:tcPr>
          <w:p>
            <w:pPr>
              <w:spacing w:after="0"/>
              <w:rPr>
                <w:sz w:val="16"/>
                <w:szCs w:val="16"/>
                <w:color w:val="auto"/>
              </w:rPr>
            </w:pPr>
          </w:p>
        </w:tc>
        <w:tc>
          <w:tcPr>
            <w:tcW w:w="480" w:type="dxa"/>
            <w:vAlign w:val="bottom"/>
            <w:shd w:val="clear" w:color="auto" w:fill="CFF0FC"/>
          </w:tcPr>
          <w:p>
            <w:pPr>
              <w:jc w:val="right"/>
              <w:ind w:right="42"/>
              <w:spacing w:after="0"/>
              <w:rPr>
                <w:sz w:val="20"/>
                <w:szCs w:val="20"/>
                <w:color w:val="auto"/>
              </w:rPr>
            </w:pPr>
            <w:r>
              <w:rPr>
                <w:rFonts w:ascii="Arial" w:cs="Arial" w:eastAsia="Arial" w:hAnsi="Arial"/>
                <w:sz w:val="16"/>
                <w:szCs w:val="16"/>
                <w:b w:val="1"/>
                <w:bCs w:val="1"/>
                <w:color w:val="auto"/>
              </w:rPr>
              <w:t>52</w:t>
            </w:r>
          </w:p>
        </w:tc>
        <w:tc>
          <w:tcPr>
            <w:tcW w:w="1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460" w:type="dxa"/>
            <w:vAlign w:val="bottom"/>
            <w:shd w:val="clear" w:color="auto" w:fill="CFF0FC"/>
          </w:tcPr>
          <w:p>
            <w:pPr>
              <w:jc w:val="right"/>
              <w:ind w:right="65"/>
              <w:spacing w:after="0"/>
              <w:rPr>
                <w:sz w:val="20"/>
                <w:szCs w:val="20"/>
                <w:color w:val="auto"/>
              </w:rPr>
            </w:pPr>
            <w:r>
              <w:rPr>
                <w:rFonts w:ascii="Arial" w:cs="Arial" w:eastAsia="Arial" w:hAnsi="Arial"/>
                <w:sz w:val="16"/>
                <w:szCs w:val="16"/>
                <w:color w:val="auto"/>
              </w:rPr>
              <w:t>60</w:t>
            </w:r>
          </w:p>
        </w:tc>
        <w:tc>
          <w:tcPr>
            <w:tcW w:w="0" w:type="dxa"/>
            <w:vAlign w:val="bottom"/>
          </w:tcPr>
          <w:p>
            <w:pPr>
              <w:spacing w:after="0"/>
              <w:rPr>
                <w:sz w:val="1"/>
                <w:szCs w:val="1"/>
                <w:color w:val="auto"/>
              </w:rPr>
            </w:pPr>
          </w:p>
        </w:tc>
      </w:tr>
      <w:tr>
        <w:trPr>
          <w:trHeight w:val="188"/>
        </w:trPr>
        <w:tc>
          <w:tcPr>
            <w:tcW w:w="774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Finished goods</w:t>
            </w:r>
          </w:p>
        </w:tc>
        <w:tc>
          <w:tcPr>
            <w:tcW w:w="118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b w:val="1"/>
                <w:bCs w:val="1"/>
                <w:color w:val="auto"/>
              </w:rPr>
              <w:t>30</w:t>
            </w:r>
          </w:p>
        </w:tc>
        <w:tc>
          <w:tcPr>
            <w:tcW w:w="180" w:type="dxa"/>
            <w:vAlign w:val="bottom"/>
            <w:tcBorders>
              <w:bottom w:val="single" w:sz="8" w:color="CFF0FC"/>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65"/>
              <w:spacing w:after="0"/>
              <w:rPr>
                <w:sz w:val="20"/>
                <w:szCs w:val="20"/>
                <w:color w:val="auto"/>
              </w:rPr>
            </w:pPr>
            <w:r>
              <w:rPr>
                <w:rFonts w:ascii="Arial" w:cs="Arial" w:eastAsia="Arial" w:hAnsi="Arial"/>
                <w:sz w:val="16"/>
                <w:szCs w:val="16"/>
                <w:color w:val="auto"/>
              </w:rPr>
              <w:t>31</w:t>
            </w:r>
          </w:p>
        </w:tc>
        <w:tc>
          <w:tcPr>
            <w:tcW w:w="0" w:type="dxa"/>
            <w:vAlign w:val="bottom"/>
          </w:tcPr>
          <w:p>
            <w:pPr>
              <w:spacing w:after="0"/>
              <w:rPr>
                <w:sz w:val="1"/>
                <w:szCs w:val="1"/>
                <w:color w:val="auto"/>
              </w:rPr>
            </w:pPr>
          </w:p>
        </w:tc>
      </w:tr>
      <w:tr>
        <w:trPr>
          <w:trHeight w:val="180"/>
        </w:trPr>
        <w:tc>
          <w:tcPr>
            <w:tcW w:w="7740" w:type="dxa"/>
            <w:vAlign w:val="bottom"/>
            <w:shd w:val="clear" w:color="auto" w:fill="CFF0FC"/>
          </w:tcPr>
          <w:p>
            <w:pPr>
              <w:ind w:left="200"/>
              <w:spacing w:after="0" w:line="180" w:lineRule="exact"/>
              <w:rPr>
                <w:sz w:val="20"/>
                <w:szCs w:val="20"/>
                <w:color w:val="auto"/>
              </w:rPr>
            </w:pPr>
            <w:r>
              <w:rPr>
                <w:rFonts w:ascii="Arial" w:cs="Arial" w:eastAsia="Arial" w:hAnsi="Arial"/>
                <w:sz w:val="16"/>
                <w:szCs w:val="16"/>
                <w:color w:val="auto"/>
              </w:rPr>
              <w:t>Total inventories</w:t>
            </w:r>
          </w:p>
        </w:tc>
        <w:tc>
          <w:tcPr>
            <w:tcW w:w="1180" w:type="dxa"/>
            <w:vAlign w:val="bottom"/>
            <w:shd w:val="clear" w:color="auto" w:fill="CFF0FC"/>
          </w:tcPr>
          <w:p>
            <w:pPr>
              <w:jc w:val="right"/>
              <w:ind w:right="1008"/>
              <w:spacing w:after="0" w:line="180" w:lineRule="exact"/>
              <w:rPr>
                <w:sz w:val="20"/>
                <w:szCs w:val="20"/>
                <w:color w:val="auto"/>
              </w:rPr>
            </w:pPr>
            <w:r>
              <w:rPr>
                <w:rFonts w:ascii="Arial" w:cs="Arial" w:eastAsia="Arial" w:hAnsi="Arial"/>
                <w:sz w:val="16"/>
                <w:szCs w:val="16"/>
                <w:b w:val="1"/>
                <w:bCs w:val="1"/>
                <w:color w:val="auto"/>
                <w:w w:val="89"/>
              </w:rPr>
              <w:t>$</w:t>
            </w:r>
          </w:p>
        </w:tc>
        <w:tc>
          <w:tcPr>
            <w:tcW w:w="480" w:type="dxa"/>
            <w:vAlign w:val="bottom"/>
            <w:shd w:val="clear" w:color="auto" w:fill="CFF0FC"/>
          </w:tcPr>
          <w:p>
            <w:pPr>
              <w:jc w:val="right"/>
              <w:ind w:right="42"/>
              <w:spacing w:after="0" w:line="180" w:lineRule="exact"/>
              <w:rPr>
                <w:sz w:val="20"/>
                <w:szCs w:val="20"/>
                <w:color w:val="auto"/>
              </w:rPr>
            </w:pPr>
            <w:r>
              <w:rPr>
                <w:rFonts w:ascii="Arial" w:cs="Arial" w:eastAsia="Arial" w:hAnsi="Arial"/>
                <w:sz w:val="16"/>
                <w:szCs w:val="16"/>
                <w:b w:val="1"/>
                <w:bCs w:val="1"/>
                <w:color w:val="auto"/>
              </w:rPr>
              <w:t>207</w:t>
            </w:r>
          </w:p>
        </w:tc>
        <w:tc>
          <w:tcPr>
            <w:tcW w:w="400" w:type="dxa"/>
            <w:vAlign w:val="bottom"/>
            <w:gridSpan w:val="2"/>
            <w:shd w:val="clear" w:color="auto" w:fill="CFF0FC"/>
          </w:tcPr>
          <w:p>
            <w:pPr>
              <w:jc w:val="right"/>
              <w:ind w:right="140"/>
              <w:spacing w:after="0" w:line="180" w:lineRule="exact"/>
              <w:rPr>
                <w:sz w:val="20"/>
                <w:szCs w:val="20"/>
                <w:color w:val="auto"/>
              </w:rPr>
            </w:pPr>
            <w:r>
              <w:rPr>
                <w:rFonts w:ascii="Arial" w:cs="Arial" w:eastAsia="Arial" w:hAnsi="Arial"/>
                <w:sz w:val="16"/>
                <w:szCs w:val="16"/>
                <w:color w:val="auto"/>
              </w:rPr>
              <w:t>$</w:t>
            </w:r>
          </w:p>
        </w:tc>
        <w:tc>
          <w:tcPr>
            <w:tcW w:w="1460" w:type="dxa"/>
            <w:vAlign w:val="bottom"/>
            <w:shd w:val="clear" w:color="auto" w:fill="CFF0FC"/>
          </w:tcPr>
          <w:p>
            <w:pPr>
              <w:jc w:val="right"/>
              <w:ind w:right="65"/>
              <w:spacing w:after="0" w:line="180" w:lineRule="exact"/>
              <w:rPr>
                <w:sz w:val="20"/>
                <w:szCs w:val="20"/>
                <w:color w:val="auto"/>
              </w:rPr>
            </w:pPr>
            <w:r>
              <w:rPr>
                <w:rFonts w:ascii="Arial" w:cs="Arial" w:eastAsia="Arial" w:hAnsi="Arial"/>
                <w:sz w:val="16"/>
                <w:szCs w:val="16"/>
                <w:color w:val="auto"/>
              </w:rPr>
              <w:t>199</w:t>
            </w:r>
          </w:p>
        </w:tc>
        <w:tc>
          <w:tcPr>
            <w:tcW w:w="0" w:type="dxa"/>
            <w:vAlign w:val="bottom"/>
          </w:tcPr>
          <w:p>
            <w:pPr>
              <w:spacing w:after="0"/>
              <w:rPr>
                <w:sz w:val="1"/>
                <w:szCs w:val="1"/>
                <w:color w:val="auto"/>
              </w:rPr>
            </w:pPr>
          </w:p>
        </w:tc>
      </w:tr>
      <w:tr>
        <w:trPr>
          <w:trHeight w:val="20"/>
        </w:trPr>
        <w:tc>
          <w:tcPr>
            <w:tcW w:w="7740" w:type="dxa"/>
            <w:vAlign w:val="bottom"/>
            <w:tcBorders>
              <w:top w:val="single" w:sz="8" w:color="CFF0FC"/>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right="100" w:firstLine="528"/>
        <w:spacing w:after="0" w:line="234" w:lineRule="auto"/>
        <w:rPr>
          <w:sz w:val="20"/>
          <w:szCs w:val="20"/>
          <w:color w:val="auto"/>
        </w:rPr>
      </w:pPr>
      <w:r>
        <w:rPr>
          <w:rFonts w:ascii="Arial" w:cs="Arial" w:eastAsia="Arial" w:hAnsi="Arial"/>
          <w:sz w:val="16"/>
          <w:szCs w:val="16"/>
          <w:color w:val="auto"/>
        </w:rPr>
        <w:t>Inventory components shipped to third parties, primarily cores, parts to re-manufacturers, and parts to contract manufacturers, which the Company has an obligation to buy back, are included in purchased parts and raw materials, with an offsetting liability in Other current liabilities. See NOTE L, “Other Current Liabilities” for more information.</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55245</wp:posOffset>
            </wp:positionV>
            <wp:extent cx="7150100" cy="146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0"/>
          </w:cols>
          <w:pgMar w:left="320" w:top="140" w:right="319" w:bottom="1440" w:gutter="0" w:footer="0" w:header="0"/>
        </w:sectPr>
      </w:pPr>
    </w:p>
    <w:bookmarkStart w:id="10" w:name="page11"/>
    <w:bookmarkEnd w:id="1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E. GOODWILL AND OTHER INTANGIBLE ASSETS</w:t>
      </w:r>
    </w:p>
    <w:p>
      <w:pPr>
        <w:spacing w:after="0" w:line="106" w:lineRule="exact"/>
        <w:rPr>
          <w:sz w:val="20"/>
          <w:szCs w:val="20"/>
          <w:color w:val="auto"/>
        </w:rPr>
      </w:pPr>
    </w:p>
    <w:p>
      <w:pPr>
        <w:ind w:left="520"/>
        <w:spacing w:after="0"/>
        <w:rPr>
          <w:sz w:val="20"/>
          <w:szCs w:val="20"/>
          <w:color w:val="auto"/>
        </w:rPr>
      </w:pPr>
      <w:r>
        <w:rPr>
          <w:rFonts w:ascii="Arial" w:cs="Arial" w:eastAsia="Arial" w:hAnsi="Arial"/>
          <w:sz w:val="16"/>
          <w:szCs w:val="16"/>
          <w:color w:val="auto"/>
        </w:rPr>
        <w:t>As of March 31, 2020 and December 31, 2019, the carrying amount of the Company’s Goodwill was $2,041 million.</w:t>
      </w:r>
    </w:p>
    <w:p>
      <w:pPr>
        <w:spacing w:after="0" w:line="86"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following presents a summary of other intangible assets (dollars in millions):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36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gridSpan w:val="3"/>
          </w:tcPr>
          <w:p>
            <w:pPr>
              <w:ind w:left="100"/>
              <w:spacing w:after="0"/>
              <w:rPr>
                <w:sz w:val="20"/>
                <w:szCs w:val="20"/>
                <w:color w:val="auto"/>
              </w:rPr>
            </w:pPr>
            <w:r>
              <w:rPr>
                <w:rFonts w:ascii="Arial" w:cs="Arial" w:eastAsia="Arial" w:hAnsi="Arial"/>
                <w:sz w:val="13"/>
                <w:szCs w:val="13"/>
                <w:b w:val="1"/>
                <w:bCs w:val="1"/>
                <w:color w:val="auto"/>
              </w:rPr>
              <w:t>March 31, 2020</w:t>
            </w:r>
          </w:p>
        </w:tc>
        <w:tc>
          <w:tcPr>
            <w:tcW w:w="1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gridSpan w:val="5"/>
          </w:tcPr>
          <w:p>
            <w:pPr>
              <w:jc w:val="center"/>
              <w:ind w:right="40"/>
              <w:spacing w:after="0"/>
              <w:rPr>
                <w:sz w:val="20"/>
                <w:szCs w:val="20"/>
                <w:color w:val="auto"/>
              </w:rPr>
            </w:pPr>
            <w:r>
              <w:rPr>
                <w:rFonts w:ascii="Arial" w:cs="Arial" w:eastAsia="Arial" w:hAnsi="Arial"/>
                <w:sz w:val="13"/>
                <w:szCs w:val="13"/>
                <w:b w:val="1"/>
                <w:bCs w:val="1"/>
                <w:color w:val="auto"/>
                <w:w w:val="95"/>
              </w:rPr>
              <w:t>December 31, 2019</w:t>
            </w:r>
          </w:p>
        </w:tc>
        <w:tc>
          <w:tcPr>
            <w:tcW w:w="1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r>
      <w:tr>
        <w:trPr>
          <w:trHeight w:val="102"/>
        </w:trPr>
        <w:tc>
          <w:tcPr>
            <w:tcW w:w="36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80" w:type="dxa"/>
            <w:vAlign w:val="bottom"/>
          </w:tcPr>
          <w:p>
            <w:pPr>
              <w:spacing w:after="0"/>
              <w:rPr>
                <w:sz w:val="8"/>
                <w:szCs w:val="8"/>
                <w:color w:val="auto"/>
              </w:rPr>
            </w:pPr>
          </w:p>
        </w:tc>
        <w:tc>
          <w:tcPr>
            <w:tcW w:w="920" w:type="dxa"/>
            <w:vAlign w:val="bottom"/>
          </w:tcPr>
          <w:p>
            <w:pPr>
              <w:jc w:val="right"/>
              <w:ind w:right="228"/>
              <w:spacing w:after="0" w:line="102" w:lineRule="exact"/>
              <w:rPr>
                <w:sz w:val="20"/>
                <w:szCs w:val="20"/>
                <w:color w:val="auto"/>
              </w:rPr>
            </w:pPr>
            <w:r>
              <w:rPr>
                <w:rFonts w:ascii="Arial" w:cs="Arial" w:eastAsia="Arial" w:hAnsi="Arial"/>
                <w:sz w:val="11"/>
                <w:szCs w:val="11"/>
                <w:b w:val="1"/>
                <w:bCs w:val="1"/>
                <w:color w:val="auto"/>
              </w:rPr>
              <w:t>Intangible</w:t>
            </w: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920" w:type="dxa"/>
            <w:vAlign w:val="bottom"/>
          </w:tcPr>
          <w:p>
            <w:pPr>
              <w:jc w:val="right"/>
              <w:ind w:right="148"/>
              <w:spacing w:after="0" w:line="102" w:lineRule="exact"/>
              <w:rPr>
                <w:sz w:val="20"/>
                <w:szCs w:val="20"/>
                <w:color w:val="auto"/>
              </w:rPr>
            </w:pPr>
            <w:r>
              <w:rPr>
                <w:rFonts w:ascii="Arial" w:cs="Arial" w:eastAsia="Arial" w:hAnsi="Arial"/>
                <w:sz w:val="11"/>
                <w:szCs w:val="11"/>
                <w:b w:val="1"/>
                <w:bCs w:val="1"/>
                <w:color w:val="auto"/>
                <w:w w:val="98"/>
              </w:rPr>
              <w:t>Accumulated</w:t>
            </w: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80" w:type="dxa"/>
            <w:vAlign w:val="bottom"/>
          </w:tcPr>
          <w:p>
            <w:pPr>
              <w:jc w:val="center"/>
              <w:ind w:right="168"/>
              <w:spacing w:after="0" w:line="102" w:lineRule="exact"/>
              <w:rPr>
                <w:sz w:val="20"/>
                <w:szCs w:val="20"/>
                <w:color w:val="auto"/>
              </w:rPr>
            </w:pPr>
            <w:r>
              <w:rPr>
                <w:rFonts w:ascii="Arial" w:cs="Arial" w:eastAsia="Arial" w:hAnsi="Arial"/>
                <w:sz w:val="11"/>
                <w:szCs w:val="11"/>
                <w:b w:val="1"/>
                <w:bCs w:val="1"/>
                <w:color w:val="auto"/>
                <w:w w:val="99"/>
              </w:rPr>
              <w:t>Intangible</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jc w:val="right"/>
              <w:ind w:right="168"/>
              <w:spacing w:after="0" w:line="102" w:lineRule="exact"/>
              <w:rPr>
                <w:sz w:val="20"/>
                <w:szCs w:val="20"/>
                <w:color w:val="auto"/>
              </w:rPr>
            </w:pPr>
            <w:r>
              <w:rPr>
                <w:rFonts w:ascii="Arial" w:cs="Arial" w:eastAsia="Arial" w:hAnsi="Arial"/>
                <w:sz w:val="11"/>
                <w:szCs w:val="11"/>
                <w:b w:val="1"/>
                <w:bCs w:val="1"/>
                <w:color w:val="auto"/>
              </w:rPr>
              <w:t>Intangible</w:t>
            </w: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20" w:type="dxa"/>
            <w:vAlign w:val="bottom"/>
            <w:gridSpan w:val="2"/>
          </w:tcPr>
          <w:p>
            <w:pPr>
              <w:jc w:val="center"/>
              <w:ind w:right="320"/>
              <w:spacing w:after="0" w:line="102" w:lineRule="exact"/>
              <w:rPr>
                <w:sz w:val="20"/>
                <w:szCs w:val="20"/>
                <w:color w:val="auto"/>
              </w:rPr>
            </w:pPr>
            <w:r>
              <w:rPr>
                <w:rFonts w:ascii="Arial" w:cs="Arial" w:eastAsia="Arial" w:hAnsi="Arial"/>
                <w:sz w:val="11"/>
                <w:szCs w:val="11"/>
                <w:b w:val="1"/>
                <w:bCs w:val="1"/>
                <w:color w:val="auto"/>
              </w:rPr>
              <w:t>Accumulated</w:t>
            </w:r>
          </w:p>
        </w:tc>
        <w:tc>
          <w:tcPr>
            <w:tcW w:w="120" w:type="dxa"/>
            <w:vAlign w:val="bottom"/>
          </w:tcPr>
          <w:p>
            <w:pPr>
              <w:spacing w:after="0"/>
              <w:rPr>
                <w:sz w:val="8"/>
                <w:szCs w:val="8"/>
                <w:color w:val="auto"/>
              </w:rPr>
            </w:pPr>
          </w:p>
        </w:tc>
        <w:tc>
          <w:tcPr>
            <w:tcW w:w="900" w:type="dxa"/>
            <w:vAlign w:val="bottom"/>
          </w:tcPr>
          <w:p>
            <w:pPr>
              <w:jc w:val="right"/>
              <w:ind w:right="248"/>
              <w:spacing w:after="0" w:line="102" w:lineRule="exact"/>
              <w:rPr>
                <w:sz w:val="20"/>
                <w:szCs w:val="20"/>
                <w:color w:val="auto"/>
              </w:rPr>
            </w:pPr>
            <w:r>
              <w:rPr>
                <w:rFonts w:ascii="Arial" w:cs="Arial" w:eastAsia="Arial" w:hAnsi="Arial"/>
                <w:sz w:val="11"/>
                <w:szCs w:val="11"/>
                <w:b w:val="1"/>
                <w:bCs w:val="1"/>
                <w:color w:val="auto"/>
              </w:rPr>
              <w:t>Intangible</w:t>
            </w:r>
          </w:p>
        </w:tc>
      </w:tr>
      <w:tr>
        <w:trPr>
          <w:trHeight w:val="137"/>
        </w:trPr>
        <w:tc>
          <w:tcPr>
            <w:tcW w:w="36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jc w:val="right"/>
              <w:ind w:right="148"/>
              <w:spacing w:after="0"/>
              <w:rPr>
                <w:sz w:val="20"/>
                <w:szCs w:val="20"/>
                <w:color w:val="auto"/>
              </w:rPr>
            </w:pPr>
            <w:r>
              <w:rPr>
                <w:rFonts w:ascii="Arial" w:cs="Arial" w:eastAsia="Arial" w:hAnsi="Arial"/>
                <w:sz w:val="11"/>
                <w:szCs w:val="11"/>
                <w:b w:val="1"/>
                <w:bCs w:val="1"/>
                <w:color w:val="auto"/>
                <w:w w:val="96"/>
              </w:rPr>
              <w:t>assets, gross</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jc w:val="right"/>
              <w:ind w:right="168"/>
              <w:spacing w:after="0"/>
              <w:rPr>
                <w:sz w:val="20"/>
                <w:szCs w:val="20"/>
                <w:color w:val="auto"/>
              </w:rPr>
            </w:pPr>
            <w:r>
              <w:rPr>
                <w:rFonts w:ascii="Arial" w:cs="Arial" w:eastAsia="Arial" w:hAnsi="Arial"/>
                <w:sz w:val="11"/>
                <w:szCs w:val="11"/>
                <w:b w:val="1"/>
                <w:bCs w:val="1"/>
                <w:color w:val="auto"/>
              </w:rPr>
              <w:t>amortization</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gridSpan w:val="2"/>
          </w:tcPr>
          <w:p>
            <w:pPr>
              <w:jc w:val="center"/>
              <w:ind w:right="340"/>
              <w:spacing w:after="0"/>
              <w:rPr>
                <w:sz w:val="20"/>
                <w:szCs w:val="20"/>
                <w:color w:val="auto"/>
              </w:rPr>
            </w:pPr>
            <w:r>
              <w:rPr>
                <w:rFonts w:ascii="Arial" w:cs="Arial" w:eastAsia="Arial" w:hAnsi="Arial"/>
                <w:sz w:val="11"/>
                <w:szCs w:val="11"/>
                <w:b w:val="1"/>
                <w:bCs w:val="1"/>
                <w:color w:val="auto"/>
                <w:w w:val="98"/>
              </w:rPr>
              <w:t>assets, net</w:t>
            </w:r>
          </w:p>
        </w:tc>
        <w:tc>
          <w:tcPr>
            <w:tcW w:w="100" w:type="dxa"/>
            <w:vAlign w:val="bottom"/>
          </w:tcPr>
          <w:p>
            <w:pPr>
              <w:spacing w:after="0"/>
              <w:rPr>
                <w:sz w:val="11"/>
                <w:szCs w:val="11"/>
                <w:color w:val="auto"/>
              </w:rPr>
            </w:pPr>
          </w:p>
        </w:tc>
        <w:tc>
          <w:tcPr>
            <w:tcW w:w="840" w:type="dxa"/>
            <w:vAlign w:val="bottom"/>
          </w:tcPr>
          <w:p>
            <w:pPr>
              <w:jc w:val="right"/>
              <w:ind w:right="68"/>
              <w:spacing w:after="0"/>
              <w:rPr>
                <w:sz w:val="20"/>
                <w:szCs w:val="20"/>
                <w:color w:val="auto"/>
              </w:rPr>
            </w:pPr>
            <w:r>
              <w:rPr>
                <w:rFonts w:ascii="Arial" w:cs="Arial" w:eastAsia="Arial" w:hAnsi="Arial"/>
                <w:sz w:val="11"/>
                <w:szCs w:val="11"/>
                <w:b w:val="1"/>
                <w:bCs w:val="1"/>
                <w:color w:val="auto"/>
                <w:w w:val="96"/>
              </w:rPr>
              <w:t>assets, gross</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1"/>
                <w:szCs w:val="11"/>
                <w:b w:val="1"/>
                <w:bCs w:val="1"/>
                <w:color w:val="auto"/>
              </w:rPr>
              <w:t>amortization</w:t>
            </w:r>
          </w:p>
        </w:tc>
        <w:tc>
          <w:tcPr>
            <w:tcW w:w="120" w:type="dxa"/>
            <w:vAlign w:val="bottom"/>
          </w:tcPr>
          <w:p>
            <w:pPr>
              <w:spacing w:after="0"/>
              <w:rPr>
                <w:sz w:val="11"/>
                <w:szCs w:val="11"/>
                <w:color w:val="auto"/>
              </w:rPr>
            </w:pPr>
          </w:p>
        </w:tc>
        <w:tc>
          <w:tcPr>
            <w:tcW w:w="900" w:type="dxa"/>
            <w:vAlign w:val="bottom"/>
          </w:tcPr>
          <w:p>
            <w:pPr>
              <w:jc w:val="right"/>
              <w:ind w:right="228"/>
              <w:spacing w:after="0"/>
              <w:rPr>
                <w:sz w:val="20"/>
                <w:szCs w:val="20"/>
                <w:color w:val="auto"/>
              </w:rPr>
            </w:pPr>
            <w:r>
              <w:rPr>
                <w:rFonts w:ascii="Arial" w:cs="Arial" w:eastAsia="Arial" w:hAnsi="Arial"/>
                <w:sz w:val="11"/>
                <w:szCs w:val="11"/>
                <w:b w:val="1"/>
                <w:bCs w:val="1"/>
                <w:color w:val="auto"/>
              </w:rPr>
              <w:t>assets, net</w:t>
            </w:r>
          </w:p>
        </w:tc>
      </w:tr>
      <w:tr>
        <w:trPr>
          <w:trHeight w:val="180"/>
        </w:trPr>
        <w:tc>
          <w:tcPr>
            <w:tcW w:w="3680" w:type="dxa"/>
            <w:vAlign w:val="bottom"/>
            <w:tcBorders>
              <w:top w:val="single" w:sz="8" w:color="CFF0FC"/>
            </w:tcBorders>
            <w:shd w:val="clear" w:color="auto" w:fill="CFF0FC"/>
          </w:tcPr>
          <w:p>
            <w:pPr>
              <w:spacing w:after="0" w:line="180" w:lineRule="exact"/>
              <w:rPr>
                <w:sz w:val="20"/>
                <w:szCs w:val="20"/>
                <w:color w:val="auto"/>
              </w:rPr>
            </w:pPr>
            <w:r>
              <w:rPr>
                <w:rFonts w:ascii="Arial" w:cs="Arial" w:eastAsia="Arial" w:hAnsi="Arial"/>
                <w:sz w:val="16"/>
                <w:szCs w:val="16"/>
                <w:color w:val="auto"/>
              </w:rPr>
              <w:t>Other intangible assets:</w:t>
            </w:r>
          </w:p>
        </w:tc>
        <w:tc>
          <w:tcPr>
            <w:tcW w:w="1040" w:type="dxa"/>
            <w:vAlign w:val="bottom"/>
            <w:tcBorders>
              <w:top w:val="single" w:sz="8" w:color="CFF0FC"/>
            </w:tcBorders>
            <w:shd w:val="clear" w:color="auto" w:fill="CFF0FC"/>
          </w:tcPr>
          <w:p>
            <w:pPr>
              <w:spacing w:after="0"/>
              <w:rPr>
                <w:sz w:val="15"/>
                <w:szCs w:val="15"/>
                <w:color w:val="auto"/>
              </w:rPr>
            </w:pPr>
          </w:p>
        </w:tc>
        <w:tc>
          <w:tcPr>
            <w:tcW w:w="80" w:type="dxa"/>
            <w:vAlign w:val="bottom"/>
            <w:tcBorders>
              <w:top w:val="single" w:sz="8" w:color="auto"/>
            </w:tcBorders>
            <w:shd w:val="clear" w:color="auto" w:fill="CFF0FC"/>
          </w:tcPr>
          <w:p>
            <w:pPr>
              <w:spacing w:after="0"/>
              <w:rPr>
                <w:sz w:val="15"/>
                <w:szCs w:val="15"/>
                <w:color w:val="auto"/>
              </w:rPr>
            </w:pPr>
          </w:p>
        </w:tc>
        <w:tc>
          <w:tcPr>
            <w:tcW w:w="920" w:type="dxa"/>
            <w:vAlign w:val="bottom"/>
            <w:tcBorders>
              <w:top w:val="single" w:sz="8" w:color="auto"/>
            </w:tcBorders>
            <w:shd w:val="clear" w:color="auto" w:fill="CFF0FC"/>
          </w:tcPr>
          <w:p>
            <w:pPr>
              <w:spacing w:after="0"/>
              <w:rPr>
                <w:sz w:val="15"/>
                <w:szCs w:val="15"/>
                <w:color w:val="auto"/>
              </w:rPr>
            </w:pPr>
          </w:p>
        </w:tc>
        <w:tc>
          <w:tcPr>
            <w:tcW w:w="100" w:type="dxa"/>
            <w:vAlign w:val="bottom"/>
            <w:tcBorders>
              <w:top w:val="single" w:sz="8" w:color="CFF0FC"/>
            </w:tcBorders>
            <w:shd w:val="clear" w:color="auto" w:fill="CFF0FC"/>
          </w:tcPr>
          <w:p>
            <w:pPr>
              <w:spacing w:after="0"/>
              <w:rPr>
                <w:sz w:val="15"/>
                <w:szCs w:val="15"/>
                <w:color w:val="auto"/>
              </w:rPr>
            </w:pPr>
          </w:p>
        </w:tc>
        <w:tc>
          <w:tcPr>
            <w:tcW w:w="80" w:type="dxa"/>
            <w:vAlign w:val="bottom"/>
            <w:tcBorders>
              <w:top w:val="single" w:sz="8" w:color="auto"/>
            </w:tcBorders>
            <w:shd w:val="clear" w:color="auto" w:fill="CFF0FC"/>
          </w:tcPr>
          <w:p>
            <w:pPr>
              <w:spacing w:after="0"/>
              <w:rPr>
                <w:sz w:val="15"/>
                <w:szCs w:val="15"/>
                <w:color w:val="auto"/>
              </w:rPr>
            </w:pPr>
          </w:p>
        </w:tc>
        <w:tc>
          <w:tcPr>
            <w:tcW w:w="920" w:type="dxa"/>
            <w:vAlign w:val="bottom"/>
            <w:tcBorders>
              <w:top w:val="single" w:sz="8" w:color="auto"/>
            </w:tcBorders>
            <w:shd w:val="clear" w:color="auto" w:fill="CFF0FC"/>
          </w:tcPr>
          <w:p>
            <w:pPr>
              <w:spacing w:after="0"/>
              <w:rPr>
                <w:sz w:val="15"/>
                <w:szCs w:val="15"/>
                <w:color w:val="auto"/>
              </w:rPr>
            </w:pPr>
          </w:p>
        </w:tc>
        <w:tc>
          <w:tcPr>
            <w:tcW w:w="100" w:type="dxa"/>
            <w:vAlign w:val="bottom"/>
            <w:tcBorders>
              <w:top w:val="single" w:sz="8" w:color="CFF0FC"/>
            </w:tcBorders>
            <w:shd w:val="clear" w:color="auto" w:fill="CFF0FC"/>
          </w:tcPr>
          <w:p>
            <w:pPr>
              <w:spacing w:after="0"/>
              <w:rPr>
                <w:sz w:val="15"/>
                <w:szCs w:val="15"/>
                <w:color w:val="auto"/>
              </w:rPr>
            </w:pPr>
          </w:p>
        </w:tc>
        <w:tc>
          <w:tcPr>
            <w:tcW w:w="120" w:type="dxa"/>
            <w:vAlign w:val="bottom"/>
            <w:tcBorders>
              <w:top w:val="single" w:sz="8" w:color="auto"/>
            </w:tcBorders>
            <w:shd w:val="clear" w:color="auto" w:fill="CFF0FC"/>
          </w:tcPr>
          <w:p>
            <w:pPr>
              <w:spacing w:after="0"/>
              <w:rPr>
                <w:sz w:val="15"/>
                <w:szCs w:val="15"/>
                <w:color w:val="auto"/>
              </w:rPr>
            </w:pPr>
          </w:p>
        </w:tc>
        <w:tc>
          <w:tcPr>
            <w:tcW w:w="880" w:type="dxa"/>
            <w:vAlign w:val="bottom"/>
            <w:tcBorders>
              <w:top w:val="single" w:sz="8" w:color="auto"/>
            </w:tcBorders>
            <w:shd w:val="clear" w:color="auto" w:fill="CFF0FC"/>
          </w:tcPr>
          <w:p>
            <w:pPr>
              <w:spacing w:after="0"/>
              <w:rPr>
                <w:sz w:val="15"/>
                <w:szCs w:val="15"/>
                <w:color w:val="auto"/>
              </w:rPr>
            </w:pPr>
          </w:p>
        </w:tc>
        <w:tc>
          <w:tcPr>
            <w:tcW w:w="100" w:type="dxa"/>
            <w:vAlign w:val="bottom"/>
            <w:tcBorders>
              <w:top w:val="single" w:sz="8" w:color="CFF0FC"/>
            </w:tcBorders>
            <w:shd w:val="clear" w:color="auto" w:fill="CFF0FC"/>
          </w:tcPr>
          <w:p>
            <w:pPr>
              <w:spacing w:after="0"/>
              <w:rPr>
                <w:sz w:val="15"/>
                <w:szCs w:val="15"/>
                <w:color w:val="auto"/>
              </w:rPr>
            </w:pPr>
          </w:p>
        </w:tc>
        <w:tc>
          <w:tcPr>
            <w:tcW w:w="100" w:type="dxa"/>
            <w:vAlign w:val="bottom"/>
            <w:tcBorders>
              <w:top w:val="single" w:sz="8" w:color="auto"/>
            </w:tcBorders>
            <w:shd w:val="clear" w:color="auto" w:fill="CFF0FC"/>
          </w:tcPr>
          <w:p>
            <w:pPr>
              <w:spacing w:after="0"/>
              <w:rPr>
                <w:sz w:val="15"/>
                <w:szCs w:val="15"/>
                <w:color w:val="auto"/>
              </w:rPr>
            </w:pPr>
          </w:p>
        </w:tc>
        <w:tc>
          <w:tcPr>
            <w:tcW w:w="840" w:type="dxa"/>
            <w:vAlign w:val="bottom"/>
            <w:tcBorders>
              <w:top w:val="single" w:sz="8" w:color="auto"/>
            </w:tcBorders>
            <w:shd w:val="clear" w:color="auto" w:fill="CFF0FC"/>
          </w:tcPr>
          <w:p>
            <w:pPr>
              <w:spacing w:after="0"/>
              <w:rPr>
                <w:sz w:val="15"/>
                <w:szCs w:val="15"/>
                <w:color w:val="auto"/>
              </w:rPr>
            </w:pPr>
          </w:p>
        </w:tc>
        <w:tc>
          <w:tcPr>
            <w:tcW w:w="60" w:type="dxa"/>
            <w:vAlign w:val="bottom"/>
            <w:tcBorders>
              <w:top w:val="single" w:sz="8" w:color="auto"/>
            </w:tcBorders>
            <w:shd w:val="clear" w:color="auto" w:fill="CFF0FC"/>
          </w:tcPr>
          <w:p>
            <w:pPr>
              <w:spacing w:after="0"/>
              <w:rPr>
                <w:sz w:val="15"/>
                <w:szCs w:val="15"/>
                <w:color w:val="auto"/>
              </w:rPr>
            </w:pPr>
          </w:p>
        </w:tc>
        <w:tc>
          <w:tcPr>
            <w:tcW w:w="100" w:type="dxa"/>
            <w:vAlign w:val="bottom"/>
            <w:tcBorders>
              <w:top w:val="single" w:sz="8" w:color="CFF0FC"/>
            </w:tcBorders>
            <w:shd w:val="clear" w:color="auto" w:fill="CFF0FC"/>
          </w:tcPr>
          <w:p>
            <w:pPr>
              <w:spacing w:after="0"/>
              <w:rPr>
                <w:sz w:val="15"/>
                <w:szCs w:val="15"/>
                <w:color w:val="auto"/>
              </w:rPr>
            </w:pPr>
          </w:p>
        </w:tc>
        <w:tc>
          <w:tcPr>
            <w:tcW w:w="100" w:type="dxa"/>
            <w:vAlign w:val="bottom"/>
            <w:tcBorders>
              <w:top w:val="single" w:sz="8" w:color="auto"/>
            </w:tcBorders>
            <w:shd w:val="clear" w:color="auto" w:fill="CFF0FC"/>
          </w:tcPr>
          <w:p>
            <w:pPr>
              <w:spacing w:after="0"/>
              <w:rPr>
                <w:sz w:val="15"/>
                <w:szCs w:val="15"/>
                <w:color w:val="auto"/>
              </w:rPr>
            </w:pPr>
          </w:p>
        </w:tc>
        <w:tc>
          <w:tcPr>
            <w:tcW w:w="900" w:type="dxa"/>
            <w:vAlign w:val="bottom"/>
            <w:tcBorders>
              <w:top w:val="single" w:sz="8" w:color="auto"/>
            </w:tcBorders>
            <w:shd w:val="clear" w:color="auto" w:fill="CFF0FC"/>
          </w:tcPr>
          <w:p>
            <w:pPr>
              <w:spacing w:after="0"/>
              <w:rPr>
                <w:sz w:val="15"/>
                <w:szCs w:val="15"/>
                <w:color w:val="auto"/>
              </w:rPr>
            </w:pPr>
          </w:p>
        </w:tc>
        <w:tc>
          <w:tcPr>
            <w:tcW w:w="120" w:type="dxa"/>
            <w:vAlign w:val="bottom"/>
            <w:tcBorders>
              <w:top w:val="single" w:sz="8" w:color="CFF0FC"/>
            </w:tcBorders>
            <w:shd w:val="clear" w:color="auto" w:fill="CFF0FC"/>
          </w:tcPr>
          <w:p>
            <w:pPr>
              <w:spacing w:after="0"/>
              <w:rPr>
                <w:sz w:val="15"/>
                <w:szCs w:val="15"/>
                <w:color w:val="auto"/>
              </w:rPr>
            </w:pPr>
          </w:p>
        </w:tc>
        <w:tc>
          <w:tcPr>
            <w:tcW w:w="120" w:type="dxa"/>
            <w:vAlign w:val="bottom"/>
            <w:tcBorders>
              <w:top w:val="single" w:sz="8" w:color="auto"/>
            </w:tcBorders>
            <w:shd w:val="clear" w:color="auto" w:fill="CFF0FC"/>
          </w:tcPr>
          <w:p>
            <w:pPr>
              <w:spacing w:after="0"/>
              <w:rPr>
                <w:sz w:val="15"/>
                <w:szCs w:val="15"/>
                <w:color w:val="auto"/>
              </w:rPr>
            </w:pPr>
          </w:p>
        </w:tc>
        <w:tc>
          <w:tcPr>
            <w:tcW w:w="900" w:type="dxa"/>
            <w:vAlign w:val="bottom"/>
            <w:tcBorders>
              <w:top w:val="single" w:sz="8" w:color="auto"/>
            </w:tcBorders>
            <w:shd w:val="clear" w:color="auto" w:fill="CFF0FC"/>
          </w:tcPr>
          <w:p>
            <w:pPr>
              <w:spacing w:after="0"/>
              <w:rPr>
                <w:sz w:val="15"/>
                <w:szCs w:val="15"/>
                <w:color w:val="auto"/>
              </w:rPr>
            </w:pPr>
          </w:p>
        </w:tc>
      </w:tr>
      <w:tr>
        <w:trPr>
          <w:trHeight w:val="188"/>
        </w:trPr>
        <w:tc>
          <w:tcPr>
            <w:tcW w:w="3680" w:type="dxa"/>
            <w:vAlign w:val="bottom"/>
          </w:tcPr>
          <w:p>
            <w:pPr>
              <w:spacing w:after="0"/>
              <w:rPr>
                <w:sz w:val="20"/>
                <w:szCs w:val="20"/>
                <w:color w:val="auto"/>
              </w:rPr>
            </w:pPr>
            <w:r>
              <w:rPr>
                <w:rFonts w:ascii="Arial" w:cs="Arial" w:eastAsia="Arial" w:hAnsi="Arial"/>
                <w:sz w:val="16"/>
                <w:szCs w:val="16"/>
                <w:color w:val="auto"/>
              </w:rPr>
              <w:t>Trade name</w:t>
            </w:r>
          </w:p>
        </w:tc>
        <w:tc>
          <w:tcPr>
            <w:tcW w:w="1120" w:type="dxa"/>
            <w:vAlign w:val="bottom"/>
            <w:gridSpan w:val="2"/>
          </w:tcPr>
          <w:p>
            <w:pPr>
              <w:jc w:val="right"/>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ind w:right="48"/>
              <w:spacing w:after="0"/>
              <w:rPr>
                <w:sz w:val="20"/>
                <w:szCs w:val="20"/>
                <w:color w:val="auto"/>
              </w:rPr>
            </w:pPr>
            <w:r>
              <w:rPr>
                <w:rFonts w:ascii="Arial" w:cs="Arial" w:eastAsia="Arial" w:hAnsi="Arial"/>
                <w:sz w:val="16"/>
                <w:szCs w:val="16"/>
                <w:b w:val="1"/>
                <w:bCs w:val="1"/>
                <w:color w:val="auto"/>
              </w:rPr>
              <w:t>791</w:t>
            </w:r>
          </w:p>
        </w:tc>
        <w:tc>
          <w:tcPr>
            <w:tcW w:w="180" w:type="dxa"/>
            <w:vAlign w:val="bottom"/>
            <w:gridSpan w:val="2"/>
          </w:tcPr>
          <w:p>
            <w:pPr>
              <w:ind w:left="100"/>
              <w:spacing w:after="0"/>
              <w:rPr>
                <w:sz w:val="20"/>
                <w:szCs w:val="20"/>
                <w:color w:val="auto"/>
              </w:rPr>
            </w:pPr>
            <w:r>
              <w:rPr>
                <w:rFonts w:ascii="Arial" w:cs="Arial" w:eastAsia="Arial" w:hAnsi="Arial"/>
                <w:sz w:val="15"/>
                <w:szCs w:val="15"/>
                <w:b w:val="1"/>
                <w:bCs w:val="1"/>
                <w:color w:val="auto"/>
                <w:w w:val="71"/>
              </w:rPr>
              <w:t>$</w:t>
            </w:r>
          </w:p>
        </w:tc>
        <w:tc>
          <w:tcPr>
            <w:tcW w:w="920" w:type="dxa"/>
            <w:vAlign w:val="bottom"/>
          </w:tcPr>
          <w:p>
            <w:pPr>
              <w:jc w:val="right"/>
              <w:ind w:right="48"/>
              <w:spacing w:after="0"/>
              <w:rPr>
                <w:sz w:val="20"/>
                <w:szCs w:val="20"/>
                <w:color w:val="auto"/>
              </w:rPr>
            </w:pPr>
            <w:r>
              <w:rPr>
                <w:rFonts w:ascii="Arial" w:cs="Arial" w:eastAsia="Arial" w:hAnsi="Arial"/>
                <w:sz w:val="16"/>
                <w:szCs w:val="16"/>
                <w:b w:val="1"/>
                <w:bCs w:val="1"/>
                <w:color w:val="auto"/>
              </w:rPr>
              <w:t>—</w:t>
            </w:r>
          </w:p>
        </w:tc>
        <w:tc>
          <w:tcPr>
            <w:tcW w:w="220" w:type="dxa"/>
            <w:vAlign w:val="bottom"/>
            <w:gridSpan w:val="2"/>
          </w:tcPr>
          <w:p>
            <w:pPr>
              <w:jc w:val="right"/>
              <w:spacing w:after="0"/>
              <w:rPr>
                <w:sz w:val="20"/>
                <w:szCs w:val="20"/>
                <w:color w:val="auto"/>
              </w:rPr>
            </w:pPr>
            <w:r>
              <w:rPr>
                <w:rFonts w:ascii="Arial" w:cs="Arial" w:eastAsia="Arial" w:hAnsi="Arial"/>
                <w:sz w:val="16"/>
                <w:szCs w:val="16"/>
                <w:b w:val="1"/>
                <w:bCs w:val="1"/>
                <w:color w:val="auto"/>
              </w:rPr>
              <w:t>$</w:t>
            </w:r>
          </w:p>
        </w:tc>
        <w:tc>
          <w:tcPr>
            <w:tcW w:w="880" w:type="dxa"/>
            <w:vAlign w:val="bottom"/>
          </w:tcPr>
          <w:p>
            <w:pPr>
              <w:jc w:val="right"/>
              <w:ind w:right="48"/>
              <w:spacing w:after="0"/>
              <w:rPr>
                <w:sz w:val="20"/>
                <w:szCs w:val="20"/>
                <w:color w:val="auto"/>
              </w:rPr>
            </w:pPr>
            <w:r>
              <w:rPr>
                <w:rFonts w:ascii="Arial" w:cs="Arial" w:eastAsia="Arial" w:hAnsi="Arial"/>
                <w:sz w:val="16"/>
                <w:szCs w:val="16"/>
                <w:b w:val="1"/>
                <w:bCs w:val="1"/>
                <w:color w:val="auto"/>
              </w:rPr>
              <w:t>791</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791</w:t>
            </w:r>
          </w:p>
        </w:tc>
        <w:tc>
          <w:tcPr>
            <w:tcW w:w="26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ind w:right="48"/>
              <w:spacing w:after="0"/>
              <w:rPr>
                <w:sz w:val="20"/>
                <w:szCs w:val="20"/>
                <w:color w:val="auto"/>
              </w:rPr>
            </w:pPr>
            <w:r>
              <w:rPr>
                <w:rFonts w:ascii="Arial" w:cs="Arial" w:eastAsia="Arial" w:hAnsi="Arial"/>
                <w:sz w:val="16"/>
                <w:szCs w:val="16"/>
                <w:color w:val="auto"/>
              </w:rPr>
              <w:t>791</w:t>
            </w:r>
          </w:p>
        </w:tc>
      </w:tr>
      <w:tr>
        <w:trPr>
          <w:trHeight w:val="188"/>
        </w:trPr>
        <w:tc>
          <w:tcPr>
            <w:tcW w:w="3680" w:type="dxa"/>
            <w:vAlign w:val="bottom"/>
            <w:shd w:val="clear" w:color="auto" w:fill="CFF0FC"/>
          </w:tcPr>
          <w:p>
            <w:pPr>
              <w:spacing w:after="0"/>
              <w:rPr>
                <w:sz w:val="20"/>
                <w:szCs w:val="20"/>
                <w:color w:val="auto"/>
              </w:rPr>
            </w:pPr>
            <w:r>
              <w:rPr>
                <w:rFonts w:ascii="Arial" w:cs="Arial" w:eastAsia="Arial" w:hAnsi="Arial"/>
                <w:sz w:val="16"/>
                <w:szCs w:val="16"/>
                <w:color w:val="auto"/>
              </w:rPr>
              <w:t>In process research and development</w:t>
            </w:r>
          </w:p>
        </w:tc>
        <w:tc>
          <w:tcPr>
            <w:tcW w:w="10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920" w:type="dxa"/>
            <w:vAlign w:val="bottom"/>
            <w:shd w:val="clear" w:color="auto" w:fill="CFF0FC"/>
          </w:tcPr>
          <w:p>
            <w:pPr>
              <w:jc w:val="right"/>
              <w:ind w:right="48"/>
              <w:spacing w:after="0"/>
              <w:rPr>
                <w:sz w:val="20"/>
                <w:szCs w:val="20"/>
                <w:color w:val="auto"/>
              </w:rPr>
            </w:pPr>
            <w:r>
              <w:rPr>
                <w:rFonts w:ascii="Arial" w:cs="Arial" w:eastAsia="Arial" w:hAnsi="Arial"/>
                <w:sz w:val="16"/>
                <w:szCs w:val="16"/>
                <w:b w:val="1"/>
                <w:bCs w:val="1"/>
                <w:color w:val="auto"/>
              </w:rPr>
              <w:t>50</w:t>
            </w:r>
          </w:p>
        </w:tc>
        <w:tc>
          <w:tcPr>
            <w:tcW w:w="1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920" w:type="dxa"/>
            <w:vAlign w:val="bottom"/>
            <w:shd w:val="clear" w:color="auto" w:fill="CFF0FC"/>
          </w:tcPr>
          <w:p>
            <w:pPr>
              <w:jc w:val="right"/>
              <w:ind w:right="48"/>
              <w:spacing w:after="0"/>
              <w:rPr>
                <w:sz w:val="20"/>
                <w:szCs w:val="20"/>
                <w:color w:val="auto"/>
              </w:rPr>
            </w:pPr>
            <w:r>
              <w:rPr>
                <w:rFonts w:ascii="Arial" w:cs="Arial" w:eastAsia="Arial" w:hAnsi="Arial"/>
                <w:sz w:val="16"/>
                <w:szCs w:val="16"/>
                <w:b w:val="1"/>
                <w:bCs w:val="1"/>
                <w:color w:val="auto"/>
              </w:rPr>
              <w:t>—</w:t>
            </w: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80" w:type="dxa"/>
            <w:vAlign w:val="bottom"/>
            <w:shd w:val="clear" w:color="auto" w:fill="CFF0FC"/>
          </w:tcPr>
          <w:p>
            <w:pPr>
              <w:jc w:val="right"/>
              <w:ind w:right="48"/>
              <w:spacing w:after="0"/>
              <w:rPr>
                <w:sz w:val="20"/>
                <w:szCs w:val="20"/>
                <w:color w:val="auto"/>
              </w:rPr>
            </w:pPr>
            <w:r>
              <w:rPr>
                <w:rFonts w:ascii="Arial" w:cs="Arial" w:eastAsia="Arial" w:hAnsi="Arial"/>
                <w:sz w:val="16"/>
                <w:szCs w:val="16"/>
                <w:b w:val="1"/>
                <w:bCs w:val="1"/>
                <w:color w:val="auto"/>
              </w:rPr>
              <w:t>50</w:t>
            </w: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50</w:t>
            </w:r>
          </w:p>
        </w:tc>
        <w:tc>
          <w:tcPr>
            <w:tcW w:w="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2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6"/>
                <w:szCs w:val="16"/>
                <w:color w:val="auto"/>
              </w:rPr>
            </w:pPr>
          </w:p>
        </w:tc>
        <w:tc>
          <w:tcPr>
            <w:tcW w:w="900" w:type="dxa"/>
            <w:vAlign w:val="bottom"/>
            <w:shd w:val="clear" w:color="auto" w:fill="CFF0FC"/>
          </w:tcPr>
          <w:p>
            <w:pPr>
              <w:jc w:val="right"/>
              <w:ind w:right="48"/>
              <w:spacing w:after="0"/>
              <w:rPr>
                <w:sz w:val="20"/>
                <w:szCs w:val="20"/>
                <w:color w:val="auto"/>
              </w:rPr>
            </w:pPr>
            <w:r>
              <w:rPr>
                <w:rFonts w:ascii="Arial" w:cs="Arial" w:eastAsia="Arial" w:hAnsi="Arial"/>
                <w:sz w:val="16"/>
                <w:szCs w:val="16"/>
                <w:color w:val="auto"/>
              </w:rPr>
              <w:t>50</w:t>
            </w:r>
          </w:p>
        </w:tc>
      </w:tr>
      <w:tr>
        <w:trPr>
          <w:trHeight w:val="188"/>
        </w:trPr>
        <w:tc>
          <w:tcPr>
            <w:tcW w:w="3680" w:type="dxa"/>
            <w:vAlign w:val="bottom"/>
          </w:tcPr>
          <w:p>
            <w:pPr>
              <w:spacing w:after="0"/>
              <w:rPr>
                <w:sz w:val="20"/>
                <w:szCs w:val="20"/>
                <w:color w:val="auto"/>
              </w:rPr>
            </w:pPr>
            <w:r>
              <w:rPr>
                <w:rFonts w:ascii="Arial" w:cs="Arial" w:eastAsia="Arial" w:hAnsi="Arial"/>
                <w:sz w:val="16"/>
                <w:szCs w:val="16"/>
                <w:color w:val="auto"/>
              </w:rPr>
              <w:t>Customer relationships — commercial</w:t>
            </w: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jc w:val="right"/>
              <w:ind w:right="48"/>
              <w:spacing w:after="0"/>
              <w:rPr>
                <w:sz w:val="20"/>
                <w:szCs w:val="20"/>
                <w:color w:val="auto"/>
              </w:rPr>
            </w:pPr>
            <w:r>
              <w:rPr>
                <w:rFonts w:ascii="Arial" w:cs="Arial" w:eastAsia="Arial" w:hAnsi="Arial"/>
                <w:sz w:val="16"/>
                <w:szCs w:val="16"/>
                <w:b w:val="1"/>
                <w:bCs w:val="1"/>
                <w:color w:val="auto"/>
              </w:rPr>
              <w:t>839</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(675)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ind w:right="48"/>
              <w:spacing w:after="0"/>
              <w:rPr>
                <w:sz w:val="20"/>
                <w:szCs w:val="20"/>
                <w:color w:val="auto"/>
              </w:rPr>
            </w:pPr>
            <w:r>
              <w:rPr>
                <w:rFonts w:ascii="Arial" w:cs="Arial" w:eastAsia="Arial" w:hAnsi="Arial"/>
                <w:sz w:val="16"/>
                <w:szCs w:val="16"/>
                <w:b w:val="1"/>
                <w:bCs w:val="1"/>
                <w:color w:val="auto"/>
              </w:rPr>
              <w:t>164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839</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(664)</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right"/>
              <w:ind w:right="48"/>
              <w:spacing w:after="0"/>
              <w:rPr>
                <w:sz w:val="20"/>
                <w:szCs w:val="20"/>
                <w:color w:val="auto"/>
              </w:rPr>
            </w:pPr>
            <w:r>
              <w:rPr>
                <w:rFonts w:ascii="Arial" w:cs="Arial" w:eastAsia="Arial" w:hAnsi="Arial"/>
                <w:sz w:val="16"/>
                <w:szCs w:val="16"/>
                <w:color w:val="auto"/>
              </w:rPr>
              <w:t>175</w:t>
            </w:r>
          </w:p>
        </w:tc>
      </w:tr>
      <w:tr>
        <w:trPr>
          <w:trHeight w:val="188"/>
        </w:trPr>
        <w:tc>
          <w:tcPr>
            <w:tcW w:w="3680" w:type="dxa"/>
            <w:vAlign w:val="bottom"/>
            <w:shd w:val="clear" w:color="auto" w:fill="CFF0FC"/>
          </w:tcPr>
          <w:p>
            <w:pPr>
              <w:spacing w:after="0"/>
              <w:rPr>
                <w:sz w:val="20"/>
                <w:szCs w:val="20"/>
                <w:color w:val="auto"/>
              </w:rPr>
            </w:pPr>
            <w:r>
              <w:rPr>
                <w:rFonts w:ascii="Arial" w:cs="Arial" w:eastAsia="Arial" w:hAnsi="Arial"/>
                <w:sz w:val="16"/>
                <w:szCs w:val="16"/>
                <w:color w:val="auto"/>
              </w:rPr>
              <w:t>Proprietary technology</w:t>
            </w:r>
          </w:p>
        </w:tc>
        <w:tc>
          <w:tcPr>
            <w:tcW w:w="10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920" w:type="dxa"/>
            <w:vAlign w:val="bottom"/>
            <w:shd w:val="clear" w:color="auto" w:fill="CFF0FC"/>
          </w:tcPr>
          <w:p>
            <w:pPr>
              <w:jc w:val="right"/>
              <w:ind w:right="48"/>
              <w:spacing w:after="0"/>
              <w:rPr>
                <w:sz w:val="20"/>
                <w:szCs w:val="20"/>
                <w:color w:val="auto"/>
              </w:rPr>
            </w:pPr>
            <w:r>
              <w:rPr>
                <w:rFonts w:ascii="Arial" w:cs="Arial" w:eastAsia="Arial" w:hAnsi="Arial"/>
                <w:sz w:val="16"/>
                <w:szCs w:val="16"/>
                <w:b w:val="1"/>
                <w:bCs w:val="1"/>
                <w:color w:val="auto"/>
              </w:rPr>
              <w:t>481</w:t>
            </w:r>
          </w:p>
        </w:tc>
        <w:tc>
          <w:tcPr>
            <w:tcW w:w="1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(477)</w:t>
            </w: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80" w:type="dxa"/>
            <w:vAlign w:val="bottom"/>
            <w:shd w:val="clear" w:color="auto" w:fill="CFF0FC"/>
          </w:tcPr>
          <w:p>
            <w:pPr>
              <w:jc w:val="right"/>
              <w:ind w:right="48"/>
              <w:spacing w:after="0"/>
              <w:rPr>
                <w:sz w:val="20"/>
                <w:szCs w:val="20"/>
                <w:color w:val="auto"/>
              </w:rPr>
            </w:pPr>
            <w:r>
              <w:rPr>
                <w:rFonts w:ascii="Arial" w:cs="Arial" w:eastAsia="Arial" w:hAnsi="Arial"/>
                <w:sz w:val="16"/>
                <w:szCs w:val="16"/>
                <w:b w:val="1"/>
                <w:bCs w:val="1"/>
                <w:color w:val="auto"/>
              </w:rPr>
              <w:t>4</w:t>
            </w: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481</w:t>
            </w:r>
          </w:p>
        </w:tc>
        <w:tc>
          <w:tcPr>
            <w:tcW w:w="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(473)</w:t>
            </w: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00" w:type="dxa"/>
            <w:vAlign w:val="bottom"/>
            <w:shd w:val="clear" w:color="auto" w:fill="CFF0FC"/>
          </w:tcPr>
          <w:p>
            <w:pPr>
              <w:jc w:val="right"/>
              <w:ind w:right="48"/>
              <w:spacing w:after="0"/>
              <w:rPr>
                <w:sz w:val="20"/>
                <w:szCs w:val="20"/>
                <w:color w:val="auto"/>
              </w:rPr>
            </w:pPr>
            <w:r>
              <w:rPr>
                <w:rFonts w:ascii="Arial" w:cs="Arial" w:eastAsia="Arial" w:hAnsi="Arial"/>
                <w:sz w:val="16"/>
                <w:szCs w:val="16"/>
                <w:color w:val="auto"/>
              </w:rPr>
              <w:t>8</w:t>
            </w:r>
          </w:p>
        </w:tc>
      </w:tr>
      <w:tr>
        <w:trPr>
          <w:trHeight w:val="188"/>
        </w:trPr>
        <w:tc>
          <w:tcPr>
            <w:tcW w:w="368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Customer relationships — defense</w:t>
            </w:r>
          </w:p>
        </w:tc>
        <w:tc>
          <w:tcPr>
            <w:tcW w:w="1040" w:type="dxa"/>
            <w:vAlign w:val="bottom"/>
            <w:tcBorders>
              <w:bottom w:val="single" w:sz="8" w:color="CFF0FC"/>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6"/>
                <w:szCs w:val="16"/>
                <w:b w:val="1"/>
                <w:bCs w:val="1"/>
                <w:color w:val="auto"/>
              </w:rPr>
              <w:t>62</w:t>
            </w:r>
          </w:p>
        </w:tc>
        <w:tc>
          <w:tcPr>
            <w:tcW w:w="100" w:type="dxa"/>
            <w:vAlign w:val="bottom"/>
            <w:tcBorders>
              <w:bottom w:val="single" w:sz="8" w:color="CFF0FC"/>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(45)</w:t>
            </w:r>
          </w:p>
        </w:tc>
        <w:tc>
          <w:tcPr>
            <w:tcW w:w="100" w:type="dxa"/>
            <w:vAlign w:val="bottom"/>
            <w:tcBorders>
              <w:bottom w:val="single" w:sz="8" w:color="CFF0FC"/>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6"/>
                <w:szCs w:val="16"/>
                <w:b w:val="1"/>
                <w:bCs w:val="1"/>
                <w:color w:val="auto"/>
              </w:rPr>
              <w:t>17</w:t>
            </w:r>
          </w:p>
        </w:tc>
        <w:tc>
          <w:tcPr>
            <w:tcW w:w="100" w:type="dxa"/>
            <w:vAlign w:val="bottom"/>
            <w:tcBorders>
              <w:bottom w:val="single" w:sz="8" w:color="CFF0FC"/>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w:t>
            </w: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CFF0FC"/>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w:t>
            </w:r>
          </w:p>
        </w:tc>
        <w:tc>
          <w:tcPr>
            <w:tcW w:w="120" w:type="dxa"/>
            <w:vAlign w:val="bottom"/>
            <w:tcBorders>
              <w:bottom w:val="single" w:sz="8" w:color="CFF0FC"/>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6"/>
                <w:szCs w:val="16"/>
                <w:color w:val="auto"/>
              </w:rPr>
              <w:t>18</w:t>
            </w:r>
          </w:p>
        </w:tc>
      </w:tr>
      <w:tr>
        <w:trPr>
          <w:trHeight w:val="180"/>
        </w:trPr>
        <w:tc>
          <w:tcPr>
            <w:tcW w:w="3680" w:type="dxa"/>
            <w:vAlign w:val="bottom"/>
            <w:shd w:val="clear" w:color="auto" w:fill="CFF0FC"/>
          </w:tcPr>
          <w:p>
            <w:pPr>
              <w:ind w:left="200"/>
              <w:spacing w:after="0" w:line="180" w:lineRule="exact"/>
              <w:rPr>
                <w:sz w:val="20"/>
                <w:szCs w:val="20"/>
                <w:color w:val="auto"/>
              </w:rPr>
            </w:pPr>
            <w:r>
              <w:rPr>
                <w:rFonts w:ascii="Arial" w:cs="Arial" w:eastAsia="Arial" w:hAnsi="Arial"/>
                <w:sz w:val="16"/>
                <w:szCs w:val="16"/>
                <w:color w:val="auto"/>
              </w:rPr>
              <w:t>Total</w:t>
            </w:r>
          </w:p>
        </w:tc>
        <w:tc>
          <w:tcPr>
            <w:tcW w:w="1040" w:type="dxa"/>
            <w:vAlign w:val="bottom"/>
            <w:shd w:val="clear" w:color="auto" w:fill="CFF0FC"/>
          </w:tcPr>
          <w:p>
            <w:pPr>
              <w:spacing w:after="0"/>
              <w:rPr>
                <w:sz w:val="15"/>
                <w:szCs w:val="15"/>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920" w:type="dxa"/>
            <w:vAlign w:val="bottom"/>
            <w:shd w:val="clear" w:color="auto" w:fill="CFF0FC"/>
          </w:tcPr>
          <w:p>
            <w:pPr>
              <w:jc w:val="right"/>
              <w:ind w:right="48"/>
              <w:spacing w:after="0" w:line="180" w:lineRule="exact"/>
              <w:rPr>
                <w:sz w:val="20"/>
                <w:szCs w:val="20"/>
                <w:color w:val="auto"/>
              </w:rPr>
            </w:pPr>
            <w:r>
              <w:rPr>
                <w:rFonts w:ascii="Arial" w:cs="Arial" w:eastAsia="Arial" w:hAnsi="Arial"/>
                <w:sz w:val="16"/>
                <w:szCs w:val="16"/>
                <w:b w:val="1"/>
                <w:bCs w:val="1"/>
                <w:color w:val="auto"/>
              </w:rPr>
              <w:t>2,223</w:t>
            </w: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20"/>
                <w:szCs w:val="20"/>
                <w:color w:val="auto"/>
              </w:rPr>
            </w:pPr>
            <w:r>
              <w:rPr>
                <w:rFonts w:ascii="Arial" w:cs="Arial" w:eastAsia="Arial" w:hAnsi="Arial"/>
                <w:sz w:val="15"/>
                <w:szCs w:val="15"/>
                <w:b w:val="1"/>
                <w:bCs w:val="1"/>
                <w:color w:val="auto"/>
                <w:w w:val="71"/>
              </w:rPr>
              <w:t>$</w:t>
            </w:r>
          </w:p>
        </w:tc>
        <w:tc>
          <w:tcPr>
            <w:tcW w:w="920" w:type="dxa"/>
            <w:vAlign w:val="bottom"/>
            <w:shd w:val="clear" w:color="auto" w:fill="CFF0FC"/>
          </w:tcPr>
          <w:p>
            <w:pPr>
              <w:jc w:val="right"/>
              <w:spacing w:after="0" w:line="180" w:lineRule="exact"/>
              <w:rPr>
                <w:sz w:val="20"/>
                <w:szCs w:val="20"/>
                <w:color w:val="auto"/>
              </w:rPr>
            </w:pPr>
            <w:r>
              <w:rPr>
                <w:rFonts w:ascii="Arial" w:cs="Arial" w:eastAsia="Arial" w:hAnsi="Arial"/>
                <w:sz w:val="16"/>
                <w:szCs w:val="16"/>
                <w:b w:val="1"/>
                <w:bCs w:val="1"/>
                <w:color w:val="auto"/>
              </w:rPr>
              <w:t>(1,197)</w:t>
            </w: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880" w:type="dxa"/>
            <w:vAlign w:val="bottom"/>
            <w:shd w:val="clear" w:color="auto" w:fill="CFF0FC"/>
          </w:tcPr>
          <w:p>
            <w:pPr>
              <w:jc w:val="right"/>
              <w:ind w:right="48"/>
              <w:spacing w:after="0" w:line="180" w:lineRule="exact"/>
              <w:rPr>
                <w:sz w:val="20"/>
                <w:szCs w:val="20"/>
                <w:color w:val="auto"/>
              </w:rPr>
            </w:pPr>
            <w:r>
              <w:rPr>
                <w:rFonts w:ascii="Arial" w:cs="Arial" w:eastAsia="Arial" w:hAnsi="Arial"/>
                <w:sz w:val="16"/>
                <w:szCs w:val="16"/>
                <w:b w:val="1"/>
                <w:bCs w:val="1"/>
                <w:color w:val="auto"/>
              </w:rPr>
              <w:t>1,026</w:t>
            </w: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jc w:val="right"/>
              <w:spacing w:after="0" w:line="180" w:lineRule="exact"/>
              <w:rPr>
                <w:sz w:val="20"/>
                <w:szCs w:val="20"/>
                <w:color w:val="auto"/>
              </w:rPr>
            </w:pPr>
            <w:r>
              <w:rPr>
                <w:rFonts w:ascii="Arial" w:cs="Arial" w:eastAsia="Arial" w:hAnsi="Arial"/>
                <w:sz w:val="16"/>
                <w:szCs w:val="16"/>
                <w:color w:val="auto"/>
                <w:w w:val="89"/>
              </w:rPr>
              <w:t>$</w:t>
            </w:r>
          </w:p>
        </w:tc>
        <w:tc>
          <w:tcPr>
            <w:tcW w:w="840" w:type="dxa"/>
            <w:vAlign w:val="bottom"/>
            <w:shd w:val="clear" w:color="auto" w:fill="CFF0FC"/>
          </w:tcPr>
          <w:p>
            <w:pPr>
              <w:jc w:val="right"/>
              <w:spacing w:after="0" w:line="180" w:lineRule="exact"/>
              <w:rPr>
                <w:sz w:val="20"/>
                <w:szCs w:val="20"/>
                <w:color w:val="auto"/>
              </w:rPr>
            </w:pPr>
            <w:r>
              <w:rPr>
                <w:rFonts w:ascii="Arial" w:cs="Arial" w:eastAsia="Arial" w:hAnsi="Arial"/>
                <w:sz w:val="16"/>
                <w:szCs w:val="16"/>
                <w:color w:val="auto"/>
              </w:rPr>
              <w:t>2,223</w:t>
            </w:r>
          </w:p>
        </w:tc>
        <w:tc>
          <w:tcPr>
            <w:tcW w:w="260" w:type="dxa"/>
            <w:vAlign w:val="bottom"/>
            <w:gridSpan w:val="3"/>
            <w:shd w:val="clear" w:color="auto" w:fill="CFF0FC"/>
          </w:tcPr>
          <w:p>
            <w:pPr>
              <w:jc w:val="right"/>
              <w:spacing w:after="0" w:line="180" w:lineRule="exact"/>
              <w:rPr>
                <w:sz w:val="20"/>
                <w:szCs w:val="20"/>
                <w:color w:val="auto"/>
              </w:rPr>
            </w:pPr>
            <w:r>
              <w:rPr>
                <w:rFonts w:ascii="Arial" w:cs="Arial" w:eastAsia="Arial" w:hAnsi="Arial"/>
                <w:sz w:val="16"/>
                <w:szCs w:val="16"/>
                <w:color w:val="auto"/>
              </w:rPr>
              <w:t>$</w:t>
            </w:r>
          </w:p>
        </w:tc>
        <w:tc>
          <w:tcPr>
            <w:tcW w:w="900" w:type="dxa"/>
            <w:vAlign w:val="bottom"/>
            <w:shd w:val="clear" w:color="auto" w:fill="CFF0FC"/>
          </w:tcPr>
          <w:p>
            <w:pPr>
              <w:jc w:val="right"/>
              <w:spacing w:after="0" w:line="180" w:lineRule="exact"/>
              <w:rPr>
                <w:sz w:val="20"/>
                <w:szCs w:val="20"/>
                <w:color w:val="auto"/>
              </w:rPr>
            </w:pPr>
            <w:r>
              <w:rPr>
                <w:rFonts w:ascii="Arial" w:cs="Arial" w:eastAsia="Arial" w:hAnsi="Arial"/>
                <w:sz w:val="16"/>
                <w:szCs w:val="16"/>
                <w:color w:val="auto"/>
              </w:rPr>
              <w:t>(1,181)</w:t>
            </w: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ind w:right="48"/>
              <w:spacing w:after="0" w:line="180" w:lineRule="exact"/>
              <w:rPr>
                <w:sz w:val="20"/>
                <w:szCs w:val="20"/>
                <w:color w:val="auto"/>
              </w:rPr>
            </w:pPr>
            <w:r>
              <w:rPr>
                <w:rFonts w:ascii="Arial" w:cs="Arial" w:eastAsia="Arial" w:hAnsi="Arial"/>
                <w:sz w:val="16"/>
                <w:szCs w:val="16"/>
                <w:color w:val="auto"/>
              </w:rPr>
              <w:t>1,042</w:t>
            </w:r>
          </w:p>
        </w:tc>
      </w:tr>
      <w:tr>
        <w:trPr>
          <w:trHeight w:val="20"/>
        </w:trPr>
        <w:tc>
          <w:tcPr>
            <w:tcW w:w="3680" w:type="dxa"/>
            <w:vAlign w:val="bottom"/>
            <w:tcBorders>
              <w:top w:val="single" w:sz="8" w:color="CFF0FC"/>
            </w:tcBorders>
          </w:tcPr>
          <w:p>
            <w:pPr>
              <w:spacing w:after="0" w:line="20" w:lineRule="exact"/>
              <w:rPr>
                <w:sz w:val="1"/>
                <w:szCs w:val="1"/>
                <w:color w:val="auto"/>
              </w:rPr>
            </w:pPr>
          </w:p>
        </w:tc>
        <w:tc>
          <w:tcPr>
            <w:tcW w:w="10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right="180" w:firstLine="528"/>
        <w:spacing w:after="0" w:line="237" w:lineRule="auto"/>
        <w:rPr>
          <w:sz w:val="20"/>
          <w:szCs w:val="20"/>
          <w:color w:val="auto"/>
        </w:rPr>
      </w:pPr>
      <w:r>
        <w:rPr>
          <w:rFonts w:ascii="Arial" w:cs="Arial" w:eastAsia="Arial" w:hAnsi="Arial"/>
          <w:sz w:val="16"/>
          <w:szCs w:val="16"/>
          <w:color w:val="auto"/>
        </w:rPr>
        <w:t>As of March 31, 2020 and December 31, 2019, the net carrying value of the Company’s Goodwill and other intangible assets, net was $3,067 million and $3,083 million, respectively.</w:t>
      </w:r>
    </w:p>
    <w:p>
      <w:pPr>
        <w:spacing w:after="0" w:line="83" w:lineRule="exact"/>
        <w:rPr>
          <w:sz w:val="20"/>
          <w:szCs w:val="20"/>
          <w:color w:val="auto"/>
        </w:rPr>
      </w:pPr>
    </w:p>
    <w:p>
      <w:pPr>
        <w:ind w:left="520"/>
        <w:spacing w:after="0"/>
        <w:rPr>
          <w:sz w:val="20"/>
          <w:szCs w:val="20"/>
          <w:color w:val="auto"/>
        </w:rPr>
      </w:pPr>
      <w:r>
        <w:rPr>
          <w:rFonts w:ascii="Arial" w:cs="Arial" w:eastAsia="Arial" w:hAnsi="Arial"/>
          <w:sz w:val="16"/>
          <w:szCs w:val="16"/>
          <w:color w:val="auto"/>
        </w:rPr>
        <w:t>Amortization expense related to other intangible assets for the next five fiscal years is expected to be (dollars in millions):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520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407"/>
              <w:spacing w:after="0"/>
              <w:rPr>
                <w:sz w:val="20"/>
                <w:szCs w:val="20"/>
                <w:color w:val="auto"/>
              </w:rPr>
            </w:pPr>
            <w:r>
              <w:rPr>
                <w:rFonts w:ascii="Arial" w:cs="Arial" w:eastAsia="Arial" w:hAnsi="Arial"/>
                <w:sz w:val="13"/>
                <w:szCs w:val="13"/>
                <w:b w:val="1"/>
                <w:bCs w:val="1"/>
                <w:color w:val="auto"/>
              </w:rPr>
              <w:t>2021</w:t>
            </w:r>
          </w:p>
        </w:tc>
        <w:tc>
          <w:tcPr>
            <w:tcW w:w="10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410"/>
              <w:spacing w:after="0"/>
              <w:rPr>
                <w:sz w:val="20"/>
                <w:szCs w:val="20"/>
                <w:color w:val="auto"/>
              </w:rPr>
            </w:pPr>
            <w:r>
              <w:rPr>
                <w:rFonts w:ascii="Arial" w:cs="Arial" w:eastAsia="Arial" w:hAnsi="Arial"/>
                <w:sz w:val="13"/>
                <w:szCs w:val="13"/>
                <w:b w:val="1"/>
                <w:bCs w:val="1"/>
                <w:color w:val="auto"/>
              </w:rPr>
              <w:t>2022</w:t>
            </w:r>
          </w:p>
        </w:tc>
        <w:tc>
          <w:tcPr>
            <w:tcW w:w="12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410"/>
              <w:spacing w:after="0"/>
              <w:rPr>
                <w:sz w:val="20"/>
                <w:szCs w:val="20"/>
                <w:color w:val="auto"/>
              </w:rPr>
            </w:pPr>
            <w:r>
              <w:rPr>
                <w:rFonts w:ascii="Arial" w:cs="Arial" w:eastAsia="Arial" w:hAnsi="Arial"/>
                <w:sz w:val="13"/>
                <w:szCs w:val="13"/>
                <w:b w:val="1"/>
                <w:bCs w:val="1"/>
                <w:color w:val="auto"/>
              </w:rPr>
              <w:t>2023</w:t>
            </w:r>
          </w:p>
        </w:tc>
        <w:tc>
          <w:tcPr>
            <w:tcW w:w="12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90"/>
              <w:spacing w:after="0"/>
              <w:rPr>
                <w:sz w:val="20"/>
                <w:szCs w:val="20"/>
                <w:color w:val="auto"/>
              </w:rPr>
            </w:pPr>
            <w:r>
              <w:rPr>
                <w:rFonts w:ascii="Arial" w:cs="Arial" w:eastAsia="Arial" w:hAnsi="Arial"/>
                <w:sz w:val="13"/>
                <w:szCs w:val="13"/>
                <w:b w:val="1"/>
                <w:bCs w:val="1"/>
                <w:color w:val="auto"/>
              </w:rPr>
              <w:t>2024</w:t>
            </w:r>
          </w:p>
        </w:tc>
        <w:tc>
          <w:tcPr>
            <w:tcW w:w="12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410"/>
              <w:spacing w:after="0"/>
              <w:rPr>
                <w:sz w:val="20"/>
                <w:szCs w:val="20"/>
                <w:color w:val="auto"/>
              </w:rPr>
            </w:pPr>
            <w:r>
              <w:rPr>
                <w:rFonts w:ascii="Arial" w:cs="Arial" w:eastAsia="Arial" w:hAnsi="Arial"/>
                <w:sz w:val="13"/>
                <w:szCs w:val="13"/>
                <w:b w:val="1"/>
                <w:bCs w:val="1"/>
                <w:color w:val="auto"/>
              </w:rPr>
              <w:t>2025</w:t>
            </w:r>
          </w:p>
        </w:tc>
      </w:tr>
      <w:tr>
        <w:trPr>
          <w:trHeight w:val="180"/>
        </w:trPr>
        <w:tc>
          <w:tcPr>
            <w:tcW w:w="5200" w:type="dxa"/>
            <w:vAlign w:val="bottom"/>
            <w:shd w:val="clear" w:color="auto" w:fill="CFF0FC"/>
          </w:tcPr>
          <w:p>
            <w:pPr>
              <w:spacing w:after="0" w:line="180" w:lineRule="exact"/>
              <w:rPr>
                <w:sz w:val="20"/>
                <w:szCs w:val="20"/>
                <w:color w:val="auto"/>
              </w:rPr>
            </w:pPr>
            <w:r>
              <w:rPr>
                <w:rFonts w:ascii="Arial" w:cs="Arial" w:eastAsia="Arial" w:hAnsi="Arial"/>
                <w:sz w:val="16"/>
                <w:szCs w:val="16"/>
                <w:color w:val="auto"/>
              </w:rPr>
              <w:t>Amortization expense</w:t>
            </w:r>
          </w:p>
        </w:tc>
        <w:tc>
          <w:tcPr>
            <w:tcW w:w="220" w:type="dxa"/>
            <w:vAlign w:val="bottom"/>
            <w:shd w:val="clear" w:color="auto" w:fill="CFF0FC"/>
          </w:tcPr>
          <w:p>
            <w:pPr>
              <w:jc w:val="right"/>
              <w:ind w:right="42"/>
              <w:spacing w:after="0" w:line="180" w:lineRule="exact"/>
              <w:rPr>
                <w:sz w:val="20"/>
                <w:szCs w:val="20"/>
                <w:color w:val="auto"/>
              </w:rPr>
            </w:pPr>
            <w:r>
              <w:rPr>
                <w:rFonts w:ascii="Arial" w:cs="Arial" w:eastAsia="Arial" w:hAnsi="Arial"/>
                <w:sz w:val="16"/>
                <w:szCs w:val="16"/>
                <w:color w:val="auto"/>
                <w:w w:val="89"/>
              </w:rPr>
              <w:t>$</w:t>
            </w:r>
          </w:p>
        </w:tc>
        <w:tc>
          <w:tcPr>
            <w:tcW w:w="900" w:type="dxa"/>
            <w:vAlign w:val="bottom"/>
            <w:shd w:val="clear" w:color="auto" w:fill="CFF0FC"/>
          </w:tcPr>
          <w:p>
            <w:pPr>
              <w:jc w:val="right"/>
              <w:ind w:right="47"/>
              <w:spacing w:after="0" w:line="180" w:lineRule="exact"/>
              <w:rPr>
                <w:sz w:val="20"/>
                <w:szCs w:val="20"/>
                <w:color w:val="auto"/>
              </w:rPr>
            </w:pPr>
            <w:r>
              <w:rPr>
                <w:rFonts w:ascii="Arial" w:cs="Arial" w:eastAsia="Arial" w:hAnsi="Arial"/>
                <w:sz w:val="16"/>
                <w:szCs w:val="16"/>
                <w:color w:val="auto"/>
              </w:rPr>
              <w:t>46</w:t>
            </w:r>
          </w:p>
        </w:tc>
        <w:tc>
          <w:tcPr>
            <w:tcW w:w="340" w:type="dxa"/>
            <w:vAlign w:val="bottom"/>
            <w:gridSpan w:val="2"/>
            <w:shd w:val="clear" w:color="auto" w:fill="CFF0FC"/>
          </w:tcPr>
          <w:p>
            <w:pPr>
              <w:jc w:val="right"/>
              <w:ind w:right="140"/>
              <w:spacing w:after="0" w:line="180" w:lineRule="exact"/>
              <w:rPr>
                <w:sz w:val="20"/>
                <w:szCs w:val="20"/>
                <w:color w:val="auto"/>
              </w:rPr>
            </w:pPr>
            <w:r>
              <w:rPr>
                <w:rFonts w:ascii="Arial" w:cs="Arial" w:eastAsia="Arial" w:hAnsi="Arial"/>
                <w:sz w:val="16"/>
                <w:szCs w:val="16"/>
                <w:color w:val="auto"/>
              </w:rPr>
              <w:t>$</w:t>
            </w:r>
          </w:p>
        </w:tc>
        <w:tc>
          <w:tcPr>
            <w:tcW w:w="880" w:type="dxa"/>
            <w:vAlign w:val="bottom"/>
            <w:shd w:val="clear" w:color="auto" w:fill="CFF0FC"/>
          </w:tcPr>
          <w:p>
            <w:pPr>
              <w:jc w:val="right"/>
              <w:ind w:right="50"/>
              <w:spacing w:after="0" w:line="180" w:lineRule="exact"/>
              <w:rPr>
                <w:sz w:val="20"/>
                <w:szCs w:val="20"/>
                <w:color w:val="auto"/>
              </w:rPr>
            </w:pPr>
            <w:r>
              <w:rPr>
                <w:rFonts w:ascii="Arial" w:cs="Arial" w:eastAsia="Arial" w:hAnsi="Arial"/>
                <w:sz w:val="16"/>
                <w:szCs w:val="16"/>
                <w:color w:val="auto"/>
              </w:rPr>
              <w:t>45</w:t>
            </w:r>
          </w:p>
        </w:tc>
        <w:tc>
          <w:tcPr>
            <w:tcW w:w="120" w:type="dxa"/>
            <w:vAlign w:val="bottom"/>
            <w:shd w:val="clear" w:color="auto" w:fill="CFF0FC"/>
          </w:tcPr>
          <w:p>
            <w:pPr>
              <w:spacing w:after="0"/>
              <w:rPr>
                <w:sz w:val="15"/>
                <w:szCs w:val="15"/>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ind w:right="50"/>
              <w:spacing w:after="0" w:line="180" w:lineRule="exact"/>
              <w:rPr>
                <w:sz w:val="20"/>
                <w:szCs w:val="20"/>
                <w:color w:val="auto"/>
              </w:rPr>
            </w:pPr>
            <w:r>
              <w:rPr>
                <w:rFonts w:ascii="Arial" w:cs="Arial" w:eastAsia="Arial" w:hAnsi="Arial"/>
                <w:sz w:val="16"/>
                <w:szCs w:val="16"/>
                <w:color w:val="auto"/>
              </w:rPr>
              <w:t>43</w:t>
            </w:r>
          </w:p>
        </w:tc>
        <w:tc>
          <w:tcPr>
            <w:tcW w:w="340" w:type="dxa"/>
            <w:vAlign w:val="bottom"/>
            <w:gridSpan w:val="2"/>
            <w:shd w:val="clear" w:color="auto" w:fill="CFF0FC"/>
          </w:tcPr>
          <w:p>
            <w:pPr>
              <w:jc w:val="right"/>
              <w:ind w:right="140"/>
              <w:spacing w:after="0" w:line="180" w:lineRule="exact"/>
              <w:rPr>
                <w:sz w:val="20"/>
                <w:szCs w:val="20"/>
                <w:color w:val="auto"/>
              </w:rPr>
            </w:pPr>
            <w:r>
              <w:rPr>
                <w:rFonts w:ascii="Arial" w:cs="Arial" w:eastAsia="Arial" w:hAnsi="Arial"/>
                <w:sz w:val="16"/>
                <w:szCs w:val="16"/>
                <w:color w:val="auto"/>
              </w:rPr>
              <w:t>$</w:t>
            </w:r>
          </w:p>
        </w:tc>
        <w:tc>
          <w:tcPr>
            <w:tcW w:w="880" w:type="dxa"/>
            <w:vAlign w:val="bottom"/>
            <w:shd w:val="clear" w:color="auto" w:fill="CFF0FC"/>
          </w:tcPr>
          <w:p>
            <w:pPr>
              <w:jc w:val="right"/>
              <w:ind w:right="30"/>
              <w:spacing w:after="0" w:line="180" w:lineRule="exact"/>
              <w:rPr>
                <w:sz w:val="20"/>
                <w:szCs w:val="20"/>
                <w:color w:val="auto"/>
              </w:rPr>
            </w:pPr>
            <w:r>
              <w:rPr>
                <w:rFonts w:ascii="Arial" w:cs="Arial" w:eastAsia="Arial" w:hAnsi="Arial"/>
                <w:sz w:val="16"/>
                <w:szCs w:val="16"/>
                <w:color w:val="auto"/>
              </w:rPr>
              <w:t>8</w:t>
            </w:r>
          </w:p>
        </w:tc>
        <w:tc>
          <w:tcPr>
            <w:tcW w:w="360" w:type="dxa"/>
            <w:vAlign w:val="bottom"/>
            <w:gridSpan w:val="2"/>
            <w:shd w:val="clear" w:color="auto" w:fill="CFF0FC"/>
          </w:tcPr>
          <w:p>
            <w:pPr>
              <w:jc w:val="right"/>
              <w:ind w:right="140"/>
              <w:spacing w:after="0" w:line="180" w:lineRule="exact"/>
              <w:rPr>
                <w:sz w:val="20"/>
                <w:szCs w:val="20"/>
                <w:color w:val="auto"/>
              </w:rPr>
            </w:pPr>
            <w:r>
              <w:rPr>
                <w:rFonts w:ascii="Arial" w:cs="Arial" w:eastAsia="Arial" w:hAnsi="Arial"/>
                <w:sz w:val="16"/>
                <w:szCs w:val="16"/>
                <w:color w:val="auto"/>
              </w:rPr>
              <w:t>$</w:t>
            </w:r>
          </w:p>
        </w:tc>
        <w:tc>
          <w:tcPr>
            <w:tcW w:w="900" w:type="dxa"/>
            <w:vAlign w:val="bottom"/>
            <w:shd w:val="clear" w:color="auto" w:fill="CFF0FC"/>
          </w:tcPr>
          <w:p>
            <w:pPr>
              <w:jc w:val="right"/>
              <w:ind w:right="50"/>
              <w:spacing w:after="0" w:line="180" w:lineRule="exact"/>
              <w:rPr>
                <w:sz w:val="20"/>
                <w:szCs w:val="20"/>
                <w:color w:val="auto"/>
              </w:rPr>
            </w:pPr>
            <w:r>
              <w:rPr>
                <w:rFonts w:ascii="Arial" w:cs="Arial" w:eastAsia="Arial" w:hAnsi="Arial"/>
                <w:sz w:val="16"/>
                <w:szCs w:val="16"/>
                <w:color w:val="auto"/>
              </w:rPr>
              <w:t>4</w:t>
            </w:r>
          </w:p>
        </w:tc>
      </w:tr>
      <w:tr>
        <w:trPr>
          <w:trHeight w:val="20"/>
        </w:trPr>
        <w:tc>
          <w:tcPr>
            <w:tcW w:w="520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r>
        <w:trPr>
          <w:trHeight w:val="690"/>
        </w:trPr>
        <w:tc>
          <w:tcPr>
            <w:tcW w:w="5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jc w:val="right"/>
              <w:ind w:right="527"/>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87"/>
        </w:trPr>
        <w:tc>
          <w:tcPr>
            <w:tcW w:w="520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9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88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90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88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90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7138670</wp:posOffset>
            </wp:positionH>
            <wp:positionV relativeFrom="paragraph">
              <wp:posOffset>-6985</wp:posOffset>
            </wp:positionV>
            <wp:extent cx="7620" cy="76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-13970</wp:posOffset>
            </wp:positionV>
            <wp:extent cx="7620" cy="146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620" cy="14605"/>
                    </a:xfrm>
                    <a:prstGeom prst="rect">
                      <a:avLst/>
                    </a:prstGeom>
                    <a:noFill/>
                  </pic:spPr>
                </pic:pic>
              </a:graphicData>
            </a:graphic>
          </wp:anchor>
        </w:drawing>
      </w:r>
    </w:p>
    <w:p>
      <w:pPr>
        <w:sectPr>
          <w:pgSz w:w="11900" w:h="16838" w:orient="portrait"/>
          <w:cols w:equalWidth="0" w:num="1">
            <w:col w:w="11260"/>
          </w:cols>
          <w:pgMar w:left="320" w:top="140" w:right="319" w:bottom="1440" w:gutter="0" w:footer="0" w:header="0"/>
        </w:sectPr>
      </w:pPr>
    </w:p>
    <w:bookmarkStart w:id="11" w:name="page12"/>
    <w:bookmarkEnd w:id="1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F. FAIR VALUE OF FINANCIAL INSTRUMENTS</w:t>
      </w:r>
    </w:p>
    <w:p>
      <w:pPr>
        <w:spacing w:after="0" w:line="106" w:lineRule="exact"/>
        <w:rPr>
          <w:sz w:val="20"/>
          <w:szCs w:val="20"/>
          <w:color w:val="auto"/>
        </w:rPr>
      </w:pPr>
    </w:p>
    <w:p>
      <w:pPr>
        <w:ind w:right="20" w:firstLine="528"/>
        <w:spacing w:after="0" w:line="231" w:lineRule="auto"/>
        <w:rPr>
          <w:sz w:val="20"/>
          <w:szCs w:val="20"/>
          <w:color w:val="auto"/>
        </w:rPr>
      </w:pPr>
      <w:r>
        <w:rPr>
          <w:rFonts w:ascii="Arial" w:cs="Arial" w:eastAsia="Arial" w:hAnsi="Arial"/>
          <w:sz w:val="16"/>
          <w:szCs w:val="16"/>
          <w:color w:val="auto"/>
        </w:rPr>
        <w:t>In accordance with the FASB’s authoritative accounting guidance on fair value measurements, fair value is the price (exit price) that would be received to sell an asset or paid to transfer a liability in an orderly transaction between market participants at the measurement date. The Company utilizes market data or assumptions that market participants would use in pricing the asset or liability, including assumptions about risk and the risks inherent in the inputs to the valuation technique. These inputs can be readily observable, market corroborated, or generally unobservable. The Company primarily applies the market approach for recurring fair value measurements and utilizes the best available information that maximizes the use of observable inputs and minimizes the use of unobservable inputs. The Company is able to classify fair value balances based on the observability of those inputs. The accounting guidance establishes a fair value hierarchy that prioritizes the inputs used to measure fair value. The hierarchy gives the highest priority to unadjusted quoted prices in active markets for identical assets or liabilities (Level 1 measurement) and the lowest priority to unobservable inputs (Level 3 measurement). The three levels of the fair value hierarchy defined by the relevant guidance are as follows:</w:t>
      </w:r>
    </w:p>
    <w:p>
      <w:pPr>
        <w:spacing w:after="0" w:line="85" w:lineRule="exact"/>
        <w:rPr>
          <w:sz w:val="20"/>
          <w:szCs w:val="20"/>
          <w:color w:val="auto"/>
        </w:rPr>
      </w:pPr>
    </w:p>
    <w:p>
      <w:pPr>
        <w:ind w:right="440" w:firstLine="528"/>
        <w:spacing w:after="0" w:line="234" w:lineRule="auto"/>
        <w:rPr>
          <w:sz w:val="20"/>
          <w:szCs w:val="20"/>
          <w:color w:val="auto"/>
        </w:rPr>
      </w:pPr>
      <w:r>
        <w:rPr>
          <w:rFonts w:ascii="Arial" w:cs="Arial" w:eastAsia="Arial" w:hAnsi="Arial"/>
          <w:sz w:val="16"/>
          <w:szCs w:val="16"/>
          <w:color w:val="auto"/>
        </w:rPr>
        <w:t>Level 1 — Quoted prices are available in active markets for identical assets or liabilities as of the reporting date. Active markets are those in which transactions for the asset or liability occur in sufficient frequency and volume to provide pricing information on an ongoing basis. Level 1 primarily consists of financial instruments such as exchange-traded derivatives, listed equities and publicly traded bonds.</w:t>
      </w:r>
    </w:p>
    <w:p>
      <w:pPr>
        <w:spacing w:after="0" w:line="84" w:lineRule="exact"/>
        <w:rPr>
          <w:sz w:val="20"/>
          <w:szCs w:val="20"/>
          <w:color w:val="auto"/>
        </w:rPr>
      </w:pPr>
    </w:p>
    <w:p>
      <w:pPr>
        <w:ind w:right="80" w:firstLine="528"/>
        <w:spacing w:after="0" w:line="232" w:lineRule="auto"/>
        <w:rPr>
          <w:sz w:val="20"/>
          <w:szCs w:val="20"/>
          <w:color w:val="auto"/>
        </w:rPr>
      </w:pPr>
      <w:r>
        <w:rPr>
          <w:rFonts w:ascii="Arial" w:cs="Arial" w:eastAsia="Arial" w:hAnsi="Arial"/>
          <w:sz w:val="16"/>
          <w:szCs w:val="16"/>
          <w:color w:val="auto"/>
        </w:rPr>
        <w:t>Level 2 — Pricing inputs are other than quoted prices in active markets included in Level 1, which are either directly or indirectly observable as of the reported date. Level 2 includes financial instruments that are valued using quoted prices in markets that are not active and those financial instruments that are valued using models or other valuation methodologies. These models are primarily industry standard models that consider various assumptions, including quoted forward prices for commodities, time value, volatility factors, and current market and contractual prices for the underlying instruments, as well as other relevant economic measures. Substantially all of these assumptions are observable in the marketplace throughout the full term of the instrument, can be derived from observable data or are supported by observable levels at which transactions are executed in the marketplace.</w:t>
      </w:r>
    </w:p>
    <w:p>
      <w:pPr>
        <w:spacing w:after="0" w:line="84" w:lineRule="exact"/>
        <w:rPr>
          <w:sz w:val="20"/>
          <w:szCs w:val="20"/>
          <w:color w:val="auto"/>
        </w:rPr>
      </w:pPr>
    </w:p>
    <w:p>
      <w:pPr>
        <w:ind w:right="160" w:firstLine="528"/>
        <w:spacing w:after="0" w:line="233" w:lineRule="auto"/>
        <w:rPr>
          <w:sz w:val="20"/>
          <w:szCs w:val="20"/>
          <w:color w:val="auto"/>
        </w:rPr>
      </w:pPr>
      <w:r>
        <w:rPr>
          <w:rFonts w:ascii="Arial" w:cs="Arial" w:eastAsia="Arial" w:hAnsi="Arial"/>
          <w:sz w:val="16"/>
          <w:szCs w:val="16"/>
          <w:color w:val="auto"/>
        </w:rPr>
        <w:t>Level 3 — Pricing inputs include significant inputs that are generally less observable from objective sources. These inputs may be used with internally developed methodologies that result in management’s best estimate of fair value. At each balance sheet date, the Company performs an analysis of all instruments subject to authoritative accounting guidance and includes, in Level 3, all of those whose fair value is based on significant unobservable inputs. As of March 31, 2020 and December 31, 2019, the Company did not have any Level 3 financial assets or liabilities.</w:t>
      </w:r>
    </w:p>
    <w:p>
      <w:pPr>
        <w:spacing w:after="0" w:line="84" w:lineRule="exact"/>
        <w:rPr>
          <w:sz w:val="20"/>
          <w:szCs w:val="20"/>
          <w:color w:val="auto"/>
        </w:rPr>
      </w:pPr>
    </w:p>
    <w:p>
      <w:pPr>
        <w:ind w:right="300" w:firstLine="528"/>
        <w:spacing w:after="0" w:line="233" w:lineRule="auto"/>
        <w:rPr>
          <w:sz w:val="20"/>
          <w:szCs w:val="20"/>
          <w:color w:val="auto"/>
        </w:rPr>
      </w:pPr>
      <w:r>
        <w:rPr>
          <w:rFonts w:ascii="Arial" w:cs="Arial" w:eastAsia="Arial" w:hAnsi="Arial"/>
          <w:sz w:val="16"/>
          <w:szCs w:val="16"/>
          <w:color w:val="auto"/>
        </w:rPr>
        <w:t>The Company’s assets and liabilities that are measured at fair value include cash equivalents, derivative instruments, assets held in a rabbi trust and a deferred compensation obligation. The Company’s cash equivalents consist of short-term U.S. government backed securities. The Company’s derivative instruments consist of interest rate swaps. The Company’s assets held in the rabbi trust consist principally of publicly available mutual funds and target date retirement funds. The Company’s deferred compensation obligation is directly related to the fair value of assets held in the rabbi trust.</w:t>
      </w:r>
    </w:p>
    <w:p>
      <w:pPr>
        <w:spacing w:after="0" w:line="84" w:lineRule="exact"/>
        <w:rPr>
          <w:sz w:val="20"/>
          <w:szCs w:val="20"/>
          <w:color w:val="auto"/>
        </w:rPr>
      </w:pPr>
    </w:p>
    <w:p>
      <w:pPr>
        <w:ind w:right="20" w:firstLine="528"/>
        <w:spacing w:after="0" w:line="233" w:lineRule="auto"/>
        <w:rPr>
          <w:sz w:val="20"/>
          <w:szCs w:val="20"/>
          <w:color w:val="auto"/>
        </w:rPr>
      </w:pPr>
      <w:r>
        <w:rPr>
          <w:rFonts w:ascii="Arial" w:cs="Arial" w:eastAsia="Arial" w:hAnsi="Arial"/>
          <w:sz w:val="16"/>
          <w:szCs w:val="16"/>
          <w:color w:val="auto"/>
        </w:rPr>
        <w:t>The Company’s valuation techniques used to calculate the fair value of cash and cash equivalents, assets held in the rabbi trust and the deferred compensation obligation represent a market approach in active markets for identical assets that qualify as Level 1 in the fair value hierarchy. The Company’s valuation techniques used to calculate the fair value of derivative instruments represent a market approach with observable inputs that qualify as Level 2 in the fair value hierarchy.</w:t>
      </w:r>
    </w:p>
    <w:p>
      <w:pPr>
        <w:spacing w:after="0" w:line="84" w:lineRule="exact"/>
        <w:rPr>
          <w:sz w:val="20"/>
          <w:szCs w:val="20"/>
          <w:color w:val="auto"/>
        </w:rPr>
      </w:pPr>
    </w:p>
    <w:p>
      <w:pPr>
        <w:jc w:val="both"/>
        <w:ind w:firstLine="528"/>
        <w:spacing w:after="0" w:line="234" w:lineRule="auto"/>
        <w:rPr>
          <w:sz w:val="20"/>
          <w:szCs w:val="20"/>
          <w:color w:val="auto"/>
        </w:rPr>
      </w:pPr>
      <w:r>
        <w:rPr>
          <w:rFonts w:ascii="Arial" w:cs="Arial" w:eastAsia="Arial" w:hAnsi="Arial"/>
          <w:sz w:val="16"/>
          <w:szCs w:val="16"/>
          <w:color w:val="auto"/>
        </w:rPr>
        <w:t>The Company uses valuations from the issuing financial institutions for the fair value measurement of interest rate swaps. The floating-to-fixed interest rate swaps are based on the London Interbank Offered Rate (“LIBOR”), which is observable at commonly quoted intervals. The fair values are included in other current and non-current assets and liabilities in the Condensed Consolidated Balance Sheets.</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55245</wp:posOffset>
            </wp:positionV>
            <wp:extent cx="7150100" cy="146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12" w:name="page13"/>
    <w:bookmarkEnd w:id="1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97" w:lineRule="exact"/>
        <w:rPr>
          <w:sz w:val="20"/>
          <w:szCs w:val="20"/>
          <w:color w:val="auto"/>
        </w:rPr>
      </w:pPr>
    </w:p>
    <w:p>
      <w:pPr>
        <w:ind w:right="240" w:firstLine="528"/>
        <w:spacing w:after="0" w:line="237" w:lineRule="auto"/>
        <w:rPr>
          <w:sz w:val="20"/>
          <w:szCs w:val="20"/>
          <w:color w:val="auto"/>
        </w:rPr>
      </w:pPr>
      <w:r>
        <w:rPr>
          <w:rFonts w:ascii="Arial" w:cs="Arial" w:eastAsia="Arial" w:hAnsi="Arial"/>
          <w:sz w:val="16"/>
          <w:szCs w:val="16"/>
          <w:color w:val="auto"/>
        </w:rPr>
        <w:t>The following table summarizes the fair value of the Company’s financial assets and (liabilities) as of March 31, 2020 and December 31, 2019 (dollars in millions):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29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2080" w:type="dxa"/>
            <w:vAlign w:val="bottom"/>
            <w:tcBorders>
              <w:bottom w:val="single" w:sz="8" w:color="auto"/>
            </w:tcBorders>
            <w:gridSpan w:val="4"/>
          </w:tcPr>
          <w:p>
            <w:pPr>
              <w:jc w:val="center"/>
              <w:ind w:left="50"/>
              <w:spacing w:after="0"/>
              <w:rPr>
                <w:sz w:val="20"/>
                <w:szCs w:val="20"/>
                <w:color w:val="auto"/>
              </w:rPr>
            </w:pPr>
            <w:r>
              <w:rPr>
                <w:rFonts w:ascii="Arial" w:cs="Arial" w:eastAsia="Arial" w:hAnsi="Arial"/>
                <w:sz w:val="13"/>
                <w:szCs w:val="13"/>
                <w:b w:val="1"/>
                <w:bCs w:val="1"/>
                <w:color w:val="auto"/>
                <w:w w:val="95"/>
              </w:rPr>
              <w:t>Fair Value Measurements Using</w:t>
            </w:r>
          </w:p>
        </w:tc>
        <w:tc>
          <w:tcPr>
            <w:tcW w:w="4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9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80" w:type="dxa"/>
            <w:vAlign w:val="bottom"/>
            <w:gridSpan w:val="4"/>
          </w:tcPr>
          <w:p>
            <w:pPr>
              <w:jc w:val="center"/>
              <w:ind w:right="246"/>
              <w:spacing w:after="0" w:line="133" w:lineRule="exact"/>
              <w:rPr>
                <w:sz w:val="20"/>
                <w:szCs w:val="20"/>
                <w:color w:val="auto"/>
              </w:rPr>
            </w:pPr>
            <w:r>
              <w:rPr>
                <w:rFonts w:ascii="Arial" w:cs="Arial" w:eastAsia="Arial" w:hAnsi="Arial"/>
                <w:sz w:val="13"/>
                <w:szCs w:val="13"/>
                <w:b w:val="1"/>
                <w:bCs w:val="1"/>
                <w:color w:val="auto"/>
                <w:w w:val="95"/>
              </w:rPr>
              <w:t>Quoted Prices in Active</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80" w:type="dxa"/>
            <w:vAlign w:val="bottom"/>
            <w:gridSpan w:val="4"/>
          </w:tcPr>
          <w:p>
            <w:pPr>
              <w:jc w:val="center"/>
              <w:ind w:left="10"/>
              <w:spacing w:after="0" w:line="133" w:lineRule="exact"/>
              <w:rPr>
                <w:sz w:val="20"/>
                <w:szCs w:val="20"/>
                <w:color w:val="auto"/>
              </w:rPr>
            </w:pPr>
            <w:r>
              <w:rPr>
                <w:rFonts w:ascii="Arial" w:cs="Arial" w:eastAsia="Arial" w:hAnsi="Arial"/>
                <w:sz w:val="13"/>
                <w:szCs w:val="13"/>
                <w:b w:val="1"/>
                <w:bCs w:val="1"/>
                <w:color w:val="auto"/>
                <w:w w:val="95"/>
              </w:rPr>
              <w:t>Significant Other</w:t>
            </w: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9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80" w:type="dxa"/>
            <w:vAlign w:val="bottom"/>
            <w:gridSpan w:val="4"/>
          </w:tcPr>
          <w:p>
            <w:pPr>
              <w:jc w:val="center"/>
              <w:ind w:right="226"/>
              <w:spacing w:after="0" w:line="141" w:lineRule="exact"/>
              <w:rPr>
                <w:sz w:val="20"/>
                <w:szCs w:val="20"/>
                <w:color w:val="auto"/>
              </w:rPr>
            </w:pPr>
            <w:r>
              <w:rPr>
                <w:rFonts w:ascii="Arial" w:cs="Arial" w:eastAsia="Arial" w:hAnsi="Arial"/>
                <w:sz w:val="13"/>
                <w:szCs w:val="13"/>
                <w:b w:val="1"/>
                <w:bCs w:val="1"/>
                <w:color w:val="auto"/>
                <w:w w:val="96"/>
              </w:rPr>
              <w:t>Markets for Identical</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80" w:type="dxa"/>
            <w:vAlign w:val="bottom"/>
            <w:gridSpan w:val="4"/>
          </w:tcPr>
          <w:p>
            <w:pPr>
              <w:jc w:val="center"/>
              <w:ind w:left="10"/>
              <w:spacing w:after="0" w:line="141" w:lineRule="exact"/>
              <w:rPr>
                <w:sz w:val="20"/>
                <w:szCs w:val="20"/>
                <w:color w:val="auto"/>
              </w:rPr>
            </w:pPr>
            <w:r>
              <w:rPr>
                <w:rFonts w:ascii="Arial" w:cs="Arial" w:eastAsia="Arial" w:hAnsi="Arial"/>
                <w:sz w:val="13"/>
                <w:szCs w:val="13"/>
                <w:b w:val="1"/>
                <w:bCs w:val="1"/>
                <w:color w:val="auto"/>
                <w:w w:val="95"/>
              </w:rPr>
              <w:t>Observable Inputs</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9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2480" w:type="dxa"/>
            <w:vAlign w:val="bottom"/>
            <w:tcBorders>
              <w:bottom w:val="single" w:sz="8" w:color="auto"/>
            </w:tcBorders>
            <w:gridSpan w:val="4"/>
          </w:tcPr>
          <w:p>
            <w:pPr>
              <w:jc w:val="center"/>
              <w:ind w:right="246"/>
              <w:spacing w:after="0"/>
              <w:rPr>
                <w:sz w:val="20"/>
                <w:szCs w:val="20"/>
                <w:color w:val="auto"/>
              </w:rPr>
            </w:pPr>
            <w:r>
              <w:rPr>
                <w:rFonts w:ascii="Arial" w:cs="Arial" w:eastAsia="Arial" w:hAnsi="Arial"/>
                <w:sz w:val="13"/>
                <w:szCs w:val="13"/>
                <w:b w:val="1"/>
                <w:bCs w:val="1"/>
                <w:color w:val="auto"/>
                <w:w w:val="96"/>
              </w:rPr>
              <w:t>Assets (Level 1)</w:t>
            </w:r>
          </w:p>
        </w:tc>
        <w:tc>
          <w:tcPr>
            <w:tcW w:w="10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2080" w:type="dxa"/>
            <w:vAlign w:val="bottom"/>
            <w:tcBorders>
              <w:bottom w:val="single" w:sz="8" w:color="auto"/>
            </w:tcBorders>
            <w:gridSpan w:val="4"/>
          </w:tcPr>
          <w:p>
            <w:pPr>
              <w:jc w:val="center"/>
              <w:ind w:left="10"/>
              <w:spacing w:after="0"/>
              <w:rPr>
                <w:sz w:val="20"/>
                <w:szCs w:val="20"/>
                <w:color w:val="auto"/>
              </w:rPr>
            </w:pPr>
            <w:r>
              <w:rPr>
                <w:rFonts w:ascii="Arial" w:cs="Arial" w:eastAsia="Arial" w:hAnsi="Arial"/>
                <w:sz w:val="13"/>
                <w:szCs w:val="13"/>
                <w:b w:val="1"/>
                <w:bCs w:val="1"/>
                <w:color w:val="auto"/>
                <w:w w:val="98"/>
              </w:rPr>
              <w:t>(Level 2)</w:t>
            </w:r>
          </w:p>
        </w:tc>
        <w:tc>
          <w:tcPr>
            <w:tcW w:w="4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3"/>
                <w:szCs w:val="13"/>
                <w:b w:val="1"/>
                <w:bCs w:val="1"/>
                <w:color w:val="auto"/>
              </w:rPr>
              <w:t>TOTAL</w:t>
            </w:r>
          </w:p>
        </w:tc>
        <w:tc>
          <w:tcPr>
            <w:tcW w:w="11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9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gridSpan w:val="2"/>
          </w:tcPr>
          <w:p>
            <w:pPr>
              <w:ind w:left="120"/>
              <w:spacing w:after="0" w:line="133" w:lineRule="exact"/>
              <w:rPr>
                <w:sz w:val="20"/>
                <w:szCs w:val="20"/>
                <w:color w:val="auto"/>
              </w:rPr>
            </w:pPr>
            <w:r>
              <w:rPr>
                <w:rFonts w:ascii="Arial" w:cs="Arial" w:eastAsia="Arial" w:hAnsi="Arial"/>
                <w:sz w:val="13"/>
                <w:szCs w:val="13"/>
                <w:b w:val="1"/>
                <w:bCs w:val="1"/>
                <w:color w:val="auto"/>
              </w:rPr>
              <w:t>March 31,</w:t>
            </w:r>
          </w:p>
        </w:tc>
        <w:tc>
          <w:tcPr>
            <w:tcW w:w="140" w:type="dxa"/>
            <w:vAlign w:val="bottom"/>
          </w:tcPr>
          <w:p>
            <w:pPr>
              <w:spacing w:after="0"/>
              <w:rPr>
                <w:sz w:val="11"/>
                <w:szCs w:val="11"/>
                <w:color w:val="auto"/>
              </w:rPr>
            </w:pPr>
          </w:p>
        </w:tc>
        <w:tc>
          <w:tcPr>
            <w:tcW w:w="1120" w:type="dxa"/>
            <w:vAlign w:val="bottom"/>
          </w:tcPr>
          <w:p>
            <w:pPr>
              <w:jc w:val="right"/>
              <w:ind w:right="206"/>
              <w:spacing w:after="0" w:line="133" w:lineRule="exact"/>
              <w:rPr>
                <w:sz w:val="20"/>
                <w:szCs w:val="20"/>
                <w:color w:val="auto"/>
              </w:rPr>
            </w:pPr>
            <w:r>
              <w:rPr>
                <w:rFonts w:ascii="Arial" w:cs="Arial" w:eastAsia="Arial" w:hAnsi="Arial"/>
                <w:sz w:val="13"/>
                <w:szCs w:val="13"/>
                <w:b w:val="1"/>
                <w:bCs w:val="1"/>
                <w:color w:val="auto"/>
                <w:w w:val="96"/>
              </w:rPr>
              <w:t>December 31,</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gridSpan w:val="2"/>
          </w:tcPr>
          <w:p>
            <w:pPr>
              <w:ind w:left="100"/>
              <w:spacing w:after="0" w:line="133" w:lineRule="exact"/>
              <w:rPr>
                <w:sz w:val="20"/>
                <w:szCs w:val="20"/>
                <w:color w:val="auto"/>
              </w:rPr>
            </w:pPr>
            <w:r>
              <w:rPr>
                <w:rFonts w:ascii="Arial" w:cs="Arial" w:eastAsia="Arial" w:hAnsi="Arial"/>
                <w:sz w:val="13"/>
                <w:szCs w:val="13"/>
                <w:b w:val="1"/>
                <w:bCs w:val="1"/>
                <w:color w:val="auto"/>
              </w:rPr>
              <w:t>March 31,</w:t>
            </w:r>
          </w:p>
        </w:tc>
        <w:tc>
          <w:tcPr>
            <w:tcW w:w="1260" w:type="dxa"/>
            <w:vAlign w:val="bottom"/>
            <w:gridSpan w:val="3"/>
          </w:tcPr>
          <w:p>
            <w:pPr>
              <w:jc w:val="right"/>
              <w:ind w:right="206"/>
              <w:spacing w:after="0" w:line="133" w:lineRule="exact"/>
              <w:rPr>
                <w:sz w:val="20"/>
                <w:szCs w:val="20"/>
                <w:color w:val="auto"/>
              </w:rPr>
            </w:pPr>
            <w:r>
              <w:rPr>
                <w:rFonts w:ascii="Arial" w:cs="Arial" w:eastAsia="Arial" w:hAnsi="Arial"/>
                <w:sz w:val="13"/>
                <w:szCs w:val="13"/>
                <w:b w:val="1"/>
                <w:bCs w:val="1"/>
                <w:color w:val="auto"/>
              </w:rPr>
              <w:t>December 31,</w:t>
            </w:r>
          </w:p>
        </w:tc>
        <w:tc>
          <w:tcPr>
            <w:tcW w:w="100" w:type="dxa"/>
            <w:vAlign w:val="bottom"/>
          </w:tcPr>
          <w:p>
            <w:pPr>
              <w:spacing w:after="0"/>
              <w:rPr>
                <w:sz w:val="11"/>
                <w:szCs w:val="11"/>
                <w:color w:val="auto"/>
              </w:rPr>
            </w:pPr>
          </w:p>
        </w:tc>
        <w:tc>
          <w:tcPr>
            <w:tcW w:w="940" w:type="dxa"/>
            <w:vAlign w:val="bottom"/>
            <w:gridSpan w:val="2"/>
          </w:tcPr>
          <w:p>
            <w:pPr>
              <w:ind w:left="320"/>
              <w:spacing w:after="0" w:line="133" w:lineRule="exact"/>
              <w:rPr>
                <w:sz w:val="20"/>
                <w:szCs w:val="20"/>
                <w:color w:val="auto"/>
              </w:rPr>
            </w:pPr>
            <w:r>
              <w:rPr>
                <w:rFonts w:ascii="Arial" w:cs="Arial" w:eastAsia="Arial" w:hAnsi="Arial"/>
                <w:sz w:val="13"/>
                <w:szCs w:val="13"/>
                <w:b w:val="1"/>
                <w:bCs w:val="1"/>
                <w:color w:val="auto"/>
                <w:w w:val="99"/>
              </w:rPr>
              <w:t>March 31,</w:t>
            </w: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tcPr>
          <w:p>
            <w:pPr>
              <w:jc w:val="right"/>
              <w:ind w:right="225"/>
              <w:spacing w:after="0" w:line="133" w:lineRule="exact"/>
              <w:rPr>
                <w:sz w:val="20"/>
                <w:szCs w:val="20"/>
                <w:color w:val="auto"/>
              </w:rPr>
            </w:pPr>
            <w:r>
              <w:rPr>
                <w:rFonts w:ascii="Arial" w:cs="Arial" w:eastAsia="Arial" w:hAnsi="Arial"/>
                <w:sz w:val="13"/>
                <w:szCs w:val="13"/>
                <w:b w:val="1"/>
                <w:bCs w:val="1"/>
                <w:color w:val="auto"/>
                <w:w w:val="99"/>
              </w:rPr>
              <w:t>December 31,</w:t>
            </w:r>
          </w:p>
        </w:tc>
        <w:tc>
          <w:tcPr>
            <w:tcW w:w="0" w:type="dxa"/>
            <w:vAlign w:val="bottom"/>
          </w:tcPr>
          <w:p>
            <w:pPr>
              <w:spacing w:after="0"/>
              <w:rPr>
                <w:sz w:val="1"/>
                <w:szCs w:val="1"/>
                <w:color w:val="auto"/>
              </w:rPr>
            </w:pPr>
          </w:p>
        </w:tc>
      </w:tr>
      <w:tr>
        <w:trPr>
          <w:trHeight w:val="153"/>
        </w:trPr>
        <w:tc>
          <w:tcPr>
            <w:tcW w:w="2920" w:type="dxa"/>
            <w:vAlign w:val="bottom"/>
            <w:tcBorders>
              <w:bottom w:val="single" w:sz="8" w:color="CFF0FC"/>
            </w:tcBorders>
          </w:tcPr>
          <w:p>
            <w:pPr>
              <w:spacing w:after="0"/>
              <w:rPr>
                <w:sz w:val="13"/>
                <w:szCs w:val="13"/>
                <w:color w:val="auto"/>
              </w:rPr>
            </w:pPr>
          </w:p>
        </w:tc>
        <w:tc>
          <w:tcPr>
            <w:tcW w:w="6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10"/>
              <w:spacing w:after="0"/>
              <w:rPr>
                <w:sz w:val="20"/>
                <w:szCs w:val="20"/>
                <w:color w:val="auto"/>
              </w:rPr>
            </w:pPr>
            <w:r>
              <w:rPr>
                <w:rFonts w:ascii="Arial" w:cs="Arial" w:eastAsia="Arial" w:hAnsi="Arial"/>
                <w:sz w:val="13"/>
                <w:szCs w:val="13"/>
                <w:b w:val="1"/>
                <w:bCs w:val="1"/>
                <w:color w:val="auto"/>
              </w:rPr>
              <w:t>2020</w:t>
            </w:r>
          </w:p>
        </w:tc>
        <w:tc>
          <w:tcPr>
            <w:tcW w:w="10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466"/>
              <w:spacing w:after="0"/>
              <w:rPr>
                <w:sz w:val="20"/>
                <w:szCs w:val="20"/>
                <w:color w:val="auto"/>
              </w:rPr>
            </w:pPr>
            <w:r>
              <w:rPr>
                <w:rFonts w:ascii="Arial" w:cs="Arial" w:eastAsia="Arial" w:hAnsi="Arial"/>
                <w:sz w:val="13"/>
                <w:szCs w:val="13"/>
                <w:b w:val="1"/>
                <w:bCs w:val="1"/>
                <w:color w:val="auto"/>
              </w:rPr>
              <w:t>2019</w:t>
            </w:r>
          </w:p>
        </w:tc>
        <w:tc>
          <w:tcPr>
            <w:tcW w:w="10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10"/>
              <w:spacing w:after="0"/>
              <w:rPr>
                <w:sz w:val="20"/>
                <w:szCs w:val="20"/>
                <w:color w:val="auto"/>
              </w:rPr>
            </w:pPr>
            <w:r>
              <w:rPr>
                <w:rFonts w:ascii="Arial" w:cs="Arial" w:eastAsia="Arial" w:hAnsi="Arial"/>
                <w:sz w:val="13"/>
                <w:szCs w:val="13"/>
                <w:b w:val="1"/>
                <w:bCs w:val="1"/>
                <w:color w:val="auto"/>
              </w:rPr>
              <w:t>2020</w:t>
            </w:r>
          </w:p>
        </w:tc>
        <w:tc>
          <w:tcPr>
            <w:tcW w:w="100" w:type="dxa"/>
            <w:vAlign w:val="bottom"/>
            <w:tcBorders>
              <w:bottom w:val="single" w:sz="8" w:color="CFF0FC"/>
            </w:tcBorders>
          </w:tcPr>
          <w:p>
            <w:pPr>
              <w:spacing w:after="0"/>
              <w:rPr>
                <w:sz w:val="13"/>
                <w:szCs w:val="13"/>
                <w:color w:val="auto"/>
              </w:rPr>
            </w:pPr>
          </w:p>
        </w:tc>
        <w:tc>
          <w:tcPr>
            <w:tcW w:w="860" w:type="dxa"/>
            <w:vAlign w:val="bottom"/>
            <w:tcBorders>
              <w:bottom w:val="single" w:sz="8" w:color="auto"/>
            </w:tcBorders>
            <w:gridSpan w:val="2"/>
          </w:tcPr>
          <w:p>
            <w:pPr>
              <w:jc w:val="right"/>
              <w:ind w:right="82"/>
              <w:spacing w:after="0"/>
              <w:rPr>
                <w:sz w:val="20"/>
                <w:szCs w:val="20"/>
                <w:color w:val="auto"/>
              </w:rPr>
            </w:pPr>
            <w:r>
              <w:rPr>
                <w:rFonts w:ascii="Arial" w:cs="Arial" w:eastAsia="Arial" w:hAnsi="Arial"/>
                <w:sz w:val="13"/>
                <w:szCs w:val="13"/>
                <w:b w:val="1"/>
                <w:bCs w:val="1"/>
                <w:color w:val="auto"/>
              </w:rPr>
              <w:t>2019</w:t>
            </w:r>
          </w:p>
        </w:tc>
        <w:tc>
          <w:tcPr>
            <w:tcW w:w="400" w:type="dxa"/>
            <w:vAlign w:val="bottom"/>
            <w:tcBorders>
              <w:bottom w:val="single" w:sz="8" w:color="auto"/>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860" w:type="dxa"/>
            <w:vAlign w:val="bottom"/>
            <w:tcBorders>
              <w:bottom w:val="single" w:sz="8" w:color="auto"/>
            </w:tcBorders>
          </w:tcPr>
          <w:p>
            <w:pPr>
              <w:jc w:val="right"/>
              <w:ind w:right="45"/>
              <w:spacing w:after="0"/>
              <w:rPr>
                <w:sz w:val="20"/>
                <w:szCs w:val="20"/>
                <w:color w:val="auto"/>
              </w:rPr>
            </w:pPr>
            <w:r>
              <w:rPr>
                <w:rFonts w:ascii="Arial" w:cs="Arial" w:eastAsia="Arial" w:hAnsi="Arial"/>
                <w:sz w:val="13"/>
                <w:szCs w:val="13"/>
                <w:b w:val="1"/>
                <w:bCs w:val="1"/>
                <w:color w:val="auto"/>
              </w:rPr>
              <w:t>2020</w:t>
            </w: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505"/>
              <w:spacing w:after="0"/>
              <w:rPr>
                <w:sz w:val="20"/>
                <w:szCs w:val="20"/>
                <w:color w:val="auto"/>
              </w:rPr>
            </w:pPr>
            <w:r>
              <w:rPr>
                <w:rFonts w:ascii="Arial" w:cs="Arial" w:eastAsia="Arial" w:hAnsi="Arial"/>
                <w:sz w:val="13"/>
                <w:szCs w:val="13"/>
                <w:b w:val="1"/>
                <w:bCs w:val="1"/>
                <w:color w:val="auto"/>
              </w:rPr>
              <w:t>2019</w:t>
            </w:r>
          </w:p>
        </w:tc>
        <w:tc>
          <w:tcPr>
            <w:tcW w:w="0" w:type="dxa"/>
            <w:vAlign w:val="bottom"/>
          </w:tcPr>
          <w:p>
            <w:pPr>
              <w:spacing w:after="0"/>
              <w:rPr>
                <w:sz w:val="1"/>
                <w:szCs w:val="1"/>
                <w:color w:val="auto"/>
              </w:rPr>
            </w:pPr>
          </w:p>
        </w:tc>
      </w:tr>
      <w:tr>
        <w:trPr>
          <w:trHeight w:val="180"/>
        </w:trPr>
        <w:tc>
          <w:tcPr>
            <w:tcW w:w="2920" w:type="dxa"/>
            <w:vAlign w:val="bottom"/>
            <w:shd w:val="clear" w:color="auto" w:fill="CFF0FC"/>
          </w:tcPr>
          <w:p>
            <w:pPr>
              <w:spacing w:after="0" w:line="180" w:lineRule="exact"/>
              <w:rPr>
                <w:sz w:val="20"/>
                <w:szCs w:val="20"/>
                <w:color w:val="auto"/>
              </w:rPr>
            </w:pPr>
            <w:r>
              <w:rPr>
                <w:rFonts w:ascii="Arial" w:cs="Arial" w:eastAsia="Arial" w:hAnsi="Arial"/>
                <w:sz w:val="16"/>
                <w:szCs w:val="16"/>
                <w:color w:val="auto"/>
              </w:rPr>
              <w:t>Cash equivalents</w:t>
            </w:r>
          </w:p>
        </w:tc>
        <w:tc>
          <w:tcPr>
            <w:tcW w:w="60" w:type="dxa"/>
            <w:vAlign w:val="bottom"/>
            <w:shd w:val="clear" w:color="auto" w:fill="CFF0FC"/>
          </w:tcPr>
          <w:p>
            <w:pPr>
              <w:spacing w:after="0"/>
              <w:rPr>
                <w:sz w:val="15"/>
                <w:szCs w:val="15"/>
                <w:color w:val="auto"/>
              </w:rPr>
            </w:pPr>
          </w:p>
        </w:tc>
        <w:tc>
          <w:tcPr>
            <w:tcW w:w="200" w:type="dxa"/>
            <w:vAlign w:val="bottom"/>
            <w:shd w:val="clear" w:color="auto" w:fill="CFF0FC"/>
          </w:tcPr>
          <w:p>
            <w:pPr>
              <w:jc w:val="right"/>
              <w:ind w:right="22"/>
              <w:spacing w:after="0" w:line="180" w:lineRule="exact"/>
              <w:rPr>
                <w:sz w:val="20"/>
                <w:szCs w:val="20"/>
                <w:color w:val="auto"/>
              </w:rPr>
            </w:pPr>
            <w:r>
              <w:rPr>
                <w:rFonts w:ascii="Arial" w:cs="Arial" w:eastAsia="Arial" w:hAnsi="Arial"/>
                <w:sz w:val="16"/>
                <w:szCs w:val="16"/>
                <w:b w:val="1"/>
                <w:bCs w:val="1"/>
                <w:color w:val="auto"/>
                <w:w w:val="89"/>
              </w:rPr>
              <w:t>$</w:t>
            </w:r>
          </w:p>
        </w:tc>
        <w:tc>
          <w:tcPr>
            <w:tcW w:w="1120" w:type="dxa"/>
            <w:vAlign w:val="bottom"/>
            <w:shd w:val="clear" w:color="auto" w:fill="CFF0FC"/>
          </w:tcPr>
          <w:p>
            <w:pPr>
              <w:jc w:val="right"/>
              <w:ind w:right="50"/>
              <w:spacing w:after="0" w:line="180" w:lineRule="exact"/>
              <w:rPr>
                <w:sz w:val="20"/>
                <w:szCs w:val="20"/>
                <w:color w:val="auto"/>
              </w:rPr>
            </w:pPr>
            <w:r>
              <w:rPr>
                <w:rFonts w:ascii="Arial" w:cs="Arial" w:eastAsia="Arial" w:hAnsi="Arial"/>
                <w:sz w:val="16"/>
                <w:szCs w:val="16"/>
                <w:b w:val="1"/>
                <w:bCs w:val="1"/>
                <w:color w:val="auto"/>
              </w:rPr>
              <w:t>—</w:t>
            </w: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jc w:val="right"/>
              <w:spacing w:after="0" w:line="180" w:lineRule="exact"/>
              <w:rPr>
                <w:sz w:val="20"/>
                <w:szCs w:val="20"/>
                <w:color w:val="auto"/>
              </w:rPr>
            </w:pPr>
            <w:r>
              <w:rPr>
                <w:rFonts w:ascii="Arial" w:cs="Arial" w:eastAsia="Arial" w:hAnsi="Arial"/>
                <w:sz w:val="16"/>
                <w:szCs w:val="16"/>
                <w:color w:val="auto"/>
                <w:w w:val="89"/>
              </w:rPr>
              <w:t>$</w:t>
            </w:r>
          </w:p>
        </w:tc>
        <w:tc>
          <w:tcPr>
            <w:tcW w:w="1120" w:type="dxa"/>
            <w:vAlign w:val="bottom"/>
            <w:shd w:val="clear" w:color="auto" w:fill="CFF0FC"/>
          </w:tcPr>
          <w:p>
            <w:pPr>
              <w:jc w:val="right"/>
              <w:ind w:right="46"/>
              <w:spacing w:after="0" w:line="180" w:lineRule="exact"/>
              <w:rPr>
                <w:sz w:val="20"/>
                <w:szCs w:val="20"/>
                <w:color w:val="auto"/>
              </w:rPr>
            </w:pPr>
            <w:r>
              <w:rPr>
                <w:rFonts w:ascii="Arial" w:cs="Arial" w:eastAsia="Arial" w:hAnsi="Arial"/>
                <w:sz w:val="16"/>
                <w:szCs w:val="16"/>
                <w:color w:val="auto"/>
              </w:rPr>
              <w:t>70</w:t>
            </w:r>
          </w:p>
        </w:tc>
        <w:tc>
          <w:tcPr>
            <w:tcW w:w="100" w:type="dxa"/>
            <w:vAlign w:val="bottom"/>
            <w:shd w:val="clear" w:color="auto" w:fill="CFF0FC"/>
          </w:tcPr>
          <w:p>
            <w:pPr>
              <w:spacing w:after="0"/>
              <w:rPr>
                <w:sz w:val="15"/>
                <w:szCs w:val="15"/>
                <w:color w:val="auto"/>
              </w:rPr>
            </w:pP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b w:val="1"/>
                <w:bCs w:val="1"/>
                <w:color w:val="auto"/>
                <w:w w:val="71"/>
              </w:rPr>
              <w:t>$</w:t>
            </w:r>
          </w:p>
        </w:tc>
        <w:tc>
          <w:tcPr>
            <w:tcW w:w="1120" w:type="dxa"/>
            <w:vAlign w:val="bottom"/>
            <w:shd w:val="clear" w:color="auto" w:fill="CFF0FC"/>
          </w:tcPr>
          <w:p>
            <w:pPr>
              <w:jc w:val="right"/>
              <w:ind w:right="50"/>
              <w:spacing w:after="0" w:line="180" w:lineRule="exact"/>
              <w:rPr>
                <w:sz w:val="20"/>
                <w:szCs w:val="20"/>
                <w:color w:val="auto"/>
              </w:rPr>
            </w:pPr>
            <w:r>
              <w:rPr>
                <w:rFonts w:ascii="Arial" w:cs="Arial" w:eastAsia="Arial" w:hAnsi="Arial"/>
                <w:sz w:val="16"/>
                <w:szCs w:val="16"/>
                <w:b w:val="1"/>
                <w:bCs w:val="1"/>
                <w:color w:val="auto"/>
              </w:rPr>
              <w:t>—</w:t>
            </w:r>
          </w:p>
        </w:tc>
        <w:tc>
          <w:tcPr>
            <w:tcW w:w="100" w:type="dxa"/>
            <w:vAlign w:val="bottom"/>
            <w:shd w:val="clear" w:color="auto" w:fill="CFF0FC"/>
          </w:tcPr>
          <w:p>
            <w:pPr>
              <w:spacing w:after="0"/>
              <w:rPr>
                <w:sz w:val="15"/>
                <w:szCs w:val="15"/>
                <w:color w:val="auto"/>
              </w:rPr>
            </w:pPr>
          </w:p>
        </w:tc>
        <w:tc>
          <w:tcPr>
            <w:tcW w:w="560" w:type="dxa"/>
            <w:vAlign w:val="bottom"/>
            <w:shd w:val="clear" w:color="auto" w:fill="CFF0FC"/>
          </w:tcPr>
          <w:p>
            <w:pPr>
              <w:jc w:val="right"/>
              <w:ind w:right="410"/>
              <w:spacing w:after="0"/>
              <w:rPr>
                <w:sz w:val="20"/>
                <w:szCs w:val="20"/>
                <w:color w:val="auto"/>
              </w:rPr>
            </w:pPr>
            <w:r>
              <w:rPr>
                <w:rFonts w:ascii="Arial" w:cs="Arial" w:eastAsia="Arial" w:hAnsi="Arial"/>
                <w:sz w:val="15"/>
                <w:szCs w:val="15"/>
                <w:color w:val="auto"/>
                <w:w w:val="71"/>
              </w:rPr>
              <w:t>$</w:t>
            </w:r>
          </w:p>
        </w:tc>
        <w:tc>
          <w:tcPr>
            <w:tcW w:w="300" w:type="dxa"/>
            <w:vAlign w:val="bottom"/>
            <w:shd w:val="clear" w:color="auto" w:fill="CFF0FC"/>
          </w:tcPr>
          <w:p>
            <w:pPr>
              <w:spacing w:after="0"/>
              <w:rPr>
                <w:sz w:val="15"/>
                <w:szCs w:val="15"/>
                <w:color w:val="auto"/>
              </w:rPr>
            </w:pPr>
          </w:p>
        </w:tc>
        <w:tc>
          <w:tcPr>
            <w:tcW w:w="500" w:type="dxa"/>
            <w:vAlign w:val="bottom"/>
            <w:gridSpan w:val="2"/>
            <w:shd w:val="clear" w:color="auto" w:fill="CFF0FC"/>
          </w:tcPr>
          <w:p>
            <w:pPr>
              <w:jc w:val="right"/>
              <w:ind w:right="220"/>
              <w:spacing w:after="0" w:line="180" w:lineRule="exact"/>
              <w:rPr>
                <w:sz w:val="20"/>
                <w:szCs w:val="20"/>
                <w:color w:val="auto"/>
              </w:rPr>
            </w:pPr>
            <w:r>
              <w:rPr>
                <w:rFonts w:ascii="Arial" w:cs="Arial" w:eastAsia="Arial" w:hAnsi="Arial"/>
                <w:sz w:val="16"/>
                <w:szCs w:val="16"/>
                <w:color w:val="auto"/>
              </w:rPr>
              <w:t>—</w:t>
            </w:r>
          </w:p>
        </w:tc>
        <w:tc>
          <w:tcPr>
            <w:tcW w:w="860" w:type="dxa"/>
            <w:vAlign w:val="bottom"/>
            <w:shd w:val="clear" w:color="auto" w:fill="CFF0FC"/>
          </w:tcPr>
          <w:p>
            <w:pPr>
              <w:jc w:val="right"/>
              <w:ind w:right="705"/>
              <w:spacing w:after="0"/>
              <w:rPr>
                <w:sz w:val="20"/>
                <w:szCs w:val="20"/>
                <w:color w:val="auto"/>
              </w:rPr>
            </w:pPr>
            <w:r>
              <w:rPr>
                <w:rFonts w:ascii="Arial" w:cs="Arial" w:eastAsia="Arial" w:hAnsi="Arial"/>
                <w:sz w:val="15"/>
                <w:szCs w:val="15"/>
                <w:b w:val="1"/>
                <w:bCs w:val="1"/>
                <w:color w:val="auto"/>
                <w:w w:val="71"/>
              </w:rPr>
              <w:t>$</w:t>
            </w: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80" w:type="dxa"/>
            <w:vAlign w:val="bottom"/>
            <w:shd w:val="clear" w:color="auto" w:fill="CFF0FC"/>
          </w:tcPr>
          <w:p>
            <w:pPr>
              <w:jc w:val="right"/>
              <w:ind w:right="30"/>
              <w:spacing w:after="0" w:line="180" w:lineRule="exact"/>
              <w:rPr>
                <w:sz w:val="20"/>
                <w:szCs w:val="20"/>
                <w:color w:val="auto"/>
              </w:rPr>
            </w:pPr>
            <w:r>
              <w:rPr>
                <w:rFonts w:ascii="Arial" w:cs="Arial" w:eastAsia="Arial" w:hAnsi="Arial"/>
                <w:sz w:val="16"/>
                <w:szCs w:val="16"/>
                <w:b w:val="1"/>
                <w:bCs w:val="1"/>
                <w:color w:val="auto"/>
                <w:w w:val="99"/>
              </w:rPr>
              <w:t>—</w:t>
            </w:r>
          </w:p>
        </w:tc>
        <w:tc>
          <w:tcPr>
            <w:tcW w:w="240" w:type="dxa"/>
            <w:vAlign w:val="bottom"/>
            <w:gridSpan w:val="2"/>
            <w:shd w:val="clear" w:color="auto" w:fill="CFF0FC"/>
          </w:tcPr>
          <w:p>
            <w:pPr>
              <w:jc w:val="right"/>
              <w:ind w:right="40"/>
              <w:spacing w:after="0" w:line="180" w:lineRule="exact"/>
              <w:rPr>
                <w:sz w:val="20"/>
                <w:szCs w:val="20"/>
                <w:color w:val="auto"/>
              </w:rPr>
            </w:pPr>
            <w:r>
              <w:rPr>
                <w:rFonts w:ascii="Arial" w:cs="Arial" w:eastAsia="Arial" w:hAnsi="Arial"/>
                <w:sz w:val="16"/>
                <w:szCs w:val="16"/>
                <w:color w:val="auto"/>
              </w:rPr>
              <w:t>$</w:t>
            </w:r>
          </w:p>
        </w:tc>
        <w:tc>
          <w:tcPr>
            <w:tcW w:w="1160" w:type="dxa"/>
            <w:vAlign w:val="bottom"/>
            <w:shd w:val="clear" w:color="auto" w:fill="CFF0FC"/>
          </w:tcPr>
          <w:p>
            <w:pPr>
              <w:jc w:val="right"/>
              <w:ind w:right="65"/>
              <w:spacing w:after="0" w:line="180" w:lineRule="exact"/>
              <w:rPr>
                <w:sz w:val="20"/>
                <w:szCs w:val="20"/>
                <w:color w:val="auto"/>
              </w:rPr>
            </w:pPr>
            <w:r>
              <w:rPr>
                <w:rFonts w:ascii="Arial" w:cs="Arial" w:eastAsia="Arial" w:hAnsi="Arial"/>
                <w:sz w:val="16"/>
                <w:szCs w:val="16"/>
                <w:color w:val="auto"/>
              </w:rPr>
              <w:t>70</w:t>
            </w:r>
          </w:p>
        </w:tc>
        <w:tc>
          <w:tcPr>
            <w:tcW w:w="0" w:type="dxa"/>
            <w:vAlign w:val="bottom"/>
          </w:tcPr>
          <w:p>
            <w:pPr>
              <w:spacing w:after="0"/>
              <w:rPr>
                <w:sz w:val="1"/>
                <w:szCs w:val="1"/>
                <w:color w:val="auto"/>
              </w:rPr>
            </w:pPr>
          </w:p>
        </w:tc>
      </w:tr>
      <w:tr>
        <w:trPr>
          <w:trHeight w:val="188"/>
        </w:trPr>
        <w:tc>
          <w:tcPr>
            <w:tcW w:w="2920" w:type="dxa"/>
            <w:vAlign w:val="bottom"/>
          </w:tcPr>
          <w:p>
            <w:pPr>
              <w:spacing w:after="0"/>
              <w:rPr>
                <w:sz w:val="20"/>
                <w:szCs w:val="20"/>
                <w:color w:val="auto"/>
              </w:rPr>
            </w:pPr>
            <w:r>
              <w:rPr>
                <w:rFonts w:ascii="Arial" w:cs="Arial" w:eastAsia="Arial" w:hAnsi="Arial"/>
                <w:sz w:val="16"/>
                <w:szCs w:val="16"/>
                <w:color w:val="auto"/>
              </w:rPr>
              <w:t>Rabbi trust assets</w:t>
            </w: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jc w:val="right"/>
              <w:ind w:right="50"/>
              <w:spacing w:after="0"/>
              <w:rPr>
                <w:sz w:val="20"/>
                <w:szCs w:val="20"/>
                <w:color w:val="auto"/>
              </w:rPr>
            </w:pPr>
            <w:r>
              <w:rPr>
                <w:rFonts w:ascii="Arial" w:cs="Arial" w:eastAsia="Arial" w:hAnsi="Arial"/>
                <w:sz w:val="16"/>
                <w:szCs w:val="16"/>
                <w:b w:val="1"/>
                <w:bCs w:val="1"/>
                <w:color w:val="auto"/>
              </w:rPr>
              <w:t>12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right"/>
              <w:ind w:right="46"/>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w:t>
            </w: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gridSpan w:val="2"/>
          </w:tcPr>
          <w:p>
            <w:pPr>
              <w:jc w:val="right"/>
              <w:ind w:right="30"/>
              <w:spacing w:after="0"/>
              <w:rPr>
                <w:sz w:val="20"/>
                <w:szCs w:val="20"/>
                <w:color w:val="auto"/>
              </w:rPr>
            </w:pPr>
            <w:r>
              <w:rPr>
                <w:rFonts w:ascii="Arial" w:cs="Arial" w:eastAsia="Arial" w:hAnsi="Arial"/>
                <w:sz w:val="16"/>
                <w:szCs w:val="16"/>
                <w:b w:val="1"/>
                <w:bCs w:val="1"/>
                <w:color w:val="auto"/>
              </w:rPr>
              <w:t>12</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jc w:val="right"/>
              <w:ind w:right="65"/>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188"/>
        </w:trPr>
        <w:tc>
          <w:tcPr>
            <w:tcW w:w="2920" w:type="dxa"/>
            <w:vAlign w:val="bottom"/>
            <w:shd w:val="clear" w:color="auto" w:fill="CFF0FC"/>
          </w:tcPr>
          <w:p>
            <w:pPr>
              <w:spacing w:after="0"/>
              <w:rPr>
                <w:sz w:val="20"/>
                <w:szCs w:val="20"/>
                <w:color w:val="auto"/>
              </w:rPr>
            </w:pPr>
            <w:r>
              <w:rPr>
                <w:rFonts w:ascii="Arial" w:cs="Arial" w:eastAsia="Arial" w:hAnsi="Arial"/>
                <w:sz w:val="16"/>
                <w:szCs w:val="16"/>
                <w:color w:val="auto"/>
              </w:rPr>
              <w:t>Deferred compensation obligation</w:t>
            </w:r>
          </w:p>
        </w:tc>
        <w:tc>
          <w:tcPr>
            <w:tcW w:w="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(12)</w:t>
            </w: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w:t>
            </w:r>
          </w:p>
        </w:tc>
        <w:tc>
          <w:tcPr>
            <w:tcW w:w="1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2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b w:val="1"/>
                <w:bCs w:val="1"/>
                <w:color w:val="auto"/>
              </w:rPr>
              <w:t>—</w:t>
            </w:r>
          </w:p>
        </w:tc>
        <w:tc>
          <w:tcPr>
            <w:tcW w:w="56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50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8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6"/>
                <w:szCs w:val="16"/>
                <w:b w:val="1"/>
                <w:bCs w:val="1"/>
                <w:color w:val="auto"/>
              </w:rPr>
              <w:t>(12)</w:t>
            </w: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160" w:type="dxa"/>
            <w:vAlign w:val="bottom"/>
            <w:shd w:val="clear" w:color="auto" w:fill="CFF0FC"/>
          </w:tcPr>
          <w:p>
            <w:pPr>
              <w:jc w:val="right"/>
              <w:ind w:right="5"/>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188"/>
        </w:trPr>
        <w:tc>
          <w:tcPr>
            <w:tcW w:w="292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Derivative liabilities</w:t>
            </w:r>
          </w:p>
        </w:tc>
        <w:tc>
          <w:tcPr>
            <w:tcW w:w="60" w:type="dxa"/>
            <w:vAlign w:val="bottom"/>
            <w:tcBorders>
              <w:bottom w:val="single" w:sz="8" w:color="CFF0FC"/>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0"/>
              <w:spacing w:after="0"/>
              <w:rPr>
                <w:sz w:val="20"/>
                <w:szCs w:val="20"/>
                <w:color w:val="auto"/>
              </w:rPr>
            </w:pPr>
            <w:r>
              <w:rPr>
                <w:rFonts w:ascii="Arial" w:cs="Arial" w:eastAsia="Arial" w:hAnsi="Arial"/>
                <w:sz w:val="16"/>
                <w:szCs w:val="16"/>
                <w:b w:val="1"/>
                <w:bCs w:val="1"/>
                <w:color w:val="auto"/>
              </w:rPr>
              <w:t>—</w:t>
            </w:r>
          </w:p>
        </w:tc>
        <w:tc>
          <w:tcPr>
            <w:tcW w:w="100" w:type="dxa"/>
            <w:vAlign w:val="bottom"/>
            <w:tcBorders>
              <w:bottom w:val="single" w:sz="8" w:color="CFF0FC"/>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6"/>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FF0FC"/>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(63)</w:t>
            </w:r>
          </w:p>
        </w:tc>
        <w:tc>
          <w:tcPr>
            <w:tcW w:w="100" w:type="dxa"/>
            <w:vAlign w:val="bottom"/>
            <w:tcBorders>
              <w:bottom w:val="single" w:sz="8" w:color="CFF0FC"/>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w:t>
            </w:r>
          </w:p>
        </w:tc>
        <w:tc>
          <w:tcPr>
            <w:tcW w:w="100" w:type="dxa"/>
            <w:vAlign w:val="bottom"/>
            <w:tcBorders>
              <w:bottom w:val="single" w:sz="8" w:color="CFF0FC"/>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(63)</w:t>
            </w:r>
          </w:p>
        </w:tc>
        <w:tc>
          <w:tcPr>
            <w:tcW w:w="120" w:type="dxa"/>
            <w:vAlign w:val="bottom"/>
            <w:tcBorders>
              <w:bottom w:val="single" w:sz="8" w:color="CFF0FC"/>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
              <w:spacing w:after="0"/>
              <w:rPr>
                <w:sz w:val="20"/>
                <w:szCs w:val="20"/>
                <w:color w:val="auto"/>
              </w:rPr>
            </w:pPr>
            <w:r>
              <w:rPr>
                <w:rFonts w:ascii="Arial" w:cs="Arial" w:eastAsia="Arial" w:hAnsi="Arial"/>
                <w:sz w:val="16"/>
                <w:szCs w:val="16"/>
                <w:color w:val="auto"/>
              </w:rPr>
              <w:t>(34)</w:t>
            </w:r>
          </w:p>
        </w:tc>
        <w:tc>
          <w:tcPr>
            <w:tcW w:w="0" w:type="dxa"/>
            <w:vAlign w:val="bottom"/>
          </w:tcPr>
          <w:p>
            <w:pPr>
              <w:spacing w:after="0"/>
              <w:rPr>
                <w:sz w:val="1"/>
                <w:szCs w:val="1"/>
                <w:color w:val="auto"/>
              </w:rPr>
            </w:pPr>
          </w:p>
        </w:tc>
      </w:tr>
      <w:tr>
        <w:trPr>
          <w:trHeight w:val="180"/>
        </w:trPr>
        <w:tc>
          <w:tcPr>
            <w:tcW w:w="2920" w:type="dxa"/>
            <w:vAlign w:val="bottom"/>
            <w:shd w:val="clear" w:color="auto" w:fill="CFF0FC"/>
          </w:tcPr>
          <w:p>
            <w:pPr>
              <w:ind w:left="200"/>
              <w:spacing w:after="0" w:line="180" w:lineRule="exact"/>
              <w:rPr>
                <w:sz w:val="20"/>
                <w:szCs w:val="20"/>
                <w:color w:val="auto"/>
              </w:rPr>
            </w:pPr>
            <w:r>
              <w:rPr>
                <w:rFonts w:ascii="Arial" w:cs="Arial" w:eastAsia="Arial" w:hAnsi="Arial"/>
                <w:sz w:val="16"/>
                <w:szCs w:val="16"/>
                <w:color w:val="auto"/>
              </w:rPr>
              <w:t>Total</w:t>
            </w:r>
          </w:p>
        </w:tc>
        <w:tc>
          <w:tcPr>
            <w:tcW w:w="60" w:type="dxa"/>
            <w:vAlign w:val="bottom"/>
            <w:shd w:val="clear" w:color="auto" w:fill="CFF0FC"/>
          </w:tcPr>
          <w:p>
            <w:pPr>
              <w:spacing w:after="0"/>
              <w:rPr>
                <w:sz w:val="15"/>
                <w:szCs w:val="15"/>
                <w:color w:val="auto"/>
              </w:rPr>
            </w:pPr>
          </w:p>
        </w:tc>
        <w:tc>
          <w:tcPr>
            <w:tcW w:w="200" w:type="dxa"/>
            <w:vAlign w:val="bottom"/>
            <w:shd w:val="clear" w:color="auto" w:fill="CFF0FC"/>
          </w:tcPr>
          <w:p>
            <w:pPr>
              <w:jc w:val="right"/>
              <w:ind w:right="22"/>
              <w:spacing w:after="0" w:line="180" w:lineRule="exact"/>
              <w:rPr>
                <w:sz w:val="20"/>
                <w:szCs w:val="20"/>
                <w:color w:val="auto"/>
              </w:rPr>
            </w:pPr>
            <w:r>
              <w:rPr>
                <w:rFonts w:ascii="Arial" w:cs="Arial" w:eastAsia="Arial" w:hAnsi="Arial"/>
                <w:sz w:val="16"/>
                <w:szCs w:val="16"/>
                <w:b w:val="1"/>
                <w:bCs w:val="1"/>
                <w:color w:val="auto"/>
                <w:w w:val="89"/>
              </w:rPr>
              <w:t>$</w:t>
            </w:r>
          </w:p>
        </w:tc>
        <w:tc>
          <w:tcPr>
            <w:tcW w:w="1120" w:type="dxa"/>
            <w:vAlign w:val="bottom"/>
            <w:shd w:val="clear" w:color="auto" w:fill="CFF0FC"/>
          </w:tcPr>
          <w:p>
            <w:pPr>
              <w:jc w:val="right"/>
              <w:ind w:right="50"/>
              <w:spacing w:after="0" w:line="180" w:lineRule="exact"/>
              <w:rPr>
                <w:sz w:val="20"/>
                <w:szCs w:val="20"/>
                <w:color w:val="auto"/>
              </w:rPr>
            </w:pPr>
            <w:r>
              <w:rPr>
                <w:rFonts w:ascii="Arial" w:cs="Arial" w:eastAsia="Arial" w:hAnsi="Arial"/>
                <w:sz w:val="16"/>
                <w:szCs w:val="16"/>
                <w:b w:val="1"/>
                <w:bCs w:val="1"/>
                <w:color w:val="auto"/>
              </w:rPr>
              <w:t>—</w:t>
            </w: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jc w:val="right"/>
              <w:spacing w:after="0" w:line="180" w:lineRule="exact"/>
              <w:rPr>
                <w:sz w:val="20"/>
                <w:szCs w:val="20"/>
                <w:color w:val="auto"/>
              </w:rPr>
            </w:pPr>
            <w:r>
              <w:rPr>
                <w:rFonts w:ascii="Arial" w:cs="Arial" w:eastAsia="Arial" w:hAnsi="Arial"/>
                <w:sz w:val="16"/>
                <w:szCs w:val="16"/>
                <w:color w:val="auto"/>
                <w:w w:val="89"/>
              </w:rPr>
              <w:t>$</w:t>
            </w:r>
          </w:p>
        </w:tc>
        <w:tc>
          <w:tcPr>
            <w:tcW w:w="1120" w:type="dxa"/>
            <w:vAlign w:val="bottom"/>
            <w:shd w:val="clear" w:color="auto" w:fill="CFF0FC"/>
          </w:tcPr>
          <w:p>
            <w:pPr>
              <w:jc w:val="right"/>
              <w:ind w:right="46"/>
              <w:spacing w:after="0" w:line="180" w:lineRule="exact"/>
              <w:rPr>
                <w:sz w:val="20"/>
                <w:szCs w:val="20"/>
                <w:color w:val="auto"/>
              </w:rPr>
            </w:pPr>
            <w:r>
              <w:rPr>
                <w:rFonts w:ascii="Arial" w:cs="Arial" w:eastAsia="Arial" w:hAnsi="Arial"/>
                <w:sz w:val="16"/>
                <w:szCs w:val="16"/>
                <w:color w:val="auto"/>
              </w:rPr>
              <w:t>70</w:t>
            </w:r>
          </w:p>
        </w:tc>
        <w:tc>
          <w:tcPr>
            <w:tcW w:w="100" w:type="dxa"/>
            <w:vAlign w:val="bottom"/>
            <w:shd w:val="clear" w:color="auto" w:fill="CFF0FC"/>
          </w:tcPr>
          <w:p>
            <w:pPr>
              <w:spacing w:after="0"/>
              <w:rPr>
                <w:sz w:val="15"/>
                <w:szCs w:val="15"/>
                <w:color w:val="auto"/>
              </w:rPr>
            </w:pP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b w:val="1"/>
                <w:bCs w:val="1"/>
                <w:color w:val="auto"/>
                <w:w w:val="71"/>
              </w:rPr>
              <w:t>$</w:t>
            </w:r>
          </w:p>
        </w:tc>
        <w:tc>
          <w:tcPr>
            <w:tcW w:w="1120" w:type="dxa"/>
            <w:vAlign w:val="bottom"/>
            <w:shd w:val="clear" w:color="auto" w:fill="CFF0FC"/>
          </w:tcPr>
          <w:p>
            <w:pPr>
              <w:jc w:val="right"/>
              <w:spacing w:after="0" w:line="180" w:lineRule="exact"/>
              <w:rPr>
                <w:sz w:val="20"/>
                <w:szCs w:val="20"/>
                <w:color w:val="auto"/>
              </w:rPr>
            </w:pPr>
            <w:r>
              <w:rPr>
                <w:rFonts w:ascii="Arial" w:cs="Arial" w:eastAsia="Arial" w:hAnsi="Arial"/>
                <w:sz w:val="16"/>
                <w:szCs w:val="16"/>
                <w:b w:val="1"/>
                <w:bCs w:val="1"/>
                <w:color w:val="auto"/>
              </w:rPr>
              <w:t>(63)</w:t>
            </w:r>
          </w:p>
        </w:tc>
        <w:tc>
          <w:tcPr>
            <w:tcW w:w="100" w:type="dxa"/>
            <w:vAlign w:val="bottom"/>
            <w:shd w:val="clear" w:color="auto" w:fill="CFF0FC"/>
          </w:tcPr>
          <w:p>
            <w:pPr>
              <w:spacing w:after="0"/>
              <w:rPr>
                <w:sz w:val="15"/>
                <w:szCs w:val="15"/>
                <w:color w:val="auto"/>
              </w:rPr>
            </w:pPr>
          </w:p>
        </w:tc>
        <w:tc>
          <w:tcPr>
            <w:tcW w:w="560" w:type="dxa"/>
            <w:vAlign w:val="bottom"/>
            <w:shd w:val="clear" w:color="auto" w:fill="CFF0FC"/>
          </w:tcPr>
          <w:p>
            <w:pPr>
              <w:jc w:val="right"/>
              <w:ind w:right="410"/>
              <w:spacing w:after="0"/>
              <w:rPr>
                <w:sz w:val="20"/>
                <w:szCs w:val="20"/>
                <w:color w:val="auto"/>
              </w:rPr>
            </w:pPr>
            <w:r>
              <w:rPr>
                <w:rFonts w:ascii="Arial" w:cs="Arial" w:eastAsia="Arial" w:hAnsi="Arial"/>
                <w:sz w:val="15"/>
                <w:szCs w:val="15"/>
                <w:color w:val="auto"/>
                <w:w w:val="71"/>
              </w:rPr>
              <w:t>$</w:t>
            </w:r>
          </w:p>
        </w:tc>
        <w:tc>
          <w:tcPr>
            <w:tcW w:w="300" w:type="dxa"/>
            <w:vAlign w:val="bottom"/>
            <w:shd w:val="clear" w:color="auto" w:fill="CFF0FC"/>
          </w:tcPr>
          <w:p>
            <w:pPr>
              <w:spacing w:after="0"/>
              <w:rPr>
                <w:sz w:val="15"/>
                <w:szCs w:val="15"/>
                <w:color w:val="auto"/>
              </w:rPr>
            </w:pPr>
          </w:p>
        </w:tc>
        <w:tc>
          <w:tcPr>
            <w:tcW w:w="400" w:type="dxa"/>
            <w:vAlign w:val="bottom"/>
            <w:shd w:val="clear" w:color="auto" w:fill="CFF0FC"/>
          </w:tcPr>
          <w:p>
            <w:pPr>
              <w:jc w:val="right"/>
              <w:spacing w:after="0" w:line="180" w:lineRule="exact"/>
              <w:rPr>
                <w:sz w:val="20"/>
                <w:szCs w:val="20"/>
                <w:color w:val="auto"/>
              </w:rPr>
            </w:pPr>
            <w:r>
              <w:rPr>
                <w:rFonts w:ascii="Arial" w:cs="Arial" w:eastAsia="Arial" w:hAnsi="Arial"/>
                <w:sz w:val="16"/>
                <w:szCs w:val="16"/>
                <w:color w:val="auto"/>
              </w:rPr>
              <w:t>(34)</w:t>
            </w:r>
          </w:p>
        </w:tc>
        <w:tc>
          <w:tcPr>
            <w:tcW w:w="100" w:type="dxa"/>
            <w:vAlign w:val="bottom"/>
            <w:shd w:val="clear" w:color="auto" w:fill="CFF0FC"/>
          </w:tcPr>
          <w:p>
            <w:pPr>
              <w:spacing w:after="0"/>
              <w:rPr>
                <w:sz w:val="15"/>
                <w:szCs w:val="15"/>
                <w:color w:val="auto"/>
              </w:rPr>
            </w:pPr>
          </w:p>
        </w:tc>
        <w:tc>
          <w:tcPr>
            <w:tcW w:w="860" w:type="dxa"/>
            <w:vAlign w:val="bottom"/>
            <w:shd w:val="clear" w:color="auto" w:fill="CFF0FC"/>
          </w:tcPr>
          <w:p>
            <w:pPr>
              <w:jc w:val="right"/>
              <w:ind w:right="705"/>
              <w:spacing w:after="0"/>
              <w:rPr>
                <w:sz w:val="20"/>
                <w:szCs w:val="20"/>
                <w:color w:val="auto"/>
              </w:rPr>
            </w:pPr>
            <w:r>
              <w:rPr>
                <w:rFonts w:ascii="Arial" w:cs="Arial" w:eastAsia="Arial" w:hAnsi="Arial"/>
                <w:sz w:val="15"/>
                <w:szCs w:val="15"/>
                <w:b w:val="1"/>
                <w:bCs w:val="1"/>
                <w:color w:val="auto"/>
                <w:w w:val="71"/>
              </w:rPr>
              <w:t>$</w:t>
            </w:r>
          </w:p>
        </w:tc>
        <w:tc>
          <w:tcPr>
            <w:tcW w:w="80" w:type="dxa"/>
            <w:vAlign w:val="bottom"/>
            <w:shd w:val="clear" w:color="auto" w:fill="CFF0FC"/>
          </w:tcPr>
          <w:p>
            <w:pPr>
              <w:spacing w:after="0"/>
              <w:rPr>
                <w:sz w:val="15"/>
                <w:szCs w:val="15"/>
                <w:color w:val="auto"/>
              </w:rPr>
            </w:pPr>
          </w:p>
        </w:tc>
        <w:tc>
          <w:tcPr>
            <w:tcW w:w="380" w:type="dxa"/>
            <w:vAlign w:val="bottom"/>
            <w:gridSpan w:val="2"/>
            <w:shd w:val="clear" w:color="auto" w:fill="CFF0FC"/>
          </w:tcPr>
          <w:p>
            <w:pPr>
              <w:jc w:val="right"/>
              <w:spacing w:after="0" w:line="180" w:lineRule="exact"/>
              <w:rPr>
                <w:sz w:val="20"/>
                <w:szCs w:val="20"/>
                <w:color w:val="auto"/>
              </w:rPr>
            </w:pPr>
            <w:r>
              <w:rPr>
                <w:rFonts w:ascii="Arial" w:cs="Arial" w:eastAsia="Arial" w:hAnsi="Arial"/>
                <w:sz w:val="16"/>
                <w:szCs w:val="16"/>
                <w:b w:val="1"/>
                <w:bCs w:val="1"/>
                <w:color w:val="auto"/>
              </w:rPr>
              <w:t>(63)</w:t>
            </w:r>
          </w:p>
        </w:tc>
        <w:tc>
          <w:tcPr>
            <w:tcW w:w="240" w:type="dxa"/>
            <w:vAlign w:val="bottom"/>
            <w:gridSpan w:val="2"/>
            <w:shd w:val="clear" w:color="auto" w:fill="CFF0FC"/>
          </w:tcPr>
          <w:p>
            <w:pPr>
              <w:jc w:val="right"/>
              <w:ind w:right="40"/>
              <w:spacing w:after="0" w:line="180" w:lineRule="exact"/>
              <w:rPr>
                <w:sz w:val="20"/>
                <w:szCs w:val="20"/>
                <w:color w:val="auto"/>
              </w:rPr>
            </w:pPr>
            <w:r>
              <w:rPr>
                <w:rFonts w:ascii="Arial" w:cs="Arial" w:eastAsia="Arial" w:hAnsi="Arial"/>
                <w:sz w:val="16"/>
                <w:szCs w:val="16"/>
                <w:color w:val="auto"/>
              </w:rPr>
              <w:t>$</w:t>
            </w:r>
          </w:p>
        </w:tc>
        <w:tc>
          <w:tcPr>
            <w:tcW w:w="1160" w:type="dxa"/>
            <w:vAlign w:val="bottom"/>
            <w:shd w:val="clear" w:color="auto" w:fill="CFF0FC"/>
          </w:tcPr>
          <w:p>
            <w:pPr>
              <w:jc w:val="right"/>
              <w:ind w:right="65"/>
              <w:spacing w:after="0" w:line="180" w:lineRule="exact"/>
              <w:rPr>
                <w:sz w:val="20"/>
                <w:szCs w:val="20"/>
                <w:color w:val="auto"/>
              </w:rPr>
            </w:pPr>
            <w:r>
              <w:rPr>
                <w:rFonts w:ascii="Arial" w:cs="Arial" w:eastAsia="Arial" w:hAnsi="Arial"/>
                <w:sz w:val="16"/>
                <w:szCs w:val="16"/>
                <w:color w:val="auto"/>
              </w:rPr>
              <w:t>36</w:t>
            </w:r>
          </w:p>
        </w:tc>
        <w:tc>
          <w:tcPr>
            <w:tcW w:w="0" w:type="dxa"/>
            <w:vAlign w:val="bottom"/>
          </w:tcPr>
          <w:p>
            <w:pPr>
              <w:spacing w:after="0"/>
              <w:rPr>
                <w:sz w:val="1"/>
                <w:szCs w:val="1"/>
                <w:color w:val="auto"/>
              </w:rPr>
            </w:pPr>
          </w:p>
        </w:tc>
      </w:tr>
      <w:tr>
        <w:trPr>
          <w:trHeight w:val="20"/>
        </w:trPr>
        <w:tc>
          <w:tcPr>
            <w:tcW w:w="292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6"/>
                <w:szCs w:val="16"/>
                <w:b w:val="1"/>
                <w:bCs w:val="1"/>
                <w:color w:val="auto"/>
              </w:rPr>
              <w:t>NOTE G. DEBT</w:t>
            </w:r>
          </w:p>
        </w:tc>
        <w:tc>
          <w:tcPr>
            <w:tcW w:w="6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5"/>
        </w:trPr>
        <w:tc>
          <w:tcPr>
            <w:tcW w:w="2920" w:type="dxa"/>
            <w:vAlign w:val="bottom"/>
            <w:vMerge w:val="continue"/>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660" w:type="dxa"/>
            <w:vAlign w:val="bottom"/>
            <w:gridSpan w:val="7"/>
          </w:tcPr>
          <w:p>
            <w:pPr>
              <w:ind w:left="520"/>
              <w:spacing w:after="0"/>
              <w:rPr>
                <w:sz w:val="20"/>
                <w:szCs w:val="20"/>
                <w:color w:val="auto"/>
              </w:rPr>
            </w:pPr>
            <w:r>
              <w:rPr>
                <w:rFonts w:ascii="Arial" w:cs="Arial" w:eastAsia="Arial" w:hAnsi="Arial"/>
                <w:sz w:val="16"/>
                <w:szCs w:val="16"/>
                <w:color w:val="auto"/>
              </w:rPr>
              <w:t>Long-term debt and maturities are as follows (dollars in millions):</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41"/>
        </w:trPr>
        <w:tc>
          <w:tcPr>
            <w:tcW w:w="2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40" w:type="dxa"/>
            <w:vAlign w:val="bottom"/>
            <w:gridSpan w:val="4"/>
          </w:tcPr>
          <w:p>
            <w:pPr>
              <w:ind w:left="180"/>
              <w:spacing w:after="0"/>
              <w:rPr>
                <w:sz w:val="20"/>
                <w:szCs w:val="20"/>
                <w:color w:val="auto"/>
              </w:rPr>
            </w:pPr>
            <w:r>
              <w:rPr>
                <w:rFonts w:ascii="Arial" w:cs="Arial" w:eastAsia="Arial" w:hAnsi="Arial"/>
                <w:sz w:val="13"/>
                <w:szCs w:val="13"/>
                <w:b w:val="1"/>
                <w:bCs w:val="1"/>
                <w:color w:val="auto"/>
              </w:rPr>
              <w:t>March 31,</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0" w:type="dxa"/>
            <w:vAlign w:val="bottom"/>
            <w:gridSpan w:val="3"/>
          </w:tcPr>
          <w:p>
            <w:pPr>
              <w:jc w:val="right"/>
              <w:ind w:right="425"/>
              <w:spacing w:after="0"/>
              <w:rPr>
                <w:sz w:val="20"/>
                <w:szCs w:val="20"/>
                <w:color w:val="auto"/>
              </w:rPr>
            </w:pPr>
            <w:r>
              <w:rPr>
                <w:rFonts w:ascii="Arial" w:cs="Arial" w:eastAsia="Arial" w:hAnsi="Arial"/>
                <w:sz w:val="13"/>
                <w:szCs w:val="13"/>
                <w:b w:val="1"/>
                <w:bCs w:val="1"/>
                <w:color w:val="auto"/>
              </w:rPr>
              <w:t>December 31,</w:t>
            </w:r>
          </w:p>
        </w:tc>
        <w:tc>
          <w:tcPr>
            <w:tcW w:w="0" w:type="dxa"/>
            <w:vAlign w:val="bottom"/>
          </w:tcPr>
          <w:p>
            <w:pPr>
              <w:spacing w:after="0"/>
              <w:rPr>
                <w:sz w:val="1"/>
                <w:szCs w:val="1"/>
                <w:color w:val="auto"/>
              </w:rPr>
            </w:pPr>
          </w:p>
        </w:tc>
      </w:tr>
      <w:tr>
        <w:trPr>
          <w:trHeight w:val="153"/>
        </w:trPr>
        <w:tc>
          <w:tcPr>
            <w:tcW w:w="2920" w:type="dxa"/>
            <w:vAlign w:val="bottom"/>
            <w:tcBorders>
              <w:bottom w:val="single" w:sz="8" w:color="CFF0FC"/>
            </w:tcBorders>
          </w:tcPr>
          <w:p>
            <w:pPr>
              <w:spacing w:after="0"/>
              <w:rPr>
                <w:sz w:val="13"/>
                <w:szCs w:val="13"/>
                <w:color w:val="auto"/>
              </w:rPr>
            </w:pPr>
          </w:p>
        </w:tc>
        <w:tc>
          <w:tcPr>
            <w:tcW w:w="60" w:type="dxa"/>
            <w:vAlign w:val="bottom"/>
            <w:tcBorders>
              <w:bottom w:val="single" w:sz="8" w:color="CFF0FC"/>
            </w:tcBorders>
          </w:tcPr>
          <w:p>
            <w:pPr>
              <w:spacing w:after="0"/>
              <w:rPr>
                <w:sz w:val="13"/>
                <w:szCs w:val="13"/>
                <w:color w:val="auto"/>
              </w:rPr>
            </w:pPr>
          </w:p>
        </w:tc>
        <w:tc>
          <w:tcPr>
            <w:tcW w:w="200" w:type="dxa"/>
            <w:vAlign w:val="bottom"/>
            <w:tcBorders>
              <w:bottom w:val="single" w:sz="8" w:color="CFF0FC"/>
            </w:tcBorders>
          </w:tcPr>
          <w:p>
            <w:pPr>
              <w:spacing w:after="0"/>
              <w:rPr>
                <w:sz w:val="13"/>
                <w:szCs w:val="13"/>
                <w:color w:val="auto"/>
              </w:rPr>
            </w:pPr>
          </w:p>
        </w:tc>
        <w:tc>
          <w:tcPr>
            <w:tcW w:w="112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112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200" w:type="dxa"/>
            <w:vAlign w:val="bottom"/>
            <w:tcBorders>
              <w:bottom w:val="single" w:sz="8" w:color="CFF0FC"/>
            </w:tcBorders>
          </w:tcPr>
          <w:p>
            <w:pPr>
              <w:spacing w:after="0"/>
              <w:rPr>
                <w:sz w:val="13"/>
                <w:szCs w:val="13"/>
                <w:color w:val="auto"/>
              </w:rPr>
            </w:pPr>
          </w:p>
        </w:tc>
        <w:tc>
          <w:tcPr>
            <w:tcW w:w="112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56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gridSpan w:val="3"/>
          </w:tcPr>
          <w:p>
            <w:pPr>
              <w:jc w:val="right"/>
              <w:ind w:right="665"/>
              <w:spacing w:after="0"/>
              <w:rPr>
                <w:sz w:val="20"/>
                <w:szCs w:val="20"/>
                <w:color w:val="auto"/>
              </w:rPr>
            </w:pPr>
            <w:r>
              <w:rPr>
                <w:rFonts w:ascii="Arial" w:cs="Arial" w:eastAsia="Arial" w:hAnsi="Arial"/>
                <w:sz w:val="13"/>
                <w:szCs w:val="13"/>
                <w:b w:val="1"/>
                <w:bCs w:val="1"/>
                <w:color w:val="auto"/>
              </w:rPr>
              <w:t>2020</w:t>
            </w:r>
          </w:p>
        </w:tc>
        <w:tc>
          <w:tcPr>
            <w:tcW w:w="8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705"/>
              <w:spacing w:after="0"/>
              <w:rPr>
                <w:sz w:val="20"/>
                <w:szCs w:val="20"/>
                <w:color w:val="auto"/>
              </w:rPr>
            </w:pPr>
            <w:r>
              <w:rPr>
                <w:rFonts w:ascii="Arial" w:cs="Arial" w:eastAsia="Arial" w:hAnsi="Arial"/>
                <w:sz w:val="13"/>
                <w:szCs w:val="13"/>
                <w:b w:val="1"/>
                <w:bCs w:val="1"/>
                <w:color w:val="auto"/>
              </w:rPr>
              <w:t>2019</w:t>
            </w:r>
          </w:p>
        </w:tc>
        <w:tc>
          <w:tcPr>
            <w:tcW w:w="0" w:type="dxa"/>
            <w:vAlign w:val="bottom"/>
          </w:tcPr>
          <w:p>
            <w:pPr>
              <w:spacing w:after="0"/>
              <w:rPr>
                <w:sz w:val="1"/>
                <w:szCs w:val="1"/>
                <w:color w:val="auto"/>
              </w:rPr>
            </w:pPr>
          </w:p>
        </w:tc>
      </w:tr>
      <w:tr>
        <w:trPr>
          <w:trHeight w:val="180"/>
        </w:trPr>
        <w:tc>
          <w:tcPr>
            <w:tcW w:w="2920" w:type="dxa"/>
            <w:vAlign w:val="bottom"/>
            <w:shd w:val="clear" w:color="auto" w:fill="CFF0FC"/>
          </w:tcPr>
          <w:p>
            <w:pPr>
              <w:spacing w:after="0" w:line="180" w:lineRule="exact"/>
              <w:rPr>
                <w:sz w:val="20"/>
                <w:szCs w:val="20"/>
                <w:color w:val="auto"/>
              </w:rPr>
            </w:pPr>
            <w:r>
              <w:rPr>
                <w:rFonts w:ascii="Arial" w:cs="Arial" w:eastAsia="Arial" w:hAnsi="Arial"/>
                <w:sz w:val="16"/>
                <w:szCs w:val="16"/>
                <w:color w:val="auto"/>
              </w:rPr>
              <w:t>Long-term debt:</w:t>
            </w:r>
          </w:p>
        </w:tc>
        <w:tc>
          <w:tcPr>
            <w:tcW w:w="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1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2920" w:type="dxa"/>
            <w:vAlign w:val="bottom"/>
          </w:tcPr>
          <w:p>
            <w:pPr>
              <w:spacing w:after="0"/>
              <w:rPr>
                <w:sz w:val="20"/>
                <w:szCs w:val="20"/>
                <w:color w:val="auto"/>
              </w:rPr>
            </w:pPr>
            <w:r>
              <w:rPr>
                <w:rFonts w:ascii="Arial" w:cs="Arial" w:eastAsia="Arial" w:hAnsi="Arial"/>
                <w:sz w:val="16"/>
                <w:szCs w:val="16"/>
                <w:color w:val="auto"/>
              </w:rPr>
              <w:t>Senior Notes, fixed 5.0%, due 2024</w:t>
            </w: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2"/>
          </w:tcPr>
          <w:p>
            <w:pPr>
              <w:jc w:val="right"/>
              <w:ind w:right="122"/>
              <w:spacing w:after="0"/>
              <w:rPr>
                <w:sz w:val="20"/>
                <w:szCs w:val="20"/>
                <w:color w:val="auto"/>
              </w:rPr>
            </w:pPr>
            <w:r>
              <w:rPr>
                <w:rFonts w:ascii="Arial" w:cs="Arial" w:eastAsia="Arial" w:hAnsi="Arial"/>
                <w:sz w:val="16"/>
                <w:szCs w:val="16"/>
                <w:b w:val="1"/>
                <w:bCs w:val="1"/>
                <w:color w:val="auto"/>
              </w:rPr>
              <w:t>$</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jc w:val="right"/>
              <w:ind w:right="45"/>
              <w:spacing w:after="0"/>
              <w:rPr>
                <w:sz w:val="20"/>
                <w:szCs w:val="20"/>
                <w:color w:val="auto"/>
              </w:rPr>
            </w:pPr>
            <w:r>
              <w:rPr>
                <w:rFonts w:ascii="Arial" w:cs="Arial" w:eastAsia="Arial" w:hAnsi="Arial"/>
                <w:sz w:val="16"/>
                <w:szCs w:val="16"/>
                <w:b w:val="1"/>
                <w:bCs w:val="1"/>
                <w:color w:val="auto"/>
              </w:rPr>
              <w:t>1,000</w:t>
            </w:r>
          </w:p>
        </w:tc>
        <w:tc>
          <w:tcPr>
            <w:tcW w:w="80" w:type="dxa"/>
            <w:vAlign w:val="bottom"/>
          </w:tcPr>
          <w:p>
            <w:pPr>
              <w:spacing w:after="0"/>
              <w:rPr>
                <w:sz w:val="16"/>
                <w:szCs w:val="16"/>
                <w:color w:val="auto"/>
              </w:rPr>
            </w:pPr>
          </w:p>
        </w:tc>
        <w:tc>
          <w:tcPr>
            <w:tcW w:w="380" w:type="dxa"/>
            <w:vAlign w:val="bottom"/>
            <w:gridSpan w:val="2"/>
          </w:tcPr>
          <w:p>
            <w:pPr>
              <w:jc w:val="right"/>
              <w:ind w:right="13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jc w:val="right"/>
              <w:ind w:right="65"/>
              <w:spacing w:after="0"/>
              <w:rPr>
                <w:sz w:val="20"/>
                <w:szCs w:val="20"/>
                <w:color w:val="auto"/>
              </w:rPr>
            </w:pPr>
            <w:r>
              <w:rPr>
                <w:rFonts w:ascii="Arial" w:cs="Arial" w:eastAsia="Arial" w:hAnsi="Arial"/>
                <w:sz w:val="16"/>
                <w:szCs w:val="16"/>
                <w:color w:val="auto"/>
              </w:rPr>
              <w:t>1,000</w:t>
            </w:r>
          </w:p>
        </w:tc>
        <w:tc>
          <w:tcPr>
            <w:tcW w:w="0" w:type="dxa"/>
            <w:vAlign w:val="bottom"/>
          </w:tcPr>
          <w:p>
            <w:pPr>
              <w:spacing w:after="0"/>
              <w:rPr>
                <w:sz w:val="1"/>
                <w:szCs w:val="1"/>
                <w:color w:val="auto"/>
              </w:rPr>
            </w:pPr>
          </w:p>
        </w:tc>
      </w:tr>
      <w:tr>
        <w:trPr>
          <w:trHeight w:val="188"/>
        </w:trPr>
        <w:tc>
          <w:tcPr>
            <w:tcW w:w="4400" w:type="dxa"/>
            <w:vAlign w:val="bottom"/>
            <w:gridSpan w:val="5"/>
            <w:shd w:val="clear" w:color="auto" w:fill="CFF0FC"/>
          </w:tcPr>
          <w:p>
            <w:pPr>
              <w:spacing w:after="0"/>
              <w:rPr>
                <w:sz w:val="20"/>
                <w:szCs w:val="20"/>
                <w:color w:val="auto"/>
              </w:rPr>
            </w:pPr>
            <w:r>
              <w:rPr>
                <w:rFonts w:ascii="Arial" w:cs="Arial" w:eastAsia="Arial" w:hAnsi="Arial"/>
                <w:sz w:val="16"/>
                <w:szCs w:val="16"/>
                <w:color w:val="auto"/>
              </w:rPr>
              <w:t>Senior Secured Credit Facility Term Loan, variable, due 2026</w:t>
            </w:r>
          </w:p>
        </w:tc>
        <w:tc>
          <w:tcPr>
            <w:tcW w:w="140" w:type="dxa"/>
            <w:vAlign w:val="bottom"/>
            <w:shd w:val="clear" w:color="auto" w:fill="CFF0FC"/>
          </w:tcPr>
          <w:p>
            <w:pPr>
              <w:spacing w:after="0"/>
              <w:rPr>
                <w:sz w:val="16"/>
                <w:szCs w:val="16"/>
                <w:color w:val="auto"/>
              </w:rPr>
            </w:pPr>
          </w:p>
        </w:tc>
        <w:tc>
          <w:tcPr>
            <w:tcW w:w="1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60" w:type="dxa"/>
            <w:vAlign w:val="bottom"/>
            <w:shd w:val="clear" w:color="auto" w:fill="CFF0FC"/>
          </w:tcPr>
          <w:p>
            <w:pPr>
              <w:jc w:val="right"/>
              <w:ind w:right="45"/>
              <w:spacing w:after="0"/>
              <w:rPr>
                <w:sz w:val="20"/>
                <w:szCs w:val="20"/>
                <w:color w:val="auto"/>
              </w:rPr>
            </w:pPr>
            <w:r>
              <w:rPr>
                <w:rFonts w:ascii="Arial" w:cs="Arial" w:eastAsia="Arial" w:hAnsi="Arial"/>
                <w:sz w:val="16"/>
                <w:szCs w:val="16"/>
                <w:b w:val="1"/>
                <w:bCs w:val="1"/>
                <w:color w:val="auto"/>
              </w:rPr>
              <w:t>643</w:t>
            </w:r>
          </w:p>
        </w:tc>
        <w:tc>
          <w:tcPr>
            <w:tcW w:w="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160" w:type="dxa"/>
            <w:vAlign w:val="bottom"/>
            <w:shd w:val="clear" w:color="auto" w:fill="CFF0FC"/>
          </w:tcPr>
          <w:p>
            <w:pPr>
              <w:jc w:val="right"/>
              <w:ind w:right="65"/>
              <w:spacing w:after="0"/>
              <w:rPr>
                <w:sz w:val="20"/>
                <w:szCs w:val="20"/>
                <w:color w:val="auto"/>
              </w:rPr>
            </w:pPr>
            <w:r>
              <w:rPr>
                <w:rFonts w:ascii="Arial" w:cs="Arial" w:eastAsia="Arial" w:hAnsi="Arial"/>
                <w:sz w:val="16"/>
                <w:szCs w:val="16"/>
                <w:color w:val="auto"/>
              </w:rPr>
              <w:t>644</w:t>
            </w:r>
          </w:p>
        </w:tc>
        <w:tc>
          <w:tcPr>
            <w:tcW w:w="0" w:type="dxa"/>
            <w:vAlign w:val="bottom"/>
          </w:tcPr>
          <w:p>
            <w:pPr>
              <w:spacing w:after="0"/>
              <w:rPr>
                <w:sz w:val="1"/>
                <w:szCs w:val="1"/>
                <w:color w:val="auto"/>
              </w:rPr>
            </w:pPr>
          </w:p>
        </w:tc>
      </w:tr>
      <w:tr>
        <w:trPr>
          <w:trHeight w:val="188"/>
        </w:trPr>
        <w:tc>
          <w:tcPr>
            <w:tcW w:w="2920" w:type="dxa"/>
            <w:vAlign w:val="bottom"/>
          </w:tcPr>
          <w:p>
            <w:pPr>
              <w:spacing w:after="0"/>
              <w:rPr>
                <w:sz w:val="20"/>
                <w:szCs w:val="20"/>
                <w:color w:val="auto"/>
              </w:rPr>
            </w:pPr>
            <w:r>
              <w:rPr>
                <w:rFonts w:ascii="Arial" w:cs="Arial" w:eastAsia="Arial" w:hAnsi="Arial"/>
                <w:sz w:val="16"/>
                <w:szCs w:val="16"/>
                <w:color w:val="auto"/>
              </w:rPr>
              <w:t>Senior Notes, fixed 4.75%, due 2027</w:t>
            </w: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jc w:val="right"/>
              <w:ind w:right="45"/>
              <w:spacing w:after="0"/>
              <w:rPr>
                <w:sz w:val="20"/>
                <w:szCs w:val="20"/>
                <w:color w:val="auto"/>
              </w:rPr>
            </w:pPr>
            <w:r>
              <w:rPr>
                <w:rFonts w:ascii="Arial" w:cs="Arial" w:eastAsia="Arial" w:hAnsi="Arial"/>
                <w:sz w:val="16"/>
                <w:szCs w:val="16"/>
                <w:b w:val="1"/>
                <w:bCs w:val="1"/>
                <w:color w:val="auto"/>
              </w:rPr>
              <w:t>400</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jc w:val="right"/>
              <w:ind w:right="65"/>
              <w:spacing w:after="0"/>
              <w:rPr>
                <w:sz w:val="20"/>
                <w:szCs w:val="20"/>
                <w:color w:val="auto"/>
              </w:rPr>
            </w:pPr>
            <w:r>
              <w:rPr>
                <w:rFonts w:ascii="Arial" w:cs="Arial" w:eastAsia="Arial" w:hAnsi="Arial"/>
                <w:sz w:val="16"/>
                <w:szCs w:val="16"/>
                <w:color w:val="auto"/>
              </w:rPr>
              <w:t>400</w:t>
            </w:r>
          </w:p>
        </w:tc>
        <w:tc>
          <w:tcPr>
            <w:tcW w:w="0" w:type="dxa"/>
            <w:vAlign w:val="bottom"/>
          </w:tcPr>
          <w:p>
            <w:pPr>
              <w:spacing w:after="0"/>
              <w:rPr>
                <w:sz w:val="1"/>
                <w:szCs w:val="1"/>
                <w:color w:val="auto"/>
              </w:rPr>
            </w:pPr>
          </w:p>
        </w:tc>
      </w:tr>
      <w:tr>
        <w:trPr>
          <w:trHeight w:val="188"/>
        </w:trPr>
        <w:tc>
          <w:tcPr>
            <w:tcW w:w="2920" w:type="dxa"/>
            <w:vAlign w:val="bottom"/>
            <w:shd w:val="clear" w:color="auto" w:fill="CFF0FC"/>
          </w:tcPr>
          <w:p>
            <w:pPr>
              <w:spacing w:after="0"/>
              <w:rPr>
                <w:sz w:val="20"/>
                <w:szCs w:val="20"/>
                <w:color w:val="auto"/>
              </w:rPr>
            </w:pPr>
            <w:r>
              <w:rPr>
                <w:rFonts w:ascii="Arial" w:cs="Arial" w:eastAsia="Arial" w:hAnsi="Arial"/>
                <w:sz w:val="16"/>
                <w:szCs w:val="16"/>
                <w:color w:val="auto"/>
              </w:rPr>
              <w:t>Senior Notes, fixed 5.875%, due 2029</w:t>
            </w:r>
          </w:p>
        </w:tc>
        <w:tc>
          <w:tcPr>
            <w:tcW w:w="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300" w:type="dxa"/>
            <w:vAlign w:val="bottom"/>
            <w:tcBorders>
              <w:bottom w:val="single" w:sz="8" w:color="auto"/>
            </w:tcBorders>
            <w:shd w:val="clear" w:color="auto" w:fill="CFF0FC"/>
          </w:tcPr>
          <w:p>
            <w:pPr>
              <w:spacing w:after="0"/>
              <w:rPr>
                <w:sz w:val="16"/>
                <w:szCs w:val="16"/>
                <w:color w:val="auto"/>
              </w:rPr>
            </w:pPr>
          </w:p>
        </w:tc>
        <w:tc>
          <w:tcPr>
            <w:tcW w:w="400" w:type="dxa"/>
            <w:vAlign w:val="bottom"/>
            <w:tcBorders>
              <w:bottom w:val="single" w:sz="8" w:color="auto"/>
            </w:tcBorders>
            <w:shd w:val="clear" w:color="auto" w:fill="CFF0FC"/>
          </w:tcPr>
          <w:p>
            <w:pPr>
              <w:spacing w:after="0"/>
              <w:rPr>
                <w:sz w:val="16"/>
                <w:szCs w:val="16"/>
                <w:color w:val="auto"/>
              </w:rPr>
            </w:pPr>
          </w:p>
        </w:tc>
        <w:tc>
          <w:tcPr>
            <w:tcW w:w="100" w:type="dxa"/>
            <w:vAlign w:val="bottom"/>
            <w:tcBorders>
              <w:bottom w:val="single" w:sz="8" w:color="auto"/>
            </w:tcBorders>
            <w:shd w:val="clear" w:color="auto" w:fill="CFF0FC"/>
          </w:tcPr>
          <w:p>
            <w:pPr>
              <w:spacing w:after="0"/>
              <w:rPr>
                <w:sz w:val="16"/>
                <w:szCs w:val="16"/>
                <w:color w:val="auto"/>
              </w:rPr>
            </w:pPr>
          </w:p>
        </w:tc>
        <w:tc>
          <w:tcPr>
            <w:tcW w:w="860" w:type="dxa"/>
            <w:vAlign w:val="bottom"/>
            <w:tcBorders>
              <w:bottom w:val="single" w:sz="8" w:color="auto"/>
            </w:tcBorders>
            <w:shd w:val="clear" w:color="auto" w:fill="CFF0FC"/>
          </w:tcPr>
          <w:p>
            <w:pPr>
              <w:jc w:val="right"/>
              <w:ind w:right="45"/>
              <w:spacing w:after="0"/>
              <w:rPr>
                <w:sz w:val="20"/>
                <w:szCs w:val="20"/>
                <w:color w:val="auto"/>
              </w:rPr>
            </w:pPr>
            <w:r>
              <w:rPr>
                <w:rFonts w:ascii="Arial" w:cs="Arial" w:eastAsia="Arial" w:hAnsi="Arial"/>
                <w:sz w:val="16"/>
                <w:szCs w:val="16"/>
                <w:b w:val="1"/>
                <w:bCs w:val="1"/>
                <w:color w:val="auto"/>
              </w:rPr>
              <w:t>500</w:t>
            </w:r>
          </w:p>
        </w:tc>
        <w:tc>
          <w:tcPr>
            <w:tcW w:w="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80" w:type="dxa"/>
            <w:vAlign w:val="bottom"/>
            <w:tcBorders>
              <w:bottom w:val="single" w:sz="8" w:color="auto"/>
            </w:tcBorders>
            <w:shd w:val="clear" w:color="auto" w:fill="CFF0FC"/>
          </w:tcPr>
          <w:p>
            <w:pPr>
              <w:spacing w:after="0"/>
              <w:rPr>
                <w:sz w:val="16"/>
                <w:szCs w:val="16"/>
                <w:color w:val="auto"/>
              </w:rPr>
            </w:pPr>
          </w:p>
        </w:tc>
        <w:tc>
          <w:tcPr>
            <w:tcW w:w="120" w:type="dxa"/>
            <w:vAlign w:val="bottom"/>
            <w:tcBorders>
              <w:bottom w:val="single" w:sz="8" w:color="auto"/>
            </w:tcBorders>
            <w:shd w:val="clear" w:color="auto" w:fill="CFF0FC"/>
          </w:tcPr>
          <w:p>
            <w:pPr>
              <w:spacing w:after="0"/>
              <w:rPr>
                <w:sz w:val="16"/>
                <w:szCs w:val="16"/>
                <w:color w:val="auto"/>
              </w:rPr>
            </w:pPr>
          </w:p>
        </w:tc>
        <w:tc>
          <w:tcPr>
            <w:tcW w:w="120" w:type="dxa"/>
            <w:vAlign w:val="bottom"/>
            <w:tcBorders>
              <w:bottom w:val="single" w:sz="8" w:color="auto"/>
            </w:tcBorders>
            <w:shd w:val="clear" w:color="auto" w:fill="CFF0FC"/>
          </w:tcPr>
          <w:p>
            <w:pPr>
              <w:spacing w:after="0"/>
              <w:rPr>
                <w:sz w:val="16"/>
                <w:szCs w:val="16"/>
                <w:color w:val="auto"/>
              </w:rPr>
            </w:pPr>
          </w:p>
        </w:tc>
        <w:tc>
          <w:tcPr>
            <w:tcW w:w="1160" w:type="dxa"/>
            <w:vAlign w:val="bottom"/>
            <w:tcBorders>
              <w:bottom w:val="single" w:sz="8" w:color="auto"/>
            </w:tcBorders>
            <w:shd w:val="clear" w:color="auto" w:fill="CFF0FC"/>
          </w:tcPr>
          <w:p>
            <w:pPr>
              <w:jc w:val="right"/>
              <w:ind w:right="65"/>
              <w:spacing w:after="0"/>
              <w:rPr>
                <w:sz w:val="20"/>
                <w:szCs w:val="20"/>
                <w:color w:val="auto"/>
              </w:rPr>
            </w:pPr>
            <w:r>
              <w:rPr>
                <w:rFonts w:ascii="Arial" w:cs="Arial" w:eastAsia="Arial" w:hAnsi="Arial"/>
                <w:sz w:val="16"/>
                <w:szCs w:val="16"/>
                <w:color w:val="auto"/>
              </w:rPr>
              <w:t>500</w:t>
            </w:r>
          </w:p>
        </w:tc>
        <w:tc>
          <w:tcPr>
            <w:tcW w:w="0" w:type="dxa"/>
            <w:vAlign w:val="bottom"/>
          </w:tcPr>
          <w:p>
            <w:pPr>
              <w:spacing w:after="0"/>
              <w:rPr>
                <w:sz w:val="1"/>
                <w:szCs w:val="1"/>
                <w:color w:val="auto"/>
              </w:rPr>
            </w:pPr>
          </w:p>
        </w:tc>
      </w:tr>
      <w:tr>
        <w:trPr>
          <w:trHeight w:val="180"/>
        </w:trPr>
        <w:tc>
          <w:tcPr>
            <w:tcW w:w="2920" w:type="dxa"/>
            <w:vAlign w:val="bottom"/>
          </w:tcPr>
          <w:p>
            <w:pPr>
              <w:ind w:left="200"/>
              <w:spacing w:after="0" w:line="180" w:lineRule="exact"/>
              <w:rPr>
                <w:sz w:val="20"/>
                <w:szCs w:val="20"/>
                <w:color w:val="auto"/>
              </w:rPr>
            </w:pPr>
            <w:r>
              <w:rPr>
                <w:rFonts w:ascii="Arial" w:cs="Arial" w:eastAsia="Arial" w:hAnsi="Arial"/>
                <w:sz w:val="16"/>
                <w:szCs w:val="16"/>
                <w:color w:val="auto"/>
              </w:rPr>
              <w:t>Total long-term debt</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jc w:val="right"/>
              <w:ind w:right="122"/>
              <w:spacing w:after="0" w:line="180" w:lineRule="exact"/>
              <w:rPr>
                <w:sz w:val="20"/>
                <w:szCs w:val="20"/>
                <w:color w:val="auto"/>
              </w:rPr>
            </w:pPr>
            <w:r>
              <w:rPr>
                <w:rFonts w:ascii="Arial" w:cs="Arial" w:eastAsia="Arial" w:hAnsi="Arial"/>
                <w:sz w:val="16"/>
                <w:szCs w:val="16"/>
                <w:b w:val="1"/>
                <w:bCs w:val="1"/>
                <w:color w:val="auto"/>
                <w:w w:val="89"/>
              </w:rPr>
              <w:t>$</w:t>
            </w: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jc w:val="right"/>
              <w:ind w:right="45"/>
              <w:spacing w:after="0" w:line="180" w:lineRule="exact"/>
              <w:rPr>
                <w:sz w:val="20"/>
                <w:szCs w:val="20"/>
                <w:color w:val="auto"/>
              </w:rPr>
            </w:pPr>
            <w:r>
              <w:rPr>
                <w:rFonts w:ascii="Arial" w:cs="Arial" w:eastAsia="Arial" w:hAnsi="Arial"/>
                <w:sz w:val="16"/>
                <w:szCs w:val="16"/>
                <w:b w:val="1"/>
                <w:bCs w:val="1"/>
                <w:color w:val="auto"/>
              </w:rPr>
              <w:t>2,543</w:t>
            </w:r>
          </w:p>
        </w:tc>
        <w:tc>
          <w:tcPr>
            <w:tcW w:w="80" w:type="dxa"/>
            <w:vAlign w:val="bottom"/>
          </w:tcPr>
          <w:p>
            <w:pPr>
              <w:spacing w:after="0"/>
              <w:rPr>
                <w:sz w:val="15"/>
                <w:szCs w:val="15"/>
                <w:color w:val="auto"/>
              </w:rPr>
            </w:pPr>
          </w:p>
        </w:tc>
        <w:tc>
          <w:tcPr>
            <w:tcW w:w="380" w:type="dxa"/>
            <w:vAlign w:val="bottom"/>
            <w:gridSpan w:val="2"/>
          </w:tcPr>
          <w:p>
            <w:pPr>
              <w:jc w:val="right"/>
              <w:ind w:right="130"/>
              <w:spacing w:after="0" w:line="180" w:lineRule="exact"/>
              <w:rPr>
                <w:sz w:val="20"/>
                <w:szCs w:val="20"/>
                <w:color w:val="auto"/>
              </w:rPr>
            </w:pPr>
            <w:r>
              <w:rPr>
                <w:rFonts w:ascii="Arial" w:cs="Arial" w:eastAsia="Arial" w:hAnsi="Arial"/>
                <w:sz w:val="16"/>
                <w:szCs w:val="16"/>
                <w:color w:val="auto"/>
              </w:rPr>
              <w:t>$</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jc w:val="right"/>
              <w:ind w:right="65"/>
              <w:spacing w:after="0" w:line="180" w:lineRule="exact"/>
              <w:rPr>
                <w:sz w:val="20"/>
                <w:szCs w:val="20"/>
                <w:color w:val="auto"/>
              </w:rPr>
            </w:pPr>
            <w:r>
              <w:rPr>
                <w:rFonts w:ascii="Arial" w:cs="Arial" w:eastAsia="Arial" w:hAnsi="Arial"/>
                <w:sz w:val="16"/>
                <w:szCs w:val="16"/>
                <w:color w:val="auto"/>
              </w:rPr>
              <w:t>2,544</w:t>
            </w:r>
          </w:p>
        </w:tc>
        <w:tc>
          <w:tcPr>
            <w:tcW w:w="0" w:type="dxa"/>
            <w:vAlign w:val="bottom"/>
          </w:tcPr>
          <w:p>
            <w:pPr>
              <w:spacing w:after="0"/>
              <w:rPr>
                <w:sz w:val="1"/>
                <w:szCs w:val="1"/>
                <w:color w:val="auto"/>
              </w:rPr>
            </w:pPr>
          </w:p>
        </w:tc>
      </w:tr>
      <w:tr>
        <w:trPr>
          <w:trHeight w:val="188"/>
        </w:trPr>
        <w:tc>
          <w:tcPr>
            <w:tcW w:w="2920" w:type="dxa"/>
            <w:vAlign w:val="bottom"/>
            <w:shd w:val="clear" w:color="auto" w:fill="CFF0FC"/>
          </w:tcPr>
          <w:p>
            <w:pPr>
              <w:spacing w:after="0"/>
              <w:rPr>
                <w:sz w:val="20"/>
                <w:szCs w:val="20"/>
                <w:color w:val="auto"/>
              </w:rPr>
            </w:pPr>
            <w:r>
              <w:rPr>
                <w:rFonts w:ascii="Arial" w:cs="Arial" w:eastAsia="Arial" w:hAnsi="Arial"/>
                <w:sz w:val="16"/>
                <w:szCs w:val="16"/>
                <w:color w:val="auto"/>
                <w:w w:val="99"/>
              </w:rPr>
              <w:t>Less: current maturities of long-term debt</w:t>
            </w:r>
          </w:p>
        </w:tc>
        <w:tc>
          <w:tcPr>
            <w:tcW w:w="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60" w:type="dxa"/>
            <w:vAlign w:val="bottom"/>
            <w:shd w:val="clear" w:color="auto" w:fill="CFF0FC"/>
          </w:tcPr>
          <w:p>
            <w:pPr>
              <w:jc w:val="right"/>
              <w:ind w:right="45"/>
              <w:spacing w:after="0"/>
              <w:rPr>
                <w:sz w:val="20"/>
                <w:szCs w:val="20"/>
                <w:color w:val="auto"/>
              </w:rPr>
            </w:pPr>
            <w:r>
              <w:rPr>
                <w:rFonts w:ascii="Arial" w:cs="Arial" w:eastAsia="Arial" w:hAnsi="Arial"/>
                <w:sz w:val="16"/>
                <w:szCs w:val="16"/>
                <w:b w:val="1"/>
                <w:bCs w:val="1"/>
                <w:color w:val="auto"/>
              </w:rPr>
              <w:t>6</w:t>
            </w:r>
          </w:p>
        </w:tc>
        <w:tc>
          <w:tcPr>
            <w:tcW w:w="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160" w:type="dxa"/>
            <w:vAlign w:val="bottom"/>
            <w:shd w:val="clear" w:color="auto" w:fill="CFF0FC"/>
          </w:tcPr>
          <w:p>
            <w:pPr>
              <w:jc w:val="right"/>
              <w:ind w:right="65"/>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188"/>
        </w:trPr>
        <w:tc>
          <w:tcPr>
            <w:tcW w:w="2920" w:type="dxa"/>
            <w:vAlign w:val="bottom"/>
            <w:tcBorders>
              <w:bottom w:val="single" w:sz="8" w:color="CFF0FC"/>
            </w:tcBorders>
          </w:tcPr>
          <w:p>
            <w:pPr>
              <w:ind w:left="420"/>
              <w:spacing w:after="0"/>
              <w:rPr>
                <w:sz w:val="20"/>
                <w:szCs w:val="20"/>
                <w:color w:val="auto"/>
              </w:rPr>
            </w:pPr>
            <w:r>
              <w:rPr>
                <w:rFonts w:ascii="Arial" w:cs="Arial" w:eastAsia="Arial" w:hAnsi="Arial"/>
                <w:sz w:val="16"/>
                <w:szCs w:val="16"/>
                <w:color w:val="auto"/>
              </w:rPr>
              <w:t>deferred financing costs, net</w:t>
            </w:r>
          </w:p>
        </w:tc>
        <w:tc>
          <w:tcPr>
            <w:tcW w:w="60" w:type="dxa"/>
            <w:vAlign w:val="bottom"/>
            <w:tcBorders>
              <w:bottom w:val="single" w:sz="8" w:color="CFF0FC"/>
            </w:tcBorders>
          </w:tcPr>
          <w:p>
            <w:pPr>
              <w:spacing w:after="0"/>
              <w:rPr>
                <w:sz w:val="16"/>
                <w:szCs w:val="16"/>
                <w:color w:val="auto"/>
              </w:rPr>
            </w:pPr>
          </w:p>
        </w:tc>
        <w:tc>
          <w:tcPr>
            <w:tcW w:w="200" w:type="dxa"/>
            <w:vAlign w:val="bottom"/>
            <w:tcBorders>
              <w:bottom w:val="single" w:sz="8" w:color="CFF0FC"/>
            </w:tcBorders>
          </w:tcPr>
          <w:p>
            <w:pPr>
              <w:spacing w:after="0"/>
              <w:rPr>
                <w:sz w:val="16"/>
                <w:szCs w:val="16"/>
                <w:color w:val="auto"/>
              </w:rPr>
            </w:pPr>
          </w:p>
        </w:tc>
        <w:tc>
          <w:tcPr>
            <w:tcW w:w="1120" w:type="dxa"/>
            <w:vAlign w:val="bottom"/>
            <w:tcBorders>
              <w:bottom w:val="single" w:sz="8" w:color="CFF0FC"/>
            </w:tcBorders>
          </w:tcPr>
          <w:p>
            <w:pPr>
              <w:spacing w:after="0"/>
              <w:rPr>
                <w:sz w:val="16"/>
                <w:szCs w:val="16"/>
                <w:color w:val="auto"/>
              </w:rPr>
            </w:pPr>
          </w:p>
        </w:tc>
        <w:tc>
          <w:tcPr>
            <w:tcW w:w="100" w:type="dxa"/>
            <w:vAlign w:val="bottom"/>
            <w:tcBorders>
              <w:bottom w:val="single" w:sz="8" w:color="CFF0FC"/>
            </w:tcBorders>
          </w:tcPr>
          <w:p>
            <w:pPr>
              <w:spacing w:after="0"/>
              <w:rPr>
                <w:sz w:val="16"/>
                <w:szCs w:val="16"/>
                <w:color w:val="auto"/>
              </w:rPr>
            </w:pPr>
          </w:p>
        </w:tc>
        <w:tc>
          <w:tcPr>
            <w:tcW w:w="140" w:type="dxa"/>
            <w:vAlign w:val="bottom"/>
            <w:tcBorders>
              <w:bottom w:val="single" w:sz="8" w:color="CFF0FC"/>
            </w:tcBorders>
          </w:tcPr>
          <w:p>
            <w:pPr>
              <w:spacing w:after="0"/>
              <w:rPr>
                <w:sz w:val="16"/>
                <w:szCs w:val="16"/>
                <w:color w:val="auto"/>
              </w:rPr>
            </w:pPr>
          </w:p>
        </w:tc>
        <w:tc>
          <w:tcPr>
            <w:tcW w:w="1120" w:type="dxa"/>
            <w:vAlign w:val="bottom"/>
            <w:tcBorders>
              <w:bottom w:val="single" w:sz="8" w:color="CFF0FC"/>
            </w:tcBorders>
          </w:tcPr>
          <w:p>
            <w:pPr>
              <w:spacing w:after="0"/>
              <w:rPr>
                <w:sz w:val="16"/>
                <w:szCs w:val="16"/>
                <w:color w:val="auto"/>
              </w:rPr>
            </w:pPr>
          </w:p>
        </w:tc>
        <w:tc>
          <w:tcPr>
            <w:tcW w:w="100" w:type="dxa"/>
            <w:vAlign w:val="bottom"/>
            <w:tcBorders>
              <w:bottom w:val="single" w:sz="8" w:color="CFF0FC"/>
            </w:tcBorders>
          </w:tcPr>
          <w:p>
            <w:pPr>
              <w:spacing w:after="0"/>
              <w:rPr>
                <w:sz w:val="16"/>
                <w:szCs w:val="16"/>
                <w:color w:val="auto"/>
              </w:rPr>
            </w:pPr>
          </w:p>
        </w:tc>
        <w:tc>
          <w:tcPr>
            <w:tcW w:w="200" w:type="dxa"/>
            <w:vAlign w:val="bottom"/>
            <w:tcBorders>
              <w:bottom w:val="single" w:sz="8" w:color="CFF0FC"/>
            </w:tcBorders>
          </w:tcPr>
          <w:p>
            <w:pPr>
              <w:spacing w:after="0"/>
              <w:rPr>
                <w:sz w:val="16"/>
                <w:szCs w:val="16"/>
                <w:color w:val="auto"/>
              </w:rPr>
            </w:pPr>
          </w:p>
        </w:tc>
        <w:tc>
          <w:tcPr>
            <w:tcW w:w="1120" w:type="dxa"/>
            <w:vAlign w:val="bottom"/>
            <w:tcBorders>
              <w:bottom w:val="single" w:sz="8" w:color="CFF0FC"/>
            </w:tcBorders>
          </w:tcPr>
          <w:p>
            <w:pPr>
              <w:spacing w:after="0"/>
              <w:rPr>
                <w:sz w:val="16"/>
                <w:szCs w:val="16"/>
                <w:color w:val="auto"/>
              </w:rPr>
            </w:pPr>
          </w:p>
        </w:tc>
        <w:tc>
          <w:tcPr>
            <w:tcW w:w="100" w:type="dxa"/>
            <w:vAlign w:val="bottom"/>
            <w:tcBorders>
              <w:bottom w:val="single" w:sz="8" w:color="CFF0FC"/>
            </w:tcBorders>
          </w:tcPr>
          <w:p>
            <w:pPr>
              <w:spacing w:after="0"/>
              <w:rPr>
                <w:sz w:val="16"/>
                <w:szCs w:val="16"/>
                <w:color w:val="auto"/>
              </w:rPr>
            </w:pPr>
          </w:p>
        </w:tc>
        <w:tc>
          <w:tcPr>
            <w:tcW w:w="560" w:type="dxa"/>
            <w:vAlign w:val="bottom"/>
            <w:tcBorders>
              <w:bottom w:val="single" w:sz="8" w:color="CFF0FC"/>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45"/>
              <w:spacing w:after="0"/>
              <w:rPr>
                <w:sz w:val="20"/>
                <w:szCs w:val="20"/>
                <w:color w:val="auto"/>
              </w:rPr>
            </w:pPr>
            <w:r>
              <w:rPr>
                <w:rFonts w:ascii="Arial" w:cs="Arial" w:eastAsia="Arial" w:hAnsi="Arial"/>
                <w:sz w:val="16"/>
                <w:szCs w:val="16"/>
                <w:b w:val="1"/>
                <w:bCs w:val="1"/>
                <w:color w:val="auto"/>
              </w:rPr>
              <w:t>25</w:t>
            </w:r>
          </w:p>
        </w:tc>
        <w:tc>
          <w:tcPr>
            <w:tcW w:w="80" w:type="dxa"/>
            <w:vAlign w:val="bottom"/>
            <w:tcBorders>
              <w:bottom w:val="single" w:sz="8" w:color="CFF0FC"/>
            </w:tcBorders>
          </w:tcPr>
          <w:p>
            <w:pPr>
              <w:spacing w:after="0"/>
              <w:rPr>
                <w:sz w:val="16"/>
                <w:szCs w:val="16"/>
                <w:color w:val="auto"/>
              </w:rPr>
            </w:pPr>
          </w:p>
        </w:tc>
        <w:tc>
          <w:tcPr>
            <w:tcW w:w="100" w:type="dxa"/>
            <w:vAlign w:val="bottom"/>
            <w:tcBorders>
              <w:bottom w:val="single" w:sz="8" w:color="CFF0FC"/>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65"/>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180"/>
        </w:trPr>
        <w:tc>
          <w:tcPr>
            <w:tcW w:w="2920" w:type="dxa"/>
            <w:vAlign w:val="bottom"/>
            <w:shd w:val="clear" w:color="auto" w:fill="CFF0FC"/>
          </w:tcPr>
          <w:p>
            <w:pPr>
              <w:ind w:left="200"/>
              <w:spacing w:after="0" w:line="180" w:lineRule="exact"/>
              <w:rPr>
                <w:sz w:val="20"/>
                <w:szCs w:val="20"/>
                <w:color w:val="auto"/>
              </w:rPr>
            </w:pPr>
            <w:r>
              <w:rPr>
                <w:rFonts w:ascii="Arial" w:cs="Arial" w:eastAsia="Arial" w:hAnsi="Arial"/>
                <w:sz w:val="16"/>
                <w:szCs w:val="16"/>
                <w:color w:val="auto"/>
              </w:rPr>
              <w:t>Total long-term debt, net</w:t>
            </w:r>
          </w:p>
        </w:tc>
        <w:tc>
          <w:tcPr>
            <w:tcW w:w="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300" w:type="dxa"/>
            <w:vAlign w:val="bottom"/>
            <w:shd w:val="clear" w:color="auto" w:fill="CFF0FC"/>
          </w:tcPr>
          <w:p>
            <w:pPr>
              <w:jc w:val="right"/>
              <w:ind w:right="122"/>
              <w:spacing w:after="0" w:line="180" w:lineRule="exact"/>
              <w:rPr>
                <w:sz w:val="20"/>
                <w:szCs w:val="20"/>
                <w:color w:val="auto"/>
              </w:rPr>
            </w:pPr>
            <w:r>
              <w:rPr>
                <w:rFonts w:ascii="Arial" w:cs="Arial" w:eastAsia="Arial" w:hAnsi="Arial"/>
                <w:sz w:val="16"/>
                <w:szCs w:val="16"/>
                <w:b w:val="1"/>
                <w:bCs w:val="1"/>
                <w:color w:val="auto"/>
                <w:w w:val="89"/>
              </w:rPr>
              <w:t>$</w:t>
            </w:r>
          </w:p>
        </w:tc>
        <w:tc>
          <w:tcPr>
            <w:tcW w:w="4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60" w:type="dxa"/>
            <w:vAlign w:val="bottom"/>
            <w:shd w:val="clear" w:color="auto" w:fill="CFF0FC"/>
          </w:tcPr>
          <w:p>
            <w:pPr>
              <w:jc w:val="right"/>
              <w:ind w:right="45"/>
              <w:spacing w:after="0" w:line="180" w:lineRule="exact"/>
              <w:rPr>
                <w:sz w:val="20"/>
                <w:szCs w:val="20"/>
                <w:color w:val="auto"/>
              </w:rPr>
            </w:pPr>
            <w:r>
              <w:rPr>
                <w:rFonts w:ascii="Arial" w:cs="Arial" w:eastAsia="Arial" w:hAnsi="Arial"/>
                <w:sz w:val="16"/>
                <w:szCs w:val="16"/>
                <w:b w:val="1"/>
                <w:bCs w:val="1"/>
                <w:color w:val="auto"/>
              </w:rPr>
              <w:t>2,512</w:t>
            </w:r>
          </w:p>
        </w:tc>
        <w:tc>
          <w:tcPr>
            <w:tcW w:w="80" w:type="dxa"/>
            <w:vAlign w:val="bottom"/>
            <w:shd w:val="clear" w:color="auto" w:fill="CFF0FC"/>
          </w:tcPr>
          <w:p>
            <w:pPr>
              <w:spacing w:after="0"/>
              <w:rPr>
                <w:sz w:val="15"/>
                <w:szCs w:val="15"/>
                <w:color w:val="auto"/>
              </w:rPr>
            </w:pPr>
          </w:p>
        </w:tc>
        <w:tc>
          <w:tcPr>
            <w:tcW w:w="380" w:type="dxa"/>
            <w:vAlign w:val="bottom"/>
            <w:gridSpan w:val="2"/>
            <w:shd w:val="clear" w:color="auto" w:fill="CFF0FC"/>
          </w:tcPr>
          <w:p>
            <w:pPr>
              <w:jc w:val="right"/>
              <w:ind w:right="130"/>
              <w:spacing w:after="0" w:line="180" w:lineRule="exact"/>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160" w:type="dxa"/>
            <w:vAlign w:val="bottom"/>
            <w:shd w:val="clear" w:color="auto" w:fill="CFF0FC"/>
          </w:tcPr>
          <w:p>
            <w:pPr>
              <w:jc w:val="right"/>
              <w:ind w:right="65"/>
              <w:spacing w:after="0" w:line="180" w:lineRule="exact"/>
              <w:rPr>
                <w:sz w:val="20"/>
                <w:szCs w:val="20"/>
                <w:color w:val="auto"/>
              </w:rPr>
            </w:pPr>
            <w:r>
              <w:rPr>
                <w:rFonts w:ascii="Arial" w:cs="Arial" w:eastAsia="Arial" w:hAnsi="Arial"/>
                <w:sz w:val="16"/>
                <w:szCs w:val="16"/>
                <w:color w:val="auto"/>
              </w:rPr>
              <w:t>2,512</w:t>
            </w:r>
          </w:p>
        </w:tc>
        <w:tc>
          <w:tcPr>
            <w:tcW w:w="0" w:type="dxa"/>
            <w:vAlign w:val="bottom"/>
          </w:tcPr>
          <w:p>
            <w:pPr>
              <w:spacing w:after="0"/>
              <w:rPr>
                <w:sz w:val="1"/>
                <w:szCs w:val="1"/>
                <w:color w:val="auto"/>
              </w:rPr>
            </w:pPr>
          </w:p>
        </w:tc>
      </w:tr>
      <w:tr>
        <w:trPr>
          <w:trHeight w:val="20"/>
        </w:trPr>
        <w:tc>
          <w:tcPr>
            <w:tcW w:w="292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1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1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1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56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right="140" w:firstLine="528"/>
        <w:spacing w:after="0" w:line="232" w:lineRule="auto"/>
        <w:rPr>
          <w:sz w:val="20"/>
          <w:szCs w:val="20"/>
          <w:color w:val="auto"/>
        </w:rPr>
      </w:pPr>
      <w:r>
        <w:rPr>
          <w:rFonts w:ascii="Arial" w:cs="Arial" w:eastAsia="Arial" w:hAnsi="Arial"/>
          <w:sz w:val="16"/>
          <w:szCs w:val="16"/>
          <w:color w:val="auto"/>
        </w:rPr>
        <w:t>As of March 31, 2020, the Company had $2,543 million of indebtedness associated with Allison Transmission, Inc.’s (“ATI”), the Company’s wholly-owned subsidiary, 5.0% Senior Notes due September 2024 (“5.0% Senior Notes”), ATI’s 4.75% Senior Notes due October 2027 (“4.75% Senior Notes”), ATI’s 5.875% Senior Notes due June 2029 (“5.875% Senior Notes,” and, together with the 5.0% Senior Notes and 4.75% Senior Notes, the “Senior Notes”) and the Second Amended and Restated Credit Agreement dated as of March 29, 2019 (the “Credit Agreement”), governing ATI’s new term loan facility in the amount of $643 million due March 2026 (“New Term Loan”) and ATI’s new revolving credit facility with commitments in the amount of $600 million due September 2024 (“New Revolving Credit Facility” and, together with the New Term Loan, the “New Senior Secured Credit Facility”).</w:t>
      </w:r>
    </w:p>
    <w:p>
      <w:pPr>
        <w:spacing w:after="0" w:line="84" w:lineRule="exact"/>
        <w:rPr>
          <w:sz w:val="20"/>
          <w:szCs w:val="20"/>
          <w:color w:val="auto"/>
        </w:rPr>
      </w:pPr>
    </w:p>
    <w:p>
      <w:pPr>
        <w:jc w:val="both"/>
        <w:ind w:right="380" w:firstLine="528"/>
        <w:spacing w:after="0" w:line="234" w:lineRule="auto"/>
        <w:rPr>
          <w:sz w:val="20"/>
          <w:szCs w:val="20"/>
          <w:color w:val="auto"/>
        </w:rPr>
      </w:pPr>
      <w:r>
        <w:rPr>
          <w:rFonts w:ascii="Arial" w:cs="Arial" w:eastAsia="Arial" w:hAnsi="Arial"/>
          <w:sz w:val="16"/>
          <w:szCs w:val="16"/>
          <w:color w:val="auto"/>
        </w:rPr>
        <w:t>The fair value of the Company’s long-term debt obligations as of March 31, 2020 was $ 2,397 million. The fair value is based on quoted Level 2 market prices of the Company’s debt as of March 31, 2020. It is not expected that the Company would be able to repurchase a significant amount of its debt at these levels. The difference between the fair value and carrying value of the long-term debt is driven primarily by trends in the financial markets.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55245</wp:posOffset>
            </wp:positionV>
            <wp:extent cx="7150100" cy="146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0"/>
          </w:cols>
          <w:pgMar w:left="320" w:top="140" w:right="319" w:bottom="1440" w:gutter="0" w:footer="0" w:header="0"/>
        </w:sectPr>
      </w:pPr>
    </w:p>
    <w:bookmarkStart w:id="13" w:name="page14"/>
    <w:bookmarkEnd w:id="1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2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New Senior Secured Credit Facility</w:t>
      </w:r>
    </w:p>
    <w:p>
      <w:pPr>
        <w:spacing w:after="0" w:line="104" w:lineRule="exact"/>
        <w:rPr>
          <w:sz w:val="20"/>
          <w:szCs w:val="20"/>
          <w:color w:val="auto"/>
        </w:rPr>
      </w:pPr>
    </w:p>
    <w:p>
      <w:pPr>
        <w:ind w:right="80" w:firstLine="528"/>
        <w:spacing w:after="0" w:line="248" w:lineRule="auto"/>
        <w:rPr>
          <w:sz w:val="20"/>
          <w:szCs w:val="20"/>
          <w:color w:val="auto"/>
        </w:rPr>
      </w:pPr>
      <w:r>
        <w:rPr>
          <w:rFonts w:ascii="Arial" w:cs="Arial" w:eastAsia="Arial" w:hAnsi="Arial"/>
          <w:sz w:val="15"/>
          <w:szCs w:val="15"/>
          <w:color w:val="auto"/>
        </w:rPr>
        <w:t>In March 2019, the Company and ATI entered into the Credit Agreement to reduce the commitments under the prior term loan due 2022 (“Prior Term Loan”) by $500 million and increase the commitments under the prior $550 million revolving credit facility due 2021 (“Prior Revolving Credit Facility” and, together with the Prior Term Loan, the “Prior Senior Secured Credit Facility”) by $50 million. The New Senior Secured Credit Facility also extended the maturity of the Prior Term Loan from 2022 to 2026 and extended the Prior Revolving Credit Facility termination date from 2021 to 2024. The New Senior Secured Credit Facility replaced the Prior Senior Secured Credit Facility, including the Prior Term Loan and Prior Revolving Credit Facility, on March 29, 2019. The Credit Agreement was treated as a modification to the Prior Senior Secured Credit Facility under GAAP, and thus the Company expensed $5 million of prior deferred financing fees and $1 million of related third party fees in the Condensed Consolidated Statement of Comprehensive Income for the three months ended March 31, 2019 and recorded $5 million as new deferred financing fees in the Condensed Consolidated Balance Sheet in the first quarter of 2019.</w:t>
      </w:r>
    </w:p>
    <w:p>
      <w:pPr>
        <w:spacing w:after="0" w:line="77" w:lineRule="exact"/>
        <w:rPr>
          <w:sz w:val="20"/>
          <w:szCs w:val="20"/>
          <w:color w:val="auto"/>
        </w:rPr>
      </w:pPr>
    </w:p>
    <w:p>
      <w:pPr>
        <w:ind w:firstLine="528"/>
        <w:spacing w:after="0" w:line="234" w:lineRule="auto"/>
        <w:rPr>
          <w:sz w:val="20"/>
          <w:szCs w:val="20"/>
          <w:color w:val="auto"/>
        </w:rPr>
      </w:pPr>
      <w:r>
        <w:rPr>
          <w:rFonts w:ascii="Arial" w:cs="Arial" w:eastAsia="Arial" w:hAnsi="Arial"/>
          <w:sz w:val="16"/>
          <w:szCs w:val="16"/>
          <w:color w:val="auto"/>
        </w:rPr>
        <w:t>In October 2019, ATI entered into an amendment to the Credit Agreement with the lenders under its New Senior Secured Credit Facility to lower the applicable margins on the New Term Loan by 0.25%. The October 2019 amendment was treated as a modification to the New Senior Secured Credit Facility under GAAP.</w:t>
      </w:r>
    </w:p>
    <w:p>
      <w:pPr>
        <w:spacing w:after="0" w:line="84" w:lineRule="exact"/>
        <w:rPr>
          <w:sz w:val="20"/>
          <w:szCs w:val="20"/>
          <w:color w:val="auto"/>
        </w:rPr>
      </w:pPr>
    </w:p>
    <w:p>
      <w:pPr>
        <w:ind w:right="60" w:firstLine="528"/>
        <w:spacing w:after="0" w:line="230" w:lineRule="auto"/>
        <w:rPr>
          <w:sz w:val="20"/>
          <w:szCs w:val="20"/>
          <w:color w:val="auto"/>
        </w:rPr>
      </w:pPr>
      <w:r>
        <w:rPr>
          <w:rFonts w:ascii="Arial" w:cs="Arial" w:eastAsia="Arial" w:hAnsi="Arial"/>
          <w:sz w:val="16"/>
          <w:szCs w:val="16"/>
          <w:color w:val="auto"/>
        </w:rPr>
        <w:t>The borrowings under the New Senior Secured Credit Facility are collateralized by a lien on substantially all assets of the Company, ATI and each of the existing and future U.S. subsidiary guarantors, with certain exceptions set forth in the Credit Agreement, and ATI’s capital stock and all of the capital stock or other equity interests held by the Company, ATI and each of ATI’s existing and future U.S. subsidiary guarantors (subject to certain limitations for equity interest of foreign subsidiaries and other exceptions set forth in the Credit Agreement). Interest on the New Term Loan, as of March 31, 2020, is either (a) 1.75% over a LIBOR rate on deposits in U.S. dollars for one-, two-, three- or six-month periods (or twelve-month or shorter periods if, at the time of the borrowing, available from all relevant lenders) (the "LIBOR Rate"), or (b) 0.75% over the greater of the prime lending rate as quoted by the administrative agent, the LIBOR Rate for an interest period of one month plus 1.00% and the federal funds effective rate published by the Federal Reserve Bank of New York plus 0.50%, subject to a 1.00% floor (the "Base Rate"). As of March 31, 2020, the Company elected to pay the lowest all-in rate of LIBOR plus the applicable margin, or 2.67%, on the New Term Loan. The Credit Agreement requires minimum quarterly principal payments on the New Term Loan, as well as prepayments from certain net cash proceeds of non-ordinary course asset sales and casualty and condemnation events, the incurrence of certain debt and from a percentage of excess cash flow, if applicable. The minimum required quarterly principal payment on the New Term Loan through its maturity date of March 2026 is $2 million. As of March 31, 2020, there had been no payments required for certain net cash proceeds of non-ordinary course asset sales and casualty and condemnation events. The remaining principal balance is due upon maturity.</w:t>
      </w:r>
    </w:p>
    <w:p>
      <w:pPr>
        <w:spacing w:after="0" w:line="91" w:lineRule="exact"/>
        <w:rPr>
          <w:sz w:val="20"/>
          <w:szCs w:val="20"/>
          <w:color w:val="auto"/>
        </w:rPr>
      </w:pPr>
    </w:p>
    <w:p>
      <w:pPr>
        <w:ind w:right="40" w:firstLine="528"/>
        <w:spacing w:after="0" w:line="230" w:lineRule="auto"/>
        <w:rPr>
          <w:sz w:val="20"/>
          <w:szCs w:val="20"/>
          <w:color w:val="auto"/>
        </w:rPr>
      </w:pPr>
      <w:r>
        <w:rPr>
          <w:rFonts w:ascii="Arial" w:cs="Arial" w:eastAsia="Arial" w:hAnsi="Arial"/>
          <w:sz w:val="16"/>
          <w:szCs w:val="16"/>
          <w:color w:val="auto"/>
        </w:rPr>
        <w:t>The New Senior Secured Credit Facility also provides a New Revolving Credit Facility, net of an allowance for up to $75 million in outstanding letters of credit commitments. Throughout the three months ended March 31, 2020, the Company made periodic withdrawals and payments on the New Revolving Credit Facility as part of the Company's debt management plans. The maximum amount outstanding at any time during the three months ended March 31, 2020 was $300 million. As of March 31, 2020, the Company had $595 million available under the New Revolving Credit Facility, net of $5 million in letters of credit. Borrowings under the New Revolving Credit Facility bear interest at a variable base rate plus an applicable margin based on the Company’s first lien net leverage ratio. When the Company’s first lien net leverage ratio is above 4.00x, interest on the New Revolving Credit Facility is (a) 0.75% over the Base Rate or (b) 1.75% over the LIBOR Rate; when the Company’s first lien net leverage ratio is equal to or less than 4.00x and above 3.50x, interest on the New Revolving Credit Facility is (i) 0.50% over the Base Rate or (ii) 1.50% over the LIBOR Rate; and when the Company’s first lien net leverage ratio is equal to or below 3.50x, interest on the New Revolving Credit Facility is (y) 0.25% over the Base Rate or (z) 1.25% over the LIBOR Rate. As of March 31, 2020, the applicable margin for the New Revolving Credit Facility was 1.25%. In addition, there is an annual commitment fee, based on the Company’s first lien net leverage ratio, on the average unused revolving credit borrowings available under the New Revolving Credit Facility. As of March 31, 2020, the commitment fee is 0.25%. Borrowings under the New Revolving Credit Facility are payable at the option of the Company throughout the term of the New Senior Secured Credit Facility with the balance due in September 2024.</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55245</wp:posOffset>
            </wp:positionV>
            <wp:extent cx="7150100" cy="146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0"/>
          </w:cols>
          <w:pgMar w:left="320" w:top="140" w:right="319" w:bottom="1440" w:gutter="0" w:footer="0" w:header="0"/>
        </w:sectPr>
      </w:pPr>
    </w:p>
    <w:bookmarkStart w:id="14" w:name="page15"/>
    <w:bookmarkEnd w:id="1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97" w:lineRule="exact"/>
        <w:rPr>
          <w:sz w:val="20"/>
          <w:szCs w:val="20"/>
          <w:color w:val="auto"/>
        </w:rPr>
      </w:pPr>
    </w:p>
    <w:p>
      <w:pPr>
        <w:ind w:right="160" w:firstLine="528"/>
        <w:spacing w:after="0" w:line="232" w:lineRule="auto"/>
        <w:rPr>
          <w:sz w:val="20"/>
          <w:szCs w:val="20"/>
          <w:color w:val="auto"/>
        </w:rPr>
      </w:pPr>
      <w:r>
        <w:rPr>
          <w:rFonts w:ascii="Arial" w:cs="Arial" w:eastAsia="Arial" w:hAnsi="Arial"/>
          <w:sz w:val="16"/>
          <w:szCs w:val="16"/>
          <w:color w:val="auto"/>
        </w:rPr>
        <w:t>The New Senior Secured Credit Facility requires the Company to maintain a specified maximum first lien net leverage ratio of 5.50x when revolving loan commitments remain outstanding on the New Revolving Credit Facility at the end of a fiscal quarter. As of March 31, 2020, the Company had no amounts outstanding under the New Revolving Credit Facility; however, the Company would have been in compliance with the maximum first lien net leverage ratio, achieving a 0.50x ratio. Additionally, within the terms of the New Senior Secured Credit Facility, a first lien net leverage ratio at or below 4.00x results in the elimination of excess cash flow payments on the New Senior Secured Credit Facility for the applicable year.</w:t>
      </w:r>
    </w:p>
    <w:p>
      <w:pPr>
        <w:spacing w:after="0" w:line="85" w:lineRule="exact"/>
        <w:rPr>
          <w:sz w:val="20"/>
          <w:szCs w:val="20"/>
          <w:color w:val="auto"/>
        </w:rPr>
      </w:pPr>
    </w:p>
    <w:p>
      <w:pPr>
        <w:ind w:right="280" w:firstLine="528"/>
        <w:spacing w:after="0" w:line="255" w:lineRule="auto"/>
        <w:rPr>
          <w:sz w:val="20"/>
          <w:szCs w:val="20"/>
          <w:color w:val="auto"/>
        </w:rPr>
      </w:pPr>
      <w:r>
        <w:rPr>
          <w:rFonts w:ascii="Arial" w:cs="Arial" w:eastAsia="Arial" w:hAnsi="Arial"/>
          <w:sz w:val="15"/>
          <w:szCs w:val="15"/>
          <w:color w:val="auto"/>
        </w:rPr>
        <w:t>In addition, the Credit Agreement, among other things, includes customary restrictions (subject to certain exceptions) on the Company’s ability to incur certain indebtedness, grant certain liens, make certain investments, engage in acquisitions, consolidations and mergers, declare or pay certain dividends or repurchase shares of the Company’s common stock. As of March 31, 2020, the Company was in compliance with all covenants under the Credit Agreement.</w:t>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5.0% Senior Notes</w:t>
      </w:r>
    </w:p>
    <w:p>
      <w:pPr>
        <w:spacing w:after="0" w:line="104" w:lineRule="exact"/>
        <w:rPr>
          <w:sz w:val="20"/>
          <w:szCs w:val="20"/>
          <w:color w:val="auto"/>
        </w:rPr>
      </w:pPr>
    </w:p>
    <w:p>
      <w:pPr>
        <w:ind w:right="80" w:firstLine="528"/>
        <w:spacing w:after="0" w:line="231" w:lineRule="auto"/>
        <w:rPr>
          <w:sz w:val="20"/>
          <w:szCs w:val="20"/>
          <w:color w:val="auto"/>
        </w:rPr>
      </w:pPr>
      <w:r>
        <w:rPr>
          <w:rFonts w:ascii="Arial" w:cs="Arial" w:eastAsia="Arial" w:hAnsi="Arial"/>
          <w:sz w:val="16"/>
          <w:szCs w:val="16"/>
          <w:color w:val="auto"/>
        </w:rPr>
        <w:t>The 5.0% Senior Notes are unsecured and are guaranteed by each of ATI’s domestic subsidiaries that is a borrower under or guarantees the New Senior Secured Credit Facility and are unconditionally guaranteed, jointly and severally, by any of ATI’s future domestic subsidiaries that are borrowers under or guarantee the New Senior Secured Credit Facility. None of ATI’s domestic subsidiaries currently guarantee its obligations under the New Senior Secured Credit Facility, and therefore none of ATI’s domestic subsidiaries currently guarantee the 5.0% Senior Notes. The indenture governing the 5.0% Senior Notes contains negative covenants restricting or limiting the Company’s ability to, among other things: incur or guarantee additional indebtedness, incur liens, pay dividends on, redeem or repurchase the Company’s capital stock, make certain investments, permit payment or dividend restrictions on certain of the Company’s subsidiaries, sell assets, engage in certain transactions with affiliates, and consolidate or merge or sell all or substantially all of the Company’s assets. As of March 31, 2020, the Company was in compliance with all covenants under the indenture governing the 5.0% Senior Notes.</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4.75% Senior Notes</w:t>
      </w:r>
    </w:p>
    <w:p>
      <w:pPr>
        <w:spacing w:after="0" w:line="104" w:lineRule="exact"/>
        <w:rPr>
          <w:sz w:val="20"/>
          <w:szCs w:val="20"/>
          <w:color w:val="auto"/>
        </w:rPr>
      </w:pPr>
    </w:p>
    <w:p>
      <w:pPr>
        <w:ind w:firstLine="528"/>
        <w:spacing w:after="0" w:line="231" w:lineRule="auto"/>
        <w:rPr>
          <w:sz w:val="20"/>
          <w:szCs w:val="20"/>
          <w:color w:val="auto"/>
        </w:rPr>
      </w:pPr>
      <w:r>
        <w:rPr>
          <w:rFonts w:ascii="Arial" w:cs="Arial" w:eastAsia="Arial" w:hAnsi="Arial"/>
          <w:sz w:val="16"/>
          <w:szCs w:val="16"/>
          <w:color w:val="auto"/>
        </w:rPr>
        <w:t>The 4.75% Senior Notes are unsecured and are guaranteed by each of ATI’s domestic subsidiaries that is a borrower under or guarantees the New Senior Secured Credit Facility and are unconditionally guaranteed, jointly and severally, by any of ATI’s future domestic subsidiaries that are borrowers under or guarantee the New Senior Secured Credit Facility. None of ATI’s domestic subsidiaries currently guarantee its obligations under the New Senior Secured Credit Facility, and therefore none of ATI’s domestic subsidiaries currently guarantee the 4.75% Senior Notes. The indenture governing the 4.75% Senior Notes contains negative covenants restricting or limiting the Company’s ability to, among other things: incur or guarantee additional indebtedness, incur liens, pay dividends on, redeem or repurchase the Company’s capital stock, make certain investments, permit payment or dividend restrictions on certain of the Company’s subsidiaries, sell assets, engage in certain transactions with affiliates, and consolidate or merge or sell all or substantially all of the Company’s assets. As of March 31, 2020, the Company was in compliance with all covenants under the indenture governing the 4.75% Senior Notes.</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5.875% Senior Notes</w:t>
      </w:r>
    </w:p>
    <w:p>
      <w:pPr>
        <w:spacing w:after="0" w:line="104" w:lineRule="exact"/>
        <w:rPr>
          <w:sz w:val="20"/>
          <w:szCs w:val="20"/>
          <w:color w:val="auto"/>
        </w:rPr>
      </w:pPr>
    </w:p>
    <w:p>
      <w:pPr>
        <w:ind w:right="140" w:firstLine="528"/>
        <w:spacing w:after="0" w:line="232" w:lineRule="auto"/>
        <w:rPr>
          <w:sz w:val="20"/>
          <w:szCs w:val="20"/>
          <w:color w:val="auto"/>
        </w:rPr>
      </w:pPr>
      <w:r>
        <w:rPr>
          <w:rFonts w:ascii="Arial" w:cs="Arial" w:eastAsia="Arial" w:hAnsi="Arial"/>
          <w:sz w:val="16"/>
          <w:szCs w:val="16"/>
          <w:color w:val="auto"/>
        </w:rPr>
        <w:t>In March 2019, ATI completed an offering of $500 million of the 5.875% Senior Notes. The 5.875% Senior Notes were offered in a private placement exempt from registration under the Securities Act of 1933, as amended. The net proceeds from the offering, together with borrowings under the New Senior Secured Credit Facility and cash on hand, were used to repay all of the outstanding borrowings under the Prior Term Loan plus accrued and unpaid interest and related transaction expenses. As a result of the offering, the Company recorded $6 million as deferred financing fees in the Condensed Consolidated Balance Sheet in the first quarter of 2019.</w:t>
      </w:r>
    </w:p>
    <w:p>
      <w:pPr>
        <w:spacing w:after="0" w:line="179"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55245</wp:posOffset>
            </wp:positionV>
            <wp:extent cx="7150100" cy="146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180"/>
          </w:cols>
          <w:pgMar w:left="320" w:top="140" w:right="399" w:bottom="1440" w:gutter="0" w:footer="0" w:header="0"/>
        </w:sectPr>
      </w:pPr>
    </w:p>
    <w:bookmarkStart w:id="15" w:name="page16"/>
    <w:bookmarkEnd w:id="1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97" w:lineRule="exact"/>
        <w:rPr>
          <w:sz w:val="20"/>
          <w:szCs w:val="20"/>
          <w:color w:val="auto"/>
        </w:rPr>
      </w:pPr>
    </w:p>
    <w:p>
      <w:pPr>
        <w:ind w:right="140" w:firstLine="528"/>
        <w:spacing w:after="0" w:line="231" w:lineRule="auto"/>
        <w:rPr>
          <w:sz w:val="20"/>
          <w:szCs w:val="20"/>
          <w:color w:val="auto"/>
        </w:rPr>
      </w:pPr>
      <w:r>
        <w:rPr>
          <w:rFonts w:ascii="Arial" w:cs="Arial" w:eastAsia="Arial" w:hAnsi="Arial"/>
          <w:sz w:val="16"/>
          <w:szCs w:val="16"/>
          <w:color w:val="auto"/>
        </w:rPr>
        <w:t>The 5.875% Senior Notes are unsecured and are guaranteed by each of ATI’s domestic subsidiaries that is a borrower under or guarantees the New Senior Secured Credit Facility and are unconditionally guaranteed, jointly and severally, by any of ATI’s future domestic subsidiaries that are borrowers under or guarantee the New Senior Secured Credit Facility. None of ATI’s domestic subsidiaries currently guarantee its obligations under the New Senior Secured Credit Facility, and therefore none of ATI’s domestic subsidiaries currently guarantee the 5.875% Senior Notes. The indenture governing the 5.875% Senior Notes contains negative covenants restricting or limiting the Company’s ability to, among other things: incur or guarantee additional indebtedness, incur liens, pay dividends on, redeem or repurchase the Company’s capital stock, make certain investments, permit payment or dividend restrictions on certain of the Company’s subsidiaries, sell assets, engage in certain transactions with affiliates, and consolidate or merge or sell all or substantially all of the Company’s assets. As of March 31, 2020, the Company was in compliance with all covenants under the indenture governing the 5.875% Senior Notes.</w:t>
      </w:r>
    </w:p>
    <w:p>
      <w:pPr>
        <w:spacing w:after="0" w:line="2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H. DERIVATIVES</w:t>
      </w:r>
    </w:p>
    <w:p>
      <w:pPr>
        <w:spacing w:after="0" w:line="106" w:lineRule="exact"/>
        <w:rPr>
          <w:sz w:val="20"/>
          <w:szCs w:val="20"/>
          <w:color w:val="auto"/>
        </w:rPr>
      </w:pPr>
    </w:p>
    <w:p>
      <w:pPr>
        <w:ind w:right="100" w:firstLine="528"/>
        <w:spacing w:after="0" w:line="231" w:lineRule="auto"/>
        <w:rPr>
          <w:sz w:val="20"/>
          <w:szCs w:val="20"/>
          <w:color w:val="auto"/>
        </w:rPr>
      </w:pPr>
      <w:r>
        <w:rPr>
          <w:rFonts w:ascii="Arial" w:cs="Arial" w:eastAsia="Arial" w:hAnsi="Arial"/>
          <w:sz w:val="16"/>
          <w:szCs w:val="16"/>
          <w:color w:val="auto"/>
        </w:rPr>
        <w:t>The Company is subject to interest rate risk related to the New Senior Secured Credit Facility and enters into interest rate swaps that are based on LIBOR to manage a portion of this exposure. The interest rate swaps are designated as cash flow hedges that qualify for hedge accounting under the hypothetical derivative method. Fair value adjustments are recorded as a component of accumulated other comprehensive loss (“AOCL”) in the Condensed Consolidated Balance Sheets. Balances in AOCL are reclassified to earnings when transactions related to the underlying risk are settled. During the first quarter of 2019, the Company entered into $250 million of interest rate swaps and designated them as cash flow hedges under the hypothetical derivative method. As of March 31, 2020, the Company held interest rate swaps effective from September 2019 to September 2025 with notional values totaling $250 million and a weighted average LIBOR fixed rate of 3.04%, interest rate swaps effective from September 2019 to September 2022 with notional values totaling $250 million and a weighted average LIBOR fixed rate of 3.01% and interest rate swaps effective from September 2022 to September 2025 with notional values totaling $250 million and a weighted average LIBOR fixed rate of 2.82%. See NOTE F “Fair Value of Financial Instruments” for information regarding the fair value of the Company’s interest rate swaps.</w:t>
      </w:r>
    </w:p>
    <w:p>
      <w:pPr>
        <w:spacing w:after="0" w:line="84" w:lineRule="exact"/>
        <w:rPr>
          <w:sz w:val="20"/>
          <w:szCs w:val="20"/>
          <w:color w:val="auto"/>
        </w:rPr>
      </w:pPr>
    </w:p>
    <w:p>
      <w:pPr>
        <w:ind w:right="120" w:firstLine="528"/>
        <w:spacing w:after="0" w:line="237" w:lineRule="auto"/>
        <w:rPr>
          <w:sz w:val="20"/>
          <w:szCs w:val="20"/>
          <w:color w:val="auto"/>
        </w:rPr>
      </w:pPr>
      <w:r>
        <w:rPr>
          <w:rFonts w:ascii="Arial" w:cs="Arial" w:eastAsia="Arial" w:hAnsi="Arial"/>
          <w:sz w:val="16"/>
          <w:szCs w:val="16"/>
          <w:color w:val="auto"/>
        </w:rPr>
        <w:t>The following tabular disclosures further describe the Company’s interest rate derivatives qualifying and designated for hedge accounting and their impact on the financial condition of the Company (dollars in millions):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5020" w:type="dxa"/>
            <w:vAlign w:val="bottom"/>
          </w:tcPr>
          <w:p>
            <w:pPr>
              <w:spacing w:after="0"/>
              <w:rPr>
                <w:sz w:val="13"/>
                <w:szCs w:val="13"/>
                <w:color w:val="auto"/>
              </w:rPr>
            </w:pPr>
          </w:p>
        </w:tc>
        <w:tc>
          <w:tcPr>
            <w:tcW w:w="29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gridSpan w:val="3"/>
          </w:tcPr>
          <w:p>
            <w:pPr>
              <w:ind w:left="140"/>
              <w:spacing w:after="0"/>
              <w:rPr>
                <w:sz w:val="20"/>
                <w:szCs w:val="20"/>
                <w:color w:val="auto"/>
              </w:rPr>
            </w:pPr>
            <w:r>
              <w:rPr>
                <w:rFonts w:ascii="Arial" w:cs="Arial" w:eastAsia="Arial" w:hAnsi="Arial"/>
                <w:sz w:val="13"/>
                <w:szCs w:val="13"/>
                <w:b w:val="1"/>
                <w:bCs w:val="1"/>
                <w:color w:val="auto"/>
                <w:w w:val="99"/>
              </w:rPr>
              <w:t>Fair Value</w:t>
            </w:r>
          </w:p>
        </w:tc>
        <w:tc>
          <w:tcPr>
            <w:tcW w:w="1280" w:type="dxa"/>
            <w:vAlign w:val="bottom"/>
            <w:tcBorders>
              <w:bottom w:val="single" w:sz="8" w:color="auto"/>
            </w:tcBorders>
          </w:tcPr>
          <w:p>
            <w:pPr>
              <w:spacing w:after="0"/>
              <w:rPr>
                <w:sz w:val="13"/>
                <w:szCs w:val="13"/>
                <w:color w:val="auto"/>
              </w:rPr>
            </w:pPr>
          </w:p>
        </w:tc>
      </w:tr>
      <w:tr>
        <w:trPr>
          <w:trHeight w:val="133"/>
        </w:trPr>
        <w:tc>
          <w:tcPr>
            <w:tcW w:w="5020" w:type="dxa"/>
            <w:vAlign w:val="bottom"/>
          </w:tcPr>
          <w:p>
            <w:pPr>
              <w:spacing w:after="0"/>
              <w:rPr>
                <w:sz w:val="11"/>
                <w:szCs w:val="11"/>
                <w:color w:val="auto"/>
              </w:rPr>
            </w:pPr>
          </w:p>
        </w:tc>
        <w:tc>
          <w:tcPr>
            <w:tcW w:w="29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jc w:val="right"/>
              <w:ind w:right="32"/>
              <w:spacing w:after="0" w:line="133" w:lineRule="exact"/>
              <w:rPr>
                <w:sz w:val="20"/>
                <w:szCs w:val="20"/>
                <w:color w:val="auto"/>
              </w:rPr>
            </w:pPr>
            <w:r>
              <w:rPr>
                <w:rFonts w:ascii="Arial" w:cs="Arial" w:eastAsia="Arial" w:hAnsi="Arial"/>
                <w:sz w:val="13"/>
                <w:szCs w:val="13"/>
                <w:b w:val="1"/>
                <w:bCs w:val="1"/>
                <w:color w:val="auto"/>
              </w:rPr>
              <w:t>March 31,</w:t>
            </w: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80" w:type="dxa"/>
            <w:vAlign w:val="bottom"/>
          </w:tcPr>
          <w:p>
            <w:pPr>
              <w:jc w:val="right"/>
              <w:ind w:right="328"/>
              <w:spacing w:after="0" w:line="133" w:lineRule="exact"/>
              <w:rPr>
                <w:sz w:val="20"/>
                <w:szCs w:val="20"/>
                <w:color w:val="auto"/>
              </w:rPr>
            </w:pPr>
            <w:r>
              <w:rPr>
                <w:rFonts w:ascii="Arial" w:cs="Arial" w:eastAsia="Arial" w:hAnsi="Arial"/>
                <w:sz w:val="13"/>
                <w:szCs w:val="13"/>
                <w:b w:val="1"/>
                <w:bCs w:val="1"/>
                <w:color w:val="auto"/>
              </w:rPr>
              <w:t>December 31,</w:t>
            </w:r>
          </w:p>
        </w:tc>
      </w:tr>
      <w:tr>
        <w:trPr>
          <w:trHeight w:val="153"/>
        </w:trPr>
        <w:tc>
          <w:tcPr>
            <w:tcW w:w="5020" w:type="dxa"/>
            <w:vAlign w:val="bottom"/>
          </w:tcPr>
          <w:p>
            <w:pPr>
              <w:spacing w:after="0"/>
              <w:rPr>
                <w:sz w:val="13"/>
                <w:szCs w:val="13"/>
                <w:color w:val="auto"/>
              </w:rPr>
            </w:pPr>
          </w:p>
        </w:tc>
        <w:tc>
          <w:tcPr>
            <w:tcW w:w="2940" w:type="dxa"/>
            <w:vAlign w:val="bottom"/>
          </w:tcPr>
          <w:p>
            <w:pPr>
              <w:ind w:left="760"/>
              <w:spacing w:after="0"/>
              <w:rPr>
                <w:sz w:val="20"/>
                <w:szCs w:val="20"/>
                <w:color w:val="auto"/>
              </w:rPr>
            </w:pPr>
            <w:r>
              <w:rPr>
                <w:rFonts w:ascii="Arial" w:cs="Arial" w:eastAsia="Arial" w:hAnsi="Arial"/>
                <w:sz w:val="13"/>
                <w:szCs w:val="13"/>
                <w:b w:val="1"/>
                <w:bCs w:val="1"/>
                <w:color w:val="auto"/>
              </w:rPr>
              <w:t>Balance Sheet Location</w:t>
            </w:r>
          </w:p>
        </w:tc>
        <w:tc>
          <w:tcPr>
            <w:tcW w:w="1240" w:type="dxa"/>
            <w:vAlign w:val="bottom"/>
            <w:gridSpan w:val="2"/>
          </w:tcPr>
          <w:p>
            <w:pPr>
              <w:jc w:val="right"/>
              <w:ind w:right="192"/>
              <w:spacing w:after="0"/>
              <w:rPr>
                <w:sz w:val="20"/>
                <w:szCs w:val="20"/>
                <w:color w:val="auto"/>
              </w:rPr>
            </w:pPr>
            <w:r>
              <w:rPr>
                <w:rFonts w:ascii="Arial" w:cs="Arial" w:eastAsia="Arial" w:hAnsi="Arial"/>
                <w:sz w:val="13"/>
                <w:szCs w:val="13"/>
                <w:b w:val="1"/>
                <w:bCs w:val="1"/>
                <w:color w:val="auto"/>
              </w:rPr>
              <w:t>2020</w:t>
            </w:r>
          </w:p>
        </w:tc>
        <w:tc>
          <w:tcPr>
            <w:tcW w:w="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80" w:type="dxa"/>
            <w:vAlign w:val="bottom"/>
          </w:tcPr>
          <w:p>
            <w:pPr>
              <w:jc w:val="right"/>
              <w:ind w:right="608"/>
              <w:spacing w:after="0"/>
              <w:rPr>
                <w:sz w:val="20"/>
                <w:szCs w:val="20"/>
                <w:color w:val="auto"/>
              </w:rPr>
            </w:pPr>
            <w:r>
              <w:rPr>
                <w:rFonts w:ascii="Arial" w:cs="Arial" w:eastAsia="Arial" w:hAnsi="Arial"/>
                <w:sz w:val="13"/>
                <w:szCs w:val="13"/>
                <w:b w:val="1"/>
                <w:bCs w:val="1"/>
                <w:color w:val="auto"/>
              </w:rPr>
              <w:t>2019</w:t>
            </w:r>
          </w:p>
        </w:tc>
      </w:tr>
      <w:tr>
        <w:trPr>
          <w:trHeight w:val="180"/>
        </w:trPr>
        <w:tc>
          <w:tcPr>
            <w:tcW w:w="5020" w:type="dxa"/>
            <w:vAlign w:val="bottom"/>
            <w:tcBorders>
              <w:top w:val="single" w:sz="8" w:color="CFF0FC"/>
            </w:tcBorders>
            <w:shd w:val="clear" w:color="auto" w:fill="CFF0FC"/>
          </w:tcPr>
          <w:p>
            <w:pPr>
              <w:spacing w:after="0" w:line="180" w:lineRule="exact"/>
              <w:rPr>
                <w:sz w:val="20"/>
                <w:szCs w:val="20"/>
                <w:color w:val="auto"/>
              </w:rPr>
            </w:pPr>
            <w:r>
              <w:rPr>
                <w:rFonts w:ascii="Arial" w:cs="Arial" w:eastAsia="Arial" w:hAnsi="Arial"/>
                <w:sz w:val="16"/>
                <w:szCs w:val="16"/>
                <w:color w:val="auto"/>
              </w:rPr>
              <w:t>Derivatives designated as hedging instruments:</w:t>
            </w:r>
          </w:p>
        </w:tc>
        <w:tc>
          <w:tcPr>
            <w:tcW w:w="2940" w:type="dxa"/>
            <w:vAlign w:val="bottom"/>
            <w:tcBorders>
              <w:top w:val="single" w:sz="8" w:color="auto"/>
            </w:tcBorders>
            <w:shd w:val="clear" w:color="auto" w:fill="CFF0FC"/>
          </w:tcPr>
          <w:p>
            <w:pPr>
              <w:spacing w:after="0"/>
              <w:rPr>
                <w:sz w:val="15"/>
                <w:szCs w:val="15"/>
                <w:color w:val="auto"/>
              </w:rPr>
            </w:pPr>
          </w:p>
        </w:tc>
        <w:tc>
          <w:tcPr>
            <w:tcW w:w="160" w:type="dxa"/>
            <w:vAlign w:val="bottom"/>
            <w:tcBorders>
              <w:top w:val="single" w:sz="8" w:color="CFF0FC"/>
            </w:tcBorders>
            <w:shd w:val="clear" w:color="auto" w:fill="CFF0FC"/>
          </w:tcPr>
          <w:p>
            <w:pPr>
              <w:spacing w:after="0"/>
              <w:rPr>
                <w:sz w:val="15"/>
                <w:szCs w:val="15"/>
                <w:color w:val="auto"/>
              </w:rPr>
            </w:pPr>
          </w:p>
        </w:tc>
        <w:tc>
          <w:tcPr>
            <w:tcW w:w="1080" w:type="dxa"/>
            <w:vAlign w:val="bottom"/>
            <w:tcBorders>
              <w:top w:val="single" w:sz="8" w:color="auto"/>
            </w:tcBorders>
            <w:shd w:val="clear" w:color="auto" w:fill="CFF0FC"/>
          </w:tcPr>
          <w:p>
            <w:pPr>
              <w:spacing w:after="0"/>
              <w:rPr>
                <w:sz w:val="15"/>
                <w:szCs w:val="15"/>
                <w:color w:val="auto"/>
              </w:rPr>
            </w:pPr>
          </w:p>
        </w:tc>
        <w:tc>
          <w:tcPr>
            <w:tcW w:w="420" w:type="dxa"/>
            <w:vAlign w:val="bottom"/>
            <w:tcBorders>
              <w:top w:val="single" w:sz="8" w:color="auto"/>
            </w:tcBorders>
            <w:shd w:val="clear" w:color="auto" w:fill="CFF0FC"/>
          </w:tcPr>
          <w:p>
            <w:pPr>
              <w:spacing w:after="0"/>
              <w:rPr>
                <w:sz w:val="15"/>
                <w:szCs w:val="15"/>
                <w:color w:val="auto"/>
              </w:rPr>
            </w:pPr>
          </w:p>
        </w:tc>
        <w:tc>
          <w:tcPr>
            <w:tcW w:w="140" w:type="dxa"/>
            <w:vAlign w:val="bottom"/>
            <w:tcBorders>
              <w:top w:val="single" w:sz="8" w:color="CFF0FC"/>
            </w:tcBorders>
            <w:shd w:val="clear" w:color="auto" w:fill="CFF0FC"/>
          </w:tcPr>
          <w:p>
            <w:pPr>
              <w:spacing w:after="0"/>
              <w:rPr>
                <w:sz w:val="15"/>
                <w:szCs w:val="15"/>
                <w:color w:val="auto"/>
              </w:rPr>
            </w:pPr>
          </w:p>
        </w:tc>
        <w:tc>
          <w:tcPr>
            <w:tcW w:w="220" w:type="dxa"/>
            <w:vAlign w:val="bottom"/>
            <w:tcBorders>
              <w:top w:val="single" w:sz="8" w:color="auto"/>
            </w:tcBorders>
            <w:shd w:val="clear" w:color="auto" w:fill="CFF0FC"/>
          </w:tcPr>
          <w:p>
            <w:pPr>
              <w:spacing w:after="0"/>
              <w:rPr>
                <w:sz w:val="15"/>
                <w:szCs w:val="15"/>
                <w:color w:val="auto"/>
              </w:rPr>
            </w:pPr>
          </w:p>
        </w:tc>
        <w:tc>
          <w:tcPr>
            <w:tcW w:w="1280" w:type="dxa"/>
            <w:vAlign w:val="bottom"/>
            <w:tcBorders>
              <w:top w:val="single" w:sz="8" w:color="auto"/>
            </w:tcBorders>
            <w:shd w:val="clear" w:color="auto" w:fill="CFF0FC"/>
          </w:tcPr>
          <w:p>
            <w:pPr>
              <w:spacing w:after="0"/>
              <w:rPr>
                <w:sz w:val="15"/>
                <w:szCs w:val="15"/>
                <w:color w:val="auto"/>
              </w:rPr>
            </w:pPr>
          </w:p>
        </w:tc>
      </w:tr>
      <w:tr>
        <w:trPr>
          <w:trHeight w:val="188"/>
        </w:trPr>
        <w:tc>
          <w:tcPr>
            <w:tcW w:w="5020" w:type="dxa"/>
            <w:vAlign w:val="bottom"/>
          </w:tcPr>
          <w:p>
            <w:pPr>
              <w:ind w:left="200"/>
              <w:spacing w:after="0"/>
              <w:rPr>
                <w:sz w:val="20"/>
                <w:szCs w:val="20"/>
                <w:color w:val="auto"/>
              </w:rPr>
            </w:pPr>
            <w:r>
              <w:rPr>
                <w:rFonts w:ascii="Arial" w:cs="Arial" w:eastAsia="Arial" w:hAnsi="Arial"/>
                <w:sz w:val="16"/>
                <w:szCs w:val="16"/>
                <w:color w:val="auto"/>
              </w:rPr>
              <w:t>Interest rate swaps</w:t>
            </w:r>
          </w:p>
        </w:tc>
        <w:tc>
          <w:tcPr>
            <w:tcW w:w="2940" w:type="dxa"/>
            <w:vAlign w:val="bottom"/>
          </w:tcPr>
          <w:p>
            <w:pPr>
              <w:spacing w:after="0"/>
              <w:rPr>
                <w:sz w:val="20"/>
                <w:szCs w:val="20"/>
                <w:color w:val="auto"/>
              </w:rPr>
            </w:pPr>
            <w:r>
              <w:rPr>
                <w:rFonts w:ascii="Arial" w:cs="Arial" w:eastAsia="Arial" w:hAnsi="Arial"/>
                <w:sz w:val="16"/>
                <w:szCs w:val="16"/>
                <w:color w:val="auto"/>
              </w:rPr>
              <w:t>Other current liabilities</w:t>
            </w:r>
          </w:p>
        </w:tc>
        <w:tc>
          <w:tcPr>
            <w:tcW w:w="1240" w:type="dxa"/>
            <w:vAlign w:val="bottom"/>
            <w:gridSpan w:val="2"/>
          </w:tcPr>
          <w:p>
            <w:pPr>
              <w:jc w:val="right"/>
              <w:ind w:right="932"/>
              <w:spacing w:after="0"/>
              <w:rPr>
                <w:sz w:val="20"/>
                <w:szCs w:val="20"/>
                <w:color w:val="auto"/>
              </w:rPr>
            </w:pPr>
            <w:r>
              <w:rPr>
                <w:rFonts w:ascii="Arial" w:cs="Arial" w:eastAsia="Arial" w:hAnsi="Arial"/>
                <w:sz w:val="16"/>
                <w:szCs w:val="16"/>
                <w:b w:val="1"/>
                <w:bCs w:val="1"/>
                <w:color w:val="auto"/>
              </w:rPr>
              <w:t>$</w:t>
            </w:r>
          </w:p>
        </w:tc>
        <w:tc>
          <w:tcPr>
            <w:tcW w:w="420" w:type="dxa"/>
            <w:vAlign w:val="bottom"/>
          </w:tcPr>
          <w:p>
            <w:pPr>
              <w:ind w:left="120"/>
              <w:spacing w:after="0"/>
              <w:rPr>
                <w:sz w:val="20"/>
                <w:szCs w:val="20"/>
                <w:color w:val="auto"/>
              </w:rPr>
            </w:pPr>
            <w:r>
              <w:rPr>
                <w:rFonts w:ascii="Arial" w:cs="Arial" w:eastAsia="Arial" w:hAnsi="Arial"/>
                <w:sz w:val="16"/>
                <w:szCs w:val="16"/>
                <w:b w:val="1"/>
                <w:bCs w:val="1"/>
                <w:color w:val="auto"/>
              </w:rPr>
              <w:t>12</w:t>
            </w:r>
          </w:p>
        </w:tc>
        <w:tc>
          <w:tcPr>
            <w:tcW w:w="140" w:type="dxa"/>
            <w:vAlign w:val="bottom"/>
          </w:tcPr>
          <w:p>
            <w:pPr>
              <w:spacing w:after="0"/>
              <w:rPr>
                <w:sz w:val="16"/>
                <w:szCs w:val="16"/>
                <w:color w:val="auto"/>
              </w:rPr>
            </w:pPr>
          </w:p>
        </w:tc>
        <w:tc>
          <w:tcPr>
            <w:tcW w:w="220" w:type="dxa"/>
            <w:vAlign w:val="bottom"/>
          </w:tcPr>
          <w:p>
            <w:pPr>
              <w:jc w:val="right"/>
              <w:ind w:right="42"/>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ind w:right="48"/>
              <w:spacing w:after="0"/>
              <w:rPr>
                <w:sz w:val="20"/>
                <w:szCs w:val="20"/>
                <w:color w:val="auto"/>
              </w:rPr>
            </w:pPr>
            <w:r>
              <w:rPr>
                <w:rFonts w:ascii="Arial" w:cs="Arial" w:eastAsia="Arial" w:hAnsi="Arial"/>
                <w:sz w:val="16"/>
                <w:szCs w:val="16"/>
                <w:color w:val="auto"/>
              </w:rPr>
              <w:t>7</w:t>
            </w:r>
          </w:p>
        </w:tc>
      </w:tr>
      <w:tr>
        <w:trPr>
          <w:trHeight w:val="188"/>
        </w:trPr>
        <w:tc>
          <w:tcPr>
            <w:tcW w:w="5020" w:type="dxa"/>
            <w:vAlign w:val="bottom"/>
            <w:shd w:val="clear" w:color="auto" w:fill="CFF0FC"/>
          </w:tcPr>
          <w:p>
            <w:pPr>
              <w:spacing w:after="0"/>
              <w:rPr>
                <w:sz w:val="16"/>
                <w:szCs w:val="16"/>
                <w:color w:val="auto"/>
              </w:rPr>
            </w:pPr>
          </w:p>
        </w:tc>
        <w:tc>
          <w:tcPr>
            <w:tcW w:w="2940" w:type="dxa"/>
            <w:vAlign w:val="bottom"/>
            <w:shd w:val="clear" w:color="auto" w:fill="CFF0FC"/>
          </w:tcPr>
          <w:p>
            <w:pPr>
              <w:spacing w:after="0"/>
              <w:rPr>
                <w:sz w:val="20"/>
                <w:szCs w:val="20"/>
                <w:color w:val="auto"/>
              </w:rPr>
            </w:pPr>
            <w:r>
              <w:rPr>
                <w:rFonts w:ascii="Arial" w:cs="Arial" w:eastAsia="Arial" w:hAnsi="Arial"/>
                <w:sz w:val="16"/>
                <w:szCs w:val="16"/>
                <w:color w:val="auto"/>
              </w:rPr>
              <w:t>Other non-current liabilities</w:t>
            </w:r>
          </w:p>
        </w:tc>
        <w:tc>
          <w:tcPr>
            <w:tcW w:w="160" w:type="dxa"/>
            <w:vAlign w:val="bottom"/>
            <w:shd w:val="clear" w:color="auto" w:fill="CFF0FC"/>
          </w:tcPr>
          <w:p>
            <w:pPr>
              <w:spacing w:after="0"/>
              <w:rPr>
                <w:sz w:val="16"/>
                <w:szCs w:val="16"/>
                <w:color w:val="auto"/>
              </w:rPr>
            </w:pPr>
          </w:p>
        </w:tc>
        <w:tc>
          <w:tcPr>
            <w:tcW w:w="1080" w:type="dxa"/>
            <w:vAlign w:val="bottom"/>
            <w:tcBorders>
              <w:bottom w:val="single" w:sz="8" w:color="auto"/>
            </w:tcBorders>
            <w:shd w:val="clear" w:color="auto" w:fill="CFF0FC"/>
          </w:tcPr>
          <w:p>
            <w:pPr>
              <w:spacing w:after="0"/>
              <w:rPr>
                <w:sz w:val="16"/>
                <w:szCs w:val="16"/>
                <w:color w:val="auto"/>
              </w:rPr>
            </w:pPr>
          </w:p>
        </w:tc>
        <w:tc>
          <w:tcPr>
            <w:tcW w:w="420" w:type="dxa"/>
            <w:vAlign w:val="bottom"/>
            <w:tcBorders>
              <w:bottom w:val="single" w:sz="8" w:color="auto"/>
            </w:tcBorders>
            <w:shd w:val="clear" w:color="auto" w:fill="CFF0FC"/>
          </w:tcPr>
          <w:p>
            <w:pPr>
              <w:ind w:left="120"/>
              <w:spacing w:after="0"/>
              <w:rPr>
                <w:sz w:val="20"/>
                <w:szCs w:val="20"/>
                <w:color w:val="auto"/>
              </w:rPr>
            </w:pPr>
            <w:r>
              <w:rPr>
                <w:rFonts w:ascii="Arial" w:cs="Arial" w:eastAsia="Arial" w:hAnsi="Arial"/>
                <w:sz w:val="16"/>
                <w:szCs w:val="16"/>
                <w:b w:val="1"/>
                <w:bCs w:val="1"/>
                <w:color w:val="auto"/>
              </w:rPr>
              <w:t>51</w:t>
            </w:r>
          </w:p>
        </w:tc>
        <w:tc>
          <w:tcPr>
            <w:tcW w:w="140" w:type="dxa"/>
            <w:vAlign w:val="bottom"/>
            <w:shd w:val="clear" w:color="auto" w:fill="CFF0FC"/>
          </w:tcPr>
          <w:p>
            <w:pPr>
              <w:spacing w:after="0"/>
              <w:rPr>
                <w:sz w:val="16"/>
                <w:szCs w:val="16"/>
                <w:color w:val="auto"/>
              </w:rPr>
            </w:pPr>
          </w:p>
        </w:tc>
        <w:tc>
          <w:tcPr>
            <w:tcW w:w="220" w:type="dxa"/>
            <w:vAlign w:val="bottom"/>
            <w:tcBorders>
              <w:bottom w:val="single" w:sz="8" w:color="auto"/>
            </w:tcBorders>
            <w:shd w:val="clear" w:color="auto" w:fill="CFF0FC"/>
          </w:tcPr>
          <w:p>
            <w:pPr>
              <w:spacing w:after="0"/>
              <w:rPr>
                <w:sz w:val="16"/>
                <w:szCs w:val="16"/>
                <w:color w:val="auto"/>
              </w:rPr>
            </w:pPr>
          </w:p>
        </w:tc>
        <w:tc>
          <w:tcPr>
            <w:tcW w:w="128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6"/>
                <w:szCs w:val="16"/>
                <w:color w:val="auto"/>
              </w:rPr>
              <w:t>27</w:t>
            </w:r>
          </w:p>
        </w:tc>
      </w:tr>
      <w:tr>
        <w:trPr>
          <w:trHeight w:val="180"/>
        </w:trPr>
        <w:tc>
          <w:tcPr>
            <w:tcW w:w="5020" w:type="dxa"/>
            <w:vAlign w:val="bottom"/>
          </w:tcPr>
          <w:p>
            <w:pPr>
              <w:spacing w:after="0" w:line="180" w:lineRule="exact"/>
              <w:rPr>
                <w:sz w:val="20"/>
                <w:szCs w:val="20"/>
                <w:color w:val="auto"/>
              </w:rPr>
            </w:pPr>
            <w:r>
              <w:rPr>
                <w:rFonts w:ascii="Arial" w:cs="Arial" w:eastAsia="Arial" w:hAnsi="Arial"/>
                <w:sz w:val="16"/>
                <w:szCs w:val="16"/>
                <w:color w:val="auto"/>
              </w:rPr>
              <w:t>Total derivatives designated as hedging instruments</w:t>
            </w:r>
          </w:p>
        </w:tc>
        <w:tc>
          <w:tcPr>
            <w:tcW w:w="29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Borders>
              <w:bottom w:val="single" w:sz="8" w:color="auto"/>
            </w:tcBorders>
          </w:tcPr>
          <w:p>
            <w:pPr>
              <w:jc w:val="right"/>
              <w:ind w:right="932"/>
              <w:spacing w:after="0"/>
              <w:rPr>
                <w:sz w:val="20"/>
                <w:szCs w:val="20"/>
                <w:color w:val="auto"/>
              </w:rPr>
            </w:pPr>
            <w:r>
              <w:rPr>
                <w:rFonts w:ascii="Arial" w:cs="Arial" w:eastAsia="Arial" w:hAnsi="Arial"/>
                <w:sz w:val="15"/>
                <w:szCs w:val="15"/>
                <w:b w:val="1"/>
                <w:bCs w:val="1"/>
                <w:color w:val="auto"/>
                <w:w w:val="71"/>
              </w:rPr>
              <w:t>$</w:t>
            </w:r>
          </w:p>
        </w:tc>
        <w:tc>
          <w:tcPr>
            <w:tcW w:w="420" w:type="dxa"/>
            <w:vAlign w:val="bottom"/>
            <w:tcBorders>
              <w:bottom w:val="single" w:sz="8" w:color="auto"/>
            </w:tcBorders>
          </w:tcPr>
          <w:p>
            <w:pPr>
              <w:ind w:left="120"/>
              <w:spacing w:after="0" w:line="180" w:lineRule="exact"/>
              <w:rPr>
                <w:sz w:val="20"/>
                <w:szCs w:val="20"/>
                <w:color w:val="auto"/>
              </w:rPr>
            </w:pPr>
            <w:r>
              <w:rPr>
                <w:rFonts w:ascii="Arial" w:cs="Arial" w:eastAsia="Arial" w:hAnsi="Arial"/>
                <w:sz w:val="16"/>
                <w:szCs w:val="16"/>
                <w:b w:val="1"/>
                <w:bCs w:val="1"/>
                <w:color w:val="auto"/>
              </w:rPr>
              <w:t>63</w:t>
            </w:r>
          </w:p>
        </w:tc>
        <w:tc>
          <w:tcPr>
            <w:tcW w:w="140" w:type="dxa"/>
            <w:vAlign w:val="bottom"/>
          </w:tcPr>
          <w:p>
            <w:pPr>
              <w:spacing w:after="0"/>
              <w:rPr>
                <w:sz w:val="15"/>
                <w:szCs w:val="15"/>
                <w:color w:val="auto"/>
              </w:rPr>
            </w:pPr>
          </w:p>
        </w:tc>
        <w:tc>
          <w:tcPr>
            <w:tcW w:w="220" w:type="dxa"/>
            <w:vAlign w:val="bottom"/>
            <w:tcBorders>
              <w:bottom w:val="single" w:sz="8" w:color="auto"/>
            </w:tcBorders>
          </w:tcPr>
          <w:p>
            <w:pPr>
              <w:jc w:val="right"/>
              <w:ind w:right="42"/>
              <w:spacing w:after="0" w:line="180" w:lineRule="exact"/>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ind w:right="48"/>
              <w:spacing w:after="0" w:line="180" w:lineRule="exact"/>
              <w:rPr>
                <w:sz w:val="20"/>
                <w:szCs w:val="20"/>
                <w:color w:val="auto"/>
              </w:rPr>
            </w:pPr>
            <w:r>
              <w:rPr>
                <w:rFonts w:ascii="Arial" w:cs="Arial" w:eastAsia="Arial" w:hAnsi="Arial"/>
                <w:sz w:val="16"/>
                <w:szCs w:val="16"/>
                <w:color w:val="auto"/>
              </w:rPr>
              <w:t>34</w:t>
            </w:r>
          </w:p>
        </w:tc>
      </w:tr>
      <w:tr>
        <w:trPr>
          <w:trHeight w:val="20"/>
        </w:trPr>
        <w:tc>
          <w:tcPr>
            <w:tcW w:w="50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right="200" w:firstLine="528"/>
        <w:spacing w:after="0" w:line="234" w:lineRule="auto"/>
        <w:rPr>
          <w:sz w:val="20"/>
          <w:szCs w:val="20"/>
          <w:color w:val="auto"/>
        </w:rPr>
      </w:pPr>
      <w:r>
        <w:rPr>
          <w:rFonts w:ascii="Arial" w:cs="Arial" w:eastAsia="Arial" w:hAnsi="Arial"/>
          <w:sz w:val="16"/>
          <w:szCs w:val="16"/>
          <w:color w:val="auto"/>
        </w:rPr>
        <w:t>The balance of derivative losses recorded in AOCL as of March 31, 2020 was $63 million. See NOTE O “Accumulated Other Comprehensive Loss” for information regarding activity recorded as a component of AOCL during the three months ended March 31, 2020 and 2019. As of March 31, 2020, the Company had $9 million of derivative losses recorded in AOCL expected to be reclassified to earnings within the next twelve months.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55245</wp:posOffset>
            </wp:positionV>
            <wp:extent cx="7150100" cy="146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0"/>
          </w:cols>
          <w:pgMar w:left="320" w:top="140" w:right="319" w:bottom="1440" w:gutter="0" w:footer="0" w:header="0"/>
        </w:sectPr>
      </w:pPr>
    </w:p>
    <w:bookmarkStart w:id="16" w:name="page17"/>
    <w:bookmarkEnd w:id="1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I. PRODUCT WARRANTY LIABILITIES</w:t>
      </w:r>
    </w:p>
    <w:p>
      <w:pPr>
        <w:spacing w:after="0" w:line="106" w:lineRule="exact"/>
        <w:rPr>
          <w:sz w:val="20"/>
          <w:szCs w:val="20"/>
          <w:color w:val="auto"/>
        </w:rPr>
      </w:pPr>
    </w:p>
    <w:p>
      <w:pPr>
        <w:ind w:right="60" w:firstLine="528"/>
        <w:spacing w:after="0" w:line="237" w:lineRule="auto"/>
        <w:rPr>
          <w:sz w:val="20"/>
          <w:szCs w:val="20"/>
          <w:color w:val="auto"/>
        </w:rPr>
      </w:pPr>
      <w:r>
        <w:rPr>
          <w:rFonts w:ascii="Arial" w:cs="Arial" w:eastAsia="Arial" w:hAnsi="Arial"/>
          <w:sz w:val="16"/>
          <w:szCs w:val="16"/>
          <w:color w:val="auto"/>
        </w:rPr>
        <w:t>As of March 31, 2020, current and non-current product warranty liabilities were $25 million and $26 million, respectively. As of March 31, 2019, current and non-current product warranty liabilities were $27 million and $37 million, respectively.</w:t>
      </w:r>
    </w:p>
    <w:p>
      <w:pPr>
        <w:spacing w:after="0" w:line="83" w:lineRule="exact"/>
        <w:rPr>
          <w:sz w:val="20"/>
          <w:szCs w:val="20"/>
          <w:color w:val="auto"/>
        </w:rPr>
      </w:pPr>
    </w:p>
    <w:p>
      <w:pPr>
        <w:ind w:left="520"/>
        <w:spacing w:after="0"/>
        <w:rPr>
          <w:sz w:val="20"/>
          <w:szCs w:val="20"/>
          <w:color w:val="auto"/>
        </w:rPr>
      </w:pPr>
      <w:r>
        <w:rPr>
          <w:rFonts w:ascii="Arial" w:cs="Arial" w:eastAsia="Arial" w:hAnsi="Arial"/>
          <w:sz w:val="16"/>
          <w:szCs w:val="16"/>
          <w:color w:val="auto"/>
        </w:rPr>
        <w:t>Product warranty liability activities consist of the following (dollars in millions):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62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400" w:type="dxa"/>
            <w:vAlign w:val="bottom"/>
            <w:gridSpan w:val="3"/>
          </w:tcPr>
          <w:p>
            <w:pPr>
              <w:jc w:val="right"/>
              <w:ind w:right="2"/>
              <w:spacing w:after="0"/>
              <w:rPr>
                <w:sz w:val="20"/>
                <w:szCs w:val="20"/>
                <w:color w:val="auto"/>
              </w:rPr>
            </w:pPr>
            <w:r>
              <w:rPr>
                <w:rFonts w:ascii="Arial" w:cs="Arial" w:eastAsia="Arial" w:hAnsi="Arial"/>
                <w:sz w:val="13"/>
                <w:szCs w:val="13"/>
                <w:b w:val="1"/>
                <w:bCs w:val="1"/>
                <w:color w:val="auto"/>
              </w:rPr>
              <w:t>Three Months Ended</w:t>
            </w: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5620" w:type="dxa"/>
            <w:vAlign w:val="bottom"/>
          </w:tcPr>
          <w:p>
            <w:pPr>
              <w:spacing w:after="0"/>
              <w:rPr>
                <w:sz w:val="14"/>
                <w:szCs w:val="14"/>
                <w:color w:val="auto"/>
              </w:rPr>
            </w:pPr>
          </w:p>
        </w:tc>
        <w:tc>
          <w:tcPr>
            <w:tcW w:w="3120" w:type="dxa"/>
            <w:vAlign w:val="bottom"/>
            <w:gridSpan w:val="2"/>
            <w:vMerge w:val="restart"/>
          </w:tcPr>
          <w:p>
            <w:pPr>
              <w:jc w:val="right"/>
              <w:ind w:right="7"/>
              <w:spacing w:after="0"/>
              <w:rPr>
                <w:sz w:val="20"/>
                <w:szCs w:val="20"/>
                <w:color w:val="auto"/>
              </w:rPr>
            </w:pPr>
            <w:r>
              <w:rPr>
                <w:rFonts w:ascii="Arial" w:cs="Arial" w:eastAsia="Arial" w:hAnsi="Arial"/>
                <w:sz w:val="13"/>
                <w:szCs w:val="13"/>
                <w:b w:val="1"/>
                <w:bCs w:val="1"/>
                <w:color w:val="auto"/>
              </w:rPr>
              <w:t>2020</w:t>
            </w:r>
          </w:p>
        </w:tc>
        <w:tc>
          <w:tcPr>
            <w:tcW w:w="1400" w:type="dxa"/>
            <w:vAlign w:val="bottom"/>
            <w:gridSpan w:val="3"/>
          </w:tcPr>
          <w:p>
            <w:pPr>
              <w:jc w:val="right"/>
              <w:ind w:right="322"/>
              <w:spacing w:after="0"/>
              <w:rPr>
                <w:sz w:val="20"/>
                <w:szCs w:val="20"/>
                <w:color w:val="auto"/>
              </w:rPr>
            </w:pPr>
            <w:r>
              <w:rPr>
                <w:rFonts w:ascii="Arial" w:cs="Arial" w:eastAsia="Arial" w:hAnsi="Arial"/>
                <w:sz w:val="13"/>
                <w:szCs w:val="13"/>
                <w:b w:val="1"/>
                <w:bCs w:val="1"/>
                <w:color w:val="auto"/>
              </w:rPr>
              <w:t>March 31,</w:t>
            </w:r>
          </w:p>
        </w:tc>
        <w:tc>
          <w:tcPr>
            <w:tcW w:w="1120" w:type="dxa"/>
            <w:vAlign w:val="bottom"/>
            <w:vMerge w:val="restart"/>
          </w:tcPr>
          <w:p>
            <w:pPr>
              <w:jc w:val="right"/>
              <w:ind w:right="684"/>
              <w:spacing w:after="0"/>
              <w:rPr>
                <w:sz w:val="20"/>
                <w:szCs w:val="20"/>
                <w:color w:val="auto"/>
              </w:rPr>
            </w:pPr>
            <w:r>
              <w:rPr>
                <w:rFonts w:ascii="Arial" w:cs="Arial" w:eastAsia="Arial" w:hAnsi="Arial"/>
                <w:sz w:val="13"/>
                <w:szCs w:val="13"/>
                <w:b w:val="1"/>
                <w:bCs w:val="1"/>
                <w:color w:val="auto"/>
              </w:rPr>
              <w:t>2019</w:t>
            </w:r>
          </w:p>
        </w:tc>
        <w:tc>
          <w:tcPr>
            <w:tcW w:w="0" w:type="dxa"/>
            <w:vAlign w:val="bottom"/>
          </w:tcPr>
          <w:p>
            <w:pPr>
              <w:spacing w:after="0"/>
              <w:rPr>
                <w:sz w:val="1"/>
                <w:szCs w:val="1"/>
                <w:color w:val="auto"/>
              </w:rPr>
            </w:pPr>
          </w:p>
        </w:tc>
      </w:tr>
      <w:tr>
        <w:trPr>
          <w:trHeight w:val="140"/>
        </w:trPr>
        <w:tc>
          <w:tcPr>
            <w:tcW w:w="5620" w:type="dxa"/>
            <w:vAlign w:val="bottom"/>
          </w:tcPr>
          <w:p>
            <w:pPr>
              <w:spacing w:after="0"/>
              <w:rPr>
                <w:sz w:val="12"/>
                <w:szCs w:val="12"/>
                <w:color w:val="auto"/>
              </w:rPr>
            </w:pPr>
          </w:p>
        </w:tc>
        <w:tc>
          <w:tcPr>
            <w:tcW w:w="3120" w:type="dxa"/>
            <w:vAlign w:val="bottom"/>
            <w:gridSpan w:val="2"/>
            <w:vMerge w:val="continue"/>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5620" w:type="dxa"/>
            <w:vAlign w:val="bottom"/>
            <w:tcBorders>
              <w:top w:val="single" w:sz="8" w:color="CFF0FC"/>
            </w:tcBorders>
            <w:shd w:val="clear" w:color="auto" w:fill="CFF0FC"/>
          </w:tcPr>
          <w:p>
            <w:pPr>
              <w:spacing w:after="0" w:line="180" w:lineRule="exact"/>
              <w:rPr>
                <w:sz w:val="20"/>
                <w:szCs w:val="20"/>
                <w:color w:val="auto"/>
              </w:rPr>
            </w:pPr>
            <w:r>
              <w:rPr>
                <w:rFonts w:ascii="Arial" w:cs="Arial" w:eastAsia="Arial" w:hAnsi="Arial"/>
                <w:sz w:val="16"/>
                <w:szCs w:val="16"/>
                <w:color w:val="auto"/>
              </w:rPr>
              <w:t>Beginning balance</w:t>
            </w:r>
          </w:p>
        </w:tc>
        <w:tc>
          <w:tcPr>
            <w:tcW w:w="2140" w:type="dxa"/>
            <w:vAlign w:val="bottom"/>
            <w:tcBorders>
              <w:top w:val="single" w:sz="8" w:color="CFF0FC"/>
            </w:tcBorders>
            <w:shd w:val="clear" w:color="auto" w:fill="CFF0FC"/>
          </w:tcPr>
          <w:p>
            <w:pPr>
              <w:spacing w:after="0"/>
              <w:rPr>
                <w:sz w:val="15"/>
                <w:szCs w:val="15"/>
                <w:color w:val="auto"/>
              </w:rPr>
            </w:pPr>
          </w:p>
        </w:tc>
        <w:tc>
          <w:tcPr>
            <w:tcW w:w="980" w:type="dxa"/>
            <w:vAlign w:val="bottom"/>
            <w:tcBorders>
              <w:top w:val="single" w:sz="8" w:color="auto"/>
            </w:tcBorders>
            <w:shd w:val="clear" w:color="auto" w:fill="CFF0FC"/>
          </w:tcPr>
          <w:p>
            <w:pPr>
              <w:jc w:val="right"/>
              <w:ind w:right="827"/>
              <w:spacing w:after="0"/>
              <w:rPr>
                <w:sz w:val="20"/>
                <w:szCs w:val="20"/>
                <w:color w:val="auto"/>
              </w:rPr>
            </w:pPr>
            <w:r>
              <w:rPr>
                <w:rFonts w:ascii="Arial" w:cs="Arial" w:eastAsia="Arial" w:hAnsi="Arial"/>
                <w:sz w:val="15"/>
                <w:szCs w:val="15"/>
                <w:b w:val="1"/>
                <w:bCs w:val="1"/>
                <w:color w:val="auto"/>
                <w:w w:val="71"/>
              </w:rPr>
              <w:t>$</w:t>
            </w:r>
          </w:p>
        </w:tc>
        <w:tc>
          <w:tcPr>
            <w:tcW w:w="680" w:type="dxa"/>
            <w:vAlign w:val="bottom"/>
            <w:tcBorders>
              <w:top w:val="single" w:sz="8" w:color="auto"/>
            </w:tcBorders>
            <w:shd w:val="clear" w:color="auto" w:fill="CFF0FC"/>
          </w:tcPr>
          <w:p>
            <w:pPr>
              <w:jc w:val="right"/>
              <w:ind w:right="46"/>
              <w:spacing w:after="0" w:line="180" w:lineRule="exact"/>
              <w:rPr>
                <w:sz w:val="20"/>
                <w:szCs w:val="20"/>
                <w:color w:val="auto"/>
              </w:rPr>
            </w:pPr>
            <w:r>
              <w:rPr>
                <w:rFonts w:ascii="Arial" w:cs="Arial" w:eastAsia="Arial" w:hAnsi="Arial"/>
                <w:sz w:val="16"/>
                <w:szCs w:val="16"/>
                <w:b w:val="1"/>
                <w:bCs w:val="1"/>
                <w:color w:val="auto"/>
              </w:rPr>
              <w:t>52</w:t>
            </w:r>
          </w:p>
        </w:tc>
        <w:tc>
          <w:tcPr>
            <w:tcW w:w="160" w:type="dxa"/>
            <w:vAlign w:val="bottom"/>
            <w:tcBorders>
              <w:top w:val="single" w:sz="8" w:color="CFF0FC"/>
            </w:tcBorders>
            <w:shd w:val="clear" w:color="auto" w:fill="CFF0FC"/>
          </w:tcPr>
          <w:p>
            <w:pPr>
              <w:spacing w:after="0"/>
              <w:rPr>
                <w:sz w:val="15"/>
                <w:szCs w:val="15"/>
                <w:color w:val="auto"/>
              </w:rPr>
            </w:pPr>
          </w:p>
        </w:tc>
        <w:tc>
          <w:tcPr>
            <w:tcW w:w="560" w:type="dxa"/>
            <w:vAlign w:val="bottom"/>
            <w:tcBorders>
              <w:top w:val="single" w:sz="8" w:color="auto"/>
            </w:tcBorders>
            <w:shd w:val="clear" w:color="auto" w:fill="CFF0FC"/>
          </w:tcPr>
          <w:p>
            <w:pPr>
              <w:jc w:val="right"/>
              <w:ind w:right="382"/>
              <w:spacing w:after="0" w:line="180" w:lineRule="exact"/>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shd w:val="clear" w:color="auto" w:fill="CFF0FC"/>
          </w:tcPr>
          <w:p>
            <w:pPr>
              <w:jc w:val="right"/>
              <w:ind w:right="44"/>
              <w:spacing w:after="0" w:line="180" w:lineRule="exact"/>
              <w:rPr>
                <w:sz w:val="20"/>
                <w:szCs w:val="20"/>
                <w:color w:val="auto"/>
              </w:rPr>
            </w:pPr>
            <w:r>
              <w:rPr>
                <w:rFonts w:ascii="Arial" w:cs="Arial" w:eastAsia="Arial" w:hAnsi="Arial"/>
                <w:sz w:val="16"/>
                <w:szCs w:val="16"/>
                <w:color w:val="auto"/>
              </w:rPr>
              <w:t>66</w:t>
            </w:r>
          </w:p>
        </w:tc>
        <w:tc>
          <w:tcPr>
            <w:tcW w:w="0" w:type="dxa"/>
            <w:vAlign w:val="bottom"/>
          </w:tcPr>
          <w:p>
            <w:pPr>
              <w:spacing w:after="0"/>
              <w:rPr>
                <w:sz w:val="1"/>
                <w:szCs w:val="1"/>
                <w:color w:val="auto"/>
              </w:rPr>
            </w:pPr>
          </w:p>
        </w:tc>
      </w:tr>
      <w:tr>
        <w:trPr>
          <w:trHeight w:val="188"/>
        </w:trPr>
        <w:tc>
          <w:tcPr>
            <w:tcW w:w="5620" w:type="dxa"/>
            <w:vAlign w:val="bottom"/>
          </w:tcPr>
          <w:p>
            <w:pPr>
              <w:spacing w:after="0"/>
              <w:rPr>
                <w:sz w:val="20"/>
                <w:szCs w:val="20"/>
                <w:color w:val="auto"/>
              </w:rPr>
            </w:pPr>
            <w:r>
              <w:rPr>
                <w:rFonts w:ascii="Arial" w:cs="Arial" w:eastAsia="Arial" w:hAnsi="Arial"/>
                <w:sz w:val="16"/>
                <w:szCs w:val="16"/>
                <w:color w:val="auto"/>
              </w:rPr>
              <w:t>Payments</w:t>
            </w:r>
          </w:p>
        </w:tc>
        <w:tc>
          <w:tcPr>
            <w:tcW w:w="2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6"/>
                <w:szCs w:val="16"/>
                <w:b w:val="1"/>
                <w:bCs w:val="1"/>
                <w:color w:val="auto"/>
              </w:rPr>
              <w:t>(7)</w:t>
            </w: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188"/>
        </w:trPr>
        <w:tc>
          <w:tcPr>
            <w:tcW w:w="5620" w:type="dxa"/>
            <w:vAlign w:val="bottom"/>
            <w:shd w:val="clear" w:color="auto" w:fill="CFF0FC"/>
          </w:tcPr>
          <w:p>
            <w:pPr>
              <w:spacing w:after="0"/>
              <w:rPr>
                <w:sz w:val="20"/>
                <w:szCs w:val="20"/>
                <w:color w:val="auto"/>
              </w:rPr>
            </w:pPr>
            <w:r>
              <w:rPr>
                <w:rFonts w:ascii="Arial" w:cs="Arial" w:eastAsia="Arial" w:hAnsi="Arial"/>
                <w:sz w:val="16"/>
                <w:szCs w:val="16"/>
                <w:color w:val="auto"/>
              </w:rPr>
              <w:t>Increase in liability (warranty issued during period)</w:t>
            </w:r>
          </w:p>
        </w:tc>
        <w:tc>
          <w:tcPr>
            <w:tcW w:w="214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c>
          <w:tcPr>
            <w:tcW w:w="680" w:type="dxa"/>
            <w:vAlign w:val="bottom"/>
            <w:shd w:val="clear" w:color="auto" w:fill="CFF0FC"/>
          </w:tcPr>
          <w:p>
            <w:pPr>
              <w:jc w:val="right"/>
              <w:ind w:right="46"/>
              <w:spacing w:after="0"/>
              <w:rPr>
                <w:sz w:val="20"/>
                <w:szCs w:val="20"/>
                <w:color w:val="auto"/>
              </w:rPr>
            </w:pPr>
            <w:r>
              <w:rPr>
                <w:rFonts w:ascii="Arial" w:cs="Arial" w:eastAsia="Arial" w:hAnsi="Arial"/>
                <w:sz w:val="16"/>
                <w:szCs w:val="16"/>
                <w:b w:val="1"/>
                <w:bCs w:val="1"/>
                <w:color w:val="auto"/>
              </w:rPr>
              <w:t>5</w:t>
            </w:r>
          </w:p>
        </w:tc>
        <w:tc>
          <w:tcPr>
            <w:tcW w:w="16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1120" w:type="dxa"/>
            <w:vAlign w:val="bottom"/>
            <w:shd w:val="clear" w:color="auto" w:fill="CFF0FC"/>
          </w:tcPr>
          <w:p>
            <w:pPr>
              <w:jc w:val="right"/>
              <w:ind w:right="44"/>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188"/>
        </w:trPr>
        <w:tc>
          <w:tcPr>
            <w:tcW w:w="562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Net adjustments to liability</w:t>
            </w:r>
          </w:p>
        </w:tc>
        <w:tc>
          <w:tcPr>
            <w:tcW w:w="2140" w:type="dxa"/>
            <w:vAlign w:val="bottom"/>
            <w:tcBorders>
              <w:bottom w:val="single" w:sz="8" w:color="CFF0FC"/>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46"/>
              <w:spacing w:after="0"/>
              <w:rPr>
                <w:sz w:val="20"/>
                <w:szCs w:val="20"/>
                <w:color w:val="auto"/>
              </w:rPr>
            </w:pPr>
            <w:r>
              <w:rPr>
                <w:rFonts w:ascii="Arial" w:cs="Arial" w:eastAsia="Arial" w:hAnsi="Arial"/>
                <w:sz w:val="16"/>
                <w:szCs w:val="16"/>
                <w:b w:val="1"/>
                <w:bCs w:val="1"/>
                <w:color w:val="auto"/>
              </w:rPr>
              <w:t>1</w:t>
            </w:r>
          </w:p>
        </w:tc>
        <w:tc>
          <w:tcPr>
            <w:tcW w:w="160" w:type="dxa"/>
            <w:vAlign w:val="bottom"/>
            <w:tcBorders>
              <w:bottom w:val="single" w:sz="8" w:color="CFF0FC"/>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180"/>
        </w:trPr>
        <w:tc>
          <w:tcPr>
            <w:tcW w:w="5620" w:type="dxa"/>
            <w:vAlign w:val="bottom"/>
            <w:tcBorders>
              <w:bottom w:val="single" w:sz="8" w:color="CFF0FC"/>
            </w:tcBorders>
            <w:shd w:val="clear" w:color="auto" w:fill="CFF0FC"/>
          </w:tcPr>
          <w:p>
            <w:pPr>
              <w:spacing w:after="0" w:line="180" w:lineRule="exact"/>
              <w:rPr>
                <w:sz w:val="20"/>
                <w:szCs w:val="20"/>
                <w:color w:val="auto"/>
              </w:rPr>
            </w:pPr>
            <w:r>
              <w:rPr>
                <w:rFonts w:ascii="Arial" w:cs="Arial" w:eastAsia="Arial" w:hAnsi="Arial"/>
                <w:sz w:val="16"/>
                <w:szCs w:val="16"/>
                <w:color w:val="auto"/>
              </w:rPr>
              <w:t>Ending balance</w:t>
            </w:r>
          </w:p>
        </w:tc>
        <w:tc>
          <w:tcPr>
            <w:tcW w:w="2140" w:type="dxa"/>
            <w:vAlign w:val="bottom"/>
            <w:tcBorders>
              <w:bottom w:val="single" w:sz="8" w:color="CFF0FC"/>
            </w:tcBorders>
            <w:shd w:val="clear" w:color="auto" w:fill="CFF0FC"/>
          </w:tcPr>
          <w:p>
            <w:pPr>
              <w:spacing w:after="0"/>
              <w:rPr>
                <w:sz w:val="15"/>
                <w:szCs w:val="15"/>
                <w:color w:val="auto"/>
              </w:rPr>
            </w:pPr>
          </w:p>
        </w:tc>
        <w:tc>
          <w:tcPr>
            <w:tcW w:w="980" w:type="dxa"/>
            <w:vAlign w:val="bottom"/>
            <w:tcBorders>
              <w:bottom w:val="single" w:sz="8" w:color="auto"/>
            </w:tcBorders>
            <w:shd w:val="clear" w:color="auto" w:fill="CFF0FC"/>
          </w:tcPr>
          <w:p>
            <w:pPr>
              <w:jc w:val="right"/>
              <w:ind w:right="827"/>
              <w:spacing w:after="0"/>
              <w:rPr>
                <w:sz w:val="20"/>
                <w:szCs w:val="20"/>
                <w:color w:val="auto"/>
              </w:rPr>
            </w:pPr>
            <w:r>
              <w:rPr>
                <w:rFonts w:ascii="Arial" w:cs="Arial" w:eastAsia="Arial" w:hAnsi="Arial"/>
                <w:sz w:val="15"/>
                <w:szCs w:val="15"/>
                <w:b w:val="1"/>
                <w:bCs w:val="1"/>
                <w:color w:val="auto"/>
                <w:w w:val="71"/>
              </w:rPr>
              <w:t>$</w:t>
            </w:r>
          </w:p>
        </w:tc>
        <w:tc>
          <w:tcPr>
            <w:tcW w:w="680" w:type="dxa"/>
            <w:vAlign w:val="bottom"/>
            <w:tcBorders>
              <w:bottom w:val="single" w:sz="8" w:color="auto"/>
            </w:tcBorders>
            <w:shd w:val="clear" w:color="auto" w:fill="CFF0FC"/>
          </w:tcPr>
          <w:p>
            <w:pPr>
              <w:jc w:val="right"/>
              <w:ind w:right="46"/>
              <w:spacing w:after="0" w:line="180" w:lineRule="exact"/>
              <w:rPr>
                <w:sz w:val="20"/>
                <w:szCs w:val="20"/>
                <w:color w:val="auto"/>
              </w:rPr>
            </w:pPr>
            <w:r>
              <w:rPr>
                <w:rFonts w:ascii="Arial" w:cs="Arial" w:eastAsia="Arial" w:hAnsi="Arial"/>
                <w:sz w:val="16"/>
                <w:szCs w:val="16"/>
                <w:b w:val="1"/>
                <w:bCs w:val="1"/>
                <w:color w:val="auto"/>
              </w:rPr>
              <w:t>51</w:t>
            </w:r>
          </w:p>
        </w:tc>
        <w:tc>
          <w:tcPr>
            <w:tcW w:w="160" w:type="dxa"/>
            <w:vAlign w:val="bottom"/>
            <w:tcBorders>
              <w:bottom w:val="single" w:sz="8" w:color="CFF0FC"/>
            </w:tcBorders>
            <w:shd w:val="clear" w:color="auto" w:fill="CFF0FC"/>
          </w:tcPr>
          <w:p>
            <w:pPr>
              <w:spacing w:after="0"/>
              <w:rPr>
                <w:sz w:val="15"/>
                <w:szCs w:val="15"/>
                <w:color w:val="auto"/>
              </w:rPr>
            </w:pPr>
          </w:p>
        </w:tc>
        <w:tc>
          <w:tcPr>
            <w:tcW w:w="560" w:type="dxa"/>
            <w:vAlign w:val="bottom"/>
            <w:tcBorders>
              <w:bottom w:val="single" w:sz="8" w:color="auto"/>
            </w:tcBorders>
            <w:shd w:val="clear" w:color="auto" w:fill="CFF0FC"/>
          </w:tcPr>
          <w:p>
            <w:pPr>
              <w:jc w:val="right"/>
              <w:ind w:right="382"/>
              <w:spacing w:after="0" w:line="180" w:lineRule="exact"/>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FF0FC"/>
          </w:tcPr>
          <w:p>
            <w:pPr>
              <w:jc w:val="right"/>
              <w:ind w:right="44"/>
              <w:spacing w:after="0" w:line="180" w:lineRule="exact"/>
              <w:rPr>
                <w:sz w:val="20"/>
                <w:szCs w:val="20"/>
                <w:color w:val="auto"/>
              </w:rPr>
            </w:pPr>
            <w:r>
              <w:rPr>
                <w:rFonts w:ascii="Arial" w:cs="Arial" w:eastAsia="Arial" w:hAnsi="Arial"/>
                <w:sz w:val="16"/>
                <w:szCs w:val="16"/>
                <w:color w:val="auto"/>
              </w:rPr>
              <w:t>64</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J. DEFERRED REVENUE</w:t>
      </w:r>
    </w:p>
    <w:p>
      <w:pPr>
        <w:spacing w:after="0" w:line="106" w:lineRule="exact"/>
        <w:rPr>
          <w:sz w:val="20"/>
          <w:szCs w:val="20"/>
          <w:color w:val="auto"/>
        </w:rPr>
      </w:pPr>
    </w:p>
    <w:p>
      <w:pPr>
        <w:ind w:right="280" w:firstLine="528"/>
        <w:spacing w:after="0" w:line="237" w:lineRule="auto"/>
        <w:rPr>
          <w:sz w:val="20"/>
          <w:szCs w:val="20"/>
          <w:color w:val="auto"/>
        </w:rPr>
      </w:pPr>
      <w:r>
        <w:rPr>
          <w:rFonts w:ascii="Arial" w:cs="Arial" w:eastAsia="Arial" w:hAnsi="Arial"/>
          <w:sz w:val="16"/>
          <w:szCs w:val="16"/>
          <w:color w:val="auto"/>
        </w:rPr>
        <w:t>As of March 31, 2020, current and non-current deferred revenue was $34 million and $106 million, respectively. As of March 31, 2019, current and non-current deferred revenue was $34 million and $97 million, respectively.</w:t>
      </w:r>
    </w:p>
    <w:p>
      <w:pPr>
        <w:spacing w:after="0" w:line="83" w:lineRule="exact"/>
        <w:rPr>
          <w:sz w:val="20"/>
          <w:szCs w:val="20"/>
          <w:color w:val="auto"/>
        </w:rPr>
      </w:pPr>
    </w:p>
    <w:p>
      <w:pPr>
        <w:ind w:left="520"/>
        <w:spacing w:after="0"/>
        <w:rPr>
          <w:sz w:val="20"/>
          <w:szCs w:val="20"/>
          <w:color w:val="auto"/>
        </w:rPr>
      </w:pPr>
      <w:r>
        <w:rPr>
          <w:rFonts w:ascii="Arial" w:cs="Arial" w:eastAsia="Arial" w:hAnsi="Arial"/>
          <w:sz w:val="16"/>
          <w:szCs w:val="16"/>
          <w:color w:val="auto"/>
        </w:rPr>
        <w:t>Deferred revenue activity consists of the following (dollars in millions):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7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400" w:type="dxa"/>
            <w:vAlign w:val="bottom"/>
            <w:gridSpan w:val="3"/>
          </w:tcPr>
          <w:p>
            <w:pPr>
              <w:jc w:val="right"/>
              <w:ind w:right="7"/>
              <w:spacing w:after="0"/>
              <w:rPr>
                <w:sz w:val="20"/>
                <w:szCs w:val="20"/>
                <w:color w:val="auto"/>
              </w:rPr>
            </w:pPr>
            <w:r>
              <w:rPr>
                <w:rFonts w:ascii="Arial" w:cs="Arial" w:eastAsia="Arial" w:hAnsi="Arial"/>
                <w:sz w:val="13"/>
                <w:szCs w:val="13"/>
                <w:b w:val="1"/>
                <w:bCs w:val="1"/>
                <w:color w:val="auto"/>
              </w:rPr>
              <w:t>Three Months Ended</w:t>
            </w: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7740" w:type="dxa"/>
            <w:vAlign w:val="bottom"/>
          </w:tcPr>
          <w:p>
            <w:pPr>
              <w:spacing w:after="0"/>
              <w:rPr>
                <w:sz w:val="14"/>
                <w:szCs w:val="14"/>
                <w:color w:val="auto"/>
              </w:rPr>
            </w:pPr>
          </w:p>
        </w:tc>
        <w:tc>
          <w:tcPr>
            <w:tcW w:w="1000" w:type="dxa"/>
            <w:vAlign w:val="bottom"/>
            <w:vMerge w:val="restart"/>
          </w:tcPr>
          <w:p>
            <w:pPr>
              <w:jc w:val="right"/>
              <w:ind w:right="7"/>
              <w:spacing w:after="0"/>
              <w:rPr>
                <w:sz w:val="20"/>
                <w:szCs w:val="20"/>
                <w:color w:val="auto"/>
              </w:rPr>
            </w:pPr>
            <w:r>
              <w:rPr>
                <w:rFonts w:ascii="Arial" w:cs="Arial" w:eastAsia="Arial" w:hAnsi="Arial"/>
                <w:sz w:val="13"/>
                <w:szCs w:val="13"/>
                <w:b w:val="1"/>
                <w:bCs w:val="1"/>
                <w:color w:val="auto"/>
              </w:rPr>
              <w:t>2020</w:t>
            </w:r>
          </w:p>
        </w:tc>
        <w:tc>
          <w:tcPr>
            <w:tcW w:w="1400" w:type="dxa"/>
            <w:vAlign w:val="bottom"/>
            <w:gridSpan w:val="3"/>
          </w:tcPr>
          <w:p>
            <w:pPr>
              <w:jc w:val="right"/>
              <w:ind w:right="347"/>
              <w:spacing w:after="0"/>
              <w:rPr>
                <w:sz w:val="20"/>
                <w:szCs w:val="20"/>
                <w:color w:val="auto"/>
              </w:rPr>
            </w:pPr>
            <w:r>
              <w:rPr>
                <w:rFonts w:ascii="Arial" w:cs="Arial" w:eastAsia="Arial" w:hAnsi="Arial"/>
                <w:sz w:val="13"/>
                <w:szCs w:val="13"/>
                <w:b w:val="1"/>
                <w:bCs w:val="1"/>
                <w:color w:val="auto"/>
              </w:rPr>
              <w:t>March 31,</w:t>
            </w:r>
          </w:p>
        </w:tc>
        <w:tc>
          <w:tcPr>
            <w:tcW w:w="1120" w:type="dxa"/>
            <w:vAlign w:val="bottom"/>
            <w:vMerge w:val="restart"/>
          </w:tcPr>
          <w:p>
            <w:pPr>
              <w:jc w:val="right"/>
              <w:ind w:right="705"/>
              <w:spacing w:after="0"/>
              <w:rPr>
                <w:sz w:val="20"/>
                <w:szCs w:val="20"/>
                <w:color w:val="auto"/>
              </w:rPr>
            </w:pPr>
            <w:r>
              <w:rPr>
                <w:rFonts w:ascii="Arial" w:cs="Arial" w:eastAsia="Arial" w:hAnsi="Arial"/>
                <w:sz w:val="13"/>
                <w:szCs w:val="13"/>
                <w:b w:val="1"/>
                <w:bCs w:val="1"/>
                <w:color w:val="auto"/>
              </w:rPr>
              <w:t>2019</w:t>
            </w:r>
          </w:p>
        </w:tc>
        <w:tc>
          <w:tcPr>
            <w:tcW w:w="0" w:type="dxa"/>
            <w:vAlign w:val="bottom"/>
          </w:tcPr>
          <w:p>
            <w:pPr>
              <w:spacing w:after="0"/>
              <w:rPr>
                <w:sz w:val="1"/>
                <w:szCs w:val="1"/>
                <w:color w:val="auto"/>
              </w:rPr>
            </w:pPr>
          </w:p>
        </w:tc>
      </w:tr>
      <w:tr>
        <w:trPr>
          <w:trHeight w:val="140"/>
        </w:trPr>
        <w:tc>
          <w:tcPr>
            <w:tcW w:w="7740" w:type="dxa"/>
            <w:vAlign w:val="bottom"/>
            <w:tcBorders>
              <w:bottom w:val="single" w:sz="8" w:color="CFF0FC"/>
            </w:tcBorders>
          </w:tcPr>
          <w:p>
            <w:pPr>
              <w:spacing w:after="0"/>
              <w:rPr>
                <w:sz w:val="12"/>
                <w:szCs w:val="12"/>
                <w:color w:val="auto"/>
              </w:rPr>
            </w:pPr>
          </w:p>
        </w:tc>
        <w:tc>
          <w:tcPr>
            <w:tcW w:w="1000" w:type="dxa"/>
            <w:vAlign w:val="bottom"/>
            <w:tcBorders>
              <w:bottom w:val="single" w:sz="8" w:color="auto"/>
            </w:tcBorders>
            <w:vMerge w:val="continue"/>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80" w:type="dxa"/>
            <w:vAlign w:val="bottom"/>
            <w:tcBorders>
              <w:bottom w:val="single" w:sz="8" w:color="CFF0FC"/>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7740" w:type="dxa"/>
            <w:vAlign w:val="bottom"/>
            <w:shd w:val="clear" w:color="auto" w:fill="CFF0FC"/>
          </w:tcPr>
          <w:p>
            <w:pPr>
              <w:spacing w:after="0" w:line="180" w:lineRule="exact"/>
              <w:rPr>
                <w:sz w:val="20"/>
                <w:szCs w:val="20"/>
                <w:color w:val="auto"/>
              </w:rPr>
            </w:pPr>
            <w:r>
              <w:rPr>
                <w:rFonts w:ascii="Arial" w:cs="Arial" w:eastAsia="Arial" w:hAnsi="Arial"/>
                <w:sz w:val="16"/>
                <w:szCs w:val="16"/>
                <w:color w:val="auto"/>
              </w:rPr>
              <w:t>Beginning balance</w:t>
            </w:r>
          </w:p>
        </w:tc>
        <w:tc>
          <w:tcPr>
            <w:tcW w:w="1000" w:type="dxa"/>
            <w:vAlign w:val="bottom"/>
            <w:shd w:val="clear" w:color="auto" w:fill="CFF0FC"/>
          </w:tcPr>
          <w:p>
            <w:pPr>
              <w:jc w:val="right"/>
              <w:ind w:right="827"/>
              <w:spacing w:after="0" w:line="180" w:lineRule="exact"/>
              <w:rPr>
                <w:sz w:val="20"/>
                <w:szCs w:val="20"/>
                <w:color w:val="auto"/>
              </w:rPr>
            </w:pPr>
            <w:r>
              <w:rPr>
                <w:rFonts w:ascii="Arial" w:cs="Arial" w:eastAsia="Arial" w:hAnsi="Arial"/>
                <w:sz w:val="16"/>
                <w:szCs w:val="16"/>
                <w:b w:val="1"/>
                <w:bCs w:val="1"/>
                <w:color w:val="auto"/>
                <w:w w:val="89"/>
              </w:rPr>
              <w:t>$</w:t>
            </w:r>
          </w:p>
        </w:tc>
        <w:tc>
          <w:tcPr>
            <w:tcW w:w="660" w:type="dxa"/>
            <w:vAlign w:val="bottom"/>
            <w:shd w:val="clear" w:color="auto" w:fill="CFF0FC"/>
          </w:tcPr>
          <w:p>
            <w:pPr>
              <w:jc w:val="right"/>
              <w:ind w:right="47"/>
              <w:spacing w:after="0" w:line="180" w:lineRule="exact"/>
              <w:rPr>
                <w:sz w:val="20"/>
                <w:szCs w:val="20"/>
                <w:color w:val="auto"/>
              </w:rPr>
            </w:pPr>
            <w:r>
              <w:rPr>
                <w:rFonts w:ascii="Arial" w:cs="Arial" w:eastAsia="Arial" w:hAnsi="Arial"/>
                <w:sz w:val="16"/>
                <w:szCs w:val="16"/>
                <w:b w:val="1"/>
                <w:bCs w:val="1"/>
                <w:color w:val="auto"/>
              </w:rPr>
              <w:t>139</w:t>
            </w:r>
          </w:p>
        </w:tc>
        <w:tc>
          <w:tcPr>
            <w:tcW w:w="180" w:type="dxa"/>
            <w:vAlign w:val="bottom"/>
            <w:shd w:val="clear" w:color="auto" w:fill="CFF0FC"/>
          </w:tcPr>
          <w:p>
            <w:pPr>
              <w:spacing w:after="0"/>
              <w:rPr>
                <w:sz w:val="15"/>
                <w:szCs w:val="15"/>
                <w:color w:val="auto"/>
              </w:rPr>
            </w:pPr>
          </w:p>
        </w:tc>
        <w:tc>
          <w:tcPr>
            <w:tcW w:w="560" w:type="dxa"/>
            <w:vAlign w:val="bottom"/>
            <w:shd w:val="clear" w:color="auto" w:fill="CFF0FC"/>
          </w:tcPr>
          <w:p>
            <w:pPr>
              <w:jc w:val="right"/>
              <w:ind w:right="407"/>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FF0FC"/>
          </w:tcPr>
          <w:p>
            <w:pPr>
              <w:jc w:val="right"/>
              <w:ind w:right="65"/>
              <w:spacing w:after="0" w:line="180" w:lineRule="exact"/>
              <w:rPr>
                <w:sz w:val="20"/>
                <w:szCs w:val="20"/>
                <w:color w:val="auto"/>
              </w:rPr>
            </w:pPr>
            <w:r>
              <w:rPr>
                <w:rFonts w:ascii="Arial" w:cs="Arial" w:eastAsia="Arial" w:hAnsi="Arial"/>
                <w:sz w:val="16"/>
                <w:szCs w:val="16"/>
                <w:color w:val="auto"/>
              </w:rPr>
              <w:t>122</w:t>
            </w:r>
          </w:p>
        </w:tc>
        <w:tc>
          <w:tcPr>
            <w:tcW w:w="0" w:type="dxa"/>
            <w:vAlign w:val="bottom"/>
          </w:tcPr>
          <w:p>
            <w:pPr>
              <w:spacing w:after="0"/>
              <w:rPr>
                <w:sz w:val="1"/>
                <w:szCs w:val="1"/>
                <w:color w:val="auto"/>
              </w:rPr>
            </w:pPr>
          </w:p>
        </w:tc>
      </w:tr>
      <w:tr>
        <w:trPr>
          <w:trHeight w:val="188"/>
        </w:trPr>
        <w:tc>
          <w:tcPr>
            <w:tcW w:w="7740" w:type="dxa"/>
            <w:vAlign w:val="bottom"/>
          </w:tcPr>
          <w:p>
            <w:pPr>
              <w:spacing w:after="0"/>
              <w:rPr>
                <w:sz w:val="20"/>
                <w:szCs w:val="20"/>
                <w:color w:val="auto"/>
              </w:rPr>
            </w:pPr>
            <w:r>
              <w:rPr>
                <w:rFonts w:ascii="Arial" w:cs="Arial" w:eastAsia="Arial" w:hAnsi="Arial"/>
                <w:sz w:val="16"/>
                <w:szCs w:val="16"/>
                <w:color w:val="auto"/>
              </w:rPr>
              <w:t>Increases</w:t>
            </w:r>
          </w:p>
        </w:tc>
        <w:tc>
          <w:tcPr>
            <w:tcW w:w="1000" w:type="dxa"/>
            <w:vAlign w:val="bottom"/>
          </w:tcPr>
          <w:p>
            <w:pPr>
              <w:spacing w:after="0"/>
              <w:rPr>
                <w:sz w:val="16"/>
                <w:szCs w:val="16"/>
                <w:color w:val="auto"/>
              </w:rPr>
            </w:pPr>
          </w:p>
        </w:tc>
        <w:tc>
          <w:tcPr>
            <w:tcW w:w="660" w:type="dxa"/>
            <w:vAlign w:val="bottom"/>
          </w:tcPr>
          <w:p>
            <w:pPr>
              <w:jc w:val="right"/>
              <w:ind w:right="47"/>
              <w:spacing w:after="0"/>
              <w:rPr>
                <w:sz w:val="20"/>
                <w:szCs w:val="20"/>
                <w:color w:val="auto"/>
              </w:rPr>
            </w:pPr>
            <w:r>
              <w:rPr>
                <w:rFonts w:ascii="Arial" w:cs="Arial" w:eastAsia="Arial" w:hAnsi="Arial"/>
                <w:sz w:val="16"/>
                <w:szCs w:val="16"/>
                <w:b w:val="1"/>
                <w:bCs w:val="1"/>
                <w:color w:val="auto"/>
              </w:rPr>
              <w:t>11</w:t>
            </w:r>
          </w:p>
        </w:tc>
        <w:tc>
          <w:tcPr>
            <w:tcW w:w="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120" w:type="dxa"/>
            <w:vAlign w:val="bottom"/>
          </w:tcPr>
          <w:p>
            <w:pPr>
              <w:jc w:val="right"/>
              <w:ind w:right="65"/>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188"/>
        </w:trPr>
        <w:tc>
          <w:tcPr>
            <w:tcW w:w="7740" w:type="dxa"/>
            <w:vAlign w:val="bottom"/>
            <w:shd w:val="clear" w:color="auto" w:fill="CFF0FC"/>
          </w:tcPr>
          <w:p>
            <w:pPr>
              <w:spacing w:after="0"/>
              <w:rPr>
                <w:sz w:val="20"/>
                <w:szCs w:val="20"/>
                <w:color w:val="auto"/>
              </w:rPr>
            </w:pPr>
            <w:r>
              <w:rPr>
                <w:rFonts w:ascii="Arial" w:cs="Arial" w:eastAsia="Arial" w:hAnsi="Arial"/>
                <w:sz w:val="16"/>
                <w:szCs w:val="16"/>
                <w:color w:val="auto"/>
              </w:rPr>
              <w:t>Revenue earned</w:t>
            </w:r>
          </w:p>
        </w:tc>
        <w:tc>
          <w:tcPr>
            <w:tcW w:w="1000" w:type="dxa"/>
            <w:vAlign w:val="bottom"/>
            <w:tcBorders>
              <w:bottom w:val="single" w:sz="8" w:color="auto"/>
            </w:tcBorders>
            <w:shd w:val="clear" w:color="auto" w:fill="CFF0FC"/>
          </w:tcPr>
          <w:p>
            <w:pPr>
              <w:spacing w:after="0"/>
              <w:rPr>
                <w:sz w:val="16"/>
                <w:szCs w:val="16"/>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(10)</w:t>
            </w:r>
          </w:p>
        </w:tc>
        <w:tc>
          <w:tcPr>
            <w:tcW w:w="180" w:type="dxa"/>
            <w:vAlign w:val="bottom"/>
            <w:shd w:val="clear" w:color="auto" w:fill="CFF0FC"/>
          </w:tcPr>
          <w:p>
            <w:pPr>
              <w:spacing w:after="0"/>
              <w:rPr>
                <w:sz w:val="16"/>
                <w:szCs w:val="16"/>
                <w:color w:val="auto"/>
              </w:rPr>
            </w:pPr>
          </w:p>
        </w:tc>
        <w:tc>
          <w:tcPr>
            <w:tcW w:w="560" w:type="dxa"/>
            <w:vAlign w:val="bottom"/>
            <w:tcBorders>
              <w:bottom w:val="single" w:sz="8" w:color="auto"/>
            </w:tcBorders>
            <w:shd w:val="clear" w:color="auto" w:fill="CFF0FC"/>
          </w:tcPr>
          <w:p>
            <w:pPr>
              <w:spacing w:after="0"/>
              <w:rPr>
                <w:sz w:val="16"/>
                <w:szCs w:val="16"/>
                <w:color w:val="auto"/>
              </w:rPr>
            </w:pPr>
          </w:p>
        </w:tc>
        <w:tc>
          <w:tcPr>
            <w:tcW w:w="1120" w:type="dxa"/>
            <w:vAlign w:val="bottom"/>
            <w:tcBorders>
              <w:bottom w:val="single" w:sz="8" w:color="auto"/>
            </w:tcBorders>
            <w:shd w:val="clear" w:color="auto" w:fill="CFF0FC"/>
          </w:tcPr>
          <w:p>
            <w:pPr>
              <w:jc w:val="right"/>
              <w:ind w:right="5"/>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180"/>
        </w:trPr>
        <w:tc>
          <w:tcPr>
            <w:tcW w:w="7740" w:type="dxa"/>
            <w:vAlign w:val="bottom"/>
          </w:tcPr>
          <w:p>
            <w:pPr>
              <w:spacing w:after="0" w:line="180" w:lineRule="exact"/>
              <w:rPr>
                <w:sz w:val="20"/>
                <w:szCs w:val="20"/>
                <w:color w:val="auto"/>
              </w:rPr>
            </w:pPr>
            <w:r>
              <w:rPr>
                <w:rFonts w:ascii="Arial" w:cs="Arial" w:eastAsia="Arial" w:hAnsi="Arial"/>
                <w:sz w:val="16"/>
                <w:szCs w:val="16"/>
                <w:color w:val="auto"/>
              </w:rPr>
              <w:t>Ending balance</w:t>
            </w:r>
          </w:p>
        </w:tc>
        <w:tc>
          <w:tcPr>
            <w:tcW w:w="1000" w:type="dxa"/>
            <w:vAlign w:val="bottom"/>
            <w:tcBorders>
              <w:bottom w:val="single" w:sz="8" w:color="auto"/>
            </w:tcBorders>
          </w:tcPr>
          <w:p>
            <w:pPr>
              <w:jc w:val="right"/>
              <w:ind w:right="827"/>
              <w:spacing w:after="0" w:line="180" w:lineRule="exact"/>
              <w:rPr>
                <w:sz w:val="20"/>
                <w:szCs w:val="20"/>
                <w:color w:val="auto"/>
              </w:rPr>
            </w:pPr>
            <w:r>
              <w:rPr>
                <w:rFonts w:ascii="Arial" w:cs="Arial" w:eastAsia="Arial" w:hAnsi="Arial"/>
                <w:sz w:val="16"/>
                <w:szCs w:val="16"/>
                <w:b w:val="1"/>
                <w:bCs w:val="1"/>
                <w:color w:val="auto"/>
                <w:w w:val="89"/>
              </w:rPr>
              <w:t>$</w:t>
            </w:r>
          </w:p>
        </w:tc>
        <w:tc>
          <w:tcPr>
            <w:tcW w:w="660" w:type="dxa"/>
            <w:vAlign w:val="bottom"/>
            <w:tcBorders>
              <w:bottom w:val="single" w:sz="8" w:color="auto"/>
            </w:tcBorders>
          </w:tcPr>
          <w:p>
            <w:pPr>
              <w:jc w:val="right"/>
              <w:ind w:right="47"/>
              <w:spacing w:after="0" w:line="180" w:lineRule="exact"/>
              <w:rPr>
                <w:sz w:val="20"/>
                <w:szCs w:val="20"/>
                <w:color w:val="auto"/>
              </w:rPr>
            </w:pPr>
            <w:r>
              <w:rPr>
                <w:rFonts w:ascii="Arial" w:cs="Arial" w:eastAsia="Arial" w:hAnsi="Arial"/>
                <w:sz w:val="16"/>
                <w:szCs w:val="16"/>
                <w:b w:val="1"/>
                <w:bCs w:val="1"/>
                <w:color w:val="auto"/>
              </w:rPr>
              <w:t>140</w:t>
            </w:r>
          </w:p>
        </w:tc>
        <w:tc>
          <w:tcPr>
            <w:tcW w:w="180" w:type="dxa"/>
            <w:vAlign w:val="bottom"/>
          </w:tcPr>
          <w:p>
            <w:pPr>
              <w:spacing w:after="0"/>
              <w:rPr>
                <w:sz w:val="15"/>
                <w:szCs w:val="15"/>
                <w:color w:val="auto"/>
              </w:rPr>
            </w:pPr>
          </w:p>
        </w:tc>
        <w:tc>
          <w:tcPr>
            <w:tcW w:w="560" w:type="dxa"/>
            <w:vAlign w:val="bottom"/>
            <w:tcBorders>
              <w:bottom w:val="single" w:sz="8" w:color="auto"/>
            </w:tcBorders>
          </w:tcPr>
          <w:p>
            <w:pPr>
              <w:jc w:val="right"/>
              <w:ind w:right="407"/>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tcPr>
          <w:p>
            <w:pPr>
              <w:jc w:val="right"/>
              <w:ind w:right="65"/>
              <w:spacing w:after="0" w:line="180" w:lineRule="exact"/>
              <w:rPr>
                <w:sz w:val="20"/>
                <w:szCs w:val="20"/>
                <w:color w:val="auto"/>
              </w:rPr>
            </w:pPr>
            <w:r>
              <w:rPr>
                <w:rFonts w:ascii="Arial" w:cs="Arial" w:eastAsia="Arial" w:hAnsi="Arial"/>
                <w:sz w:val="16"/>
                <w:szCs w:val="16"/>
                <w:color w:val="auto"/>
              </w:rPr>
              <w:t>131</w:t>
            </w:r>
          </w:p>
        </w:tc>
        <w:tc>
          <w:tcPr>
            <w:tcW w:w="0" w:type="dxa"/>
            <w:vAlign w:val="bottom"/>
          </w:tcPr>
          <w:p>
            <w:pPr>
              <w:spacing w:after="0"/>
              <w:rPr>
                <w:sz w:val="1"/>
                <w:szCs w:val="1"/>
                <w:color w:val="auto"/>
              </w:rPr>
            </w:pPr>
          </w:p>
        </w:tc>
      </w:tr>
      <w:tr>
        <w:trPr>
          <w:trHeight w:val="20"/>
        </w:trPr>
        <w:tc>
          <w:tcPr>
            <w:tcW w:w="77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both"/>
        <w:ind w:firstLine="528"/>
        <w:spacing w:after="0" w:line="237" w:lineRule="auto"/>
        <w:rPr>
          <w:sz w:val="20"/>
          <w:szCs w:val="20"/>
          <w:color w:val="auto"/>
        </w:rPr>
      </w:pPr>
      <w:r>
        <w:rPr>
          <w:rFonts w:ascii="Arial" w:cs="Arial" w:eastAsia="Arial" w:hAnsi="Arial"/>
          <w:sz w:val="16"/>
          <w:szCs w:val="16"/>
          <w:color w:val="auto"/>
        </w:rPr>
        <w:t>Deferred revenue recorded in current and non-current liabilities related to ETC as of March 31, 2020 was $27 million and $87 million, respectively. Deferred revenue recorded in current and non-current liabilities related to ETC as of March 31, 2019 was $29 million and $74 million, respectively.</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55245</wp:posOffset>
            </wp:positionV>
            <wp:extent cx="7150100" cy="146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0"/>
          </w:cols>
          <w:pgMar w:left="320" w:top="140" w:right="319" w:bottom="1440" w:gutter="0" w:footer="0" w:header="0"/>
        </w:sectPr>
      </w:pPr>
    </w:p>
    <w:bookmarkStart w:id="17" w:name="page18"/>
    <w:bookmarkEnd w:id="1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K. LEASES</w:t>
      </w:r>
    </w:p>
    <w:p>
      <w:pPr>
        <w:spacing w:after="0" w:line="106" w:lineRule="exact"/>
        <w:rPr>
          <w:sz w:val="20"/>
          <w:szCs w:val="20"/>
          <w:color w:val="auto"/>
        </w:rPr>
      </w:pPr>
    </w:p>
    <w:p>
      <w:pPr>
        <w:ind w:right="20" w:firstLine="528"/>
        <w:spacing w:after="0" w:line="232" w:lineRule="auto"/>
        <w:rPr>
          <w:sz w:val="20"/>
          <w:szCs w:val="20"/>
          <w:color w:val="auto"/>
        </w:rPr>
      </w:pPr>
      <w:r>
        <w:rPr>
          <w:rFonts w:ascii="Arial" w:cs="Arial" w:eastAsia="Arial" w:hAnsi="Arial"/>
          <w:sz w:val="16"/>
          <w:szCs w:val="16"/>
          <w:color w:val="auto"/>
        </w:rPr>
        <w:t>Contracts are assessed by the Company to determine if the contract conveys the right to control an identified asset in exchange for consideration during a period of time. The Company classifies all identified leases as operating or finance leases. As of March 31, 2020, the Company was not a party to any finance leases. Contracts that contain leases are assessed to determine if the consideration in the contract is related to a lease component, non-lease component or other components not related to the lease. Lease components are recorded as right-of-use (“ROU”) assets and lease liabilities while any non-lease component is expensed as incurred. The consideration in the contract related to other components not related to the lease is allocated among the lease component and the non-lease component, as applicable, based on the stand-alone selling price of the lease and non-lease components.</w:t>
      </w:r>
    </w:p>
    <w:p>
      <w:pPr>
        <w:spacing w:after="0" w:line="84" w:lineRule="exact"/>
        <w:rPr>
          <w:sz w:val="20"/>
          <w:szCs w:val="20"/>
          <w:color w:val="auto"/>
        </w:rPr>
      </w:pPr>
    </w:p>
    <w:p>
      <w:pPr>
        <w:jc w:val="both"/>
        <w:ind w:right="40" w:firstLine="528"/>
        <w:spacing w:after="0" w:line="234" w:lineRule="auto"/>
        <w:rPr>
          <w:sz w:val="20"/>
          <w:szCs w:val="20"/>
          <w:color w:val="auto"/>
        </w:rPr>
      </w:pPr>
      <w:r>
        <w:rPr>
          <w:rFonts w:ascii="Arial" w:cs="Arial" w:eastAsia="Arial" w:hAnsi="Arial"/>
          <w:sz w:val="16"/>
          <w:szCs w:val="16"/>
          <w:color w:val="auto"/>
        </w:rPr>
        <w:t>Certain lease contracts may contain an option to extend or terminate the lease. The Company considers the economic impact of extension and termination options by contract. If the Company concludes it is reasonably certain an option will be exercised, that option is included in the lease term and impacts the amount recorded as an ROU asset and lease liability upon inception of the contract.</w:t>
      </w:r>
    </w:p>
    <w:p>
      <w:pPr>
        <w:spacing w:after="0" w:line="84" w:lineRule="exact"/>
        <w:rPr>
          <w:sz w:val="20"/>
          <w:szCs w:val="20"/>
          <w:color w:val="auto"/>
        </w:rPr>
      </w:pPr>
    </w:p>
    <w:p>
      <w:pPr>
        <w:ind w:right="40" w:firstLine="528"/>
        <w:spacing w:after="0" w:line="232" w:lineRule="auto"/>
        <w:rPr>
          <w:sz w:val="20"/>
          <w:szCs w:val="20"/>
          <w:color w:val="auto"/>
        </w:rPr>
      </w:pPr>
      <w:r>
        <w:rPr>
          <w:rFonts w:ascii="Arial" w:cs="Arial" w:eastAsia="Arial" w:hAnsi="Arial"/>
          <w:sz w:val="16"/>
          <w:szCs w:val="16"/>
          <w:color w:val="auto"/>
        </w:rPr>
        <w:t>The Company's lease liability is determined by discounting the future cash flows over the lease period. The Company determines its discount rates utilizing current secured financing rates based on the length of the lease period plus the Company's margin over LIBOR on the New Term Loan. The Company believes this rate effectively represents a borrowing rate the Company could obtain on a debt instrument possessing similar terms as the lease. The lease liability is classified between current and non-current liabilities based on the terms of the underlying leases. The weighted average discount rate on operating leases as of both March 31, 2020 and December 31, 2019 was 4.36%.</w:t>
      </w:r>
    </w:p>
    <w:p>
      <w:pPr>
        <w:spacing w:after="0" w:line="85" w:lineRule="exact"/>
        <w:rPr>
          <w:sz w:val="20"/>
          <w:szCs w:val="20"/>
          <w:color w:val="auto"/>
        </w:rPr>
      </w:pPr>
    </w:p>
    <w:p>
      <w:pPr>
        <w:ind w:right="60" w:firstLine="522"/>
        <w:spacing w:after="0" w:line="234" w:lineRule="auto"/>
        <w:rPr>
          <w:sz w:val="20"/>
          <w:szCs w:val="20"/>
          <w:color w:val="auto"/>
        </w:rPr>
      </w:pPr>
      <w:r>
        <w:rPr>
          <w:rFonts w:ascii="Arial" w:cs="Arial" w:eastAsia="Arial" w:hAnsi="Arial"/>
          <w:sz w:val="16"/>
          <w:szCs w:val="16"/>
          <w:color w:val="auto"/>
        </w:rPr>
        <w:t>As of March 31, 2020, the Company recorded current and non-current operating lease liabilities of $5 million and $17 million, respectively. As of December 31, 2019, the Company recorded current and non-current operating lease liabilities of $5 million and $18 million, respectively. The following table reconciles total operating lease liabilities as of March 31, 2020 to future undiscounted cash flows for operating leases: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92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20" w:type="dxa"/>
            <w:vAlign w:val="bottom"/>
          </w:tcPr>
          <w:p>
            <w:pPr>
              <w:jc w:val="right"/>
              <w:ind w:right="685"/>
              <w:spacing w:after="0"/>
              <w:rPr>
                <w:sz w:val="20"/>
                <w:szCs w:val="20"/>
                <w:color w:val="auto"/>
              </w:rPr>
            </w:pPr>
            <w:r>
              <w:rPr>
                <w:rFonts w:ascii="Arial" w:cs="Arial" w:eastAsia="Arial" w:hAnsi="Arial"/>
                <w:sz w:val="13"/>
                <w:szCs w:val="13"/>
                <w:b w:val="1"/>
                <w:bCs w:val="1"/>
                <w:color w:val="auto"/>
              </w:rPr>
              <w:t>March 31,</w:t>
            </w:r>
          </w:p>
        </w:tc>
      </w:tr>
      <w:tr>
        <w:trPr>
          <w:trHeight w:val="153"/>
        </w:trPr>
        <w:tc>
          <w:tcPr>
            <w:tcW w:w="9260" w:type="dxa"/>
            <w:vAlign w:val="bottom"/>
            <w:tcBorders>
              <w:bottom w:val="single" w:sz="8" w:color="CFF0FC"/>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620" w:type="dxa"/>
            <w:vAlign w:val="bottom"/>
            <w:tcBorders>
              <w:bottom w:val="single" w:sz="8" w:color="auto"/>
            </w:tcBorders>
          </w:tcPr>
          <w:p>
            <w:pPr>
              <w:jc w:val="right"/>
              <w:ind w:right="845"/>
              <w:spacing w:after="0"/>
              <w:rPr>
                <w:sz w:val="20"/>
                <w:szCs w:val="20"/>
                <w:color w:val="auto"/>
              </w:rPr>
            </w:pPr>
            <w:r>
              <w:rPr>
                <w:rFonts w:ascii="Arial" w:cs="Arial" w:eastAsia="Arial" w:hAnsi="Arial"/>
                <w:sz w:val="13"/>
                <w:szCs w:val="13"/>
                <w:b w:val="1"/>
                <w:bCs w:val="1"/>
                <w:color w:val="auto"/>
              </w:rPr>
              <w:t>2020</w:t>
            </w:r>
          </w:p>
        </w:tc>
      </w:tr>
      <w:tr>
        <w:trPr>
          <w:trHeight w:val="180"/>
        </w:trPr>
        <w:tc>
          <w:tcPr>
            <w:tcW w:w="9260" w:type="dxa"/>
            <w:vAlign w:val="bottom"/>
            <w:shd w:val="clear" w:color="auto" w:fill="CFF0FC"/>
          </w:tcPr>
          <w:p>
            <w:pPr>
              <w:spacing w:after="0" w:line="180" w:lineRule="exact"/>
              <w:rPr>
                <w:sz w:val="20"/>
                <w:szCs w:val="20"/>
                <w:color w:val="auto"/>
              </w:rPr>
            </w:pPr>
            <w:r>
              <w:rPr>
                <w:rFonts w:ascii="Arial" w:cs="Arial" w:eastAsia="Arial" w:hAnsi="Arial"/>
                <w:sz w:val="16"/>
                <w:szCs w:val="16"/>
                <w:color w:val="auto"/>
              </w:rPr>
              <w:t>2020</w:t>
            </w:r>
          </w:p>
        </w:tc>
        <w:tc>
          <w:tcPr>
            <w:tcW w:w="380" w:type="dxa"/>
            <w:vAlign w:val="bottom"/>
            <w:shd w:val="clear" w:color="auto" w:fill="CFF0FC"/>
          </w:tcPr>
          <w:p>
            <w:pPr>
              <w:jc w:val="right"/>
              <w:ind w:right="202"/>
              <w:spacing w:after="0" w:line="180" w:lineRule="exact"/>
              <w:rPr>
                <w:sz w:val="20"/>
                <w:szCs w:val="20"/>
                <w:color w:val="auto"/>
              </w:rPr>
            </w:pPr>
            <w:r>
              <w:rPr>
                <w:rFonts w:ascii="Arial" w:cs="Arial" w:eastAsia="Arial" w:hAnsi="Arial"/>
                <w:sz w:val="16"/>
                <w:szCs w:val="16"/>
                <w:b w:val="1"/>
                <w:bCs w:val="1"/>
                <w:color w:val="auto"/>
                <w:w w:val="89"/>
              </w:rPr>
              <w:t>$</w:t>
            </w:r>
          </w:p>
        </w:tc>
        <w:tc>
          <w:tcPr>
            <w:tcW w:w="1620" w:type="dxa"/>
            <w:vAlign w:val="bottom"/>
            <w:shd w:val="clear" w:color="auto" w:fill="CFF0FC"/>
          </w:tcPr>
          <w:p>
            <w:pPr>
              <w:jc w:val="right"/>
              <w:ind w:right="45"/>
              <w:spacing w:after="0" w:line="180" w:lineRule="exact"/>
              <w:rPr>
                <w:sz w:val="20"/>
                <w:szCs w:val="20"/>
                <w:color w:val="auto"/>
              </w:rPr>
            </w:pPr>
            <w:r>
              <w:rPr>
                <w:rFonts w:ascii="Arial" w:cs="Arial" w:eastAsia="Arial" w:hAnsi="Arial"/>
                <w:sz w:val="16"/>
                <w:szCs w:val="16"/>
                <w:b w:val="1"/>
                <w:bCs w:val="1"/>
                <w:color w:val="auto"/>
              </w:rPr>
              <w:t>5</w:t>
            </w:r>
          </w:p>
        </w:tc>
      </w:tr>
      <w:tr>
        <w:trPr>
          <w:trHeight w:val="188"/>
        </w:trPr>
        <w:tc>
          <w:tcPr>
            <w:tcW w:w="9260" w:type="dxa"/>
            <w:vAlign w:val="bottom"/>
          </w:tcPr>
          <w:p>
            <w:pPr>
              <w:spacing w:after="0"/>
              <w:rPr>
                <w:sz w:val="20"/>
                <w:szCs w:val="20"/>
                <w:color w:val="auto"/>
              </w:rPr>
            </w:pPr>
            <w:r>
              <w:rPr>
                <w:rFonts w:ascii="Arial" w:cs="Arial" w:eastAsia="Arial" w:hAnsi="Arial"/>
                <w:sz w:val="16"/>
                <w:szCs w:val="16"/>
                <w:color w:val="auto"/>
              </w:rPr>
              <w:t>2021</w:t>
            </w:r>
          </w:p>
        </w:tc>
        <w:tc>
          <w:tcPr>
            <w:tcW w:w="380" w:type="dxa"/>
            <w:vAlign w:val="bottom"/>
          </w:tcPr>
          <w:p>
            <w:pPr>
              <w:spacing w:after="0"/>
              <w:rPr>
                <w:sz w:val="16"/>
                <w:szCs w:val="16"/>
                <w:color w:val="auto"/>
              </w:rPr>
            </w:pPr>
          </w:p>
        </w:tc>
        <w:tc>
          <w:tcPr>
            <w:tcW w:w="1620" w:type="dxa"/>
            <w:vAlign w:val="bottom"/>
          </w:tcPr>
          <w:p>
            <w:pPr>
              <w:jc w:val="right"/>
              <w:ind w:right="45"/>
              <w:spacing w:after="0"/>
              <w:rPr>
                <w:sz w:val="20"/>
                <w:szCs w:val="20"/>
                <w:color w:val="auto"/>
              </w:rPr>
            </w:pPr>
            <w:r>
              <w:rPr>
                <w:rFonts w:ascii="Arial" w:cs="Arial" w:eastAsia="Arial" w:hAnsi="Arial"/>
                <w:sz w:val="16"/>
                <w:szCs w:val="16"/>
                <w:b w:val="1"/>
                <w:bCs w:val="1"/>
                <w:color w:val="auto"/>
              </w:rPr>
              <w:t>4</w:t>
            </w:r>
          </w:p>
        </w:tc>
      </w:tr>
      <w:tr>
        <w:trPr>
          <w:trHeight w:val="188"/>
        </w:trPr>
        <w:tc>
          <w:tcPr>
            <w:tcW w:w="9260" w:type="dxa"/>
            <w:vAlign w:val="bottom"/>
            <w:shd w:val="clear" w:color="auto" w:fill="CFF0FC"/>
          </w:tcPr>
          <w:p>
            <w:pPr>
              <w:spacing w:after="0"/>
              <w:rPr>
                <w:sz w:val="20"/>
                <w:szCs w:val="20"/>
                <w:color w:val="auto"/>
              </w:rPr>
            </w:pPr>
            <w:r>
              <w:rPr>
                <w:rFonts w:ascii="Arial" w:cs="Arial" w:eastAsia="Arial" w:hAnsi="Arial"/>
                <w:sz w:val="16"/>
                <w:szCs w:val="16"/>
                <w:color w:val="auto"/>
              </w:rPr>
              <w:t>2022</w:t>
            </w:r>
          </w:p>
        </w:tc>
        <w:tc>
          <w:tcPr>
            <w:tcW w:w="380" w:type="dxa"/>
            <w:vAlign w:val="bottom"/>
            <w:shd w:val="clear" w:color="auto" w:fill="CFF0FC"/>
          </w:tcPr>
          <w:p>
            <w:pPr>
              <w:spacing w:after="0"/>
              <w:rPr>
                <w:sz w:val="16"/>
                <w:szCs w:val="16"/>
                <w:color w:val="auto"/>
              </w:rPr>
            </w:pPr>
          </w:p>
        </w:tc>
        <w:tc>
          <w:tcPr>
            <w:tcW w:w="1620" w:type="dxa"/>
            <w:vAlign w:val="bottom"/>
            <w:shd w:val="clear" w:color="auto" w:fill="CFF0FC"/>
          </w:tcPr>
          <w:p>
            <w:pPr>
              <w:jc w:val="right"/>
              <w:ind w:right="45"/>
              <w:spacing w:after="0"/>
              <w:rPr>
                <w:sz w:val="20"/>
                <w:szCs w:val="20"/>
                <w:color w:val="auto"/>
              </w:rPr>
            </w:pPr>
            <w:r>
              <w:rPr>
                <w:rFonts w:ascii="Arial" w:cs="Arial" w:eastAsia="Arial" w:hAnsi="Arial"/>
                <w:sz w:val="16"/>
                <w:szCs w:val="16"/>
                <w:b w:val="1"/>
                <w:bCs w:val="1"/>
                <w:color w:val="auto"/>
              </w:rPr>
              <w:t>3</w:t>
            </w:r>
          </w:p>
        </w:tc>
      </w:tr>
      <w:tr>
        <w:trPr>
          <w:trHeight w:val="188"/>
        </w:trPr>
        <w:tc>
          <w:tcPr>
            <w:tcW w:w="9260" w:type="dxa"/>
            <w:vAlign w:val="bottom"/>
          </w:tcPr>
          <w:p>
            <w:pPr>
              <w:spacing w:after="0"/>
              <w:rPr>
                <w:sz w:val="20"/>
                <w:szCs w:val="20"/>
                <w:color w:val="auto"/>
              </w:rPr>
            </w:pPr>
            <w:r>
              <w:rPr>
                <w:rFonts w:ascii="Arial" w:cs="Arial" w:eastAsia="Arial" w:hAnsi="Arial"/>
                <w:sz w:val="16"/>
                <w:szCs w:val="16"/>
                <w:color w:val="auto"/>
              </w:rPr>
              <w:t>2023</w:t>
            </w:r>
          </w:p>
        </w:tc>
        <w:tc>
          <w:tcPr>
            <w:tcW w:w="380" w:type="dxa"/>
            <w:vAlign w:val="bottom"/>
          </w:tcPr>
          <w:p>
            <w:pPr>
              <w:spacing w:after="0"/>
              <w:rPr>
                <w:sz w:val="16"/>
                <w:szCs w:val="16"/>
                <w:color w:val="auto"/>
              </w:rPr>
            </w:pPr>
          </w:p>
        </w:tc>
        <w:tc>
          <w:tcPr>
            <w:tcW w:w="1620" w:type="dxa"/>
            <w:vAlign w:val="bottom"/>
          </w:tcPr>
          <w:p>
            <w:pPr>
              <w:jc w:val="right"/>
              <w:ind w:right="45"/>
              <w:spacing w:after="0"/>
              <w:rPr>
                <w:sz w:val="20"/>
                <w:szCs w:val="20"/>
                <w:color w:val="auto"/>
              </w:rPr>
            </w:pPr>
            <w:r>
              <w:rPr>
                <w:rFonts w:ascii="Arial" w:cs="Arial" w:eastAsia="Arial" w:hAnsi="Arial"/>
                <w:sz w:val="16"/>
                <w:szCs w:val="16"/>
                <w:b w:val="1"/>
                <w:bCs w:val="1"/>
                <w:color w:val="auto"/>
              </w:rPr>
              <w:t>3</w:t>
            </w:r>
          </w:p>
        </w:tc>
      </w:tr>
      <w:tr>
        <w:trPr>
          <w:trHeight w:val="188"/>
        </w:trPr>
        <w:tc>
          <w:tcPr>
            <w:tcW w:w="9260" w:type="dxa"/>
            <w:vAlign w:val="bottom"/>
            <w:shd w:val="clear" w:color="auto" w:fill="CFF0FC"/>
          </w:tcPr>
          <w:p>
            <w:pPr>
              <w:spacing w:after="0"/>
              <w:rPr>
                <w:sz w:val="20"/>
                <w:szCs w:val="20"/>
                <w:color w:val="auto"/>
              </w:rPr>
            </w:pPr>
            <w:r>
              <w:rPr>
                <w:rFonts w:ascii="Arial" w:cs="Arial" w:eastAsia="Arial" w:hAnsi="Arial"/>
                <w:sz w:val="16"/>
                <w:szCs w:val="16"/>
                <w:color w:val="auto"/>
              </w:rPr>
              <w:t>2024</w:t>
            </w:r>
          </w:p>
        </w:tc>
        <w:tc>
          <w:tcPr>
            <w:tcW w:w="380" w:type="dxa"/>
            <w:vAlign w:val="bottom"/>
            <w:shd w:val="clear" w:color="auto" w:fill="CFF0FC"/>
          </w:tcPr>
          <w:p>
            <w:pPr>
              <w:spacing w:after="0"/>
              <w:rPr>
                <w:sz w:val="16"/>
                <w:szCs w:val="16"/>
                <w:color w:val="auto"/>
              </w:rPr>
            </w:pPr>
          </w:p>
        </w:tc>
        <w:tc>
          <w:tcPr>
            <w:tcW w:w="1620" w:type="dxa"/>
            <w:vAlign w:val="bottom"/>
            <w:shd w:val="clear" w:color="auto" w:fill="CFF0FC"/>
          </w:tcPr>
          <w:p>
            <w:pPr>
              <w:jc w:val="right"/>
              <w:ind w:right="45"/>
              <w:spacing w:after="0"/>
              <w:rPr>
                <w:sz w:val="20"/>
                <w:szCs w:val="20"/>
                <w:color w:val="auto"/>
              </w:rPr>
            </w:pPr>
            <w:r>
              <w:rPr>
                <w:rFonts w:ascii="Arial" w:cs="Arial" w:eastAsia="Arial" w:hAnsi="Arial"/>
                <w:sz w:val="16"/>
                <w:szCs w:val="16"/>
                <w:b w:val="1"/>
                <w:bCs w:val="1"/>
                <w:color w:val="auto"/>
              </w:rPr>
              <w:t>2</w:t>
            </w:r>
          </w:p>
        </w:tc>
      </w:tr>
      <w:tr>
        <w:trPr>
          <w:trHeight w:val="188"/>
        </w:trPr>
        <w:tc>
          <w:tcPr>
            <w:tcW w:w="926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Thereafter</w:t>
            </w:r>
          </w:p>
        </w:tc>
        <w:tc>
          <w:tcPr>
            <w:tcW w:w="38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ind w:right="45"/>
              <w:spacing w:after="0"/>
              <w:rPr>
                <w:sz w:val="20"/>
                <w:szCs w:val="20"/>
                <w:color w:val="auto"/>
              </w:rPr>
            </w:pPr>
            <w:r>
              <w:rPr>
                <w:rFonts w:ascii="Arial" w:cs="Arial" w:eastAsia="Arial" w:hAnsi="Arial"/>
                <w:sz w:val="16"/>
                <w:szCs w:val="16"/>
                <w:b w:val="1"/>
                <w:bCs w:val="1"/>
                <w:color w:val="auto"/>
              </w:rPr>
              <w:t>9</w:t>
            </w:r>
          </w:p>
        </w:tc>
      </w:tr>
      <w:tr>
        <w:trPr>
          <w:trHeight w:val="180"/>
        </w:trPr>
        <w:tc>
          <w:tcPr>
            <w:tcW w:w="9260" w:type="dxa"/>
            <w:vAlign w:val="bottom"/>
            <w:shd w:val="clear" w:color="auto" w:fill="CFF0FC"/>
          </w:tcPr>
          <w:p>
            <w:pPr>
              <w:ind w:left="200"/>
              <w:spacing w:after="0" w:line="180" w:lineRule="exact"/>
              <w:rPr>
                <w:sz w:val="20"/>
                <w:szCs w:val="20"/>
                <w:color w:val="auto"/>
              </w:rPr>
            </w:pPr>
            <w:r>
              <w:rPr>
                <w:rFonts w:ascii="Arial" w:cs="Arial" w:eastAsia="Arial" w:hAnsi="Arial"/>
                <w:sz w:val="16"/>
                <w:szCs w:val="16"/>
                <w:color w:val="auto"/>
              </w:rPr>
              <w:t>Total lease payments</w:t>
            </w:r>
          </w:p>
        </w:tc>
        <w:tc>
          <w:tcPr>
            <w:tcW w:w="380" w:type="dxa"/>
            <w:vAlign w:val="bottom"/>
            <w:shd w:val="clear" w:color="auto" w:fill="CFF0FC"/>
          </w:tcPr>
          <w:p>
            <w:pPr>
              <w:jc w:val="right"/>
              <w:ind w:right="202"/>
              <w:spacing w:after="0" w:line="180" w:lineRule="exact"/>
              <w:rPr>
                <w:sz w:val="20"/>
                <w:szCs w:val="20"/>
                <w:color w:val="auto"/>
              </w:rPr>
            </w:pPr>
            <w:r>
              <w:rPr>
                <w:rFonts w:ascii="Arial" w:cs="Arial" w:eastAsia="Arial" w:hAnsi="Arial"/>
                <w:sz w:val="16"/>
                <w:szCs w:val="16"/>
                <w:b w:val="1"/>
                <w:bCs w:val="1"/>
                <w:color w:val="auto"/>
                <w:w w:val="89"/>
              </w:rPr>
              <w:t>$</w:t>
            </w:r>
          </w:p>
        </w:tc>
        <w:tc>
          <w:tcPr>
            <w:tcW w:w="1620" w:type="dxa"/>
            <w:vAlign w:val="bottom"/>
            <w:shd w:val="clear" w:color="auto" w:fill="CFF0FC"/>
          </w:tcPr>
          <w:p>
            <w:pPr>
              <w:jc w:val="right"/>
              <w:ind w:right="45"/>
              <w:spacing w:after="0" w:line="180" w:lineRule="exact"/>
              <w:rPr>
                <w:sz w:val="20"/>
                <w:szCs w:val="20"/>
                <w:color w:val="auto"/>
              </w:rPr>
            </w:pPr>
            <w:r>
              <w:rPr>
                <w:rFonts w:ascii="Arial" w:cs="Arial" w:eastAsia="Arial" w:hAnsi="Arial"/>
                <w:sz w:val="16"/>
                <w:szCs w:val="16"/>
                <w:b w:val="1"/>
                <w:bCs w:val="1"/>
                <w:color w:val="auto"/>
              </w:rPr>
              <w:t>26</w:t>
            </w:r>
          </w:p>
        </w:tc>
      </w:tr>
      <w:tr>
        <w:trPr>
          <w:trHeight w:val="188"/>
        </w:trPr>
        <w:tc>
          <w:tcPr>
            <w:tcW w:w="9260" w:type="dxa"/>
            <w:vAlign w:val="bottom"/>
            <w:tcBorders>
              <w:bottom w:val="single" w:sz="8" w:color="CFF0FC"/>
            </w:tcBorders>
          </w:tcPr>
          <w:p>
            <w:pPr>
              <w:ind w:left="420"/>
              <w:spacing w:after="0"/>
              <w:rPr>
                <w:sz w:val="20"/>
                <w:szCs w:val="20"/>
                <w:color w:val="auto"/>
              </w:rPr>
            </w:pPr>
            <w:r>
              <w:rPr>
                <w:rFonts w:ascii="Arial" w:cs="Arial" w:eastAsia="Arial" w:hAnsi="Arial"/>
                <w:sz w:val="16"/>
                <w:szCs w:val="16"/>
                <w:color w:val="auto"/>
              </w:rPr>
              <w:t>Less: Interest</w:t>
            </w:r>
          </w:p>
        </w:tc>
        <w:tc>
          <w:tcPr>
            <w:tcW w:w="38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ind w:right="45"/>
              <w:spacing w:after="0"/>
              <w:rPr>
                <w:sz w:val="20"/>
                <w:szCs w:val="20"/>
                <w:color w:val="auto"/>
              </w:rPr>
            </w:pPr>
            <w:r>
              <w:rPr>
                <w:rFonts w:ascii="Arial" w:cs="Arial" w:eastAsia="Arial" w:hAnsi="Arial"/>
                <w:sz w:val="16"/>
                <w:szCs w:val="16"/>
                <w:b w:val="1"/>
                <w:bCs w:val="1"/>
                <w:color w:val="auto"/>
              </w:rPr>
              <w:t>4</w:t>
            </w:r>
          </w:p>
        </w:tc>
      </w:tr>
      <w:tr>
        <w:trPr>
          <w:trHeight w:val="180"/>
        </w:trPr>
        <w:tc>
          <w:tcPr>
            <w:tcW w:w="9260" w:type="dxa"/>
            <w:vAlign w:val="bottom"/>
            <w:tcBorders>
              <w:bottom w:val="single" w:sz="8" w:color="CFF0FC"/>
            </w:tcBorders>
            <w:shd w:val="clear" w:color="auto" w:fill="CFF0FC"/>
          </w:tcPr>
          <w:p>
            <w:pPr>
              <w:ind w:left="200"/>
              <w:spacing w:after="0" w:line="180" w:lineRule="exact"/>
              <w:rPr>
                <w:sz w:val="20"/>
                <w:szCs w:val="20"/>
                <w:color w:val="auto"/>
              </w:rPr>
            </w:pPr>
            <w:r>
              <w:rPr>
                <w:rFonts w:ascii="Arial" w:cs="Arial" w:eastAsia="Arial" w:hAnsi="Arial"/>
                <w:sz w:val="16"/>
                <w:szCs w:val="16"/>
                <w:color w:val="auto"/>
              </w:rPr>
              <w:t>Present value of lease liabilities</w:t>
            </w:r>
          </w:p>
        </w:tc>
        <w:tc>
          <w:tcPr>
            <w:tcW w:w="380" w:type="dxa"/>
            <w:vAlign w:val="bottom"/>
            <w:tcBorders>
              <w:bottom w:val="single" w:sz="8" w:color="auto"/>
            </w:tcBorders>
            <w:shd w:val="clear" w:color="auto" w:fill="CFF0FC"/>
          </w:tcPr>
          <w:p>
            <w:pPr>
              <w:jc w:val="right"/>
              <w:ind w:right="202"/>
              <w:spacing w:after="0" w:line="180" w:lineRule="exact"/>
              <w:rPr>
                <w:sz w:val="20"/>
                <w:szCs w:val="20"/>
                <w:color w:val="auto"/>
              </w:rPr>
            </w:pPr>
            <w:r>
              <w:rPr>
                <w:rFonts w:ascii="Arial" w:cs="Arial" w:eastAsia="Arial" w:hAnsi="Arial"/>
                <w:sz w:val="16"/>
                <w:szCs w:val="16"/>
                <w:b w:val="1"/>
                <w:bCs w:val="1"/>
                <w:color w:val="auto"/>
                <w:w w:val="89"/>
              </w:rPr>
              <w:t>$</w:t>
            </w:r>
          </w:p>
        </w:tc>
        <w:tc>
          <w:tcPr>
            <w:tcW w:w="1620" w:type="dxa"/>
            <w:vAlign w:val="bottom"/>
            <w:tcBorders>
              <w:bottom w:val="single" w:sz="8" w:color="auto"/>
            </w:tcBorders>
            <w:shd w:val="clear" w:color="auto" w:fill="CFF0FC"/>
          </w:tcPr>
          <w:p>
            <w:pPr>
              <w:jc w:val="right"/>
              <w:ind w:right="45"/>
              <w:spacing w:after="0" w:line="180" w:lineRule="exact"/>
              <w:rPr>
                <w:sz w:val="20"/>
                <w:szCs w:val="20"/>
                <w:color w:val="auto"/>
              </w:rPr>
            </w:pPr>
            <w:r>
              <w:rPr>
                <w:rFonts w:ascii="Arial" w:cs="Arial" w:eastAsia="Arial" w:hAnsi="Arial"/>
                <w:sz w:val="16"/>
                <w:szCs w:val="16"/>
                <w:b w:val="1"/>
                <w:bCs w:val="1"/>
                <w:color w:val="auto"/>
              </w:rPr>
              <w:t>22</w:t>
            </w:r>
          </w:p>
        </w:tc>
      </w:tr>
      <w:tr>
        <w:trPr>
          <w:trHeight w:val="20"/>
        </w:trPr>
        <w:tc>
          <w:tcPr>
            <w:tcW w:w="92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right="200" w:firstLine="528"/>
        <w:spacing w:after="0" w:line="237" w:lineRule="auto"/>
        <w:rPr>
          <w:sz w:val="20"/>
          <w:szCs w:val="20"/>
          <w:color w:val="auto"/>
        </w:rPr>
      </w:pPr>
      <w:r>
        <w:rPr>
          <w:rFonts w:ascii="Arial" w:cs="Arial" w:eastAsia="Arial" w:hAnsi="Arial"/>
          <w:sz w:val="16"/>
          <w:szCs w:val="16"/>
          <w:color w:val="auto"/>
        </w:rPr>
        <w:t>ROU assets are calculated as the related lease liability adjusted for lease incentives, prepayments and the effect of escalating lease payments on period expense. The below table depicts the ROU assets held by the Company based on the underlying asset:</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92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20" w:type="dxa"/>
            <w:vAlign w:val="bottom"/>
          </w:tcPr>
          <w:p>
            <w:pPr>
              <w:jc w:val="right"/>
              <w:ind w:right="687"/>
              <w:spacing w:after="0"/>
              <w:rPr>
                <w:sz w:val="20"/>
                <w:szCs w:val="20"/>
                <w:color w:val="auto"/>
              </w:rPr>
            </w:pPr>
            <w:r>
              <w:rPr>
                <w:rFonts w:ascii="Arial" w:cs="Arial" w:eastAsia="Arial" w:hAnsi="Arial"/>
                <w:sz w:val="13"/>
                <w:szCs w:val="13"/>
                <w:b w:val="1"/>
                <w:bCs w:val="1"/>
                <w:color w:val="auto"/>
              </w:rPr>
              <w:t>March 31,</w:t>
            </w:r>
          </w:p>
        </w:tc>
      </w:tr>
      <w:tr>
        <w:trPr>
          <w:trHeight w:val="153"/>
        </w:trPr>
        <w:tc>
          <w:tcPr>
            <w:tcW w:w="9260" w:type="dxa"/>
            <w:vAlign w:val="bottom"/>
            <w:tcBorders>
              <w:bottom w:val="single" w:sz="8" w:color="CFF0FC"/>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620" w:type="dxa"/>
            <w:vAlign w:val="bottom"/>
            <w:tcBorders>
              <w:bottom w:val="single" w:sz="8" w:color="auto"/>
            </w:tcBorders>
          </w:tcPr>
          <w:p>
            <w:pPr>
              <w:jc w:val="right"/>
              <w:ind w:right="847"/>
              <w:spacing w:after="0"/>
              <w:rPr>
                <w:sz w:val="20"/>
                <w:szCs w:val="20"/>
                <w:color w:val="auto"/>
              </w:rPr>
            </w:pPr>
            <w:r>
              <w:rPr>
                <w:rFonts w:ascii="Arial" w:cs="Arial" w:eastAsia="Arial" w:hAnsi="Arial"/>
                <w:sz w:val="13"/>
                <w:szCs w:val="13"/>
                <w:b w:val="1"/>
                <w:bCs w:val="1"/>
                <w:color w:val="auto"/>
              </w:rPr>
              <w:t>2020</w:t>
            </w:r>
          </w:p>
        </w:tc>
      </w:tr>
      <w:tr>
        <w:trPr>
          <w:trHeight w:val="180"/>
        </w:trPr>
        <w:tc>
          <w:tcPr>
            <w:tcW w:w="9260" w:type="dxa"/>
            <w:vAlign w:val="bottom"/>
            <w:shd w:val="clear" w:color="auto" w:fill="CFF0FC"/>
          </w:tcPr>
          <w:p>
            <w:pPr>
              <w:spacing w:after="0" w:line="180" w:lineRule="exact"/>
              <w:rPr>
                <w:sz w:val="20"/>
                <w:szCs w:val="20"/>
                <w:color w:val="auto"/>
              </w:rPr>
            </w:pPr>
            <w:r>
              <w:rPr>
                <w:rFonts w:ascii="Arial" w:cs="Arial" w:eastAsia="Arial" w:hAnsi="Arial"/>
                <w:sz w:val="16"/>
                <w:szCs w:val="16"/>
                <w:color w:val="auto"/>
              </w:rPr>
              <w:t>Buildings</w:t>
            </w:r>
          </w:p>
        </w:tc>
        <w:tc>
          <w:tcPr>
            <w:tcW w:w="380" w:type="dxa"/>
            <w:vAlign w:val="bottom"/>
            <w:shd w:val="clear" w:color="auto" w:fill="CFF0FC"/>
          </w:tcPr>
          <w:p>
            <w:pPr>
              <w:jc w:val="right"/>
              <w:ind w:right="202"/>
              <w:spacing w:after="0" w:line="180" w:lineRule="exact"/>
              <w:rPr>
                <w:sz w:val="20"/>
                <w:szCs w:val="20"/>
                <w:color w:val="auto"/>
              </w:rPr>
            </w:pPr>
            <w:r>
              <w:rPr>
                <w:rFonts w:ascii="Arial" w:cs="Arial" w:eastAsia="Arial" w:hAnsi="Arial"/>
                <w:sz w:val="16"/>
                <w:szCs w:val="16"/>
                <w:b w:val="1"/>
                <w:bCs w:val="1"/>
                <w:color w:val="auto"/>
                <w:w w:val="89"/>
              </w:rPr>
              <w:t>$</w:t>
            </w:r>
          </w:p>
        </w:tc>
        <w:tc>
          <w:tcPr>
            <w:tcW w:w="1620" w:type="dxa"/>
            <w:vAlign w:val="bottom"/>
            <w:shd w:val="clear" w:color="auto" w:fill="CFF0FC"/>
          </w:tcPr>
          <w:p>
            <w:pPr>
              <w:jc w:val="right"/>
              <w:ind w:right="47"/>
              <w:spacing w:after="0" w:line="180" w:lineRule="exact"/>
              <w:rPr>
                <w:sz w:val="20"/>
                <w:szCs w:val="20"/>
                <w:color w:val="auto"/>
              </w:rPr>
            </w:pPr>
            <w:r>
              <w:rPr>
                <w:rFonts w:ascii="Arial" w:cs="Arial" w:eastAsia="Arial" w:hAnsi="Arial"/>
                <w:sz w:val="16"/>
                <w:szCs w:val="16"/>
                <w:b w:val="1"/>
                <w:bCs w:val="1"/>
                <w:color w:val="auto"/>
              </w:rPr>
              <w:t>21</w:t>
            </w:r>
          </w:p>
        </w:tc>
      </w:tr>
      <w:tr>
        <w:trPr>
          <w:trHeight w:val="188"/>
        </w:trPr>
        <w:tc>
          <w:tcPr>
            <w:tcW w:w="9260" w:type="dxa"/>
            <w:vAlign w:val="bottom"/>
          </w:tcPr>
          <w:p>
            <w:pPr>
              <w:spacing w:after="0"/>
              <w:rPr>
                <w:sz w:val="20"/>
                <w:szCs w:val="20"/>
                <w:color w:val="auto"/>
              </w:rPr>
            </w:pPr>
            <w:r>
              <w:rPr>
                <w:rFonts w:ascii="Arial" w:cs="Arial" w:eastAsia="Arial" w:hAnsi="Arial"/>
                <w:sz w:val="16"/>
                <w:szCs w:val="16"/>
                <w:color w:val="auto"/>
              </w:rPr>
              <w:t>Land</w:t>
            </w:r>
          </w:p>
        </w:tc>
        <w:tc>
          <w:tcPr>
            <w:tcW w:w="380" w:type="dxa"/>
            <w:vAlign w:val="bottom"/>
          </w:tcPr>
          <w:p>
            <w:pPr>
              <w:spacing w:after="0"/>
              <w:rPr>
                <w:sz w:val="16"/>
                <w:szCs w:val="16"/>
                <w:color w:val="auto"/>
              </w:rPr>
            </w:pPr>
          </w:p>
        </w:tc>
        <w:tc>
          <w:tcPr>
            <w:tcW w:w="1620" w:type="dxa"/>
            <w:vAlign w:val="bottom"/>
          </w:tcPr>
          <w:p>
            <w:pPr>
              <w:jc w:val="right"/>
              <w:ind w:right="47"/>
              <w:spacing w:after="0"/>
              <w:rPr>
                <w:sz w:val="20"/>
                <w:szCs w:val="20"/>
                <w:color w:val="auto"/>
              </w:rPr>
            </w:pPr>
            <w:r>
              <w:rPr>
                <w:rFonts w:ascii="Arial" w:cs="Arial" w:eastAsia="Arial" w:hAnsi="Arial"/>
                <w:sz w:val="16"/>
                <w:szCs w:val="16"/>
                <w:b w:val="1"/>
                <w:bCs w:val="1"/>
                <w:color w:val="auto"/>
              </w:rPr>
              <w:t>1</w:t>
            </w:r>
          </w:p>
        </w:tc>
      </w:tr>
      <w:tr>
        <w:trPr>
          <w:trHeight w:val="188"/>
        </w:trPr>
        <w:tc>
          <w:tcPr>
            <w:tcW w:w="9260" w:type="dxa"/>
            <w:vAlign w:val="bottom"/>
            <w:shd w:val="clear" w:color="auto" w:fill="CFF0FC"/>
          </w:tcPr>
          <w:p>
            <w:pPr>
              <w:spacing w:after="0"/>
              <w:rPr>
                <w:sz w:val="20"/>
                <w:szCs w:val="20"/>
                <w:color w:val="auto"/>
              </w:rPr>
            </w:pPr>
            <w:r>
              <w:rPr>
                <w:rFonts w:ascii="Arial" w:cs="Arial" w:eastAsia="Arial" w:hAnsi="Arial"/>
                <w:sz w:val="16"/>
                <w:szCs w:val="16"/>
                <w:color w:val="auto"/>
              </w:rPr>
              <w:t>Vehicles</w:t>
            </w:r>
          </w:p>
        </w:tc>
        <w:tc>
          <w:tcPr>
            <w:tcW w:w="380" w:type="dxa"/>
            <w:vAlign w:val="bottom"/>
            <w:tcBorders>
              <w:bottom w:val="single" w:sz="8" w:color="auto"/>
            </w:tcBorders>
            <w:shd w:val="clear" w:color="auto" w:fill="CFF0FC"/>
          </w:tcPr>
          <w:p>
            <w:pPr>
              <w:spacing w:after="0"/>
              <w:rPr>
                <w:sz w:val="16"/>
                <w:szCs w:val="16"/>
                <w:color w:val="auto"/>
              </w:rPr>
            </w:pPr>
          </w:p>
        </w:tc>
        <w:tc>
          <w:tcPr>
            <w:tcW w:w="1620" w:type="dxa"/>
            <w:vAlign w:val="bottom"/>
            <w:tcBorders>
              <w:bottom w:val="single" w:sz="8" w:color="auto"/>
            </w:tcBorders>
            <w:shd w:val="clear" w:color="auto" w:fill="CFF0FC"/>
          </w:tcPr>
          <w:p>
            <w:pPr>
              <w:jc w:val="right"/>
              <w:ind w:right="47"/>
              <w:spacing w:after="0"/>
              <w:rPr>
                <w:sz w:val="20"/>
                <w:szCs w:val="20"/>
                <w:color w:val="auto"/>
              </w:rPr>
            </w:pPr>
            <w:r>
              <w:rPr>
                <w:rFonts w:ascii="Arial" w:cs="Arial" w:eastAsia="Arial" w:hAnsi="Arial"/>
                <w:sz w:val="16"/>
                <w:szCs w:val="16"/>
                <w:b w:val="1"/>
                <w:bCs w:val="1"/>
                <w:color w:val="auto"/>
              </w:rPr>
              <w:t>1</w:t>
            </w:r>
          </w:p>
        </w:tc>
      </w:tr>
      <w:tr>
        <w:trPr>
          <w:trHeight w:val="180"/>
        </w:trPr>
        <w:tc>
          <w:tcPr>
            <w:tcW w:w="9260" w:type="dxa"/>
            <w:vAlign w:val="bottom"/>
          </w:tcPr>
          <w:p>
            <w:pPr>
              <w:spacing w:after="0" w:line="180" w:lineRule="exact"/>
              <w:rPr>
                <w:sz w:val="20"/>
                <w:szCs w:val="20"/>
                <w:color w:val="auto"/>
              </w:rPr>
            </w:pPr>
            <w:r>
              <w:rPr>
                <w:rFonts w:ascii="Arial" w:cs="Arial" w:eastAsia="Arial" w:hAnsi="Arial"/>
                <w:sz w:val="16"/>
                <w:szCs w:val="16"/>
                <w:color w:val="auto"/>
              </w:rPr>
              <w:t>Total right-of-use assets</w:t>
            </w:r>
          </w:p>
        </w:tc>
        <w:tc>
          <w:tcPr>
            <w:tcW w:w="380" w:type="dxa"/>
            <w:vAlign w:val="bottom"/>
            <w:tcBorders>
              <w:bottom w:val="single" w:sz="8" w:color="auto"/>
            </w:tcBorders>
          </w:tcPr>
          <w:p>
            <w:pPr>
              <w:jc w:val="right"/>
              <w:ind w:right="202"/>
              <w:spacing w:after="0" w:line="180" w:lineRule="exact"/>
              <w:rPr>
                <w:sz w:val="20"/>
                <w:szCs w:val="20"/>
                <w:color w:val="auto"/>
              </w:rPr>
            </w:pPr>
            <w:r>
              <w:rPr>
                <w:rFonts w:ascii="Arial" w:cs="Arial" w:eastAsia="Arial" w:hAnsi="Arial"/>
                <w:sz w:val="16"/>
                <w:szCs w:val="16"/>
                <w:b w:val="1"/>
                <w:bCs w:val="1"/>
                <w:color w:val="auto"/>
                <w:w w:val="89"/>
              </w:rPr>
              <w:t>$</w:t>
            </w:r>
          </w:p>
        </w:tc>
        <w:tc>
          <w:tcPr>
            <w:tcW w:w="1620" w:type="dxa"/>
            <w:vAlign w:val="bottom"/>
            <w:tcBorders>
              <w:bottom w:val="single" w:sz="8" w:color="auto"/>
            </w:tcBorders>
          </w:tcPr>
          <w:p>
            <w:pPr>
              <w:jc w:val="right"/>
              <w:ind w:right="47"/>
              <w:spacing w:after="0" w:line="180" w:lineRule="exact"/>
              <w:rPr>
                <w:sz w:val="20"/>
                <w:szCs w:val="20"/>
                <w:color w:val="auto"/>
              </w:rPr>
            </w:pPr>
            <w:r>
              <w:rPr>
                <w:rFonts w:ascii="Arial" w:cs="Arial" w:eastAsia="Arial" w:hAnsi="Arial"/>
                <w:sz w:val="16"/>
                <w:szCs w:val="16"/>
                <w:b w:val="1"/>
                <w:bCs w:val="1"/>
                <w:color w:val="auto"/>
              </w:rPr>
              <w:t>23</w:t>
            </w:r>
          </w:p>
        </w:tc>
      </w:tr>
      <w:tr>
        <w:trPr>
          <w:trHeight w:val="20"/>
        </w:trPr>
        <w:tc>
          <w:tcPr>
            <w:tcW w:w="92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weighted average remaining lease term as of March 31, 2020 and March 31, 2019 was 7.7 years and 5.4 years, respectively.</w:t>
      </w:r>
    </w:p>
    <w:p>
      <w:pPr>
        <w:spacing w:after="0" w:line="180"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55245</wp:posOffset>
            </wp:positionV>
            <wp:extent cx="7150100" cy="146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0"/>
          </w:cols>
          <w:pgMar w:left="320" w:top="140" w:right="319" w:bottom="1440" w:gutter="0" w:footer="0" w:header="0"/>
        </w:sectPr>
      </w:pPr>
    </w:p>
    <w:bookmarkStart w:id="18" w:name="page19"/>
    <w:bookmarkEnd w:id="1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97" w:lineRule="exact"/>
        <w:rPr>
          <w:sz w:val="20"/>
          <w:szCs w:val="20"/>
          <w:color w:val="auto"/>
        </w:rPr>
      </w:pPr>
    </w:p>
    <w:p>
      <w:pPr>
        <w:ind w:right="180" w:firstLine="528"/>
        <w:spacing w:after="0" w:line="234" w:lineRule="auto"/>
        <w:rPr>
          <w:sz w:val="20"/>
          <w:szCs w:val="20"/>
          <w:color w:val="auto"/>
        </w:rPr>
      </w:pPr>
      <w:r>
        <w:rPr>
          <w:rFonts w:ascii="Arial" w:cs="Arial" w:eastAsia="Arial" w:hAnsi="Arial"/>
          <w:sz w:val="16"/>
          <w:szCs w:val="16"/>
          <w:color w:val="auto"/>
        </w:rPr>
        <w:t>Operating lease expense was $1 million for each of the three months ended March 31, 2020 and 2019 and was recorded within Selling, general and administrative expense and Engineering - research and development on the Company's Condensed Consolidated Statements of Comprehensive Income. There was no short-term operating lease expense for the three months ended March 31, 2020 and 2019.</w:t>
      </w:r>
    </w:p>
    <w:p>
      <w:pPr>
        <w:spacing w:after="0" w:line="84" w:lineRule="exact"/>
        <w:rPr>
          <w:sz w:val="20"/>
          <w:szCs w:val="20"/>
          <w:color w:val="auto"/>
        </w:rPr>
      </w:pPr>
    </w:p>
    <w:p>
      <w:pPr>
        <w:ind w:right="360" w:firstLine="528"/>
        <w:spacing w:after="0" w:line="234" w:lineRule="auto"/>
        <w:rPr>
          <w:sz w:val="20"/>
          <w:szCs w:val="20"/>
          <w:color w:val="auto"/>
        </w:rPr>
      </w:pPr>
      <w:r>
        <w:rPr>
          <w:rFonts w:ascii="Arial" w:cs="Arial" w:eastAsia="Arial" w:hAnsi="Arial"/>
          <w:sz w:val="16"/>
          <w:szCs w:val="16"/>
          <w:color w:val="auto"/>
        </w:rPr>
        <w:t>The calculation of the Company's ROU assets and lease liabilities did not include cash consideration as of March 31, 2020 and December 31, 2019. During the three months ended March 31, 2020 and March 31, 2019, the Company recorded $1 million and zero, respectively, of new ROU assets obtained in exchange for lease obligations.</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L. OTHER CURRENT LIABILITIES</w:t>
      </w:r>
    </w:p>
    <w:p>
      <w:pPr>
        <w:spacing w:after="0" w:line="106" w:lineRule="exact"/>
        <w:rPr>
          <w:sz w:val="20"/>
          <w:szCs w:val="20"/>
          <w:color w:val="auto"/>
        </w:rPr>
      </w:pPr>
    </w:p>
    <w:p>
      <w:pPr>
        <w:ind w:left="520"/>
        <w:spacing w:after="0"/>
        <w:rPr>
          <w:sz w:val="20"/>
          <w:szCs w:val="20"/>
          <w:color w:val="auto"/>
        </w:rPr>
      </w:pPr>
      <w:r>
        <w:rPr>
          <w:rFonts w:ascii="Arial" w:cs="Arial" w:eastAsia="Arial" w:hAnsi="Arial"/>
          <w:sz w:val="16"/>
          <w:szCs w:val="16"/>
          <w:color w:val="auto"/>
        </w:rPr>
        <w:t>Other current liabilities consist of the following (dollars in millions):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34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gridSpan w:val="4"/>
          </w:tcPr>
          <w:p>
            <w:pPr>
              <w:jc w:val="right"/>
              <w:ind w:right="27"/>
              <w:spacing w:after="0"/>
              <w:rPr>
                <w:sz w:val="20"/>
                <w:szCs w:val="20"/>
                <w:color w:val="auto"/>
              </w:rPr>
            </w:pPr>
            <w:r>
              <w:rPr>
                <w:rFonts w:ascii="Arial" w:cs="Arial" w:eastAsia="Arial" w:hAnsi="Arial"/>
                <w:sz w:val="13"/>
                <w:szCs w:val="13"/>
                <w:b w:val="1"/>
                <w:bCs w:val="1"/>
                <w:color w:val="auto"/>
              </w:rPr>
              <w:t>March 31,</w:t>
            </w: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3"/>
                <w:szCs w:val="13"/>
                <w:b w:val="1"/>
                <w:bCs w:val="1"/>
                <w:color w:val="auto"/>
              </w:rPr>
              <w:t>December 31,</w:t>
            </w: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340" w:type="dxa"/>
            <w:vAlign w:val="bottom"/>
            <w:tcBorders>
              <w:bottom w:val="single" w:sz="8" w:color="CFF0FC"/>
            </w:tcBorders>
          </w:tcPr>
          <w:p>
            <w:pPr>
              <w:spacing w:after="0"/>
              <w:rPr>
                <w:sz w:val="13"/>
                <w:szCs w:val="13"/>
                <w:color w:val="auto"/>
              </w:rPr>
            </w:pPr>
          </w:p>
        </w:tc>
        <w:tc>
          <w:tcPr>
            <w:tcW w:w="1500" w:type="dxa"/>
            <w:vAlign w:val="bottom"/>
            <w:tcBorders>
              <w:bottom w:val="single" w:sz="8" w:color="CFF0FC"/>
            </w:tcBorders>
          </w:tcPr>
          <w:p>
            <w:pPr>
              <w:spacing w:after="0"/>
              <w:rPr>
                <w:sz w:val="13"/>
                <w:szCs w:val="13"/>
                <w:color w:val="auto"/>
              </w:rPr>
            </w:pPr>
          </w:p>
        </w:tc>
        <w:tc>
          <w:tcPr>
            <w:tcW w:w="260" w:type="dxa"/>
            <w:vAlign w:val="bottom"/>
            <w:tcBorders>
              <w:bottom w:val="single" w:sz="8" w:color="CFF0FC"/>
            </w:tcBorders>
          </w:tcPr>
          <w:p>
            <w:pPr>
              <w:spacing w:after="0"/>
              <w:rPr>
                <w:sz w:val="13"/>
                <w:szCs w:val="13"/>
                <w:color w:val="auto"/>
              </w:rPr>
            </w:pPr>
          </w:p>
        </w:tc>
        <w:tc>
          <w:tcPr>
            <w:tcW w:w="980" w:type="dxa"/>
            <w:vAlign w:val="bottom"/>
            <w:tcBorders>
              <w:bottom w:val="single" w:sz="8" w:color="CFF0FC"/>
            </w:tcBorders>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400" w:type="dxa"/>
            <w:vAlign w:val="bottom"/>
            <w:tcBorders>
              <w:bottom w:val="single" w:sz="8" w:color="CFF0FC"/>
            </w:tcBorders>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gridSpan w:val="3"/>
          </w:tcPr>
          <w:p>
            <w:pPr>
              <w:jc w:val="right"/>
              <w:ind w:right="187"/>
              <w:spacing w:after="0"/>
              <w:rPr>
                <w:sz w:val="20"/>
                <w:szCs w:val="20"/>
                <w:color w:val="auto"/>
              </w:rPr>
            </w:pPr>
            <w:r>
              <w:rPr>
                <w:rFonts w:ascii="Arial" w:cs="Arial" w:eastAsia="Arial" w:hAnsi="Arial"/>
                <w:sz w:val="13"/>
                <w:szCs w:val="13"/>
                <w:b w:val="1"/>
                <w:bCs w:val="1"/>
                <w:color w:val="auto"/>
                <w:w w:val="96"/>
              </w:rPr>
              <w:t>2020</w:t>
            </w:r>
          </w:p>
        </w:tc>
        <w:tc>
          <w:tcPr>
            <w:tcW w:w="4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gridSpan w:val="2"/>
          </w:tcPr>
          <w:p>
            <w:pPr>
              <w:jc w:val="right"/>
              <w:ind w:right="320"/>
              <w:spacing w:after="0"/>
              <w:rPr>
                <w:sz w:val="20"/>
                <w:szCs w:val="20"/>
                <w:color w:val="auto"/>
              </w:rPr>
            </w:pPr>
            <w:r>
              <w:rPr>
                <w:rFonts w:ascii="Arial" w:cs="Arial" w:eastAsia="Arial" w:hAnsi="Arial"/>
                <w:sz w:val="13"/>
                <w:szCs w:val="13"/>
                <w:b w:val="1"/>
                <w:bCs w:val="1"/>
                <w:color w:val="auto"/>
              </w:rPr>
              <w:t>2019</w:t>
            </w:r>
          </w:p>
        </w:tc>
        <w:tc>
          <w:tcPr>
            <w:tcW w:w="4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4340" w:type="dxa"/>
            <w:vAlign w:val="bottom"/>
            <w:shd w:val="clear" w:color="auto" w:fill="CFF0FC"/>
          </w:tcPr>
          <w:p>
            <w:pPr>
              <w:spacing w:after="0" w:line="180" w:lineRule="exact"/>
              <w:rPr>
                <w:sz w:val="20"/>
                <w:szCs w:val="20"/>
                <w:color w:val="auto"/>
              </w:rPr>
            </w:pPr>
            <w:r>
              <w:rPr>
                <w:rFonts w:ascii="Arial" w:cs="Arial" w:eastAsia="Arial" w:hAnsi="Arial"/>
                <w:sz w:val="16"/>
                <w:szCs w:val="16"/>
                <w:color w:val="auto"/>
              </w:rPr>
              <w:t>Accrued interest payable</w:t>
            </w:r>
          </w:p>
        </w:tc>
        <w:tc>
          <w:tcPr>
            <w:tcW w:w="15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00" w:type="dxa"/>
            <w:vAlign w:val="bottom"/>
            <w:shd w:val="clear" w:color="auto" w:fill="CFF0FC"/>
          </w:tcPr>
          <w:p>
            <w:pPr>
              <w:jc w:val="right"/>
              <w:ind w:right="448"/>
              <w:spacing w:after="0"/>
              <w:rPr>
                <w:sz w:val="20"/>
                <w:szCs w:val="20"/>
                <w:color w:val="auto"/>
              </w:rPr>
            </w:pPr>
            <w:r>
              <w:rPr>
                <w:rFonts w:ascii="Arial" w:cs="Arial" w:eastAsia="Arial" w:hAnsi="Arial"/>
                <w:sz w:val="15"/>
                <w:szCs w:val="15"/>
                <w:b w:val="1"/>
                <w:bCs w:val="1"/>
                <w:color w:val="auto"/>
                <w:w w:val="71"/>
              </w:rPr>
              <w:t>$</w:t>
            </w: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420" w:type="dxa"/>
            <w:vAlign w:val="bottom"/>
            <w:shd w:val="clear" w:color="auto" w:fill="CFF0FC"/>
          </w:tcPr>
          <w:p>
            <w:pPr>
              <w:jc w:val="right"/>
              <w:spacing w:after="0" w:line="180" w:lineRule="exact"/>
              <w:rPr>
                <w:sz w:val="20"/>
                <w:szCs w:val="20"/>
                <w:color w:val="auto"/>
              </w:rPr>
            </w:pPr>
            <w:r>
              <w:rPr>
                <w:rFonts w:ascii="Arial" w:cs="Arial" w:eastAsia="Arial" w:hAnsi="Arial"/>
                <w:sz w:val="16"/>
                <w:szCs w:val="16"/>
                <w:b w:val="1"/>
                <w:bCs w:val="1"/>
                <w:color w:val="auto"/>
              </w:rPr>
              <w:t>45</w:t>
            </w:r>
          </w:p>
        </w:tc>
        <w:tc>
          <w:tcPr>
            <w:tcW w:w="520" w:type="dxa"/>
            <w:vAlign w:val="bottom"/>
            <w:gridSpan w:val="3"/>
            <w:shd w:val="clear" w:color="auto" w:fill="CFF0FC"/>
          </w:tcPr>
          <w:p>
            <w:pPr>
              <w:jc w:val="right"/>
              <w:ind w:right="180"/>
              <w:spacing w:after="0" w:line="180" w:lineRule="exact"/>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440" w:type="dxa"/>
            <w:vAlign w:val="bottom"/>
            <w:shd w:val="clear" w:color="auto" w:fill="CFF0FC"/>
          </w:tcPr>
          <w:p>
            <w:pPr>
              <w:jc w:val="right"/>
              <w:ind w:right="42"/>
              <w:spacing w:after="0" w:line="180" w:lineRule="exact"/>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188"/>
        </w:trPr>
        <w:tc>
          <w:tcPr>
            <w:tcW w:w="4340" w:type="dxa"/>
            <w:vAlign w:val="bottom"/>
          </w:tcPr>
          <w:p>
            <w:pPr>
              <w:spacing w:after="0"/>
              <w:rPr>
                <w:sz w:val="20"/>
                <w:szCs w:val="20"/>
                <w:color w:val="auto"/>
              </w:rPr>
            </w:pPr>
            <w:r>
              <w:rPr>
                <w:rFonts w:ascii="Arial" w:cs="Arial" w:eastAsia="Arial" w:hAnsi="Arial"/>
                <w:sz w:val="16"/>
                <w:szCs w:val="16"/>
                <w:color w:val="auto"/>
              </w:rPr>
              <w:t>Sales allowances</w:t>
            </w:r>
          </w:p>
        </w:tc>
        <w:tc>
          <w:tcPr>
            <w:tcW w:w="15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Arial" w:cs="Arial" w:eastAsia="Arial" w:hAnsi="Arial"/>
                <w:sz w:val="16"/>
                <w:szCs w:val="16"/>
                <w:b w:val="1"/>
                <w:bCs w:val="1"/>
                <w:color w:val="auto"/>
              </w:rPr>
              <w:t>30</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40" w:type="dxa"/>
            <w:vAlign w:val="bottom"/>
          </w:tcPr>
          <w:p>
            <w:pPr>
              <w:jc w:val="right"/>
              <w:ind w:right="42"/>
              <w:spacing w:after="0"/>
              <w:rPr>
                <w:sz w:val="20"/>
                <w:szCs w:val="20"/>
                <w:color w:val="auto"/>
              </w:rPr>
            </w:pPr>
            <w:r>
              <w:rPr>
                <w:rFonts w:ascii="Arial" w:cs="Arial" w:eastAsia="Arial" w:hAnsi="Arial"/>
                <w:sz w:val="16"/>
                <w:szCs w:val="16"/>
                <w:color w:val="auto"/>
              </w:rPr>
              <w:t>32</w:t>
            </w:r>
          </w:p>
        </w:tc>
        <w:tc>
          <w:tcPr>
            <w:tcW w:w="0" w:type="dxa"/>
            <w:vAlign w:val="bottom"/>
          </w:tcPr>
          <w:p>
            <w:pPr>
              <w:spacing w:after="0"/>
              <w:rPr>
                <w:sz w:val="1"/>
                <w:szCs w:val="1"/>
                <w:color w:val="auto"/>
              </w:rPr>
            </w:pPr>
          </w:p>
        </w:tc>
      </w:tr>
      <w:tr>
        <w:trPr>
          <w:trHeight w:val="188"/>
        </w:trPr>
        <w:tc>
          <w:tcPr>
            <w:tcW w:w="4340" w:type="dxa"/>
            <w:vAlign w:val="bottom"/>
            <w:shd w:val="clear" w:color="auto" w:fill="CFF0FC"/>
          </w:tcPr>
          <w:p>
            <w:pPr>
              <w:spacing w:after="0"/>
              <w:rPr>
                <w:sz w:val="20"/>
                <w:szCs w:val="20"/>
                <w:color w:val="auto"/>
              </w:rPr>
            </w:pPr>
            <w:r>
              <w:rPr>
                <w:rFonts w:ascii="Arial" w:cs="Arial" w:eastAsia="Arial" w:hAnsi="Arial"/>
                <w:sz w:val="16"/>
                <w:szCs w:val="16"/>
                <w:color w:val="auto"/>
              </w:rPr>
              <w:t>Payroll and related costs</w:t>
            </w:r>
          </w:p>
        </w:tc>
        <w:tc>
          <w:tcPr>
            <w:tcW w:w="150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600" w:type="dxa"/>
            <w:vAlign w:val="bottom"/>
            <w:shd w:val="clear" w:color="auto" w:fill="CCECFF"/>
          </w:tcPr>
          <w:p>
            <w:pPr>
              <w:spacing w:after="0"/>
              <w:rPr>
                <w:sz w:val="16"/>
                <w:szCs w:val="16"/>
                <w:color w:val="auto"/>
              </w:rPr>
            </w:pPr>
          </w:p>
        </w:tc>
        <w:tc>
          <w:tcPr>
            <w:tcW w:w="120" w:type="dxa"/>
            <w:vAlign w:val="bottom"/>
            <w:shd w:val="clear" w:color="auto" w:fill="CCECFF"/>
          </w:tcPr>
          <w:p>
            <w:pPr>
              <w:spacing w:after="0"/>
              <w:rPr>
                <w:sz w:val="16"/>
                <w:szCs w:val="16"/>
                <w:color w:val="auto"/>
              </w:rPr>
            </w:pPr>
          </w:p>
        </w:tc>
        <w:tc>
          <w:tcPr>
            <w:tcW w:w="120" w:type="dxa"/>
            <w:vAlign w:val="bottom"/>
            <w:shd w:val="clear" w:color="auto" w:fill="CCECFF"/>
          </w:tcPr>
          <w:p>
            <w:pPr>
              <w:spacing w:after="0"/>
              <w:rPr>
                <w:sz w:val="16"/>
                <w:szCs w:val="16"/>
                <w:color w:val="auto"/>
              </w:rPr>
            </w:pPr>
          </w:p>
        </w:tc>
        <w:tc>
          <w:tcPr>
            <w:tcW w:w="320" w:type="dxa"/>
            <w:vAlign w:val="bottom"/>
            <w:shd w:val="clear" w:color="auto" w:fill="CCECFF"/>
          </w:tcPr>
          <w:p>
            <w:pPr>
              <w:spacing w:after="0"/>
              <w:rPr>
                <w:sz w:val="16"/>
                <w:szCs w:val="16"/>
                <w:color w:val="auto"/>
              </w:rPr>
            </w:pPr>
          </w:p>
        </w:tc>
        <w:tc>
          <w:tcPr>
            <w:tcW w:w="420" w:type="dxa"/>
            <w:vAlign w:val="bottom"/>
            <w:shd w:val="clear" w:color="auto" w:fill="CCECFF"/>
          </w:tcPr>
          <w:p>
            <w:pPr>
              <w:jc w:val="right"/>
              <w:spacing w:after="0"/>
              <w:rPr>
                <w:sz w:val="20"/>
                <w:szCs w:val="20"/>
                <w:color w:val="auto"/>
              </w:rPr>
            </w:pPr>
            <w:r>
              <w:rPr>
                <w:rFonts w:ascii="Arial" w:cs="Arial" w:eastAsia="Arial" w:hAnsi="Arial"/>
                <w:sz w:val="16"/>
                <w:szCs w:val="16"/>
                <w:b w:val="1"/>
                <w:bCs w:val="1"/>
                <w:color w:val="auto"/>
              </w:rPr>
              <w:t>29</w:t>
            </w:r>
          </w:p>
        </w:tc>
        <w:tc>
          <w:tcPr>
            <w:tcW w:w="80" w:type="dxa"/>
            <w:vAlign w:val="bottom"/>
            <w:shd w:val="clear" w:color="auto" w:fill="CCECFF"/>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280" w:type="dxa"/>
            <w:vAlign w:val="bottom"/>
            <w:shd w:val="clear" w:color="auto" w:fill="CCECFF"/>
          </w:tcPr>
          <w:p>
            <w:pPr>
              <w:spacing w:after="0"/>
              <w:rPr>
                <w:sz w:val="16"/>
                <w:szCs w:val="16"/>
                <w:color w:val="auto"/>
              </w:rPr>
            </w:pPr>
          </w:p>
        </w:tc>
        <w:tc>
          <w:tcPr>
            <w:tcW w:w="120" w:type="dxa"/>
            <w:vAlign w:val="bottom"/>
            <w:shd w:val="clear" w:color="auto" w:fill="CCECFF"/>
          </w:tcPr>
          <w:p>
            <w:pPr>
              <w:spacing w:after="0"/>
              <w:rPr>
                <w:sz w:val="16"/>
                <w:szCs w:val="16"/>
                <w:color w:val="auto"/>
              </w:rPr>
            </w:pPr>
          </w:p>
        </w:tc>
        <w:tc>
          <w:tcPr>
            <w:tcW w:w="840" w:type="dxa"/>
            <w:vAlign w:val="bottom"/>
            <w:shd w:val="clear" w:color="auto" w:fill="CCECFF"/>
          </w:tcPr>
          <w:p>
            <w:pPr>
              <w:spacing w:after="0"/>
              <w:rPr>
                <w:sz w:val="16"/>
                <w:szCs w:val="16"/>
                <w:color w:val="auto"/>
              </w:rPr>
            </w:pPr>
          </w:p>
        </w:tc>
        <w:tc>
          <w:tcPr>
            <w:tcW w:w="440" w:type="dxa"/>
            <w:vAlign w:val="bottom"/>
            <w:shd w:val="clear" w:color="auto" w:fill="CCECFF"/>
          </w:tcPr>
          <w:p>
            <w:pPr>
              <w:jc w:val="right"/>
              <w:ind w:right="42"/>
              <w:spacing w:after="0"/>
              <w:rPr>
                <w:sz w:val="20"/>
                <w:szCs w:val="20"/>
                <w:color w:val="auto"/>
              </w:rPr>
            </w:pPr>
            <w:r>
              <w:rPr>
                <w:rFonts w:ascii="Arial" w:cs="Arial" w:eastAsia="Arial" w:hAnsi="Arial"/>
                <w:sz w:val="16"/>
                <w:szCs w:val="16"/>
                <w:color w:val="auto"/>
              </w:rPr>
              <w:t>87</w:t>
            </w:r>
          </w:p>
        </w:tc>
        <w:tc>
          <w:tcPr>
            <w:tcW w:w="0" w:type="dxa"/>
            <w:vAlign w:val="bottom"/>
          </w:tcPr>
          <w:p>
            <w:pPr>
              <w:spacing w:after="0"/>
              <w:rPr>
                <w:sz w:val="1"/>
                <w:szCs w:val="1"/>
                <w:color w:val="auto"/>
              </w:rPr>
            </w:pPr>
          </w:p>
        </w:tc>
      </w:tr>
      <w:tr>
        <w:trPr>
          <w:trHeight w:val="188"/>
        </w:trPr>
        <w:tc>
          <w:tcPr>
            <w:tcW w:w="4340" w:type="dxa"/>
            <w:vAlign w:val="bottom"/>
          </w:tcPr>
          <w:p>
            <w:pPr>
              <w:spacing w:after="0"/>
              <w:rPr>
                <w:sz w:val="20"/>
                <w:szCs w:val="20"/>
                <w:color w:val="auto"/>
              </w:rPr>
            </w:pPr>
            <w:r>
              <w:rPr>
                <w:rFonts w:ascii="Arial" w:cs="Arial" w:eastAsia="Arial" w:hAnsi="Arial"/>
                <w:sz w:val="16"/>
                <w:szCs w:val="16"/>
                <w:color w:val="auto"/>
              </w:rPr>
              <w:t>Vendor buyback obligation</w:t>
            </w:r>
          </w:p>
        </w:tc>
        <w:tc>
          <w:tcPr>
            <w:tcW w:w="15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Arial" w:cs="Arial" w:eastAsia="Arial" w:hAnsi="Arial"/>
                <w:sz w:val="16"/>
                <w:szCs w:val="16"/>
                <w:b w:val="1"/>
                <w:bCs w:val="1"/>
                <w:color w:val="auto"/>
              </w:rPr>
              <w:t>16</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40" w:type="dxa"/>
            <w:vAlign w:val="bottom"/>
          </w:tcPr>
          <w:p>
            <w:pPr>
              <w:jc w:val="right"/>
              <w:ind w:right="42"/>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188"/>
        </w:trPr>
        <w:tc>
          <w:tcPr>
            <w:tcW w:w="4340" w:type="dxa"/>
            <w:vAlign w:val="bottom"/>
            <w:shd w:val="clear" w:color="auto" w:fill="CFF0FC"/>
          </w:tcPr>
          <w:p>
            <w:pPr>
              <w:spacing w:after="0"/>
              <w:rPr>
                <w:sz w:val="20"/>
                <w:szCs w:val="20"/>
                <w:color w:val="auto"/>
              </w:rPr>
            </w:pPr>
            <w:r>
              <w:rPr>
                <w:rFonts w:ascii="Arial" w:cs="Arial" w:eastAsia="Arial" w:hAnsi="Arial"/>
                <w:sz w:val="16"/>
                <w:szCs w:val="16"/>
                <w:color w:val="auto"/>
              </w:rPr>
              <w:t>Derivative liabilities</w:t>
            </w:r>
          </w:p>
        </w:tc>
        <w:tc>
          <w:tcPr>
            <w:tcW w:w="150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12</w:t>
            </w:r>
          </w:p>
        </w:tc>
        <w:tc>
          <w:tcPr>
            <w:tcW w:w="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44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188"/>
        </w:trPr>
        <w:tc>
          <w:tcPr>
            <w:tcW w:w="4340" w:type="dxa"/>
            <w:vAlign w:val="bottom"/>
          </w:tcPr>
          <w:p>
            <w:pPr>
              <w:spacing w:after="0"/>
              <w:rPr>
                <w:sz w:val="20"/>
                <w:szCs w:val="20"/>
                <w:color w:val="auto"/>
              </w:rPr>
            </w:pPr>
            <w:r>
              <w:rPr>
                <w:rFonts w:ascii="Arial" w:cs="Arial" w:eastAsia="Arial" w:hAnsi="Arial"/>
                <w:sz w:val="16"/>
                <w:szCs w:val="16"/>
                <w:color w:val="auto"/>
              </w:rPr>
              <w:t>Taxes payable</w:t>
            </w:r>
          </w:p>
        </w:tc>
        <w:tc>
          <w:tcPr>
            <w:tcW w:w="15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Arial" w:cs="Arial" w:eastAsia="Arial" w:hAnsi="Arial"/>
                <w:sz w:val="16"/>
                <w:szCs w:val="16"/>
                <w:b w:val="1"/>
                <w:bCs w:val="1"/>
                <w:color w:val="auto"/>
              </w:rPr>
              <w:t>11</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40" w:type="dxa"/>
            <w:vAlign w:val="bottom"/>
          </w:tcPr>
          <w:p>
            <w:pPr>
              <w:jc w:val="right"/>
              <w:ind w:right="42"/>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188"/>
        </w:trPr>
        <w:tc>
          <w:tcPr>
            <w:tcW w:w="4340" w:type="dxa"/>
            <w:vAlign w:val="bottom"/>
            <w:shd w:val="clear" w:color="auto" w:fill="CFF0FC"/>
          </w:tcPr>
          <w:p>
            <w:pPr>
              <w:spacing w:after="0"/>
              <w:rPr>
                <w:sz w:val="20"/>
                <w:szCs w:val="20"/>
                <w:color w:val="auto"/>
              </w:rPr>
            </w:pPr>
            <w:r>
              <w:rPr>
                <w:rFonts w:ascii="Arial" w:cs="Arial" w:eastAsia="Arial" w:hAnsi="Arial"/>
                <w:sz w:val="16"/>
                <w:szCs w:val="16"/>
                <w:color w:val="auto"/>
              </w:rPr>
              <w:t>Lease liability</w:t>
            </w:r>
          </w:p>
        </w:tc>
        <w:tc>
          <w:tcPr>
            <w:tcW w:w="150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5</w:t>
            </w:r>
          </w:p>
        </w:tc>
        <w:tc>
          <w:tcPr>
            <w:tcW w:w="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44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188"/>
        </w:trPr>
        <w:tc>
          <w:tcPr>
            <w:tcW w:w="4340" w:type="dxa"/>
            <w:vAlign w:val="bottom"/>
          </w:tcPr>
          <w:p>
            <w:pPr>
              <w:spacing w:after="0"/>
              <w:rPr>
                <w:sz w:val="20"/>
                <w:szCs w:val="20"/>
                <w:color w:val="auto"/>
              </w:rPr>
            </w:pPr>
            <w:r>
              <w:rPr>
                <w:rFonts w:ascii="Arial" w:cs="Arial" w:eastAsia="Arial" w:hAnsi="Arial"/>
                <w:sz w:val="16"/>
                <w:szCs w:val="16"/>
                <w:color w:val="auto"/>
              </w:rPr>
              <w:t>Vendor liability</w:t>
            </w:r>
          </w:p>
        </w:tc>
        <w:tc>
          <w:tcPr>
            <w:tcW w:w="15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Arial" w:cs="Arial" w:eastAsia="Arial" w:hAnsi="Arial"/>
                <w:sz w:val="16"/>
                <w:szCs w:val="16"/>
                <w:b w:val="1"/>
                <w:bCs w:val="1"/>
                <w:color w:val="auto"/>
              </w:rPr>
              <w:t>3</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40" w:type="dxa"/>
            <w:vAlign w:val="bottom"/>
          </w:tcPr>
          <w:p>
            <w:pPr>
              <w:jc w:val="right"/>
              <w:ind w:right="42"/>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188"/>
        </w:trPr>
        <w:tc>
          <w:tcPr>
            <w:tcW w:w="4340" w:type="dxa"/>
            <w:vAlign w:val="bottom"/>
            <w:shd w:val="clear" w:color="auto" w:fill="CFF0FC"/>
          </w:tcPr>
          <w:p>
            <w:pPr>
              <w:spacing w:after="0"/>
              <w:rPr>
                <w:sz w:val="20"/>
                <w:szCs w:val="20"/>
                <w:color w:val="auto"/>
              </w:rPr>
            </w:pPr>
            <w:r>
              <w:rPr>
                <w:rFonts w:ascii="Arial" w:cs="Arial" w:eastAsia="Arial" w:hAnsi="Arial"/>
                <w:sz w:val="16"/>
                <w:szCs w:val="16"/>
                <w:color w:val="auto"/>
              </w:rPr>
              <w:t>Non-trade payables</w:t>
            </w:r>
          </w:p>
        </w:tc>
        <w:tc>
          <w:tcPr>
            <w:tcW w:w="150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2</w:t>
            </w:r>
          </w:p>
        </w:tc>
        <w:tc>
          <w:tcPr>
            <w:tcW w:w="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44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188"/>
        </w:trPr>
        <w:tc>
          <w:tcPr>
            <w:tcW w:w="434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Other accruals</w:t>
            </w:r>
          </w:p>
        </w:tc>
        <w:tc>
          <w:tcPr>
            <w:tcW w:w="1500" w:type="dxa"/>
            <w:vAlign w:val="bottom"/>
            <w:tcBorders>
              <w:bottom w:val="single" w:sz="8" w:color="CFF0FC"/>
            </w:tcBorders>
          </w:tcPr>
          <w:p>
            <w:pPr>
              <w:spacing w:after="0"/>
              <w:rPr>
                <w:sz w:val="16"/>
                <w:szCs w:val="16"/>
                <w:color w:val="auto"/>
              </w:rPr>
            </w:pPr>
          </w:p>
        </w:tc>
        <w:tc>
          <w:tcPr>
            <w:tcW w:w="260" w:type="dxa"/>
            <w:vAlign w:val="bottom"/>
            <w:tcBorders>
              <w:bottom w:val="single" w:sz="8" w:color="CFF0FC"/>
            </w:tcBorders>
          </w:tcPr>
          <w:p>
            <w:pPr>
              <w:spacing w:after="0"/>
              <w:rPr>
                <w:sz w:val="16"/>
                <w:szCs w:val="16"/>
                <w:color w:val="auto"/>
              </w:rPr>
            </w:pPr>
          </w:p>
        </w:tc>
        <w:tc>
          <w:tcPr>
            <w:tcW w:w="980" w:type="dxa"/>
            <w:vAlign w:val="bottom"/>
            <w:tcBorders>
              <w:bottom w:val="single" w:sz="8" w:color="CFF0FC"/>
            </w:tcBorders>
          </w:tcPr>
          <w:p>
            <w:pPr>
              <w:spacing w:after="0"/>
              <w:rPr>
                <w:sz w:val="16"/>
                <w:szCs w:val="16"/>
                <w:color w:val="auto"/>
              </w:rPr>
            </w:pPr>
          </w:p>
        </w:tc>
        <w:tc>
          <w:tcPr>
            <w:tcW w:w="140" w:type="dxa"/>
            <w:vAlign w:val="bottom"/>
            <w:tcBorders>
              <w:bottom w:val="single" w:sz="8" w:color="CFF0FC"/>
            </w:tcBorders>
          </w:tcPr>
          <w:p>
            <w:pPr>
              <w:spacing w:after="0"/>
              <w:rPr>
                <w:sz w:val="16"/>
                <w:szCs w:val="16"/>
                <w:color w:val="auto"/>
              </w:rPr>
            </w:pPr>
          </w:p>
        </w:tc>
        <w:tc>
          <w:tcPr>
            <w:tcW w:w="400" w:type="dxa"/>
            <w:vAlign w:val="bottom"/>
            <w:tcBorders>
              <w:bottom w:val="single" w:sz="8" w:color="CFF0FC"/>
            </w:tcBorders>
          </w:tcPr>
          <w:p>
            <w:pPr>
              <w:spacing w:after="0"/>
              <w:rPr>
                <w:sz w:val="16"/>
                <w:szCs w:val="16"/>
                <w:color w:val="auto"/>
              </w:rPr>
            </w:pPr>
          </w:p>
        </w:tc>
        <w:tc>
          <w:tcPr>
            <w:tcW w:w="140" w:type="dxa"/>
            <w:vAlign w:val="bottom"/>
            <w:tcBorders>
              <w:bottom w:val="single" w:sz="8" w:color="CFF0FC"/>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17</w:t>
            </w:r>
          </w:p>
        </w:tc>
        <w:tc>
          <w:tcPr>
            <w:tcW w:w="80" w:type="dxa"/>
            <w:vAlign w:val="bottom"/>
            <w:tcBorders>
              <w:bottom w:val="single" w:sz="8" w:color="auto"/>
            </w:tcBorders>
          </w:tcPr>
          <w:p>
            <w:pPr>
              <w:spacing w:after="0"/>
              <w:rPr>
                <w:sz w:val="16"/>
                <w:szCs w:val="16"/>
                <w:color w:val="auto"/>
              </w:rPr>
            </w:pPr>
          </w:p>
        </w:tc>
        <w:tc>
          <w:tcPr>
            <w:tcW w:w="160" w:type="dxa"/>
            <w:vAlign w:val="bottom"/>
            <w:tcBorders>
              <w:bottom w:val="single" w:sz="8" w:color="CFF0FC"/>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180"/>
        </w:trPr>
        <w:tc>
          <w:tcPr>
            <w:tcW w:w="4340" w:type="dxa"/>
            <w:vAlign w:val="bottom"/>
            <w:shd w:val="clear" w:color="auto" w:fill="CFF0FC"/>
          </w:tcPr>
          <w:p>
            <w:pPr>
              <w:ind w:left="200"/>
              <w:spacing w:after="0" w:line="180" w:lineRule="exact"/>
              <w:rPr>
                <w:sz w:val="20"/>
                <w:szCs w:val="20"/>
                <w:color w:val="auto"/>
              </w:rPr>
            </w:pPr>
            <w:r>
              <w:rPr>
                <w:rFonts w:ascii="Arial" w:cs="Arial" w:eastAsia="Arial" w:hAnsi="Arial"/>
                <w:sz w:val="16"/>
                <w:szCs w:val="16"/>
                <w:color w:val="auto"/>
              </w:rPr>
              <w:t>Total</w:t>
            </w:r>
          </w:p>
        </w:tc>
        <w:tc>
          <w:tcPr>
            <w:tcW w:w="15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00" w:type="dxa"/>
            <w:vAlign w:val="bottom"/>
            <w:shd w:val="clear" w:color="auto" w:fill="CFF0FC"/>
          </w:tcPr>
          <w:p>
            <w:pPr>
              <w:jc w:val="right"/>
              <w:ind w:right="448"/>
              <w:spacing w:after="0"/>
              <w:rPr>
                <w:sz w:val="20"/>
                <w:szCs w:val="20"/>
                <w:color w:val="auto"/>
              </w:rPr>
            </w:pPr>
            <w:r>
              <w:rPr>
                <w:rFonts w:ascii="Arial" w:cs="Arial" w:eastAsia="Arial" w:hAnsi="Arial"/>
                <w:sz w:val="15"/>
                <w:szCs w:val="15"/>
                <w:b w:val="1"/>
                <w:bCs w:val="1"/>
                <w:color w:val="auto"/>
                <w:w w:val="71"/>
              </w:rPr>
              <w:t>$</w:t>
            </w: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420" w:type="dxa"/>
            <w:vAlign w:val="bottom"/>
            <w:shd w:val="clear" w:color="auto" w:fill="CFF0FC"/>
          </w:tcPr>
          <w:p>
            <w:pPr>
              <w:jc w:val="right"/>
              <w:spacing w:after="0" w:line="180" w:lineRule="exact"/>
              <w:rPr>
                <w:sz w:val="20"/>
                <w:szCs w:val="20"/>
                <w:color w:val="auto"/>
              </w:rPr>
            </w:pPr>
            <w:r>
              <w:rPr>
                <w:rFonts w:ascii="Arial" w:cs="Arial" w:eastAsia="Arial" w:hAnsi="Arial"/>
                <w:sz w:val="16"/>
                <w:szCs w:val="16"/>
                <w:b w:val="1"/>
                <w:bCs w:val="1"/>
                <w:color w:val="auto"/>
              </w:rPr>
              <w:t>170</w:t>
            </w:r>
          </w:p>
        </w:tc>
        <w:tc>
          <w:tcPr>
            <w:tcW w:w="520" w:type="dxa"/>
            <w:vAlign w:val="bottom"/>
            <w:gridSpan w:val="3"/>
            <w:shd w:val="clear" w:color="auto" w:fill="CFF0FC"/>
          </w:tcPr>
          <w:p>
            <w:pPr>
              <w:jc w:val="right"/>
              <w:ind w:right="180"/>
              <w:spacing w:after="0" w:line="180" w:lineRule="exact"/>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440" w:type="dxa"/>
            <w:vAlign w:val="bottom"/>
            <w:shd w:val="clear" w:color="auto" w:fill="CFF0FC"/>
          </w:tcPr>
          <w:p>
            <w:pPr>
              <w:jc w:val="right"/>
              <w:ind w:right="42"/>
              <w:spacing w:after="0" w:line="180" w:lineRule="exact"/>
              <w:rPr>
                <w:sz w:val="20"/>
                <w:szCs w:val="20"/>
                <w:color w:val="auto"/>
              </w:rPr>
            </w:pPr>
            <w:r>
              <w:rPr>
                <w:rFonts w:ascii="Arial" w:cs="Arial" w:eastAsia="Arial" w:hAnsi="Arial"/>
                <w:sz w:val="16"/>
                <w:szCs w:val="16"/>
                <w:color w:val="auto"/>
              </w:rPr>
              <w:t>202</w:t>
            </w:r>
          </w:p>
        </w:tc>
        <w:tc>
          <w:tcPr>
            <w:tcW w:w="0" w:type="dxa"/>
            <w:vAlign w:val="bottom"/>
          </w:tcPr>
          <w:p>
            <w:pPr>
              <w:spacing w:after="0"/>
              <w:rPr>
                <w:sz w:val="1"/>
                <w:szCs w:val="1"/>
                <w:color w:val="auto"/>
              </w:rPr>
            </w:pPr>
          </w:p>
        </w:tc>
      </w:tr>
      <w:tr>
        <w:trPr>
          <w:trHeight w:val="20"/>
        </w:trPr>
        <w:tc>
          <w:tcPr>
            <w:tcW w:w="434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6"/>
                <w:szCs w:val="16"/>
                <w:b w:val="1"/>
                <w:bCs w:val="1"/>
                <w:color w:val="auto"/>
              </w:rPr>
              <w:t>NOTE M. EMPLOYEE BENEFIT PLANS</w:t>
            </w:r>
          </w:p>
        </w:tc>
        <w:tc>
          <w:tcPr>
            <w:tcW w:w="150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9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4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6"/>
        </w:trPr>
        <w:tc>
          <w:tcPr>
            <w:tcW w:w="4340" w:type="dxa"/>
            <w:vAlign w:val="bottom"/>
            <w:vMerge w:val="continue"/>
          </w:tcPr>
          <w:p>
            <w:pPr>
              <w:spacing w:after="0"/>
              <w:rPr>
                <w:sz w:val="24"/>
                <w:szCs w:val="24"/>
                <w:color w:val="auto"/>
              </w:rPr>
            </w:pPr>
          </w:p>
        </w:tc>
        <w:tc>
          <w:tcPr>
            <w:tcW w:w="1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7220" w:type="dxa"/>
            <w:vAlign w:val="bottom"/>
            <w:gridSpan w:val="5"/>
          </w:tcPr>
          <w:p>
            <w:pPr>
              <w:ind w:left="520"/>
              <w:spacing w:after="0"/>
              <w:rPr>
                <w:sz w:val="20"/>
                <w:szCs w:val="20"/>
                <w:color w:val="auto"/>
              </w:rPr>
            </w:pPr>
            <w:r>
              <w:rPr>
                <w:rFonts w:ascii="Arial" w:cs="Arial" w:eastAsia="Arial" w:hAnsi="Arial"/>
                <w:sz w:val="16"/>
                <w:szCs w:val="16"/>
                <w:color w:val="auto"/>
              </w:rPr>
              <w:t>Components of net periodic benefit cost (credit) consist of the following (dollars in millions):</w:t>
            </w:r>
          </w:p>
        </w:tc>
        <w:tc>
          <w:tcPr>
            <w:tcW w:w="4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00"/>
        </w:trPr>
        <w:tc>
          <w:tcPr>
            <w:tcW w:w="43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3"/>
          </w:tcPr>
          <w:p>
            <w:pPr>
              <w:jc w:val="center"/>
              <w:ind w:left="409"/>
              <w:spacing w:after="0"/>
              <w:rPr>
                <w:sz w:val="20"/>
                <w:szCs w:val="20"/>
                <w:color w:val="auto"/>
              </w:rPr>
            </w:pPr>
            <w:r>
              <w:rPr>
                <w:rFonts w:ascii="Arial" w:cs="Arial" w:eastAsia="Arial" w:hAnsi="Arial"/>
                <w:sz w:val="13"/>
                <w:szCs w:val="13"/>
                <w:b w:val="1"/>
                <w:bCs w:val="1"/>
                <w:color w:val="auto"/>
                <w:w w:val="94"/>
              </w:rPr>
              <w:t>Pension Plans</w:t>
            </w:r>
          </w:p>
        </w:tc>
        <w:tc>
          <w:tcPr>
            <w:tcW w:w="1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gridSpan w:val="6"/>
          </w:tcPr>
          <w:p>
            <w:pPr>
              <w:jc w:val="center"/>
              <w:spacing w:after="0"/>
              <w:rPr>
                <w:sz w:val="20"/>
                <w:szCs w:val="20"/>
                <w:color w:val="auto"/>
              </w:rPr>
            </w:pPr>
            <w:r>
              <w:rPr>
                <w:rFonts w:ascii="Arial" w:cs="Arial" w:eastAsia="Arial" w:hAnsi="Arial"/>
                <w:sz w:val="13"/>
                <w:szCs w:val="13"/>
                <w:b w:val="1"/>
                <w:bCs w:val="1"/>
                <w:color w:val="auto"/>
                <w:w w:val="96"/>
              </w:rPr>
              <w:t>Post-retirement Benefits</w:t>
            </w:r>
          </w:p>
        </w:tc>
        <w:tc>
          <w:tcPr>
            <w:tcW w:w="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434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60" w:type="dxa"/>
            <w:vAlign w:val="bottom"/>
            <w:gridSpan w:val="5"/>
          </w:tcPr>
          <w:p>
            <w:pPr>
              <w:jc w:val="center"/>
              <w:ind w:right="188"/>
              <w:spacing w:after="0" w:line="133" w:lineRule="exact"/>
              <w:rPr>
                <w:sz w:val="20"/>
                <w:szCs w:val="20"/>
                <w:color w:val="auto"/>
              </w:rPr>
            </w:pPr>
            <w:r>
              <w:rPr>
                <w:rFonts w:ascii="Arial" w:cs="Arial" w:eastAsia="Arial" w:hAnsi="Arial"/>
                <w:sz w:val="13"/>
                <w:szCs w:val="13"/>
                <w:b w:val="1"/>
                <w:bCs w:val="1"/>
                <w:color w:val="auto"/>
                <w:w w:val="96"/>
              </w:rPr>
              <w:t>For the Three Months</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900" w:type="dxa"/>
            <w:vAlign w:val="bottom"/>
            <w:gridSpan w:val="6"/>
          </w:tcPr>
          <w:p>
            <w:pPr>
              <w:jc w:val="center"/>
              <w:ind w:right="20"/>
              <w:spacing w:after="0" w:line="133" w:lineRule="exact"/>
              <w:rPr>
                <w:sz w:val="20"/>
                <w:szCs w:val="20"/>
                <w:color w:val="auto"/>
              </w:rPr>
            </w:pPr>
            <w:r>
              <w:rPr>
                <w:rFonts w:ascii="Arial" w:cs="Arial" w:eastAsia="Arial" w:hAnsi="Arial"/>
                <w:sz w:val="13"/>
                <w:szCs w:val="13"/>
                <w:b w:val="1"/>
                <w:bCs w:val="1"/>
                <w:color w:val="auto"/>
                <w:w w:val="96"/>
              </w:rPr>
              <w:t>For the Three Months</w:t>
            </w: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434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20" w:type="dxa"/>
            <w:vAlign w:val="bottom"/>
            <w:gridSpan w:val="3"/>
          </w:tcPr>
          <w:p>
            <w:pPr>
              <w:jc w:val="center"/>
              <w:ind w:left="409"/>
              <w:spacing w:after="0"/>
              <w:rPr>
                <w:sz w:val="20"/>
                <w:szCs w:val="20"/>
                <w:color w:val="auto"/>
              </w:rPr>
            </w:pPr>
            <w:r>
              <w:rPr>
                <w:rFonts w:ascii="Arial" w:cs="Arial" w:eastAsia="Arial" w:hAnsi="Arial"/>
                <w:sz w:val="13"/>
                <w:szCs w:val="13"/>
                <w:b w:val="1"/>
                <w:bCs w:val="1"/>
                <w:color w:val="auto"/>
                <w:w w:val="96"/>
              </w:rPr>
              <w:t>Ended March 31,</w:t>
            </w: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480" w:type="dxa"/>
            <w:vAlign w:val="bottom"/>
            <w:gridSpan w:val="5"/>
          </w:tcPr>
          <w:p>
            <w:pPr>
              <w:jc w:val="center"/>
              <w:ind w:right="420"/>
              <w:spacing w:after="0"/>
              <w:rPr>
                <w:sz w:val="20"/>
                <w:szCs w:val="20"/>
                <w:color w:val="auto"/>
              </w:rPr>
            </w:pPr>
            <w:r>
              <w:rPr>
                <w:rFonts w:ascii="Arial" w:cs="Arial" w:eastAsia="Arial" w:hAnsi="Arial"/>
                <w:sz w:val="13"/>
                <w:szCs w:val="13"/>
                <w:b w:val="1"/>
                <w:bCs w:val="1"/>
                <w:color w:val="auto"/>
                <w:w w:val="94"/>
              </w:rPr>
              <w:t>Ended March 31,</w:t>
            </w: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34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jc w:val="right"/>
              <w:ind w:right="469"/>
              <w:spacing w:after="0"/>
              <w:rPr>
                <w:sz w:val="20"/>
                <w:szCs w:val="20"/>
                <w:color w:val="auto"/>
              </w:rPr>
            </w:pPr>
            <w:r>
              <w:rPr>
                <w:rFonts w:ascii="Arial" w:cs="Arial" w:eastAsia="Arial" w:hAnsi="Arial"/>
                <w:sz w:val="13"/>
                <w:szCs w:val="13"/>
                <w:b w:val="1"/>
                <w:bCs w:val="1"/>
                <w:color w:val="auto"/>
              </w:rPr>
              <w:t>2020</w:t>
            </w:r>
          </w:p>
        </w:tc>
        <w:tc>
          <w:tcPr>
            <w:tcW w:w="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40" w:type="dxa"/>
            <w:vAlign w:val="bottom"/>
            <w:gridSpan w:val="2"/>
          </w:tcPr>
          <w:p>
            <w:pPr>
              <w:jc w:val="right"/>
              <w:ind w:right="368"/>
              <w:spacing w:after="0"/>
              <w:rPr>
                <w:sz w:val="20"/>
                <w:szCs w:val="20"/>
                <w:color w:val="auto"/>
              </w:rPr>
            </w:pPr>
            <w:r>
              <w:rPr>
                <w:rFonts w:ascii="Arial" w:cs="Arial" w:eastAsia="Arial" w:hAnsi="Arial"/>
                <w:sz w:val="13"/>
                <w:szCs w:val="13"/>
                <w:b w:val="1"/>
                <w:bCs w:val="1"/>
                <w:color w:val="auto"/>
                <w:w w:val="96"/>
              </w:rPr>
              <w:t>2019</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3"/>
                <w:szCs w:val="13"/>
                <w:b w:val="1"/>
                <w:bCs w:val="1"/>
                <w:color w:val="auto"/>
              </w:rPr>
              <w:t>2020</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2019</w:t>
            </w: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4340" w:type="dxa"/>
            <w:vAlign w:val="bottom"/>
            <w:tcBorders>
              <w:top w:val="single" w:sz="8" w:color="CFF0FC"/>
            </w:tcBorders>
            <w:shd w:val="clear" w:color="auto" w:fill="CFF0FC"/>
          </w:tcPr>
          <w:p>
            <w:pPr>
              <w:spacing w:after="0" w:line="180" w:lineRule="exact"/>
              <w:rPr>
                <w:sz w:val="20"/>
                <w:szCs w:val="20"/>
                <w:color w:val="auto"/>
              </w:rPr>
            </w:pPr>
            <w:r>
              <w:rPr>
                <w:rFonts w:ascii="Arial" w:cs="Arial" w:eastAsia="Arial" w:hAnsi="Arial"/>
                <w:sz w:val="16"/>
                <w:szCs w:val="16"/>
                <w:color w:val="auto"/>
              </w:rPr>
              <w:t>Net periodic benefit cost:</w:t>
            </w:r>
          </w:p>
        </w:tc>
        <w:tc>
          <w:tcPr>
            <w:tcW w:w="1500" w:type="dxa"/>
            <w:vAlign w:val="bottom"/>
            <w:tcBorders>
              <w:top w:val="single" w:sz="8" w:color="CFF0FC"/>
            </w:tcBorders>
            <w:shd w:val="clear" w:color="auto" w:fill="CFF0FC"/>
          </w:tcPr>
          <w:p>
            <w:pPr>
              <w:spacing w:after="0"/>
              <w:rPr>
                <w:sz w:val="15"/>
                <w:szCs w:val="15"/>
                <w:color w:val="auto"/>
              </w:rPr>
            </w:pPr>
          </w:p>
        </w:tc>
        <w:tc>
          <w:tcPr>
            <w:tcW w:w="260" w:type="dxa"/>
            <w:vAlign w:val="bottom"/>
            <w:tcBorders>
              <w:top w:val="single" w:sz="8" w:color="auto"/>
            </w:tcBorders>
            <w:shd w:val="clear" w:color="auto" w:fill="CFF0FC"/>
          </w:tcPr>
          <w:p>
            <w:pPr>
              <w:spacing w:after="0"/>
              <w:rPr>
                <w:sz w:val="15"/>
                <w:szCs w:val="15"/>
                <w:color w:val="auto"/>
              </w:rPr>
            </w:pPr>
          </w:p>
        </w:tc>
        <w:tc>
          <w:tcPr>
            <w:tcW w:w="980" w:type="dxa"/>
            <w:vAlign w:val="bottom"/>
            <w:tcBorders>
              <w:top w:val="single" w:sz="8" w:color="auto"/>
            </w:tcBorders>
            <w:shd w:val="clear" w:color="auto" w:fill="CFF0FC"/>
          </w:tcPr>
          <w:p>
            <w:pPr>
              <w:spacing w:after="0"/>
              <w:rPr>
                <w:sz w:val="15"/>
                <w:szCs w:val="15"/>
                <w:color w:val="auto"/>
              </w:rPr>
            </w:pPr>
          </w:p>
        </w:tc>
        <w:tc>
          <w:tcPr>
            <w:tcW w:w="140" w:type="dxa"/>
            <w:vAlign w:val="bottom"/>
            <w:tcBorders>
              <w:top w:val="single" w:sz="8" w:color="CFF0FC"/>
            </w:tcBorders>
            <w:shd w:val="clear" w:color="auto" w:fill="CFF0FC"/>
          </w:tcPr>
          <w:p>
            <w:pPr>
              <w:spacing w:after="0"/>
              <w:rPr>
                <w:sz w:val="15"/>
                <w:szCs w:val="15"/>
                <w:color w:val="auto"/>
              </w:rPr>
            </w:pPr>
          </w:p>
        </w:tc>
        <w:tc>
          <w:tcPr>
            <w:tcW w:w="400" w:type="dxa"/>
            <w:vAlign w:val="bottom"/>
            <w:tcBorders>
              <w:top w:val="single" w:sz="8" w:color="auto"/>
            </w:tcBorders>
            <w:shd w:val="clear" w:color="auto" w:fill="CFF0FC"/>
          </w:tcPr>
          <w:p>
            <w:pPr>
              <w:spacing w:after="0"/>
              <w:rPr>
                <w:sz w:val="15"/>
                <w:szCs w:val="15"/>
                <w:color w:val="auto"/>
              </w:rPr>
            </w:pPr>
          </w:p>
        </w:tc>
        <w:tc>
          <w:tcPr>
            <w:tcW w:w="140" w:type="dxa"/>
            <w:vAlign w:val="bottom"/>
            <w:tcBorders>
              <w:top w:val="single" w:sz="8" w:color="auto"/>
            </w:tcBorders>
            <w:shd w:val="clear" w:color="auto" w:fill="CFF0FC"/>
          </w:tcPr>
          <w:p>
            <w:pPr>
              <w:spacing w:after="0"/>
              <w:rPr>
                <w:sz w:val="15"/>
                <w:szCs w:val="15"/>
                <w:color w:val="auto"/>
              </w:rPr>
            </w:pPr>
          </w:p>
        </w:tc>
        <w:tc>
          <w:tcPr>
            <w:tcW w:w="600" w:type="dxa"/>
            <w:vAlign w:val="bottom"/>
            <w:tcBorders>
              <w:top w:val="single" w:sz="8" w:color="auto"/>
            </w:tcBorders>
            <w:shd w:val="clear" w:color="auto" w:fill="CFF0FC"/>
          </w:tcPr>
          <w:p>
            <w:pPr>
              <w:spacing w:after="0"/>
              <w:rPr>
                <w:sz w:val="15"/>
                <w:szCs w:val="15"/>
                <w:color w:val="auto"/>
              </w:rPr>
            </w:pPr>
          </w:p>
        </w:tc>
        <w:tc>
          <w:tcPr>
            <w:tcW w:w="120" w:type="dxa"/>
            <w:vAlign w:val="bottom"/>
            <w:tcBorders>
              <w:top w:val="single" w:sz="8" w:color="auto"/>
            </w:tcBorders>
            <w:shd w:val="clear" w:color="auto" w:fill="CFF0FC"/>
          </w:tcPr>
          <w:p>
            <w:pPr>
              <w:spacing w:after="0"/>
              <w:rPr>
                <w:sz w:val="15"/>
                <w:szCs w:val="15"/>
                <w:color w:val="auto"/>
              </w:rPr>
            </w:pPr>
          </w:p>
        </w:tc>
        <w:tc>
          <w:tcPr>
            <w:tcW w:w="120" w:type="dxa"/>
            <w:vAlign w:val="bottom"/>
            <w:tcBorders>
              <w:top w:val="single" w:sz="8" w:color="CFF0FC"/>
            </w:tcBorders>
            <w:shd w:val="clear" w:color="auto" w:fill="CFF0FC"/>
          </w:tcPr>
          <w:p>
            <w:pPr>
              <w:spacing w:after="0"/>
              <w:rPr>
                <w:sz w:val="15"/>
                <w:szCs w:val="15"/>
                <w:color w:val="auto"/>
              </w:rPr>
            </w:pPr>
          </w:p>
        </w:tc>
        <w:tc>
          <w:tcPr>
            <w:tcW w:w="320" w:type="dxa"/>
            <w:vAlign w:val="bottom"/>
            <w:tcBorders>
              <w:top w:val="single" w:sz="8" w:color="auto"/>
            </w:tcBorders>
            <w:shd w:val="clear" w:color="auto" w:fill="CFF0FC"/>
          </w:tcPr>
          <w:p>
            <w:pPr>
              <w:spacing w:after="0"/>
              <w:rPr>
                <w:sz w:val="15"/>
                <w:szCs w:val="15"/>
                <w:color w:val="auto"/>
              </w:rPr>
            </w:pPr>
          </w:p>
        </w:tc>
        <w:tc>
          <w:tcPr>
            <w:tcW w:w="420" w:type="dxa"/>
            <w:vAlign w:val="bottom"/>
            <w:tcBorders>
              <w:top w:val="single" w:sz="8" w:color="auto"/>
            </w:tcBorders>
            <w:shd w:val="clear" w:color="auto" w:fill="CFF0FC"/>
          </w:tcPr>
          <w:p>
            <w:pPr>
              <w:spacing w:after="0"/>
              <w:rPr>
                <w:sz w:val="15"/>
                <w:szCs w:val="15"/>
                <w:color w:val="auto"/>
              </w:rPr>
            </w:pPr>
          </w:p>
        </w:tc>
        <w:tc>
          <w:tcPr>
            <w:tcW w:w="80" w:type="dxa"/>
            <w:vAlign w:val="bottom"/>
            <w:tcBorders>
              <w:top w:val="single" w:sz="8" w:color="auto"/>
            </w:tcBorders>
            <w:shd w:val="clear" w:color="auto" w:fill="CFF0FC"/>
          </w:tcPr>
          <w:p>
            <w:pPr>
              <w:spacing w:after="0"/>
              <w:rPr>
                <w:sz w:val="15"/>
                <w:szCs w:val="15"/>
                <w:color w:val="auto"/>
              </w:rPr>
            </w:pPr>
          </w:p>
        </w:tc>
        <w:tc>
          <w:tcPr>
            <w:tcW w:w="160" w:type="dxa"/>
            <w:vAlign w:val="bottom"/>
            <w:tcBorders>
              <w:top w:val="single" w:sz="8" w:color="auto"/>
            </w:tcBorders>
            <w:shd w:val="clear" w:color="auto" w:fill="CFF0FC"/>
          </w:tcPr>
          <w:p>
            <w:pPr>
              <w:spacing w:after="0"/>
              <w:rPr>
                <w:sz w:val="15"/>
                <w:szCs w:val="15"/>
                <w:color w:val="auto"/>
              </w:rPr>
            </w:pPr>
          </w:p>
        </w:tc>
        <w:tc>
          <w:tcPr>
            <w:tcW w:w="280" w:type="dxa"/>
            <w:vAlign w:val="bottom"/>
            <w:tcBorders>
              <w:top w:val="single" w:sz="8" w:color="auto"/>
            </w:tcBorders>
            <w:shd w:val="clear" w:color="auto" w:fill="CFF0FC"/>
          </w:tcPr>
          <w:p>
            <w:pPr>
              <w:spacing w:after="0"/>
              <w:rPr>
                <w:sz w:val="15"/>
                <w:szCs w:val="15"/>
                <w:color w:val="auto"/>
              </w:rPr>
            </w:pPr>
          </w:p>
        </w:tc>
        <w:tc>
          <w:tcPr>
            <w:tcW w:w="120" w:type="dxa"/>
            <w:vAlign w:val="bottom"/>
            <w:tcBorders>
              <w:top w:val="single" w:sz="8" w:color="CFF0FC"/>
            </w:tcBorders>
            <w:shd w:val="clear" w:color="auto" w:fill="CFF0FC"/>
          </w:tcPr>
          <w:p>
            <w:pPr>
              <w:spacing w:after="0"/>
              <w:rPr>
                <w:sz w:val="15"/>
                <w:szCs w:val="15"/>
                <w:color w:val="auto"/>
              </w:rPr>
            </w:pPr>
          </w:p>
        </w:tc>
        <w:tc>
          <w:tcPr>
            <w:tcW w:w="840" w:type="dxa"/>
            <w:vAlign w:val="bottom"/>
            <w:tcBorders>
              <w:top w:val="single" w:sz="8" w:color="auto"/>
            </w:tcBorders>
            <w:shd w:val="clear" w:color="auto" w:fill="CFF0FC"/>
          </w:tcPr>
          <w:p>
            <w:pPr>
              <w:spacing w:after="0"/>
              <w:rPr>
                <w:sz w:val="15"/>
                <w:szCs w:val="15"/>
                <w:color w:val="auto"/>
              </w:rPr>
            </w:pPr>
          </w:p>
        </w:tc>
        <w:tc>
          <w:tcPr>
            <w:tcW w:w="440" w:type="dxa"/>
            <w:vAlign w:val="bottom"/>
            <w:tcBorders>
              <w:top w:val="single" w:sz="8" w:color="auto"/>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4340" w:type="dxa"/>
            <w:vAlign w:val="bottom"/>
          </w:tcPr>
          <w:p>
            <w:pPr>
              <w:spacing w:after="0"/>
              <w:rPr>
                <w:sz w:val="20"/>
                <w:szCs w:val="20"/>
                <w:color w:val="auto"/>
              </w:rPr>
            </w:pPr>
            <w:r>
              <w:rPr>
                <w:rFonts w:ascii="Arial" w:cs="Arial" w:eastAsia="Arial" w:hAnsi="Arial"/>
                <w:sz w:val="16"/>
                <w:szCs w:val="16"/>
                <w:color w:val="auto"/>
              </w:rPr>
              <w:t>Service cost</w:t>
            </w:r>
          </w:p>
        </w:tc>
        <w:tc>
          <w:tcPr>
            <w:tcW w:w="1760" w:type="dxa"/>
            <w:vAlign w:val="bottom"/>
            <w:gridSpan w:val="2"/>
          </w:tcPr>
          <w:p>
            <w:pPr>
              <w:jc w:val="right"/>
              <w:ind w:right="107"/>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jc w:val="right"/>
              <w:ind w:right="49"/>
              <w:spacing w:after="0"/>
              <w:rPr>
                <w:sz w:val="20"/>
                <w:szCs w:val="20"/>
                <w:color w:val="auto"/>
              </w:rPr>
            </w:pPr>
            <w:r>
              <w:rPr>
                <w:rFonts w:ascii="Arial" w:cs="Arial" w:eastAsia="Arial" w:hAnsi="Arial"/>
                <w:sz w:val="16"/>
                <w:szCs w:val="16"/>
                <w:b w:val="1"/>
                <w:bCs w:val="1"/>
                <w:color w:val="auto"/>
              </w:rPr>
              <w:t>2</w:t>
            </w:r>
          </w:p>
        </w:tc>
        <w:tc>
          <w:tcPr>
            <w:tcW w:w="140" w:type="dxa"/>
            <w:vAlign w:val="bottom"/>
          </w:tcPr>
          <w:p>
            <w:pPr>
              <w:spacing w:after="0"/>
              <w:rPr>
                <w:sz w:val="16"/>
                <w:szCs w:val="16"/>
                <w:color w:val="auto"/>
              </w:rPr>
            </w:pPr>
          </w:p>
        </w:tc>
        <w:tc>
          <w:tcPr>
            <w:tcW w:w="400" w:type="dxa"/>
            <w:vAlign w:val="bottom"/>
          </w:tcPr>
          <w:p>
            <w:pPr>
              <w:jc w:val="right"/>
              <w:ind w:right="247"/>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spacing w:after="0"/>
              <w:rPr>
                <w:sz w:val="20"/>
                <w:szCs w:val="20"/>
                <w:color w:val="auto"/>
              </w:rPr>
            </w:pPr>
            <w:r>
              <w:rPr>
                <w:rFonts w:ascii="Arial" w:cs="Arial" w:eastAsia="Arial" w:hAnsi="Arial"/>
                <w:sz w:val="16"/>
                <w:szCs w:val="16"/>
                <w:color w:val="auto"/>
              </w:rPr>
              <w:t>2</w:t>
            </w:r>
          </w:p>
        </w:tc>
        <w:tc>
          <w:tcPr>
            <w:tcW w:w="560" w:type="dxa"/>
            <w:vAlign w:val="bottom"/>
            <w:gridSpan w:val="3"/>
          </w:tcPr>
          <w:p>
            <w:pPr>
              <w:jc w:val="right"/>
              <w:ind w:right="167"/>
              <w:spacing w:after="0"/>
              <w:rPr>
                <w:sz w:val="20"/>
                <w:szCs w:val="20"/>
                <w:color w:val="auto"/>
              </w:rPr>
            </w:pPr>
            <w:r>
              <w:rPr>
                <w:rFonts w:ascii="Arial" w:cs="Arial" w:eastAsia="Arial" w:hAnsi="Arial"/>
                <w:sz w:val="16"/>
                <w:szCs w:val="16"/>
                <w:b w:val="1"/>
                <w:bCs w:val="1"/>
                <w:color w:val="auto"/>
              </w:rPr>
              <w:t>$</w:t>
            </w: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w:t>
            </w:r>
          </w:p>
        </w:tc>
        <w:tc>
          <w:tcPr>
            <w:tcW w:w="960" w:type="dxa"/>
            <w:vAlign w:val="bottom"/>
            <w:gridSpan w:val="2"/>
          </w:tcPr>
          <w:p>
            <w:pPr>
              <w:jc w:val="right"/>
              <w:ind w:right="740"/>
              <w:spacing w:after="0"/>
              <w:rPr>
                <w:sz w:val="20"/>
                <w:szCs w:val="20"/>
                <w:color w:val="auto"/>
              </w:rPr>
            </w:pPr>
            <w:r>
              <w:rPr>
                <w:rFonts w:ascii="Arial" w:cs="Arial" w:eastAsia="Arial" w:hAnsi="Arial"/>
                <w:sz w:val="16"/>
                <w:szCs w:val="16"/>
                <w:color w:val="auto"/>
              </w:rPr>
              <w:t>$</w:t>
            </w:r>
          </w:p>
        </w:tc>
        <w:tc>
          <w:tcPr>
            <w:tcW w:w="44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8"/>
        </w:trPr>
        <w:tc>
          <w:tcPr>
            <w:tcW w:w="4340" w:type="dxa"/>
            <w:vAlign w:val="bottom"/>
            <w:shd w:val="clear" w:color="auto" w:fill="CFF0FC"/>
          </w:tcPr>
          <w:p>
            <w:pPr>
              <w:spacing w:after="0"/>
              <w:rPr>
                <w:sz w:val="20"/>
                <w:szCs w:val="20"/>
                <w:color w:val="auto"/>
              </w:rPr>
            </w:pPr>
            <w:r>
              <w:rPr>
                <w:rFonts w:ascii="Arial" w:cs="Arial" w:eastAsia="Arial" w:hAnsi="Arial"/>
                <w:sz w:val="16"/>
                <w:szCs w:val="16"/>
                <w:color w:val="auto"/>
              </w:rPr>
              <w:t>Interest cost</w:t>
            </w:r>
          </w:p>
        </w:tc>
        <w:tc>
          <w:tcPr>
            <w:tcW w:w="150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980" w:type="dxa"/>
            <w:vAlign w:val="bottom"/>
            <w:shd w:val="clear" w:color="auto" w:fill="CFF0FC"/>
          </w:tcPr>
          <w:p>
            <w:pPr>
              <w:jc w:val="right"/>
              <w:ind w:right="49"/>
              <w:spacing w:after="0"/>
              <w:rPr>
                <w:sz w:val="20"/>
                <w:szCs w:val="20"/>
                <w:color w:val="auto"/>
              </w:rPr>
            </w:pPr>
            <w:r>
              <w:rPr>
                <w:rFonts w:ascii="Arial" w:cs="Arial" w:eastAsia="Arial" w:hAnsi="Arial"/>
                <w:sz w:val="16"/>
                <w:szCs w:val="16"/>
                <w:b w:val="1"/>
                <w:bCs w:val="1"/>
                <w:color w:val="auto"/>
              </w:rPr>
              <w:t>2</w:t>
            </w:r>
          </w:p>
        </w:tc>
        <w:tc>
          <w:tcPr>
            <w:tcW w:w="14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7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w:t>
            </w: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520" w:type="dxa"/>
            <w:vAlign w:val="bottom"/>
            <w:gridSpan w:val="3"/>
            <w:shd w:val="clear" w:color="auto" w:fill="CFF0FC"/>
          </w:tcPr>
          <w:p>
            <w:pPr>
              <w:jc w:val="right"/>
              <w:ind w:right="120"/>
              <w:spacing w:after="0"/>
              <w:rPr>
                <w:sz w:val="20"/>
                <w:szCs w:val="20"/>
                <w:color w:val="auto"/>
              </w:rPr>
            </w:pPr>
            <w:r>
              <w:rPr>
                <w:rFonts w:ascii="Arial" w:cs="Arial" w:eastAsia="Arial" w:hAnsi="Arial"/>
                <w:sz w:val="16"/>
                <w:szCs w:val="16"/>
                <w:b w:val="1"/>
                <w:bCs w:val="1"/>
                <w:color w:val="auto"/>
              </w:rPr>
              <w:t>1</w:t>
            </w:r>
          </w:p>
        </w:tc>
        <w:tc>
          <w:tcPr>
            <w:tcW w:w="12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44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188"/>
        </w:trPr>
        <w:tc>
          <w:tcPr>
            <w:tcW w:w="4340" w:type="dxa"/>
            <w:vAlign w:val="bottom"/>
          </w:tcPr>
          <w:p>
            <w:pPr>
              <w:spacing w:after="0"/>
              <w:rPr>
                <w:sz w:val="20"/>
                <w:szCs w:val="20"/>
                <w:color w:val="auto"/>
              </w:rPr>
            </w:pPr>
            <w:r>
              <w:rPr>
                <w:rFonts w:ascii="Arial" w:cs="Arial" w:eastAsia="Arial" w:hAnsi="Arial"/>
                <w:sz w:val="16"/>
                <w:szCs w:val="16"/>
                <w:color w:val="auto"/>
              </w:rPr>
              <w:t>Expected return on assets</w:t>
            </w:r>
          </w:p>
        </w:tc>
        <w:tc>
          <w:tcPr>
            <w:tcW w:w="15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(2)</w:t>
            </w: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60" w:type="dxa"/>
            <w:vAlign w:val="bottom"/>
            <w:gridSpan w:val="3"/>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4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8"/>
        </w:trPr>
        <w:tc>
          <w:tcPr>
            <w:tcW w:w="4340" w:type="dxa"/>
            <w:vAlign w:val="bottom"/>
            <w:shd w:val="clear" w:color="auto" w:fill="CFF0FC"/>
          </w:tcPr>
          <w:p>
            <w:pPr>
              <w:spacing w:after="0"/>
              <w:rPr>
                <w:sz w:val="20"/>
                <w:szCs w:val="20"/>
                <w:color w:val="auto"/>
              </w:rPr>
            </w:pPr>
            <w:r>
              <w:rPr>
                <w:rFonts w:ascii="Arial" w:cs="Arial" w:eastAsia="Arial" w:hAnsi="Arial"/>
                <w:sz w:val="16"/>
                <w:szCs w:val="16"/>
                <w:color w:val="auto"/>
              </w:rPr>
              <w:t>Prior service credit</w:t>
            </w:r>
          </w:p>
        </w:tc>
        <w:tc>
          <w:tcPr>
            <w:tcW w:w="1500" w:type="dxa"/>
            <w:vAlign w:val="bottom"/>
            <w:shd w:val="clear" w:color="auto" w:fill="CFF0FC"/>
          </w:tcPr>
          <w:p>
            <w:pPr>
              <w:spacing w:after="0"/>
              <w:rPr>
                <w:sz w:val="16"/>
                <w:szCs w:val="16"/>
                <w:color w:val="auto"/>
              </w:rPr>
            </w:pPr>
          </w:p>
        </w:tc>
        <w:tc>
          <w:tcPr>
            <w:tcW w:w="260" w:type="dxa"/>
            <w:vAlign w:val="bottom"/>
            <w:tcBorders>
              <w:bottom w:val="single" w:sz="8" w:color="auto"/>
            </w:tcBorders>
            <w:shd w:val="clear" w:color="auto" w:fill="CFF0FC"/>
          </w:tcPr>
          <w:p>
            <w:pPr>
              <w:spacing w:after="0"/>
              <w:rPr>
                <w:sz w:val="16"/>
                <w:szCs w:val="16"/>
                <w:color w:val="auto"/>
              </w:rPr>
            </w:pPr>
          </w:p>
        </w:tc>
        <w:tc>
          <w:tcPr>
            <w:tcW w:w="980" w:type="dxa"/>
            <w:vAlign w:val="bottom"/>
            <w:tcBorders>
              <w:bottom w:val="single" w:sz="8" w:color="auto"/>
            </w:tcBorders>
            <w:shd w:val="clear" w:color="auto" w:fill="CFF0FC"/>
          </w:tcPr>
          <w:p>
            <w:pPr>
              <w:jc w:val="right"/>
              <w:ind w:right="49"/>
              <w:spacing w:after="0"/>
              <w:rPr>
                <w:sz w:val="20"/>
                <w:szCs w:val="20"/>
                <w:color w:val="auto"/>
              </w:rPr>
            </w:pPr>
            <w:r>
              <w:rPr>
                <w:rFonts w:ascii="Arial" w:cs="Arial" w:eastAsia="Arial" w:hAnsi="Arial"/>
                <w:sz w:val="16"/>
                <w:szCs w:val="16"/>
                <w:b w:val="1"/>
                <w:bCs w:val="1"/>
                <w:color w:val="auto"/>
              </w:rPr>
              <w:t>—</w:t>
            </w:r>
          </w:p>
        </w:tc>
        <w:tc>
          <w:tcPr>
            <w:tcW w:w="140" w:type="dxa"/>
            <w:vAlign w:val="bottom"/>
            <w:shd w:val="clear" w:color="auto" w:fill="CFF0FC"/>
          </w:tcPr>
          <w:p>
            <w:pPr>
              <w:spacing w:after="0"/>
              <w:rPr>
                <w:sz w:val="16"/>
                <w:szCs w:val="16"/>
                <w:color w:val="auto"/>
              </w:rPr>
            </w:pPr>
          </w:p>
        </w:tc>
        <w:tc>
          <w:tcPr>
            <w:tcW w:w="400" w:type="dxa"/>
            <w:vAlign w:val="bottom"/>
            <w:tcBorders>
              <w:bottom w:val="single" w:sz="8" w:color="auto"/>
            </w:tcBorders>
            <w:shd w:val="clear" w:color="auto" w:fill="CFF0FC"/>
          </w:tcPr>
          <w:p>
            <w:pPr>
              <w:spacing w:after="0"/>
              <w:rPr>
                <w:sz w:val="16"/>
                <w:szCs w:val="16"/>
                <w:color w:val="auto"/>
              </w:rPr>
            </w:pPr>
          </w:p>
        </w:tc>
        <w:tc>
          <w:tcPr>
            <w:tcW w:w="140" w:type="dxa"/>
            <w:vAlign w:val="bottom"/>
            <w:tcBorders>
              <w:bottom w:val="single" w:sz="8" w:color="auto"/>
            </w:tcBorders>
            <w:shd w:val="clear" w:color="auto" w:fill="CFF0FC"/>
          </w:tcPr>
          <w:p>
            <w:pPr>
              <w:spacing w:after="0"/>
              <w:rPr>
                <w:sz w:val="16"/>
                <w:szCs w:val="16"/>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320" w:type="dxa"/>
            <w:vAlign w:val="bottom"/>
            <w:tcBorders>
              <w:bottom w:val="single" w:sz="8" w:color="auto"/>
            </w:tcBorders>
            <w:shd w:val="clear" w:color="auto" w:fill="CFF0FC"/>
          </w:tcPr>
          <w:p>
            <w:pPr>
              <w:spacing w:after="0"/>
              <w:rPr>
                <w:sz w:val="16"/>
                <w:szCs w:val="16"/>
                <w:color w:val="auto"/>
              </w:rPr>
            </w:pPr>
          </w:p>
        </w:tc>
        <w:tc>
          <w:tcPr>
            <w:tcW w:w="420" w:type="dxa"/>
            <w:vAlign w:val="bottom"/>
            <w:tcBorders>
              <w:bottom w:val="single" w:sz="8" w:color="auto"/>
            </w:tcBorders>
            <w:shd w:val="clear" w:color="auto" w:fill="CFF0FC"/>
          </w:tcPr>
          <w:p>
            <w:pPr>
              <w:spacing w:after="0"/>
              <w:rPr>
                <w:sz w:val="16"/>
                <w:szCs w:val="16"/>
                <w:color w:val="auto"/>
              </w:rPr>
            </w:pPr>
          </w:p>
        </w:tc>
        <w:tc>
          <w:tcPr>
            <w:tcW w:w="520" w:type="dxa"/>
            <w:vAlign w:val="bottom"/>
            <w:tcBorders>
              <w:bottom w:val="single" w:sz="8" w:color="auto"/>
            </w:tcBorders>
            <w:gridSpan w:val="3"/>
            <w:shd w:val="clear" w:color="auto" w:fill="CFF0FC"/>
          </w:tcPr>
          <w:p>
            <w:pPr>
              <w:jc w:val="right"/>
              <w:ind w:right="60"/>
              <w:spacing w:after="0"/>
              <w:rPr>
                <w:sz w:val="20"/>
                <w:szCs w:val="20"/>
                <w:color w:val="auto"/>
              </w:rPr>
            </w:pPr>
            <w:r>
              <w:rPr>
                <w:rFonts w:ascii="Arial" w:cs="Arial" w:eastAsia="Arial" w:hAnsi="Arial"/>
                <w:sz w:val="16"/>
                <w:szCs w:val="16"/>
                <w:b w:val="1"/>
                <w:bCs w:val="1"/>
                <w:color w:val="auto"/>
              </w:rPr>
              <w:t>(3)</w:t>
            </w:r>
          </w:p>
        </w:tc>
        <w:tc>
          <w:tcPr>
            <w:tcW w:w="120" w:type="dxa"/>
            <w:vAlign w:val="bottom"/>
            <w:shd w:val="clear" w:color="auto" w:fill="CFF0FC"/>
          </w:tcPr>
          <w:p>
            <w:pPr>
              <w:spacing w:after="0"/>
              <w:rPr>
                <w:sz w:val="16"/>
                <w:szCs w:val="16"/>
                <w:color w:val="auto"/>
              </w:rPr>
            </w:pPr>
          </w:p>
        </w:tc>
        <w:tc>
          <w:tcPr>
            <w:tcW w:w="840" w:type="dxa"/>
            <w:vAlign w:val="bottom"/>
            <w:tcBorders>
              <w:bottom w:val="single" w:sz="8" w:color="auto"/>
            </w:tcBorders>
            <w:shd w:val="clear" w:color="auto" w:fill="CFF0FC"/>
          </w:tcPr>
          <w:p>
            <w:pPr>
              <w:spacing w:after="0"/>
              <w:rPr>
                <w:sz w:val="16"/>
                <w:szCs w:val="16"/>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180"/>
        </w:trPr>
        <w:tc>
          <w:tcPr>
            <w:tcW w:w="4340" w:type="dxa"/>
            <w:vAlign w:val="bottom"/>
          </w:tcPr>
          <w:p>
            <w:pPr>
              <w:spacing w:after="0" w:line="180" w:lineRule="exact"/>
              <w:rPr>
                <w:sz w:val="20"/>
                <w:szCs w:val="20"/>
                <w:color w:val="auto"/>
              </w:rPr>
            </w:pPr>
            <w:r>
              <w:rPr>
                <w:rFonts w:ascii="Arial" w:cs="Arial" w:eastAsia="Arial" w:hAnsi="Arial"/>
                <w:sz w:val="16"/>
                <w:szCs w:val="16"/>
                <w:color w:val="auto"/>
              </w:rPr>
              <w:t>Net periodic benefit cost (credit)</w:t>
            </w:r>
          </w:p>
        </w:tc>
        <w:tc>
          <w:tcPr>
            <w:tcW w:w="1500" w:type="dxa"/>
            <w:vAlign w:val="bottom"/>
          </w:tcPr>
          <w:p>
            <w:pPr>
              <w:spacing w:after="0"/>
              <w:rPr>
                <w:sz w:val="15"/>
                <w:szCs w:val="15"/>
                <w:color w:val="auto"/>
              </w:rPr>
            </w:pPr>
          </w:p>
        </w:tc>
        <w:tc>
          <w:tcPr>
            <w:tcW w:w="260" w:type="dxa"/>
            <w:vAlign w:val="bottom"/>
          </w:tcPr>
          <w:p>
            <w:pPr>
              <w:jc w:val="right"/>
              <w:ind w:right="107"/>
              <w:spacing w:after="0"/>
              <w:rPr>
                <w:sz w:val="20"/>
                <w:szCs w:val="20"/>
                <w:color w:val="auto"/>
              </w:rPr>
            </w:pPr>
            <w:r>
              <w:rPr>
                <w:rFonts w:ascii="Arial" w:cs="Arial" w:eastAsia="Arial" w:hAnsi="Arial"/>
                <w:sz w:val="15"/>
                <w:szCs w:val="15"/>
                <w:b w:val="1"/>
                <w:bCs w:val="1"/>
                <w:color w:val="auto"/>
                <w:w w:val="71"/>
              </w:rPr>
              <w:t>$</w:t>
            </w:r>
          </w:p>
        </w:tc>
        <w:tc>
          <w:tcPr>
            <w:tcW w:w="980" w:type="dxa"/>
            <w:vAlign w:val="bottom"/>
          </w:tcPr>
          <w:p>
            <w:pPr>
              <w:jc w:val="right"/>
              <w:ind w:right="49"/>
              <w:spacing w:after="0" w:line="180" w:lineRule="exact"/>
              <w:rPr>
                <w:sz w:val="20"/>
                <w:szCs w:val="20"/>
                <w:color w:val="auto"/>
              </w:rPr>
            </w:pPr>
            <w:r>
              <w:rPr>
                <w:rFonts w:ascii="Arial" w:cs="Arial" w:eastAsia="Arial" w:hAnsi="Arial"/>
                <w:sz w:val="16"/>
                <w:szCs w:val="16"/>
                <w:b w:val="1"/>
                <w:bCs w:val="1"/>
                <w:color w:val="auto"/>
              </w:rPr>
              <w:t>2</w:t>
            </w:r>
          </w:p>
        </w:tc>
        <w:tc>
          <w:tcPr>
            <w:tcW w:w="140" w:type="dxa"/>
            <w:vAlign w:val="bottom"/>
          </w:tcPr>
          <w:p>
            <w:pPr>
              <w:spacing w:after="0"/>
              <w:rPr>
                <w:sz w:val="15"/>
                <w:szCs w:val="15"/>
                <w:color w:val="auto"/>
              </w:rPr>
            </w:pPr>
          </w:p>
        </w:tc>
        <w:tc>
          <w:tcPr>
            <w:tcW w:w="400" w:type="dxa"/>
            <w:vAlign w:val="bottom"/>
          </w:tcPr>
          <w:p>
            <w:pPr>
              <w:jc w:val="right"/>
              <w:ind w:right="247"/>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spacing w:after="0" w:line="180" w:lineRule="exact"/>
              <w:rPr>
                <w:sz w:val="20"/>
                <w:szCs w:val="20"/>
                <w:color w:val="auto"/>
              </w:rPr>
            </w:pPr>
            <w:r>
              <w:rPr>
                <w:rFonts w:ascii="Arial" w:cs="Arial" w:eastAsia="Arial" w:hAnsi="Arial"/>
                <w:sz w:val="16"/>
                <w:szCs w:val="16"/>
                <w:color w:val="auto"/>
              </w:rPr>
              <w:t>2</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jc w:val="right"/>
              <w:ind w:right="167"/>
              <w:spacing w:after="0"/>
              <w:rPr>
                <w:sz w:val="20"/>
                <w:szCs w:val="20"/>
                <w:color w:val="auto"/>
              </w:rPr>
            </w:pPr>
            <w:r>
              <w:rPr>
                <w:rFonts w:ascii="Arial" w:cs="Arial" w:eastAsia="Arial" w:hAnsi="Arial"/>
                <w:sz w:val="15"/>
                <w:szCs w:val="15"/>
                <w:b w:val="1"/>
                <w:bCs w:val="1"/>
                <w:color w:val="auto"/>
                <w:w w:val="71"/>
              </w:rPr>
              <w:t>$</w:t>
            </w:r>
          </w:p>
        </w:tc>
        <w:tc>
          <w:tcPr>
            <w:tcW w:w="420" w:type="dxa"/>
            <w:vAlign w:val="bottom"/>
          </w:tcPr>
          <w:p>
            <w:pPr>
              <w:spacing w:after="0"/>
              <w:rPr>
                <w:sz w:val="15"/>
                <w:szCs w:val="15"/>
                <w:color w:val="auto"/>
              </w:rPr>
            </w:pPr>
          </w:p>
        </w:tc>
        <w:tc>
          <w:tcPr>
            <w:tcW w:w="520" w:type="dxa"/>
            <w:vAlign w:val="bottom"/>
            <w:gridSpan w:val="3"/>
          </w:tcPr>
          <w:p>
            <w:pPr>
              <w:jc w:val="right"/>
              <w:ind w:right="60"/>
              <w:spacing w:after="0" w:line="180" w:lineRule="exact"/>
              <w:rPr>
                <w:sz w:val="20"/>
                <w:szCs w:val="20"/>
                <w:color w:val="auto"/>
              </w:rPr>
            </w:pPr>
            <w:r>
              <w:rPr>
                <w:rFonts w:ascii="Arial" w:cs="Arial" w:eastAsia="Arial" w:hAnsi="Arial"/>
                <w:sz w:val="16"/>
                <w:szCs w:val="16"/>
                <w:b w:val="1"/>
                <w:bCs w:val="1"/>
                <w:color w:val="auto"/>
              </w:rPr>
              <w:t>(2)</w:t>
            </w:r>
          </w:p>
        </w:tc>
        <w:tc>
          <w:tcPr>
            <w:tcW w:w="960" w:type="dxa"/>
            <w:vAlign w:val="bottom"/>
            <w:gridSpan w:val="2"/>
          </w:tcPr>
          <w:p>
            <w:pPr>
              <w:jc w:val="right"/>
              <w:ind w:right="740"/>
              <w:spacing w:after="0" w:line="180" w:lineRule="exact"/>
              <w:rPr>
                <w:sz w:val="20"/>
                <w:szCs w:val="20"/>
                <w:color w:val="auto"/>
              </w:rPr>
            </w:pPr>
            <w:r>
              <w:rPr>
                <w:rFonts w:ascii="Arial" w:cs="Arial" w:eastAsia="Arial" w:hAnsi="Arial"/>
                <w:sz w:val="16"/>
                <w:szCs w:val="16"/>
                <w:color w:val="auto"/>
              </w:rPr>
              <w:t>$</w:t>
            </w:r>
          </w:p>
        </w:tc>
        <w:tc>
          <w:tcPr>
            <w:tcW w:w="440" w:type="dxa"/>
            <w:vAlign w:val="bottom"/>
          </w:tcPr>
          <w:p>
            <w:pPr>
              <w:jc w:val="right"/>
              <w:spacing w:after="0" w:line="180" w:lineRule="exact"/>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right="860" w:firstLine="528"/>
        <w:spacing w:after="0" w:line="237" w:lineRule="auto"/>
        <w:rPr>
          <w:sz w:val="20"/>
          <w:szCs w:val="20"/>
          <w:color w:val="auto"/>
        </w:rPr>
      </w:pPr>
      <w:r>
        <w:rPr>
          <w:rFonts w:ascii="Arial" w:cs="Arial" w:eastAsia="Arial" w:hAnsi="Arial"/>
          <w:sz w:val="16"/>
          <w:szCs w:val="16"/>
          <w:color w:val="auto"/>
        </w:rPr>
        <w:t>The components of net periodic benefit cost (credit) other than the service cost component are included in Other income, net in the Condensed Consolidated Statements of Comprehensive Income.</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55245</wp:posOffset>
            </wp:positionV>
            <wp:extent cx="7150100" cy="146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0"/>
          </w:cols>
          <w:pgMar w:left="320" w:top="140" w:right="319" w:bottom="1440" w:gutter="0" w:footer="0" w:header="0"/>
        </w:sectPr>
      </w:pPr>
    </w:p>
    <w:bookmarkStart w:id="19" w:name="page20"/>
    <w:bookmarkEnd w:id="1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N. INCOME TAXES</w:t>
      </w:r>
    </w:p>
    <w:p>
      <w:pPr>
        <w:spacing w:after="0" w:line="106" w:lineRule="exact"/>
        <w:rPr>
          <w:sz w:val="20"/>
          <w:szCs w:val="20"/>
          <w:color w:val="auto"/>
        </w:rPr>
      </w:pPr>
    </w:p>
    <w:p>
      <w:pPr>
        <w:ind w:right="20" w:firstLine="528"/>
        <w:spacing w:after="0" w:line="234" w:lineRule="auto"/>
        <w:rPr>
          <w:sz w:val="20"/>
          <w:szCs w:val="20"/>
          <w:color w:val="auto"/>
        </w:rPr>
      </w:pPr>
      <w:r>
        <w:rPr>
          <w:rFonts w:ascii="Arial" w:cs="Arial" w:eastAsia="Arial" w:hAnsi="Arial"/>
          <w:sz w:val="16"/>
          <w:szCs w:val="16"/>
          <w:color w:val="auto"/>
        </w:rPr>
        <w:t>For the three months ended March 31, 2020, the Company recorded total tax expense of $42 million. The effective tax rate for the three months ended March 31, 2020 was 23%. For the three months ended March 31, 2019, the Company recorded total tax expense of $44 million. The effective tax rate for the three months ended March 31, 2019 was 21%.</w:t>
      </w:r>
    </w:p>
    <w:p>
      <w:pPr>
        <w:spacing w:after="0" w:line="84" w:lineRule="exact"/>
        <w:rPr>
          <w:sz w:val="20"/>
          <w:szCs w:val="20"/>
          <w:color w:val="auto"/>
        </w:rPr>
      </w:pPr>
    </w:p>
    <w:p>
      <w:pPr>
        <w:ind w:firstLine="528"/>
        <w:spacing w:after="0" w:line="232" w:lineRule="auto"/>
        <w:rPr>
          <w:sz w:val="20"/>
          <w:szCs w:val="20"/>
          <w:color w:val="auto"/>
        </w:rPr>
      </w:pPr>
      <w:r>
        <w:rPr>
          <w:rFonts w:ascii="Arial" w:cs="Arial" w:eastAsia="Arial" w:hAnsi="Arial"/>
          <w:sz w:val="16"/>
          <w:szCs w:val="16"/>
          <w:color w:val="auto"/>
        </w:rPr>
        <w:t>On March 27, 2020, the Coronavirus Aid, Relief, and Economic Security Act (the “CARES Act”) was signed into law making several changes to the U.S. tax code. The changes include, but are not limited to, increasing the threshold on the amount of deductible interest expense, allowing companies to carryback certain net operating losses, increasing the amount of net operating loss carryforwards that corporations can use to offset taxable income, and making technical changes related to the accounting of qualified improvement property. Some of the tax law changes included in the CARES Act are retroactive. The Company is still evaluating certain of these elections, and the Company’s provision for income taxes for the three months ended March 31, 2020 does not reflect the effect of any of these elections. The effects, both individually and in the aggregate, are not expected to be material at this time.</w:t>
      </w:r>
    </w:p>
    <w:p>
      <w:pPr>
        <w:spacing w:after="0" w:line="84" w:lineRule="exact"/>
        <w:rPr>
          <w:sz w:val="20"/>
          <w:szCs w:val="20"/>
          <w:color w:val="auto"/>
        </w:rPr>
      </w:pPr>
    </w:p>
    <w:p>
      <w:pPr>
        <w:ind w:right="80" w:firstLine="528"/>
        <w:spacing w:after="0" w:line="232" w:lineRule="auto"/>
        <w:rPr>
          <w:sz w:val="20"/>
          <w:szCs w:val="20"/>
          <w:color w:val="auto"/>
        </w:rPr>
      </w:pPr>
      <w:r>
        <w:rPr>
          <w:rFonts w:ascii="Arial" w:cs="Arial" w:eastAsia="Arial" w:hAnsi="Arial"/>
          <w:sz w:val="16"/>
          <w:szCs w:val="16"/>
          <w:color w:val="auto"/>
        </w:rPr>
        <w:t>The need to establish a valuation allowance against the deferred tax assets is assessed periodically based on a more-likely-than-not realization threshold, in accordance with authoritative accounting guidance. Appropriate consideration is given to all positive and negative evidence related to that realization. This assessment considers, among other matters, the nature, frequency and severity of recent losses, forecasts of future profitability, the duration of statutory carry-forward periods, experience with tax attributes expiring unused, and tax planning alternatives. The weight given to these considerations depends upon the degree to which they can be objectively verified.</w:t>
      </w:r>
    </w:p>
    <w:p>
      <w:pPr>
        <w:spacing w:after="0" w:line="85" w:lineRule="exact"/>
        <w:rPr>
          <w:sz w:val="20"/>
          <w:szCs w:val="20"/>
          <w:color w:val="auto"/>
        </w:rPr>
      </w:pPr>
    </w:p>
    <w:p>
      <w:pPr>
        <w:ind w:right="120" w:firstLine="528"/>
        <w:spacing w:after="0" w:line="234" w:lineRule="auto"/>
        <w:rPr>
          <w:sz w:val="20"/>
          <w:szCs w:val="20"/>
          <w:color w:val="auto"/>
        </w:rPr>
      </w:pPr>
      <w:r>
        <w:rPr>
          <w:rFonts w:ascii="Arial" w:cs="Arial" w:eastAsia="Arial" w:hAnsi="Arial"/>
          <w:sz w:val="16"/>
          <w:szCs w:val="16"/>
          <w:color w:val="auto"/>
        </w:rPr>
        <w:t>The Company continues to provide for a valuation allowance on certain of its foreign deferred tax assets and an anticipated capital loss carryforward. The Company has determined, based on the evaluation of both objective and subjective evidence available, that this valuation allowance is necessary and that it is more likely than not that the deferred tax assets are not fully realizable.</w:t>
      </w:r>
    </w:p>
    <w:p>
      <w:pPr>
        <w:spacing w:after="0" w:line="84" w:lineRule="exact"/>
        <w:rPr>
          <w:sz w:val="20"/>
          <w:szCs w:val="20"/>
          <w:color w:val="auto"/>
        </w:rPr>
      </w:pPr>
    </w:p>
    <w:p>
      <w:pPr>
        <w:ind w:right="40" w:firstLine="528"/>
        <w:spacing w:after="0" w:line="232" w:lineRule="auto"/>
        <w:rPr>
          <w:sz w:val="20"/>
          <w:szCs w:val="20"/>
          <w:color w:val="auto"/>
        </w:rPr>
      </w:pPr>
      <w:r>
        <w:rPr>
          <w:rFonts w:ascii="Arial" w:cs="Arial" w:eastAsia="Arial" w:hAnsi="Arial"/>
          <w:sz w:val="16"/>
          <w:szCs w:val="16"/>
          <w:color w:val="auto"/>
        </w:rPr>
        <w:t>In accordance with the FASB’s authoritative guidance on accounting for income taxes, the Company has recorded a liability for unrecognized tax benefits related to a 2010 Research and Development Credit as of March 31, 2020 and December 31, 2019. The accounting guidance prescribes a recognition threshold and measurement attributes for the financial statement recognition and measurement of a tax position taken or expected to be taken in a tax return. The Company's returns will remain subject to examination by the various taxing authorities for the duration of the applicable statute of limitations (generally three years from the later of the date of filing or the due date of the return).</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55245</wp:posOffset>
            </wp:positionV>
            <wp:extent cx="7150100" cy="146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0" w:name="page21"/>
    <w:bookmarkEnd w:id="2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O. ACCUMULATED OTHER COMPREHENSIVE LOSS</w:t>
      </w:r>
    </w:p>
    <w:p>
      <w:pPr>
        <w:spacing w:after="0" w:line="106"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following tables reconcile changes in AOCL by component (net of tax, dollars in millions):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48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620" w:type="dxa"/>
            <w:vAlign w:val="bottom"/>
            <w:tcBorders>
              <w:bottom w:val="single" w:sz="8" w:color="auto"/>
            </w:tcBorders>
            <w:gridSpan w:val="5"/>
          </w:tcPr>
          <w:p>
            <w:pPr>
              <w:ind w:left="500"/>
              <w:spacing w:after="0"/>
              <w:rPr>
                <w:sz w:val="20"/>
                <w:szCs w:val="20"/>
                <w:color w:val="auto"/>
              </w:rPr>
            </w:pPr>
            <w:r>
              <w:rPr>
                <w:rFonts w:ascii="Arial" w:cs="Arial" w:eastAsia="Arial" w:hAnsi="Arial"/>
                <w:sz w:val="13"/>
                <w:szCs w:val="13"/>
                <w:b w:val="1"/>
                <w:bCs w:val="1"/>
                <w:color w:val="auto"/>
              </w:rPr>
              <w:t>Three months ended</w:t>
            </w:r>
          </w:p>
        </w:tc>
        <w:tc>
          <w:tcPr>
            <w:tcW w:w="2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r>
      <w:tr>
        <w:trPr>
          <w:trHeight w:val="133"/>
        </w:trPr>
        <w:tc>
          <w:tcPr>
            <w:tcW w:w="48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tcPr>
          <w:p>
            <w:pPr>
              <w:jc w:val="center"/>
              <w:ind w:right="187"/>
              <w:spacing w:after="0" w:line="133" w:lineRule="exact"/>
              <w:rPr>
                <w:sz w:val="20"/>
                <w:szCs w:val="20"/>
                <w:color w:val="auto"/>
              </w:rPr>
            </w:pPr>
            <w:r>
              <w:rPr>
                <w:rFonts w:ascii="Arial" w:cs="Arial" w:eastAsia="Arial" w:hAnsi="Arial"/>
                <w:sz w:val="13"/>
                <w:szCs w:val="13"/>
                <w:b w:val="1"/>
                <w:bCs w:val="1"/>
                <w:color w:val="auto"/>
                <w:w w:val="94"/>
              </w:rPr>
              <w:t>Available-</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20" w:type="dxa"/>
            <w:vAlign w:val="bottom"/>
          </w:tcPr>
          <w:p>
            <w:pPr>
              <w:spacing w:after="0"/>
              <w:rPr>
                <w:sz w:val="11"/>
                <w:szCs w:val="11"/>
                <w:color w:val="auto"/>
              </w:rPr>
            </w:pPr>
          </w:p>
        </w:tc>
      </w:tr>
      <w:tr>
        <w:trPr>
          <w:trHeight w:val="141"/>
        </w:trPr>
        <w:tc>
          <w:tcPr>
            <w:tcW w:w="48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920" w:type="dxa"/>
            <w:vAlign w:val="bottom"/>
          </w:tcPr>
          <w:p>
            <w:pPr>
              <w:jc w:val="center"/>
              <w:ind w:left="132"/>
              <w:spacing w:after="0" w:line="141" w:lineRule="exact"/>
              <w:rPr>
                <w:sz w:val="20"/>
                <w:szCs w:val="20"/>
                <w:color w:val="auto"/>
              </w:rPr>
            </w:pPr>
            <w:r>
              <w:rPr>
                <w:rFonts w:ascii="Arial" w:cs="Arial" w:eastAsia="Arial" w:hAnsi="Arial"/>
                <w:sz w:val="13"/>
                <w:szCs w:val="13"/>
                <w:b w:val="1"/>
                <w:bCs w:val="1"/>
                <w:color w:val="auto"/>
                <w:w w:val="94"/>
              </w:rPr>
              <w:t>Pension</w:t>
            </w: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jc w:val="center"/>
              <w:ind w:right="187"/>
              <w:spacing w:after="0" w:line="141" w:lineRule="exact"/>
              <w:rPr>
                <w:sz w:val="20"/>
                <w:szCs w:val="20"/>
                <w:color w:val="auto"/>
              </w:rPr>
            </w:pPr>
            <w:r>
              <w:rPr>
                <w:rFonts w:ascii="Arial" w:cs="Arial" w:eastAsia="Arial" w:hAnsi="Arial"/>
                <w:sz w:val="13"/>
                <w:szCs w:val="13"/>
                <w:b w:val="1"/>
                <w:bCs w:val="1"/>
                <w:color w:val="auto"/>
                <w:w w:val="97"/>
              </w:rPr>
              <w:t>for-sale</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20" w:type="dxa"/>
            <w:vAlign w:val="bottom"/>
          </w:tcPr>
          <w:p>
            <w:pPr>
              <w:spacing w:after="0"/>
              <w:rPr>
                <w:sz w:val="12"/>
                <w:szCs w:val="12"/>
                <w:color w:val="auto"/>
              </w:rPr>
            </w:pPr>
          </w:p>
        </w:tc>
      </w:tr>
      <w:tr>
        <w:trPr>
          <w:trHeight w:val="141"/>
        </w:trPr>
        <w:tc>
          <w:tcPr>
            <w:tcW w:w="48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920" w:type="dxa"/>
            <w:vAlign w:val="bottom"/>
          </w:tcPr>
          <w:p>
            <w:pPr>
              <w:jc w:val="center"/>
              <w:ind w:left="152"/>
              <w:spacing w:after="0" w:line="141" w:lineRule="exact"/>
              <w:rPr>
                <w:sz w:val="20"/>
                <w:szCs w:val="20"/>
                <w:color w:val="auto"/>
              </w:rPr>
            </w:pPr>
            <w:r>
              <w:rPr>
                <w:rFonts w:ascii="Arial" w:cs="Arial" w:eastAsia="Arial" w:hAnsi="Arial"/>
                <w:sz w:val="13"/>
                <w:szCs w:val="13"/>
                <w:b w:val="1"/>
                <w:bCs w:val="1"/>
                <w:color w:val="auto"/>
                <w:w w:val="97"/>
              </w:rPr>
              <w:t>and OPEB</w:t>
            </w: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jc w:val="center"/>
              <w:ind w:right="187"/>
              <w:spacing w:after="0" w:line="141" w:lineRule="exact"/>
              <w:rPr>
                <w:sz w:val="20"/>
                <w:szCs w:val="20"/>
                <w:color w:val="auto"/>
              </w:rPr>
            </w:pPr>
            <w:r>
              <w:rPr>
                <w:rFonts w:ascii="Arial" w:cs="Arial" w:eastAsia="Arial" w:hAnsi="Arial"/>
                <w:sz w:val="13"/>
                <w:szCs w:val="13"/>
                <w:b w:val="1"/>
                <w:bCs w:val="1"/>
                <w:color w:val="auto"/>
                <w:w w:val="95"/>
              </w:rPr>
              <w:t>securities</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tcPr>
          <w:p>
            <w:pPr>
              <w:jc w:val="center"/>
              <w:ind w:right="440"/>
              <w:spacing w:after="0" w:line="141" w:lineRule="exact"/>
              <w:rPr>
                <w:sz w:val="20"/>
                <w:szCs w:val="20"/>
                <w:color w:val="auto"/>
              </w:rPr>
            </w:pPr>
            <w:r>
              <w:rPr>
                <w:rFonts w:ascii="Arial" w:cs="Arial" w:eastAsia="Arial" w:hAnsi="Arial"/>
                <w:sz w:val="13"/>
                <w:szCs w:val="13"/>
                <w:b w:val="1"/>
                <w:bCs w:val="1"/>
                <w:color w:val="auto"/>
                <w:w w:val="96"/>
              </w:rPr>
              <w:t>Foreign</w:t>
            </w:r>
          </w:p>
        </w:tc>
        <w:tc>
          <w:tcPr>
            <w:tcW w:w="260" w:type="dxa"/>
            <w:vAlign w:val="bottom"/>
          </w:tcPr>
          <w:p>
            <w:pPr>
              <w:spacing w:after="0"/>
              <w:rPr>
                <w:sz w:val="12"/>
                <w:szCs w:val="12"/>
                <w:color w:val="auto"/>
              </w:rPr>
            </w:pPr>
          </w:p>
        </w:tc>
        <w:tc>
          <w:tcPr>
            <w:tcW w:w="1020" w:type="dxa"/>
            <w:vAlign w:val="bottom"/>
          </w:tcPr>
          <w:p>
            <w:pPr>
              <w:spacing w:after="0"/>
              <w:rPr>
                <w:sz w:val="12"/>
                <w:szCs w:val="12"/>
                <w:color w:val="auto"/>
              </w:rPr>
            </w:pPr>
          </w:p>
        </w:tc>
      </w:tr>
      <w:tr>
        <w:trPr>
          <w:trHeight w:val="141"/>
        </w:trPr>
        <w:tc>
          <w:tcPr>
            <w:tcW w:w="48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920" w:type="dxa"/>
            <w:vAlign w:val="bottom"/>
          </w:tcPr>
          <w:p>
            <w:pPr>
              <w:jc w:val="center"/>
              <w:ind w:left="132"/>
              <w:spacing w:after="0" w:line="141" w:lineRule="exact"/>
              <w:rPr>
                <w:sz w:val="20"/>
                <w:szCs w:val="20"/>
                <w:color w:val="auto"/>
              </w:rPr>
            </w:pPr>
            <w:r>
              <w:rPr>
                <w:rFonts w:ascii="Arial" w:cs="Arial" w:eastAsia="Arial" w:hAnsi="Arial"/>
                <w:sz w:val="13"/>
                <w:szCs w:val="13"/>
                <w:b w:val="1"/>
                <w:bCs w:val="1"/>
                <w:color w:val="auto"/>
                <w:w w:val="98"/>
              </w:rPr>
              <w:t>liability</w:t>
            </w: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jc w:val="center"/>
              <w:ind w:right="207"/>
              <w:spacing w:after="0" w:line="141" w:lineRule="exact"/>
              <w:rPr>
                <w:sz w:val="20"/>
                <w:szCs w:val="20"/>
                <w:color w:val="auto"/>
              </w:rPr>
            </w:pPr>
            <w:r>
              <w:rPr>
                <w:rFonts w:ascii="Arial" w:cs="Arial" w:eastAsia="Arial" w:hAnsi="Arial"/>
                <w:sz w:val="13"/>
                <w:szCs w:val="13"/>
                <w:b w:val="1"/>
                <w:bCs w:val="1"/>
                <w:color w:val="auto"/>
                <w:w w:val="97"/>
              </w:rPr>
              <w:t>and interest</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tcPr>
          <w:p>
            <w:pPr>
              <w:jc w:val="center"/>
              <w:ind w:right="440"/>
              <w:spacing w:after="0" w:line="141" w:lineRule="exact"/>
              <w:rPr>
                <w:sz w:val="20"/>
                <w:szCs w:val="20"/>
                <w:color w:val="auto"/>
              </w:rPr>
            </w:pPr>
            <w:r>
              <w:rPr>
                <w:rFonts w:ascii="Arial" w:cs="Arial" w:eastAsia="Arial" w:hAnsi="Arial"/>
                <w:sz w:val="13"/>
                <w:szCs w:val="13"/>
                <w:b w:val="1"/>
                <w:bCs w:val="1"/>
                <w:color w:val="auto"/>
                <w:w w:val="98"/>
              </w:rPr>
              <w:t>currency</w:t>
            </w:r>
          </w:p>
        </w:tc>
        <w:tc>
          <w:tcPr>
            <w:tcW w:w="260" w:type="dxa"/>
            <w:vAlign w:val="bottom"/>
          </w:tcPr>
          <w:p>
            <w:pPr>
              <w:spacing w:after="0"/>
              <w:rPr>
                <w:sz w:val="12"/>
                <w:szCs w:val="12"/>
                <w:color w:val="auto"/>
              </w:rPr>
            </w:pPr>
          </w:p>
        </w:tc>
        <w:tc>
          <w:tcPr>
            <w:tcW w:w="1020" w:type="dxa"/>
            <w:vAlign w:val="bottom"/>
          </w:tcPr>
          <w:p>
            <w:pPr>
              <w:spacing w:after="0"/>
              <w:rPr>
                <w:sz w:val="12"/>
                <w:szCs w:val="12"/>
                <w:color w:val="auto"/>
              </w:rPr>
            </w:pPr>
          </w:p>
        </w:tc>
      </w:tr>
      <w:tr>
        <w:trPr>
          <w:trHeight w:val="153"/>
        </w:trPr>
        <w:tc>
          <w:tcPr>
            <w:tcW w:w="4860" w:type="dxa"/>
            <w:vAlign w:val="bottom"/>
            <w:tcBorders>
              <w:bottom w:val="single" w:sz="8" w:color="CFF0FC"/>
            </w:tcBorders>
          </w:tcPr>
          <w:p>
            <w:pPr>
              <w:spacing w:after="0"/>
              <w:rPr>
                <w:sz w:val="13"/>
                <w:szCs w:val="13"/>
                <w:color w:val="auto"/>
              </w:rPr>
            </w:pPr>
          </w:p>
        </w:tc>
        <w:tc>
          <w:tcPr>
            <w:tcW w:w="980" w:type="dxa"/>
            <w:vAlign w:val="bottom"/>
            <w:tcBorders>
              <w:bottom w:val="single" w:sz="8" w:color="CFF0FC"/>
            </w:tcBorders>
          </w:tcPr>
          <w:p>
            <w:pPr>
              <w:spacing w:after="0"/>
              <w:rPr>
                <w:sz w:val="13"/>
                <w:szCs w:val="13"/>
                <w:color w:val="auto"/>
              </w:rPr>
            </w:pPr>
          </w:p>
        </w:tc>
        <w:tc>
          <w:tcPr>
            <w:tcW w:w="920" w:type="dxa"/>
            <w:vAlign w:val="bottom"/>
            <w:tcBorders>
              <w:bottom w:val="single" w:sz="8" w:color="auto"/>
            </w:tcBorders>
          </w:tcPr>
          <w:p>
            <w:pPr>
              <w:jc w:val="center"/>
              <w:ind w:left="152"/>
              <w:spacing w:after="0"/>
              <w:rPr>
                <w:sz w:val="20"/>
                <w:szCs w:val="20"/>
                <w:color w:val="auto"/>
              </w:rPr>
            </w:pPr>
            <w:r>
              <w:rPr>
                <w:rFonts w:ascii="Arial" w:cs="Arial" w:eastAsia="Arial" w:hAnsi="Arial"/>
                <w:sz w:val="13"/>
                <w:szCs w:val="13"/>
                <w:b w:val="1"/>
                <w:bCs w:val="1"/>
                <w:color w:val="auto"/>
                <w:w w:val="95"/>
              </w:rPr>
              <w:t>adjustment</w:t>
            </w:r>
          </w:p>
        </w:tc>
        <w:tc>
          <w:tcPr>
            <w:tcW w:w="320" w:type="dxa"/>
            <w:vAlign w:val="bottom"/>
            <w:tcBorders>
              <w:bottom w:val="single" w:sz="8" w:color="auto"/>
            </w:tcBorders>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center"/>
              <w:ind w:right="207"/>
              <w:spacing w:after="0"/>
              <w:rPr>
                <w:sz w:val="20"/>
                <w:szCs w:val="20"/>
                <w:color w:val="auto"/>
              </w:rPr>
            </w:pPr>
            <w:r>
              <w:rPr>
                <w:rFonts w:ascii="Arial" w:cs="Arial" w:eastAsia="Arial" w:hAnsi="Arial"/>
                <w:sz w:val="13"/>
                <w:szCs w:val="13"/>
                <w:b w:val="1"/>
                <w:bCs w:val="1"/>
                <w:color w:val="auto"/>
                <w:w w:val="95"/>
              </w:rPr>
              <w:t>rate swaps</w:t>
            </w:r>
          </w:p>
        </w:tc>
        <w:tc>
          <w:tcPr>
            <w:tcW w:w="12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center"/>
              <w:ind w:right="245"/>
              <w:spacing w:after="0"/>
              <w:rPr>
                <w:sz w:val="20"/>
                <w:szCs w:val="20"/>
                <w:color w:val="auto"/>
              </w:rPr>
            </w:pPr>
            <w:r>
              <w:rPr>
                <w:rFonts w:ascii="Arial" w:cs="Arial" w:eastAsia="Arial" w:hAnsi="Arial"/>
                <w:sz w:val="13"/>
                <w:szCs w:val="13"/>
                <w:b w:val="1"/>
                <w:bCs w:val="1"/>
                <w:color w:val="auto"/>
                <w:w w:val="99"/>
              </w:rPr>
              <w:t>items</w:t>
            </w:r>
          </w:p>
        </w:tc>
        <w:tc>
          <w:tcPr>
            <w:tcW w:w="12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83"/>
              <w:spacing w:after="0"/>
              <w:rPr>
                <w:sz w:val="20"/>
                <w:szCs w:val="20"/>
                <w:color w:val="auto"/>
              </w:rPr>
            </w:pPr>
            <w:r>
              <w:rPr>
                <w:rFonts w:ascii="Arial" w:cs="Arial" w:eastAsia="Arial" w:hAnsi="Arial"/>
                <w:sz w:val="13"/>
                <w:szCs w:val="13"/>
                <w:b w:val="1"/>
                <w:bCs w:val="1"/>
                <w:color w:val="auto"/>
              </w:rPr>
              <w:t>Total</w:t>
            </w:r>
          </w:p>
        </w:tc>
      </w:tr>
      <w:tr>
        <w:trPr>
          <w:trHeight w:val="180"/>
        </w:trPr>
        <w:tc>
          <w:tcPr>
            <w:tcW w:w="4860" w:type="dxa"/>
            <w:vAlign w:val="bottom"/>
            <w:shd w:val="clear" w:color="auto" w:fill="CFF0FC"/>
          </w:tcPr>
          <w:p>
            <w:pPr>
              <w:spacing w:after="0" w:line="180" w:lineRule="exact"/>
              <w:rPr>
                <w:sz w:val="20"/>
                <w:szCs w:val="20"/>
                <w:color w:val="auto"/>
              </w:rPr>
            </w:pPr>
            <w:r>
              <w:rPr>
                <w:rFonts w:ascii="Arial" w:cs="Arial" w:eastAsia="Arial" w:hAnsi="Arial"/>
                <w:sz w:val="16"/>
                <w:szCs w:val="16"/>
                <w:color w:val="auto"/>
              </w:rPr>
              <w:t>AOCL as of December 31, 2018</w:t>
            </w:r>
          </w:p>
        </w:tc>
        <w:tc>
          <w:tcPr>
            <w:tcW w:w="1900" w:type="dxa"/>
            <w:vAlign w:val="bottom"/>
            <w:gridSpan w:val="2"/>
            <w:shd w:val="clear" w:color="auto" w:fill="CFF0FC"/>
          </w:tcPr>
          <w:p>
            <w:pPr>
              <w:jc w:val="right"/>
              <w:ind w:right="772"/>
              <w:spacing w:after="0" w:line="180" w:lineRule="exact"/>
              <w:rPr>
                <w:sz w:val="20"/>
                <w:szCs w:val="20"/>
                <w:color w:val="auto"/>
              </w:rPr>
            </w:pPr>
            <w:r>
              <w:rPr>
                <w:rFonts w:ascii="Arial" w:cs="Arial" w:eastAsia="Arial" w:hAnsi="Arial"/>
                <w:sz w:val="16"/>
                <w:szCs w:val="16"/>
                <w:color w:val="auto"/>
              </w:rPr>
              <w:t>$</w:t>
            </w:r>
          </w:p>
        </w:tc>
        <w:tc>
          <w:tcPr>
            <w:tcW w:w="320" w:type="dxa"/>
            <w:vAlign w:val="bottom"/>
            <w:shd w:val="clear" w:color="auto" w:fill="CFF0FC"/>
          </w:tcPr>
          <w:p>
            <w:pPr>
              <w:jc w:val="right"/>
              <w:ind w:right="42"/>
              <w:spacing w:after="0" w:line="180" w:lineRule="exact"/>
              <w:rPr>
                <w:sz w:val="20"/>
                <w:szCs w:val="20"/>
                <w:color w:val="auto"/>
              </w:rPr>
            </w:pPr>
            <w:r>
              <w:rPr>
                <w:rFonts w:ascii="Arial" w:cs="Arial" w:eastAsia="Arial" w:hAnsi="Arial"/>
                <w:sz w:val="16"/>
                <w:szCs w:val="16"/>
                <w:color w:val="auto"/>
              </w:rPr>
              <w:t>9</w:t>
            </w:r>
          </w:p>
        </w:tc>
        <w:tc>
          <w:tcPr>
            <w:tcW w:w="140" w:type="dxa"/>
            <w:vAlign w:val="bottom"/>
            <w:shd w:val="clear" w:color="auto" w:fill="CFF0FC"/>
          </w:tcPr>
          <w:p>
            <w:pPr>
              <w:spacing w:after="0"/>
              <w:rPr>
                <w:sz w:val="15"/>
                <w:szCs w:val="15"/>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FF0FC"/>
          </w:tcPr>
          <w:p>
            <w:pPr>
              <w:jc w:val="right"/>
              <w:spacing w:after="0" w:line="180" w:lineRule="exact"/>
              <w:rPr>
                <w:sz w:val="20"/>
                <w:szCs w:val="20"/>
                <w:color w:val="auto"/>
              </w:rPr>
            </w:pPr>
            <w:r>
              <w:rPr>
                <w:rFonts w:ascii="Arial" w:cs="Arial" w:eastAsia="Arial" w:hAnsi="Arial"/>
                <w:sz w:val="16"/>
                <w:szCs w:val="16"/>
                <w:color w:val="auto"/>
              </w:rPr>
              <w:t>(7)</w:t>
            </w:r>
          </w:p>
        </w:tc>
        <w:tc>
          <w:tcPr>
            <w:tcW w:w="320" w:type="dxa"/>
            <w:vAlign w:val="bottom"/>
            <w:gridSpan w:val="2"/>
            <w:shd w:val="clear" w:color="auto" w:fill="CFF0FC"/>
          </w:tcPr>
          <w:p>
            <w:pPr>
              <w:jc w:val="right"/>
              <w:ind w:right="47"/>
              <w:spacing w:after="0" w:line="180" w:lineRule="exact"/>
              <w:rPr>
                <w:sz w:val="20"/>
                <w:szCs w:val="20"/>
                <w:color w:val="auto"/>
              </w:rPr>
            </w:pPr>
            <w:r>
              <w:rPr>
                <w:rFonts w:ascii="Arial" w:cs="Arial" w:eastAsia="Arial" w:hAnsi="Arial"/>
                <w:sz w:val="16"/>
                <w:szCs w:val="16"/>
                <w:color w:val="auto"/>
              </w:rPr>
              <w:t>$</w:t>
            </w:r>
          </w:p>
        </w:tc>
        <w:tc>
          <w:tcPr>
            <w:tcW w:w="1060" w:type="dxa"/>
            <w:vAlign w:val="bottom"/>
            <w:shd w:val="clear" w:color="auto" w:fill="CFF0FC"/>
          </w:tcPr>
          <w:p>
            <w:pPr>
              <w:jc w:val="right"/>
              <w:spacing w:after="0" w:line="180" w:lineRule="exact"/>
              <w:rPr>
                <w:sz w:val="20"/>
                <w:szCs w:val="20"/>
                <w:color w:val="auto"/>
              </w:rPr>
            </w:pPr>
            <w:r>
              <w:rPr>
                <w:rFonts w:ascii="Arial" w:cs="Arial" w:eastAsia="Arial" w:hAnsi="Arial"/>
                <w:sz w:val="16"/>
                <w:szCs w:val="16"/>
                <w:color w:val="auto"/>
              </w:rPr>
              <w:t>(32)</w:t>
            </w:r>
          </w:p>
        </w:tc>
        <w:tc>
          <w:tcPr>
            <w:tcW w:w="120" w:type="dxa"/>
            <w:vAlign w:val="bottom"/>
            <w:shd w:val="clear" w:color="auto" w:fill="CFF0FC"/>
          </w:tcPr>
          <w:p>
            <w:pPr>
              <w:spacing w:after="0"/>
              <w:rPr>
                <w:sz w:val="15"/>
                <w:szCs w:val="15"/>
                <w:color w:val="auto"/>
              </w:rPr>
            </w:pPr>
          </w:p>
        </w:tc>
        <w:tc>
          <w:tcPr>
            <w:tcW w:w="260" w:type="dxa"/>
            <w:vAlign w:val="bottom"/>
            <w:shd w:val="clear" w:color="auto" w:fill="CFF0FC"/>
          </w:tcPr>
          <w:p>
            <w:pPr>
              <w:jc w:val="right"/>
              <w:ind w:right="82"/>
              <w:spacing w:after="0" w:line="180" w:lineRule="exact"/>
              <w:rPr>
                <w:sz w:val="20"/>
                <w:szCs w:val="20"/>
                <w:color w:val="auto"/>
              </w:rPr>
            </w:pPr>
            <w:r>
              <w:rPr>
                <w:rFonts w:ascii="Arial" w:cs="Arial" w:eastAsia="Arial" w:hAnsi="Arial"/>
                <w:sz w:val="16"/>
                <w:szCs w:val="16"/>
                <w:color w:val="auto"/>
                <w:w w:val="89"/>
              </w:rPr>
              <w:t>$</w:t>
            </w:r>
          </w:p>
        </w:tc>
        <w:tc>
          <w:tcPr>
            <w:tcW w:w="1020" w:type="dxa"/>
            <w:vAlign w:val="bottom"/>
            <w:shd w:val="clear" w:color="auto" w:fill="CFF0FC"/>
          </w:tcPr>
          <w:p>
            <w:pPr>
              <w:jc w:val="right"/>
              <w:ind w:right="3"/>
              <w:spacing w:after="0" w:line="180" w:lineRule="exact"/>
              <w:rPr>
                <w:sz w:val="20"/>
                <w:szCs w:val="20"/>
                <w:color w:val="auto"/>
              </w:rPr>
            </w:pPr>
            <w:r>
              <w:rPr>
                <w:rFonts w:ascii="Arial" w:cs="Arial" w:eastAsia="Arial" w:hAnsi="Arial"/>
                <w:sz w:val="16"/>
                <w:szCs w:val="16"/>
                <w:color w:val="auto"/>
              </w:rPr>
              <w:t>(30)</w:t>
            </w:r>
          </w:p>
        </w:tc>
      </w:tr>
      <w:tr>
        <w:trPr>
          <w:trHeight w:val="188"/>
        </w:trPr>
        <w:tc>
          <w:tcPr>
            <w:tcW w:w="4860" w:type="dxa"/>
            <w:vAlign w:val="bottom"/>
          </w:tcPr>
          <w:p>
            <w:pPr>
              <w:ind w:left="200"/>
              <w:spacing w:after="0"/>
              <w:rPr>
                <w:sz w:val="20"/>
                <w:szCs w:val="20"/>
                <w:color w:val="auto"/>
              </w:rPr>
            </w:pPr>
            <w:r>
              <w:rPr>
                <w:rFonts w:ascii="Arial" w:cs="Arial" w:eastAsia="Arial" w:hAnsi="Arial"/>
                <w:sz w:val="16"/>
                <w:szCs w:val="16"/>
                <w:color w:val="auto"/>
              </w:rPr>
              <w:t>Other comprehensive income before reclassifications</w:t>
            </w:r>
          </w:p>
        </w:tc>
        <w:tc>
          <w:tcPr>
            <w:tcW w:w="9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6"/>
                <w:szCs w:val="16"/>
                <w:color w:val="auto"/>
              </w:rPr>
            </w:pPr>
          </w:p>
        </w:tc>
        <w:tc>
          <w:tcPr>
            <w:tcW w:w="1020" w:type="dxa"/>
            <w:vAlign w:val="bottom"/>
          </w:tcPr>
          <w:p>
            <w:pPr>
              <w:jc w:val="right"/>
              <w:ind w:right="3"/>
              <w:spacing w:after="0"/>
              <w:rPr>
                <w:sz w:val="20"/>
                <w:szCs w:val="20"/>
                <w:color w:val="auto"/>
              </w:rPr>
            </w:pPr>
            <w:r>
              <w:rPr>
                <w:rFonts w:ascii="Arial" w:cs="Arial" w:eastAsia="Arial" w:hAnsi="Arial"/>
                <w:sz w:val="16"/>
                <w:szCs w:val="16"/>
                <w:color w:val="auto"/>
              </w:rPr>
              <w:t>(10)</w:t>
            </w:r>
          </w:p>
        </w:tc>
      </w:tr>
      <w:tr>
        <w:trPr>
          <w:trHeight w:val="188"/>
        </w:trPr>
        <w:tc>
          <w:tcPr>
            <w:tcW w:w="4860" w:type="dxa"/>
            <w:vAlign w:val="bottom"/>
            <w:shd w:val="clear" w:color="auto" w:fill="CFF0FC"/>
          </w:tcPr>
          <w:p>
            <w:pPr>
              <w:ind w:left="200"/>
              <w:spacing w:after="0"/>
              <w:rPr>
                <w:sz w:val="20"/>
                <w:szCs w:val="20"/>
                <w:color w:val="auto"/>
              </w:rPr>
            </w:pPr>
            <w:r>
              <w:rPr>
                <w:rFonts w:ascii="Arial" w:cs="Arial" w:eastAsia="Arial" w:hAnsi="Arial"/>
                <w:sz w:val="16"/>
                <w:szCs w:val="16"/>
                <w:color w:val="auto"/>
              </w:rPr>
              <w:t>Amounts reclassified from AOCL</w:t>
            </w:r>
          </w:p>
        </w:tc>
        <w:tc>
          <w:tcPr>
            <w:tcW w:w="98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w:t>
            </w:r>
          </w:p>
        </w:tc>
        <w:tc>
          <w:tcPr>
            <w:tcW w:w="1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120" w:type="dxa"/>
            <w:vAlign w:val="bottom"/>
            <w:shd w:val="clear" w:color="auto" w:fill="CFF0FC"/>
          </w:tcPr>
          <w:p>
            <w:pPr>
              <w:jc w:val="right"/>
              <w:ind w:right="47"/>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18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6"/>
                <w:szCs w:val="16"/>
                <w:color w:val="auto"/>
              </w:rPr>
            </w:pPr>
          </w:p>
        </w:tc>
        <w:tc>
          <w:tcPr>
            <w:tcW w:w="1020" w:type="dxa"/>
            <w:vAlign w:val="bottom"/>
            <w:shd w:val="clear" w:color="auto" w:fill="CFF0FC"/>
          </w:tcPr>
          <w:p>
            <w:pPr>
              <w:jc w:val="right"/>
              <w:ind w:right="3"/>
              <w:spacing w:after="0"/>
              <w:rPr>
                <w:sz w:val="20"/>
                <w:szCs w:val="20"/>
                <w:color w:val="auto"/>
              </w:rPr>
            </w:pPr>
            <w:r>
              <w:rPr>
                <w:rFonts w:ascii="Arial" w:cs="Arial" w:eastAsia="Arial" w:hAnsi="Arial"/>
                <w:sz w:val="16"/>
                <w:szCs w:val="16"/>
                <w:color w:val="auto"/>
              </w:rPr>
              <w:t>(3)</w:t>
            </w:r>
          </w:p>
        </w:tc>
      </w:tr>
      <w:tr>
        <w:trPr>
          <w:trHeight w:val="188"/>
        </w:trPr>
        <w:tc>
          <w:tcPr>
            <w:tcW w:w="4860" w:type="dxa"/>
            <w:vAlign w:val="bottom"/>
          </w:tcPr>
          <w:p>
            <w:pPr>
              <w:ind w:left="200"/>
              <w:spacing w:after="0"/>
              <w:rPr>
                <w:sz w:val="20"/>
                <w:szCs w:val="20"/>
                <w:color w:val="auto"/>
              </w:rPr>
            </w:pPr>
            <w:r>
              <w:rPr>
                <w:rFonts w:ascii="Arial" w:cs="Arial" w:eastAsia="Arial" w:hAnsi="Arial"/>
                <w:sz w:val="16"/>
                <w:szCs w:val="16"/>
                <w:color w:val="auto"/>
              </w:rPr>
              <w:t>Income tax</w:t>
            </w:r>
          </w:p>
        </w:tc>
        <w:tc>
          <w:tcPr>
            <w:tcW w:w="9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20" w:type="dxa"/>
            <w:vAlign w:val="bottom"/>
          </w:tcPr>
          <w:p>
            <w:pPr>
              <w:jc w:val="right"/>
              <w:ind w:right="42"/>
              <w:spacing w:after="0"/>
              <w:rPr>
                <w:sz w:val="20"/>
                <w:szCs w:val="20"/>
                <w:color w:val="auto"/>
              </w:rPr>
            </w:pPr>
            <w:r>
              <w:rPr>
                <w:rFonts w:ascii="Arial" w:cs="Arial" w:eastAsia="Arial" w:hAnsi="Arial"/>
                <w:sz w:val="16"/>
                <w:szCs w:val="16"/>
                <w:color w:val="auto"/>
              </w:rPr>
              <w:t>1</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right"/>
              <w:ind w:right="47"/>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6"/>
                <w:szCs w:val="16"/>
                <w:color w:val="auto"/>
              </w:rPr>
            </w:pPr>
          </w:p>
        </w:tc>
        <w:tc>
          <w:tcPr>
            <w:tcW w:w="1020" w:type="dxa"/>
            <w:vAlign w:val="bottom"/>
          </w:tcPr>
          <w:p>
            <w:pPr>
              <w:jc w:val="right"/>
              <w:ind w:right="63"/>
              <w:spacing w:after="0"/>
              <w:rPr>
                <w:sz w:val="20"/>
                <w:szCs w:val="20"/>
                <w:color w:val="auto"/>
              </w:rPr>
            </w:pPr>
            <w:r>
              <w:rPr>
                <w:rFonts w:ascii="Arial" w:cs="Arial" w:eastAsia="Arial" w:hAnsi="Arial"/>
                <w:sz w:val="16"/>
                <w:szCs w:val="16"/>
                <w:color w:val="auto"/>
              </w:rPr>
              <w:t>3</w:t>
            </w:r>
          </w:p>
        </w:tc>
      </w:tr>
      <w:tr>
        <w:trPr>
          <w:trHeight w:val="188"/>
        </w:trPr>
        <w:tc>
          <w:tcPr>
            <w:tcW w:w="4860" w:type="dxa"/>
            <w:vAlign w:val="bottom"/>
            <w:shd w:val="clear" w:color="auto" w:fill="CFF0FC"/>
          </w:tcPr>
          <w:p>
            <w:pPr>
              <w:ind w:left="200"/>
              <w:spacing w:after="0"/>
              <w:rPr>
                <w:sz w:val="20"/>
                <w:szCs w:val="20"/>
                <w:color w:val="auto"/>
              </w:rPr>
            </w:pPr>
            <w:r>
              <w:rPr>
                <w:rFonts w:ascii="Arial" w:cs="Arial" w:eastAsia="Arial" w:hAnsi="Arial"/>
                <w:sz w:val="16"/>
                <w:szCs w:val="16"/>
                <w:color w:val="auto"/>
              </w:rPr>
              <w:t>Reclassification of stranded tax effects</w:t>
            </w:r>
          </w:p>
        </w:tc>
        <w:tc>
          <w:tcPr>
            <w:tcW w:w="980" w:type="dxa"/>
            <w:vAlign w:val="bottom"/>
            <w:shd w:val="clear" w:color="auto" w:fill="CFF0FC"/>
          </w:tcPr>
          <w:p>
            <w:pPr>
              <w:spacing w:after="0"/>
              <w:rPr>
                <w:sz w:val="16"/>
                <w:szCs w:val="16"/>
                <w:color w:val="auto"/>
              </w:rPr>
            </w:pPr>
          </w:p>
        </w:tc>
        <w:tc>
          <w:tcPr>
            <w:tcW w:w="920" w:type="dxa"/>
            <w:vAlign w:val="bottom"/>
            <w:tcBorders>
              <w:bottom w:val="single" w:sz="8" w:color="auto"/>
            </w:tcBorders>
            <w:shd w:val="clear" w:color="auto" w:fill="CFF0FC"/>
          </w:tcPr>
          <w:p>
            <w:pPr>
              <w:spacing w:after="0"/>
              <w:rPr>
                <w:sz w:val="16"/>
                <w:szCs w:val="16"/>
                <w:color w:val="auto"/>
              </w:rPr>
            </w:pPr>
          </w:p>
        </w:tc>
        <w:tc>
          <w:tcPr>
            <w:tcW w:w="320" w:type="dxa"/>
            <w:vAlign w:val="bottom"/>
            <w:tcBorders>
              <w:bottom w:val="single" w:sz="8" w:color="auto"/>
            </w:tcBorders>
            <w:shd w:val="clear" w:color="auto" w:fill="CFF0FC"/>
          </w:tcPr>
          <w:p>
            <w:pPr>
              <w:jc w:val="right"/>
              <w:ind w:right="42"/>
              <w:spacing w:after="0"/>
              <w:rPr>
                <w:sz w:val="20"/>
                <w:szCs w:val="20"/>
                <w:color w:val="auto"/>
              </w:rPr>
            </w:pPr>
            <w:r>
              <w:rPr>
                <w:rFonts w:ascii="Arial" w:cs="Arial" w:eastAsia="Arial" w:hAnsi="Arial"/>
                <w:sz w:val="16"/>
                <w:szCs w:val="16"/>
                <w:color w:val="auto"/>
              </w:rPr>
              <w:t>8</w:t>
            </w:r>
          </w:p>
        </w:tc>
        <w:tc>
          <w:tcPr>
            <w:tcW w:w="140" w:type="dxa"/>
            <w:vAlign w:val="bottom"/>
            <w:shd w:val="clear" w:color="auto" w:fill="CFF0FC"/>
          </w:tcPr>
          <w:p>
            <w:pPr>
              <w:spacing w:after="0"/>
              <w:rPr>
                <w:sz w:val="16"/>
                <w:szCs w:val="16"/>
                <w:color w:val="auto"/>
              </w:rPr>
            </w:pPr>
          </w:p>
        </w:tc>
        <w:tc>
          <w:tcPr>
            <w:tcW w:w="140" w:type="dxa"/>
            <w:vAlign w:val="bottom"/>
            <w:tcBorders>
              <w:bottom w:val="single" w:sz="8" w:color="auto"/>
            </w:tcBorders>
            <w:shd w:val="clear" w:color="auto" w:fill="CFF0FC"/>
          </w:tcPr>
          <w:p>
            <w:pPr>
              <w:spacing w:after="0"/>
              <w:rPr>
                <w:sz w:val="16"/>
                <w:szCs w:val="16"/>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w:t>
            </w:r>
          </w:p>
        </w:tc>
        <w:tc>
          <w:tcPr>
            <w:tcW w:w="120" w:type="dxa"/>
            <w:vAlign w:val="bottom"/>
            <w:shd w:val="clear" w:color="auto" w:fill="CFF0FC"/>
          </w:tcPr>
          <w:p>
            <w:pPr>
              <w:spacing w:after="0"/>
              <w:rPr>
                <w:sz w:val="16"/>
                <w:szCs w:val="16"/>
                <w:color w:val="auto"/>
              </w:rPr>
            </w:pPr>
          </w:p>
        </w:tc>
        <w:tc>
          <w:tcPr>
            <w:tcW w:w="200" w:type="dxa"/>
            <w:vAlign w:val="bottom"/>
            <w:tcBorders>
              <w:bottom w:val="single" w:sz="8" w:color="auto"/>
            </w:tcBorders>
            <w:shd w:val="clear" w:color="auto" w:fill="CFF0FC"/>
          </w:tcPr>
          <w:p>
            <w:pPr>
              <w:spacing w:after="0"/>
              <w:rPr>
                <w:sz w:val="16"/>
                <w:szCs w:val="16"/>
                <w:color w:val="auto"/>
              </w:rPr>
            </w:pPr>
          </w:p>
        </w:tc>
        <w:tc>
          <w:tcPr>
            <w:tcW w:w="1060" w:type="dxa"/>
            <w:vAlign w:val="bottom"/>
            <w:tcBorders>
              <w:bottom w:val="single" w:sz="8" w:color="auto"/>
            </w:tcBorders>
            <w:shd w:val="clear" w:color="auto" w:fill="CFF0FC"/>
          </w:tcPr>
          <w:p>
            <w:pPr>
              <w:jc w:val="right"/>
              <w:ind w:right="45"/>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6"/>
                <w:szCs w:val="16"/>
                <w:color w:val="auto"/>
              </w:rPr>
            </w:pPr>
          </w:p>
        </w:tc>
        <w:tc>
          <w:tcPr>
            <w:tcW w:w="260" w:type="dxa"/>
            <w:vAlign w:val="bottom"/>
            <w:tcBorders>
              <w:bottom w:val="single" w:sz="8" w:color="auto"/>
            </w:tcBorders>
            <w:shd w:val="clear" w:color="auto" w:fill="CFF0FC"/>
          </w:tcPr>
          <w:p>
            <w:pPr>
              <w:spacing w:after="0"/>
              <w:rPr>
                <w:sz w:val="16"/>
                <w:szCs w:val="16"/>
                <w:color w:val="auto"/>
              </w:rPr>
            </w:pPr>
          </w:p>
        </w:tc>
        <w:tc>
          <w:tcPr>
            <w:tcW w:w="1020" w:type="dxa"/>
            <w:vAlign w:val="bottom"/>
            <w:tcBorders>
              <w:bottom w:val="single" w:sz="8" w:color="auto"/>
            </w:tcBorders>
            <w:shd w:val="clear" w:color="auto" w:fill="CFF0FC"/>
          </w:tcPr>
          <w:p>
            <w:pPr>
              <w:jc w:val="right"/>
              <w:ind w:right="63"/>
              <w:spacing w:after="0"/>
              <w:rPr>
                <w:sz w:val="20"/>
                <w:szCs w:val="20"/>
                <w:color w:val="auto"/>
              </w:rPr>
            </w:pPr>
            <w:r>
              <w:rPr>
                <w:rFonts w:ascii="Arial" w:cs="Arial" w:eastAsia="Arial" w:hAnsi="Arial"/>
                <w:sz w:val="16"/>
                <w:szCs w:val="16"/>
                <w:color w:val="auto"/>
              </w:rPr>
              <w:t>7</w:t>
            </w:r>
          </w:p>
        </w:tc>
      </w:tr>
      <w:tr>
        <w:trPr>
          <w:trHeight w:val="180"/>
        </w:trPr>
        <w:tc>
          <w:tcPr>
            <w:tcW w:w="4860" w:type="dxa"/>
            <w:vAlign w:val="bottom"/>
            <w:tcBorders>
              <w:bottom w:val="single" w:sz="8" w:color="CFF0FC"/>
            </w:tcBorders>
          </w:tcPr>
          <w:p>
            <w:pPr>
              <w:spacing w:after="0" w:line="180" w:lineRule="exact"/>
              <w:rPr>
                <w:sz w:val="20"/>
                <w:szCs w:val="20"/>
                <w:color w:val="auto"/>
              </w:rPr>
            </w:pPr>
            <w:r>
              <w:rPr>
                <w:rFonts w:ascii="Arial" w:cs="Arial" w:eastAsia="Arial" w:hAnsi="Arial"/>
                <w:sz w:val="16"/>
                <w:szCs w:val="16"/>
                <w:color w:val="auto"/>
              </w:rPr>
              <w:t>Net current period other comprehensive income (loss)</w:t>
            </w:r>
          </w:p>
        </w:tc>
        <w:tc>
          <w:tcPr>
            <w:tcW w:w="980" w:type="dxa"/>
            <w:vAlign w:val="bottom"/>
            <w:tcBorders>
              <w:bottom w:val="single" w:sz="8" w:color="CFF0FC"/>
            </w:tcBorders>
          </w:tcPr>
          <w:p>
            <w:pPr>
              <w:spacing w:after="0"/>
              <w:rPr>
                <w:sz w:val="15"/>
                <w:szCs w:val="15"/>
                <w:color w:val="auto"/>
              </w:rPr>
            </w:pPr>
          </w:p>
        </w:tc>
        <w:tc>
          <w:tcPr>
            <w:tcW w:w="920" w:type="dxa"/>
            <w:vAlign w:val="bottom"/>
            <w:tcBorders>
              <w:bottom w:val="single" w:sz="8" w:color="auto"/>
            </w:tcBorders>
          </w:tcPr>
          <w:p>
            <w:pPr>
              <w:jc w:val="right"/>
              <w:ind w:right="772"/>
              <w:spacing w:after="0"/>
              <w:rPr>
                <w:sz w:val="20"/>
                <w:szCs w:val="20"/>
                <w:color w:val="auto"/>
              </w:rPr>
            </w:pPr>
            <w:r>
              <w:rPr>
                <w:rFonts w:ascii="Arial" w:cs="Arial" w:eastAsia="Arial" w:hAnsi="Arial"/>
                <w:sz w:val="15"/>
                <w:szCs w:val="15"/>
                <w:color w:val="auto"/>
                <w:w w:val="71"/>
              </w:rPr>
              <w:t>$</w:t>
            </w:r>
          </w:p>
        </w:tc>
        <w:tc>
          <w:tcPr>
            <w:tcW w:w="320" w:type="dxa"/>
            <w:vAlign w:val="bottom"/>
            <w:tcBorders>
              <w:bottom w:val="single" w:sz="8" w:color="auto"/>
            </w:tcBorders>
          </w:tcPr>
          <w:p>
            <w:pPr>
              <w:jc w:val="right"/>
              <w:ind w:right="42"/>
              <w:spacing w:after="0" w:line="180" w:lineRule="exact"/>
              <w:rPr>
                <w:sz w:val="20"/>
                <w:szCs w:val="20"/>
                <w:color w:val="auto"/>
              </w:rPr>
            </w:pPr>
            <w:r>
              <w:rPr>
                <w:rFonts w:ascii="Arial" w:cs="Arial" w:eastAsia="Arial" w:hAnsi="Arial"/>
                <w:sz w:val="16"/>
                <w:szCs w:val="16"/>
                <w:color w:val="auto"/>
              </w:rPr>
              <w:t>6</w:t>
            </w:r>
          </w:p>
        </w:tc>
        <w:tc>
          <w:tcPr>
            <w:tcW w:w="140" w:type="dxa"/>
            <w:vAlign w:val="bottom"/>
            <w:tcBorders>
              <w:bottom w:val="single" w:sz="8" w:color="CFF0FC"/>
            </w:tcBorders>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tcPr>
          <w:p>
            <w:pPr>
              <w:jc w:val="right"/>
              <w:spacing w:after="0" w:line="180" w:lineRule="exact"/>
              <w:rPr>
                <w:sz w:val="20"/>
                <w:szCs w:val="20"/>
                <w:color w:val="auto"/>
              </w:rPr>
            </w:pPr>
            <w:r>
              <w:rPr>
                <w:rFonts w:ascii="Arial" w:cs="Arial" w:eastAsia="Arial" w:hAnsi="Arial"/>
                <w:sz w:val="16"/>
                <w:szCs w:val="16"/>
                <w:color w:val="auto"/>
              </w:rPr>
              <w:t>(9)</w:t>
            </w:r>
          </w:p>
        </w:tc>
        <w:tc>
          <w:tcPr>
            <w:tcW w:w="120" w:type="dxa"/>
            <w:vAlign w:val="bottom"/>
            <w:tcBorders>
              <w:bottom w:val="single" w:sz="8" w:color="CFF0FC"/>
            </w:tcBorders>
          </w:tcPr>
          <w:p>
            <w:pPr>
              <w:spacing w:after="0"/>
              <w:rPr>
                <w:sz w:val="15"/>
                <w:szCs w:val="15"/>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ind w:right="45"/>
              <w:spacing w:after="0" w:line="180" w:lineRule="exact"/>
              <w:rPr>
                <w:sz w:val="20"/>
                <w:szCs w:val="20"/>
                <w:color w:val="auto"/>
              </w:rPr>
            </w:pPr>
            <w:r>
              <w:rPr>
                <w:rFonts w:ascii="Arial" w:cs="Arial" w:eastAsia="Arial" w:hAnsi="Arial"/>
                <w:sz w:val="16"/>
                <w:szCs w:val="16"/>
                <w:color w:val="auto"/>
              </w:rPr>
              <w:t>—</w:t>
            </w:r>
          </w:p>
        </w:tc>
        <w:tc>
          <w:tcPr>
            <w:tcW w:w="120" w:type="dxa"/>
            <w:vAlign w:val="bottom"/>
            <w:tcBorders>
              <w:bottom w:val="single" w:sz="8" w:color="CFF0FC"/>
            </w:tcBorders>
          </w:tcPr>
          <w:p>
            <w:pPr>
              <w:spacing w:after="0"/>
              <w:rPr>
                <w:sz w:val="15"/>
                <w:szCs w:val="15"/>
                <w:color w:val="auto"/>
              </w:rPr>
            </w:pPr>
          </w:p>
        </w:tc>
        <w:tc>
          <w:tcPr>
            <w:tcW w:w="260" w:type="dxa"/>
            <w:vAlign w:val="bottom"/>
            <w:tcBorders>
              <w:bottom w:val="single" w:sz="8" w:color="auto"/>
            </w:tcBorders>
          </w:tcPr>
          <w:p>
            <w:pPr>
              <w:jc w:val="right"/>
              <w:ind w:right="82"/>
              <w:spacing w:after="0" w:line="180" w:lineRule="exact"/>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ind w:right="3"/>
              <w:spacing w:after="0" w:line="180" w:lineRule="exact"/>
              <w:rPr>
                <w:sz w:val="20"/>
                <w:szCs w:val="20"/>
                <w:color w:val="auto"/>
              </w:rPr>
            </w:pPr>
            <w:r>
              <w:rPr>
                <w:rFonts w:ascii="Arial" w:cs="Arial" w:eastAsia="Arial" w:hAnsi="Arial"/>
                <w:sz w:val="16"/>
                <w:szCs w:val="16"/>
                <w:color w:val="auto"/>
              </w:rPr>
              <w:t>(3)</w:t>
            </w:r>
          </w:p>
        </w:tc>
      </w:tr>
      <w:tr>
        <w:trPr>
          <w:trHeight w:val="180"/>
        </w:trPr>
        <w:tc>
          <w:tcPr>
            <w:tcW w:w="4860" w:type="dxa"/>
            <w:vAlign w:val="bottom"/>
            <w:tcBorders>
              <w:bottom w:val="single" w:sz="8" w:color="CFF0FC"/>
            </w:tcBorders>
            <w:shd w:val="clear" w:color="auto" w:fill="CFF0FC"/>
          </w:tcPr>
          <w:p>
            <w:pPr>
              <w:spacing w:after="0" w:line="180" w:lineRule="exact"/>
              <w:rPr>
                <w:sz w:val="20"/>
                <w:szCs w:val="20"/>
                <w:color w:val="auto"/>
              </w:rPr>
            </w:pPr>
            <w:r>
              <w:rPr>
                <w:rFonts w:ascii="Arial" w:cs="Arial" w:eastAsia="Arial" w:hAnsi="Arial"/>
                <w:sz w:val="16"/>
                <w:szCs w:val="16"/>
                <w:color w:val="auto"/>
              </w:rPr>
              <w:t>AOCL as of March 31, 2019</w:t>
            </w:r>
          </w:p>
        </w:tc>
        <w:tc>
          <w:tcPr>
            <w:tcW w:w="980" w:type="dxa"/>
            <w:vAlign w:val="bottom"/>
            <w:tcBorders>
              <w:bottom w:val="single" w:sz="8" w:color="CFF0FC"/>
            </w:tcBorders>
            <w:shd w:val="clear" w:color="auto" w:fill="CFF0FC"/>
          </w:tcPr>
          <w:p>
            <w:pPr>
              <w:spacing w:after="0"/>
              <w:rPr>
                <w:sz w:val="15"/>
                <w:szCs w:val="15"/>
                <w:color w:val="auto"/>
              </w:rPr>
            </w:pPr>
          </w:p>
        </w:tc>
        <w:tc>
          <w:tcPr>
            <w:tcW w:w="920" w:type="dxa"/>
            <w:vAlign w:val="bottom"/>
            <w:tcBorders>
              <w:bottom w:val="single" w:sz="8" w:color="auto"/>
            </w:tcBorders>
            <w:shd w:val="clear" w:color="auto" w:fill="CFF0FC"/>
          </w:tcPr>
          <w:p>
            <w:pPr>
              <w:jc w:val="right"/>
              <w:ind w:right="772"/>
              <w:spacing w:after="0"/>
              <w:rPr>
                <w:sz w:val="20"/>
                <w:szCs w:val="20"/>
                <w:color w:val="auto"/>
              </w:rPr>
            </w:pPr>
            <w:r>
              <w:rPr>
                <w:rFonts w:ascii="Arial" w:cs="Arial" w:eastAsia="Arial" w:hAnsi="Arial"/>
                <w:sz w:val="15"/>
                <w:szCs w:val="15"/>
                <w:color w:val="auto"/>
                <w:w w:val="71"/>
              </w:rPr>
              <w:t>$</w:t>
            </w:r>
          </w:p>
        </w:tc>
        <w:tc>
          <w:tcPr>
            <w:tcW w:w="320" w:type="dxa"/>
            <w:vAlign w:val="bottom"/>
            <w:tcBorders>
              <w:bottom w:val="single" w:sz="8" w:color="auto"/>
            </w:tcBorders>
            <w:shd w:val="clear" w:color="auto" w:fill="CFF0FC"/>
          </w:tcPr>
          <w:p>
            <w:pPr>
              <w:jc w:val="right"/>
              <w:ind w:right="42"/>
              <w:spacing w:after="0" w:line="180" w:lineRule="exact"/>
              <w:rPr>
                <w:sz w:val="20"/>
                <w:szCs w:val="20"/>
                <w:color w:val="auto"/>
              </w:rPr>
            </w:pPr>
            <w:r>
              <w:rPr>
                <w:rFonts w:ascii="Arial" w:cs="Arial" w:eastAsia="Arial" w:hAnsi="Arial"/>
                <w:sz w:val="16"/>
                <w:szCs w:val="16"/>
                <w:color w:val="auto"/>
              </w:rPr>
              <w:t>15</w:t>
            </w:r>
          </w:p>
        </w:tc>
        <w:tc>
          <w:tcPr>
            <w:tcW w:w="14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shd w:val="clear" w:color="auto" w:fill="CFF0FC"/>
          </w:tcPr>
          <w:p>
            <w:pPr>
              <w:jc w:val="right"/>
              <w:spacing w:after="0" w:line="180" w:lineRule="exact"/>
              <w:rPr>
                <w:sz w:val="20"/>
                <w:szCs w:val="20"/>
                <w:color w:val="auto"/>
              </w:rPr>
            </w:pPr>
            <w:r>
              <w:rPr>
                <w:rFonts w:ascii="Arial" w:cs="Arial" w:eastAsia="Arial" w:hAnsi="Arial"/>
                <w:sz w:val="16"/>
                <w:szCs w:val="16"/>
                <w:color w:val="auto"/>
              </w:rPr>
              <w:t>(16)</w:t>
            </w:r>
          </w:p>
        </w:tc>
        <w:tc>
          <w:tcPr>
            <w:tcW w:w="12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FF0FC"/>
          </w:tcPr>
          <w:p>
            <w:pPr>
              <w:jc w:val="right"/>
              <w:spacing w:after="0" w:line="180" w:lineRule="exact"/>
              <w:rPr>
                <w:sz w:val="20"/>
                <w:szCs w:val="20"/>
                <w:color w:val="auto"/>
              </w:rPr>
            </w:pPr>
            <w:r>
              <w:rPr>
                <w:rFonts w:ascii="Arial" w:cs="Arial" w:eastAsia="Arial" w:hAnsi="Arial"/>
                <w:sz w:val="16"/>
                <w:szCs w:val="16"/>
                <w:color w:val="auto"/>
              </w:rPr>
              <w:t>(32)</w:t>
            </w:r>
          </w:p>
        </w:tc>
        <w:tc>
          <w:tcPr>
            <w:tcW w:w="120" w:type="dxa"/>
            <w:vAlign w:val="bottom"/>
            <w:tcBorders>
              <w:bottom w:val="single" w:sz="8" w:color="CFF0FC"/>
            </w:tcBorders>
            <w:shd w:val="clear" w:color="auto" w:fill="CFF0FC"/>
          </w:tcPr>
          <w:p>
            <w:pPr>
              <w:spacing w:after="0"/>
              <w:rPr>
                <w:sz w:val="15"/>
                <w:szCs w:val="15"/>
                <w:color w:val="auto"/>
              </w:rPr>
            </w:pPr>
          </w:p>
        </w:tc>
        <w:tc>
          <w:tcPr>
            <w:tcW w:w="260" w:type="dxa"/>
            <w:vAlign w:val="bottom"/>
            <w:tcBorders>
              <w:bottom w:val="single" w:sz="8" w:color="auto"/>
            </w:tcBorders>
            <w:shd w:val="clear" w:color="auto" w:fill="CFF0FC"/>
          </w:tcPr>
          <w:p>
            <w:pPr>
              <w:jc w:val="right"/>
              <w:ind w:right="82"/>
              <w:spacing w:after="0" w:line="180" w:lineRule="exact"/>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FF0FC"/>
          </w:tcPr>
          <w:p>
            <w:pPr>
              <w:jc w:val="right"/>
              <w:ind w:right="3"/>
              <w:spacing w:after="0" w:line="180" w:lineRule="exact"/>
              <w:rPr>
                <w:sz w:val="20"/>
                <w:szCs w:val="20"/>
                <w:color w:val="auto"/>
              </w:rPr>
            </w:pPr>
            <w:r>
              <w:rPr>
                <w:rFonts w:ascii="Arial" w:cs="Arial" w:eastAsia="Arial" w:hAnsi="Arial"/>
                <w:sz w:val="16"/>
                <w:szCs w:val="16"/>
                <w:color w:val="auto"/>
              </w:rPr>
              <w:t>(33)</w:t>
            </w:r>
          </w:p>
        </w:tc>
      </w:tr>
      <w:tr>
        <w:trPr>
          <w:trHeight w:val="20"/>
        </w:trPr>
        <w:tc>
          <w:tcPr>
            <w:tcW w:w="48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63"/>
        </w:trPr>
        <w:tc>
          <w:tcPr>
            <w:tcW w:w="4860" w:type="dxa"/>
            <w:vAlign w:val="bottom"/>
          </w:tcPr>
          <w:p>
            <w:pPr>
              <w:spacing w:after="0" w:line="163" w:lineRule="exact"/>
              <w:rPr>
                <w:sz w:val="20"/>
                <w:szCs w:val="20"/>
                <w:color w:val="auto"/>
              </w:rPr>
            </w:pPr>
            <w:r>
              <w:rPr>
                <w:rFonts w:ascii="Arial" w:cs="Arial" w:eastAsia="Arial" w:hAnsi="Arial"/>
                <w:sz w:val="16"/>
                <w:szCs w:val="16"/>
                <w:color w:val="auto"/>
              </w:rPr>
              <w:t>AOCL as of December 31, 2019</w:t>
            </w:r>
          </w:p>
        </w:tc>
        <w:tc>
          <w:tcPr>
            <w:tcW w:w="1900" w:type="dxa"/>
            <w:vAlign w:val="bottom"/>
            <w:gridSpan w:val="2"/>
          </w:tcPr>
          <w:p>
            <w:pPr>
              <w:jc w:val="right"/>
              <w:ind w:right="772"/>
              <w:spacing w:after="0" w:line="163" w:lineRule="exact"/>
              <w:rPr>
                <w:sz w:val="20"/>
                <w:szCs w:val="20"/>
                <w:color w:val="auto"/>
              </w:rPr>
            </w:pPr>
            <w:r>
              <w:rPr>
                <w:rFonts w:ascii="Arial" w:cs="Arial" w:eastAsia="Arial" w:hAnsi="Arial"/>
                <w:sz w:val="16"/>
                <w:szCs w:val="16"/>
                <w:color w:val="auto"/>
              </w:rPr>
              <w:t>$</w:t>
            </w:r>
          </w:p>
        </w:tc>
        <w:tc>
          <w:tcPr>
            <w:tcW w:w="320" w:type="dxa"/>
            <w:vAlign w:val="bottom"/>
          </w:tcPr>
          <w:p>
            <w:pPr>
              <w:jc w:val="right"/>
              <w:ind w:right="42"/>
              <w:spacing w:after="0" w:line="163" w:lineRule="exact"/>
              <w:rPr>
                <w:sz w:val="20"/>
                <w:szCs w:val="20"/>
                <w:color w:val="auto"/>
              </w:rPr>
            </w:pPr>
            <w:r>
              <w:rPr>
                <w:rFonts w:ascii="Arial" w:cs="Arial" w:eastAsia="Arial" w:hAnsi="Arial"/>
                <w:sz w:val="16"/>
                <w:szCs w:val="16"/>
                <w:color w:val="auto"/>
              </w:rPr>
              <w:t>8</w:t>
            </w:r>
          </w:p>
        </w:tc>
        <w:tc>
          <w:tcPr>
            <w:tcW w:w="140" w:type="dxa"/>
            <w:vAlign w:val="bottom"/>
          </w:tcPr>
          <w:p>
            <w:pPr>
              <w:spacing w:after="0"/>
              <w:rPr>
                <w:sz w:val="14"/>
                <w:szCs w:val="14"/>
                <w:color w:val="auto"/>
              </w:rPr>
            </w:pPr>
          </w:p>
        </w:tc>
        <w:tc>
          <w:tcPr>
            <w:tcW w:w="140" w:type="dxa"/>
            <w:vAlign w:val="bottom"/>
          </w:tcPr>
          <w:p>
            <w:pPr>
              <w:jc w:val="right"/>
              <w:spacing w:after="0" w:line="163" w:lineRule="exact"/>
              <w:rPr>
                <w:sz w:val="20"/>
                <w:szCs w:val="20"/>
                <w:color w:val="auto"/>
              </w:rPr>
            </w:pPr>
            <w:r>
              <w:rPr>
                <w:rFonts w:ascii="Arial" w:cs="Arial" w:eastAsia="Arial" w:hAnsi="Arial"/>
                <w:sz w:val="15"/>
                <w:szCs w:val="15"/>
                <w:color w:val="auto"/>
                <w:w w:val="71"/>
              </w:rPr>
              <w:t>$</w:t>
            </w:r>
          </w:p>
        </w:tc>
        <w:tc>
          <w:tcPr>
            <w:tcW w:w="1120" w:type="dxa"/>
            <w:vAlign w:val="bottom"/>
          </w:tcPr>
          <w:p>
            <w:pPr>
              <w:jc w:val="right"/>
              <w:spacing w:after="0" w:line="163" w:lineRule="exact"/>
              <w:rPr>
                <w:sz w:val="20"/>
                <w:szCs w:val="20"/>
                <w:color w:val="auto"/>
              </w:rPr>
            </w:pPr>
            <w:r>
              <w:rPr>
                <w:rFonts w:ascii="Arial" w:cs="Arial" w:eastAsia="Arial" w:hAnsi="Arial"/>
                <w:sz w:val="16"/>
                <w:szCs w:val="16"/>
                <w:color w:val="auto"/>
              </w:rPr>
              <w:t>(26)</w:t>
            </w:r>
          </w:p>
        </w:tc>
        <w:tc>
          <w:tcPr>
            <w:tcW w:w="320" w:type="dxa"/>
            <w:vAlign w:val="bottom"/>
            <w:gridSpan w:val="2"/>
          </w:tcPr>
          <w:p>
            <w:pPr>
              <w:jc w:val="right"/>
              <w:ind w:right="47"/>
              <w:spacing w:after="0" w:line="163" w:lineRule="exact"/>
              <w:rPr>
                <w:sz w:val="20"/>
                <w:szCs w:val="20"/>
                <w:color w:val="auto"/>
              </w:rPr>
            </w:pPr>
            <w:r>
              <w:rPr>
                <w:rFonts w:ascii="Arial" w:cs="Arial" w:eastAsia="Arial" w:hAnsi="Arial"/>
                <w:sz w:val="16"/>
                <w:szCs w:val="16"/>
                <w:color w:val="auto"/>
              </w:rPr>
              <w:t>$</w:t>
            </w:r>
          </w:p>
        </w:tc>
        <w:tc>
          <w:tcPr>
            <w:tcW w:w="1060" w:type="dxa"/>
            <w:vAlign w:val="bottom"/>
          </w:tcPr>
          <w:p>
            <w:pPr>
              <w:jc w:val="right"/>
              <w:spacing w:after="0" w:line="163" w:lineRule="exact"/>
              <w:rPr>
                <w:sz w:val="20"/>
                <w:szCs w:val="20"/>
                <w:color w:val="auto"/>
              </w:rPr>
            </w:pPr>
            <w:r>
              <w:rPr>
                <w:rFonts w:ascii="Arial" w:cs="Arial" w:eastAsia="Arial" w:hAnsi="Arial"/>
                <w:sz w:val="16"/>
                <w:szCs w:val="16"/>
                <w:color w:val="auto"/>
              </w:rPr>
              <w:t>(34)</w:t>
            </w:r>
          </w:p>
        </w:tc>
        <w:tc>
          <w:tcPr>
            <w:tcW w:w="120" w:type="dxa"/>
            <w:vAlign w:val="bottom"/>
          </w:tcPr>
          <w:p>
            <w:pPr>
              <w:spacing w:after="0"/>
              <w:rPr>
                <w:sz w:val="14"/>
                <w:szCs w:val="14"/>
                <w:color w:val="auto"/>
              </w:rPr>
            </w:pPr>
          </w:p>
        </w:tc>
        <w:tc>
          <w:tcPr>
            <w:tcW w:w="260" w:type="dxa"/>
            <w:vAlign w:val="bottom"/>
          </w:tcPr>
          <w:p>
            <w:pPr>
              <w:jc w:val="right"/>
              <w:ind w:right="82"/>
              <w:spacing w:after="0" w:line="163" w:lineRule="exact"/>
              <w:rPr>
                <w:sz w:val="20"/>
                <w:szCs w:val="20"/>
                <w:color w:val="auto"/>
              </w:rPr>
            </w:pPr>
            <w:r>
              <w:rPr>
                <w:rFonts w:ascii="Arial" w:cs="Arial" w:eastAsia="Arial" w:hAnsi="Arial"/>
                <w:sz w:val="16"/>
                <w:szCs w:val="16"/>
                <w:color w:val="auto"/>
                <w:w w:val="89"/>
              </w:rPr>
              <w:t>$</w:t>
            </w:r>
          </w:p>
        </w:tc>
        <w:tc>
          <w:tcPr>
            <w:tcW w:w="1020" w:type="dxa"/>
            <w:vAlign w:val="bottom"/>
          </w:tcPr>
          <w:p>
            <w:pPr>
              <w:jc w:val="right"/>
              <w:ind w:right="3"/>
              <w:spacing w:after="0" w:line="163" w:lineRule="exact"/>
              <w:rPr>
                <w:sz w:val="20"/>
                <w:szCs w:val="20"/>
                <w:color w:val="auto"/>
              </w:rPr>
            </w:pPr>
            <w:r>
              <w:rPr>
                <w:rFonts w:ascii="Arial" w:cs="Arial" w:eastAsia="Arial" w:hAnsi="Arial"/>
                <w:sz w:val="16"/>
                <w:szCs w:val="16"/>
                <w:color w:val="auto"/>
              </w:rPr>
              <w:t>(52)</w:t>
            </w:r>
          </w:p>
        </w:tc>
      </w:tr>
      <w:tr>
        <w:trPr>
          <w:trHeight w:val="188"/>
        </w:trPr>
        <w:tc>
          <w:tcPr>
            <w:tcW w:w="4860" w:type="dxa"/>
            <w:vAlign w:val="bottom"/>
            <w:shd w:val="clear" w:color="auto" w:fill="CFF0FC"/>
          </w:tcPr>
          <w:p>
            <w:pPr>
              <w:ind w:left="200"/>
              <w:spacing w:after="0"/>
              <w:rPr>
                <w:sz w:val="20"/>
                <w:szCs w:val="20"/>
                <w:color w:val="auto"/>
              </w:rPr>
            </w:pPr>
            <w:r>
              <w:rPr>
                <w:rFonts w:ascii="Arial" w:cs="Arial" w:eastAsia="Arial" w:hAnsi="Arial"/>
                <w:sz w:val="16"/>
                <w:szCs w:val="16"/>
                <w:color w:val="auto"/>
              </w:rPr>
              <w:t>Other comprehensive loss before reclassifications</w:t>
            </w:r>
          </w:p>
        </w:tc>
        <w:tc>
          <w:tcPr>
            <w:tcW w:w="98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46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b w:val="1"/>
                <w:bCs w:val="1"/>
                <w:color w:val="auto"/>
              </w:rPr>
              <w:t>—</w:t>
            </w:r>
          </w:p>
        </w:tc>
        <w:tc>
          <w:tcPr>
            <w:tcW w:w="140" w:type="dxa"/>
            <w:vAlign w:val="bottom"/>
            <w:shd w:val="clear" w:color="auto" w:fill="CFF0FC"/>
          </w:tcPr>
          <w:p>
            <w:pPr>
              <w:spacing w:after="0"/>
              <w:rPr>
                <w:sz w:val="16"/>
                <w:szCs w:val="16"/>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(29)</w:t>
            </w:r>
          </w:p>
        </w:tc>
        <w:tc>
          <w:tcPr>
            <w:tcW w:w="1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(2)</w:t>
            </w:r>
          </w:p>
        </w:tc>
        <w:tc>
          <w:tcPr>
            <w:tcW w:w="1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20" w:type="dxa"/>
            <w:vAlign w:val="bottom"/>
            <w:shd w:val="clear" w:color="auto" w:fill="CFF0FC"/>
          </w:tcPr>
          <w:p>
            <w:pPr>
              <w:jc w:val="right"/>
              <w:ind w:right="3"/>
              <w:spacing w:after="0"/>
              <w:rPr>
                <w:sz w:val="20"/>
                <w:szCs w:val="20"/>
                <w:color w:val="auto"/>
              </w:rPr>
            </w:pPr>
            <w:r>
              <w:rPr>
                <w:rFonts w:ascii="Arial" w:cs="Arial" w:eastAsia="Arial" w:hAnsi="Arial"/>
                <w:sz w:val="16"/>
                <w:szCs w:val="16"/>
                <w:b w:val="1"/>
                <w:bCs w:val="1"/>
                <w:color w:val="auto"/>
              </w:rPr>
              <w:t>(31)</w:t>
            </w:r>
          </w:p>
        </w:tc>
      </w:tr>
      <w:tr>
        <w:trPr>
          <w:trHeight w:val="188"/>
        </w:trPr>
        <w:tc>
          <w:tcPr>
            <w:tcW w:w="4860" w:type="dxa"/>
            <w:vAlign w:val="bottom"/>
          </w:tcPr>
          <w:p>
            <w:pPr>
              <w:ind w:left="200"/>
              <w:spacing w:after="0"/>
              <w:rPr>
                <w:sz w:val="20"/>
                <w:szCs w:val="20"/>
                <w:color w:val="auto"/>
              </w:rPr>
            </w:pPr>
            <w:r>
              <w:rPr>
                <w:rFonts w:ascii="Arial" w:cs="Arial" w:eastAsia="Arial" w:hAnsi="Arial"/>
                <w:sz w:val="16"/>
                <w:szCs w:val="16"/>
                <w:color w:val="auto"/>
              </w:rPr>
              <w:t>Amounts reclassified from AOCL</w:t>
            </w:r>
          </w:p>
        </w:tc>
        <w:tc>
          <w:tcPr>
            <w:tcW w:w="9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20" w:type="dxa"/>
            <w:vAlign w:val="bottom"/>
          </w:tcPr>
          <w:p>
            <w:pPr>
              <w:jc w:val="right"/>
              <w:spacing w:after="0"/>
              <w:rPr>
                <w:sz w:val="20"/>
                <w:szCs w:val="20"/>
                <w:color w:val="auto"/>
              </w:rPr>
            </w:pPr>
            <w:r>
              <w:rPr>
                <w:rFonts w:ascii="Arial" w:cs="Arial" w:eastAsia="Arial" w:hAnsi="Arial"/>
                <w:sz w:val="16"/>
                <w:szCs w:val="16"/>
                <w:b w:val="1"/>
                <w:bCs w:val="1"/>
                <w:color w:val="auto"/>
              </w:rPr>
              <w:t>(5)</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right"/>
              <w:ind w:right="47"/>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w:t>
            </w:r>
          </w:p>
        </w:tc>
        <w:tc>
          <w:tcPr>
            <w:tcW w:w="260" w:type="dxa"/>
            <w:vAlign w:val="bottom"/>
          </w:tcPr>
          <w:p>
            <w:pPr>
              <w:spacing w:after="0"/>
              <w:rPr>
                <w:sz w:val="16"/>
                <w:szCs w:val="16"/>
                <w:color w:val="auto"/>
              </w:rPr>
            </w:pPr>
          </w:p>
        </w:tc>
        <w:tc>
          <w:tcPr>
            <w:tcW w:w="1020" w:type="dxa"/>
            <w:vAlign w:val="bottom"/>
          </w:tcPr>
          <w:p>
            <w:pPr>
              <w:jc w:val="right"/>
              <w:ind w:right="3"/>
              <w:spacing w:after="0"/>
              <w:rPr>
                <w:sz w:val="20"/>
                <w:szCs w:val="20"/>
                <w:color w:val="auto"/>
              </w:rPr>
            </w:pPr>
            <w:r>
              <w:rPr>
                <w:rFonts w:ascii="Arial" w:cs="Arial" w:eastAsia="Arial" w:hAnsi="Arial"/>
                <w:sz w:val="16"/>
                <w:szCs w:val="16"/>
                <w:b w:val="1"/>
                <w:bCs w:val="1"/>
                <w:color w:val="auto"/>
              </w:rPr>
              <w:t>(5)</w:t>
            </w:r>
          </w:p>
        </w:tc>
      </w:tr>
      <w:tr>
        <w:trPr>
          <w:trHeight w:val="188"/>
        </w:trPr>
        <w:tc>
          <w:tcPr>
            <w:tcW w:w="4860" w:type="dxa"/>
            <w:vAlign w:val="bottom"/>
            <w:shd w:val="clear" w:color="auto" w:fill="CFF0FC"/>
          </w:tcPr>
          <w:p>
            <w:pPr>
              <w:ind w:left="200"/>
              <w:spacing w:after="0"/>
              <w:rPr>
                <w:sz w:val="20"/>
                <w:szCs w:val="20"/>
                <w:color w:val="auto"/>
              </w:rPr>
            </w:pPr>
            <w:r>
              <w:rPr>
                <w:rFonts w:ascii="Arial" w:cs="Arial" w:eastAsia="Arial" w:hAnsi="Arial"/>
                <w:sz w:val="16"/>
                <w:szCs w:val="16"/>
                <w:color w:val="auto"/>
              </w:rPr>
              <w:t>Income tax</w:t>
            </w:r>
          </w:p>
        </w:tc>
        <w:tc>
          <w:tcPr>
            <w:tcW w:w="98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320" w:type="dxa"/>
            <w:vAlign w:val="bottom"/>
            <w:shd w:val="clear" w:color="auto" w:fill="CFF0FC"/>
          </w:tcPr>
          <w:p>
            <w:pPr>
              <w:jc w:val="right"/>
              <w:ind w:right="42"/>
              <w:spacing w:after="0"/>
              <w:rPr>
                <w:sz w:val="20"/>
                <w:szCs w:val="20"/>
                <w:color w:val="auto"/>
              </w:rPr>
            </w:pPr>
            <w:r>
              <w:rPr>
                <w:rFonts w:ascii="Arial" w:cs="Arial" w:eastAsia="Arial" w:hAnsi="Arial"/>
                <w:sz w:val="16"/>
                <w:szCs w:val="16"/>
                <w:b w:val="1"/>
                <w:bCs w:val="1"/>
                <w:color w:val="auto"/>
              </w:rPr>
              <w:t>1</w:t>
            </w:r>
          </w:p>
        </w:tc>
        <w:tc>
          <w:tcPr>
            <w:tcW w:w="1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120" w:type="dxa"/>
            <w:vAlign w:val="bottom"/>
            <w:shd w:val="clear" w:color="auto" w:fill="CFF0FC"/>
          </w:tcPr>
          <w:p>
            <w:pPr>
              <w:jc w:val="right"/>
              <w:ind w:right="47"/>
              <w:spacing w:after="0"/>
              <w:rPr>
                <w:sz w:val="20"/>
                <w:szCs w:val="20"/>
                <w:color w:val="auto"/>
              </w:rPr>
            </w:pPr>
            <w:r>
              <w:rPr>
                <w:rFonts w:ascii="Arial" w:cs="Arial" w:eastAsia="Arial" w:hAnsi="Arial"/>
                <w:sz w:val="16"/>
                <w:szCs w:val="16"/>
                <w:b w:val="1"/>
                <w:bCs w:val="1"/>
                <w:color w:val="auto"/>
              </w:rPr>
              <w:t>6</w:t>
            </w:r>
          </w:p>
        </w:tc>
        <w:tc>
          <w:tcPr>
            <w:tcW w:w="1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18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b w:val="1"/>
                <w:bCs w:val="1"/>
                <w:color w:val="auto"/>
              </w:rPr>
              <w:t>—</w:t>
            </w:r>
          </w:p>
        </w:tc>
        <w:tc>
          <w:tcPr>
            <w:tcW w:w="260" w:type="dxa"/>
            <w:vAlign w:val="bottom"/>
            <w:shd w:val="clear" w:color="auto" w:fill="CFF0FC"/>
          </w:tcPr>
          <w:p>
            <w:pPr>
              <w:spacing w:after="0"/>
              <w:rPr>
                <w:sz w:val="16"/>
                <w:szCs w:val="16"/>
                <w:color w:val="auto"/>
              </w:rPr>
            </w:pPr>
          </w:p>
        </w:tc>
        <w:tc>
          <w:tcPr>
            <w:tcW w:w="1020" w:type="dxa"/>
            <w:vAlign w:val="bottom"/>
            <w:shd w:val="clear" w:color="auto" w:fill="CFF0FC"/>
          </w:tcPr>
          <w:p>
            <w:pPr>
              <w:jc w:val="right"/>
              <w:ind w:right="63"/>
              <w:spacing w:after="0"/>
              <w:rPr>
                <w:sz w:val="20"/>
                <w:szCs w:val="20"/>
                <w:color w:val="auto"/>
              </w:rPr>
            </w:pPr>
            <w:r>
              <w:rPr>
                <w:rFonts w:ascii="Arial" w:cs="Arial" w:eastAsia="Arial" w:hAnsi="Arial"/>
                <w:sz w:val="16"/>
                <w:szCs w:val="16"/>
                <w:b w:val="1"/>
                <w:bCs w:val="1"/>
                <w:color w:val="auto"/>
              </w:rPr>
              <w:t>7</w:t>
            </w:r>
          </w:p>
        </w:tc>
      </w:tr>
      <w:tr>
        <w:trPr>
          <w:trHeight w:val="180"/>
        </w:trPr>
        <w:tc>
          <w:tcPr>
            <w:tcW w:w="4860" w:type="dxa"/>
            <w:vAlign w:val="bottom"/>
            <w:tcBorders>
              <w:bottom w:val="single" w:sz="8" w:color="CFF0FC"/>
            </w:tcBorders>
          </w:tcPr>
          <w:p>
            <w:pPr>
              <w:spacing w:after="0" w:line="180" w:lineRule="exact"/>
              <w:rPr>
                <w:sz w:val="20"/>
                <w:szCs w:val="20"/>
                <w:color w:val="auto"/>
              </w:rPr>
            </w:pPr>
            <w:r>
              <w:rPr>
                <w:rFonts w:ascii="Arial" w:cs="Arial" w:eastAsia="Arial" w:hAnsi="Arial"/>
                <w:sz w:val="16"/>
                <w:szCs w:val="16"/>
                <w:color w:val="auto"/>
              </w:rPr>
              <w:t>Net current period other comprehensive loss</w:t>
            </w:r>
          </w:p>
        </w:tc>
        <w:tc>
          <w:tcPr>
            <w:tcW w:w="980" w:type="dxa"/>
            <w:vAlign w:val="bottom"/>
            <w:tcBorders>
              <w:bottom w:val="single" w:sz="8" w:color="CFF0FC"/>
            </w:tcBorders>
          </w:tcPr>
          <w:p>
            <w:pPr>
              <w:spacing w:after="0"/>
              <w:rPr>
                <w:sz w:val="15"/>
                <w:szCs w:val="15"/>
                <w:color w:val="auto"/>
              </w:rPr>
            </w:pPr>
          </w:p>
        </w:tc>
        <w:tc>
          <w:tcPr>
            <w:tcW w:w="920" w:type="dxa"/>
            <w:vAlign w:val="bottom"/>
            <w:tcBorders>
              <w:top w:val="single" w:sz="8" w:color="auto"/>
              <w:bottom w:val="single" w:sz="8" w:color="auto"/>
            </w:tcBorders>
          </w:tcPr>
          <w:p>
            <w:pPr>
              <w:jc w:val="right"/>
              <w:ind w:right="772"/>
              <w:spacing w:after="0"/>
              <w:rPr>
                <w:sz w:val="20"/>
                <w:szCs w:val="20"/>
                <w:color w:val="auto"/>
              </w:rPr>
            </w:pPr>
            <w:r>
              <w:rPr>
                <w:rFonts w:ascii="Arial" w:cs="Arial" w:eastAsia="Arial" w:hAnsi="Arial"/>
                <w:sz w:val="15"/>
                <w:szCs w:val="15"/>
                <w:b w:val="1"/>
                <w:bCs w:val="1"/>
                <w:color w:val="auto"/>
                <w:w w:val="71"/>
              </w:rPr>
              <w:t>$</w:t>
            </w:r>
          </w:p>
        </w:tc>
        <w:tc>
          <w:tcPr>
            <w:tcW w:w="320" w:type="dxa"/>
            <w:vAlign w:val="bottom"/>
            <w:tcBorders>
              <w:top w:val="single" w:sz="8" w:color="auto"/>
              <w:bottom w:val="single" w:sz="8" w:color="auto"/>
            </w:tcBorders>
          </w:tcPr>
          <w:p>
            <w:pPr>
              <w:jc w:val="right"/>
              <w:spacing w:after="0" w:line="180" w:lineRule="exact"/>
              <w:rPr>
                <w:sz w:val="20"/>
                <w:szCs w:val="20"/>
                <w:color w:val="auto"/>
              </w:rPr>
            </w:pPr>
            <w:r>
              <w:rPr>
                <w:rFonts w:ascii="Arial" w:cs="Arial" w:eastAsia="Arial" w:hAnsi="Arial"/>
                <w:sz w:val="16"/>
                <w:szCs w:val="16"/>
                <w:b w:val="1"/>
                <w:bCs w:val="1"/>
                <w:color w:val="auto"/>
              </w:rPr>
              <w:t>(4)</w:t>
            </w:r>
          </w:p>
        </w:tc>
        <w:tc>
          <w:tcPr>
            <w:tcW w:w="140" w:type="dxa"/>
            <w:vAlign w:val="bottom"/>
            <w:tcBorders>
              <w:bottom w:val="single" w:sz="8" w:color="CFF0FC"/>
            </w:tcBorders>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120" w:type="dxa"/>
            <w:vAlign w:val="bottom"/>
            <w:tcBorders>
              <w:top w:val="single" w:sz="8" w:color="auto"/>
              <w:bottom w:val="single" w:sz="8" w:color="auto"/>
            </w:tcBorders>
          </w:tcPr>
          <w:p>
            <w:pPr>
              <w:jc w:val="right"/>
              <w:spacing w:after="0" w:line="180" w:lineRule="exact"/>
              <w:rPr>
                <w:sz w:val="20"/>
                <w:szCs w:val="20"/>
                <w:color w:val="auto"/>
              </w:rPr>
            </w:pPr>
            <w:r>
              <w:rPr>
                <w:rFonts w:ascii="Arial" w:cs="Arial" w:eastAsia="Arial" w:hAnsi="Arial"/>
                <w:sz w:val="16"/>
                <w:szCs w:val="16"/>
                <w:b w:val="1"/>
                <w:bCs w:val="1"/>
                <w:color w:val="auto"/>
              </w:rPr>
              <w:t>(23)</w:t>
            </w:r>
          </w:p>
        </w:tc>
        <w:tc>
          <w:tcPr>
            <w:tcW w:w="120" w:type="dxa"/>
            <w:vAlign w:val="bottom"/>
            <w:tcBorders>
              <w:bottom w:val="single" w:sz="8" w:color="CFF0FC"/>
            </w:tcBorders>
          </w:tcPr>
          <w:p>
            <w:pPr>
              <w:spacing w:after="0"/>
              <w:rPr>
                <w:sz w:val="15"/>
                <w:szCs w:val="15"/>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b w:val="1"/>
                <w:bCs w:val="1"/>
                <w:color w:val="auto"/>
                <w:w w:val="71"/>
              </w:rPr>
              <w:t>$</w:t>
            </w:r>
          </w:p>
        </w:tc>
        <w:tc>
          <w:tcPr>
            <w:tcW w:w="1060" w:type="dxa"/>
            <w:vAlign w:val="bottom"/>
            <w:tcBorders>
              <w:top w:val="single" w:sz="8" w:color="auto"/>
              <w:bottom w:val="single" w:sz="8" w:color="auto"/>
            </w:tcBorders>
          </w:tcPr>
          <w:p>
            <w:pPr>
              <w:jc w:val="right"/>
              <w:spacing w:after="0" w:line="180" w:lineRule="exact"/>
              <w:rPr>
                <w:sz w:val="20"/>
                <w:szCs w:val="20"/>
                <w:color w:val="auto"/>
              </w:rPr>
            </w:pPr>
            <w:r>
              <w:rPr>
                <w:rFonts w:ascii="Arial" w:cs="Arial" w:eastAsia="Arial" w:hAnsi="Arial"/>
                <w:sz w:val="16"/>
                <w:szCs w:val="16"/>
                <w:b w:val="1"/>
                <w:bCs w:val="1"/>
                <w:color w:val="auto"/>
              </w:rPr>
              <w:t>(2)</w:t>
            </w:r>
          </w:p>
        </w:tc>
        <w:tc>
          <w:tcPr>
            <w:tcW w:w="120" w:type="dxa"/>
            <w:vAlign w:val="bottom"/>
            <w:tcBorders>
              <w:bottom w:val="single" w:sz="8" w:color="CFF0FC"/>
            </w:tcBorders>
          </w:tcPr>
          <w:p>
            <w:pPr>
              <w:spacing w:after="0"/>
              <w:rPr>
                <w:sz w:val="15"/>
                <w:szCs w:val="15"/>
                <w:color w:val="auto"/>
              </w:rPr>
            </w:pPr>
          </w:p>
        </w:tc>
        <w:tc>
          <w:tcPr>
            <w:tcW w:w="260" w:type="dxa"/>
            <w:vAlign w:val="bottom"/>
            <w:tcBorders>
              <w:top w:val="single" w:sz="8" w:color="auto"/>
              <w:bottom w:val="single" w:sz="8" w:color="auto"/>
            </w:tcBorders>
          </w:tcPr>
          <w:p>
            <w:pPr>
              <w:jc w:val="right"/>
              <w:ind w:right="82"/>
              <w:spacing w:after="0" w:line="180" w:lineRule="exact"/>
              <w:rPr>
                <w:sz w:val="20"/>
                <w:szCs w:val="20"/>
                <w:color w:val="auto"/>
              </w:rPr>
            </w:pPr>
            <w:r>
              <w:rPr>
                <w:rFonts w:ascii="Arial" w:cs="Arial" w:eastAsia="Arial" w:hAnsi="Arial"/>
                <w:sz w:val="16"/>
                <w:szCs w:val="16"/>
                <w:b w:val="1"/>
                <w:bCs w:val="1"/>
                <w:color w:val="auto"/>
                <w:w w:val="89"/>
              </w:rPr>
              <w:t>$</w:t>
            </w:r>
          </w:p>
        </w:tc>
        <w:tc>
          <w:tcPr>
            <w:tcW w:w="1020" w:type="dxa"/>
            <w:vAlign w:val="bottom"/>
            <w:tcBorders>
              <w:top w:val="single" w:sz="8" w:color="auto"/>
              <w:bottom w:val="single" w:sz="8" w:color="auto"/>
            </w:tcBorders>
          </w:tcPr>
          <w:p>
            <w:pPr>
              <w:jc w:val="right"/>
              <w:ind w:right="3"/>
              <w:spacing w:after="0" w:line="180" w:lineRule="exact"/>
              <w:rPr>
                <w:sz w:val="20"/>
                <w:szCs w:val="20"/>
                <w:color w:val="auto"/>
              </w:rPr>
            </w:pPr>
            <w:r>
              <w:rPr>
                <w:rFonts w:ascii="Arial" w:cs="Arial" w:eastAsia="Arial" w:hAnsi="Arial"/>
                <w:sz w:val="16"/>
                <w:szCs w:val="16"/>
                <w:b w:val="1"/>
                <w:bCs w:val="1"/>
                <w:color w:val="auto"/>
              </w:rPr>
              <w:t>(29)</w:t>
            </w:r>
          </w:p>
        </w:tc>
      </w:tr>
      <w:tr>
        <w:trPr>
          <w:trHeight w:val="180"/>
        </w:trPr>
        <w:tc>
          <w:tcPr>
            <w:tcW w:w="4860" w:type="dxa"/>
            <w:vAlign w:val="bottom"/>
            <w:tcBorders>
              <w:bottom w:val="single" w:sz="8" w:color="CFF0FC"/>
            </w:tcBorders>
            <w:shd w:val="clear" w:color="auto" w:fill="CFF0FC"/>
          </w:tcPr>
          <w:p>
            <w:pPr>
              <w:spacing w:after="0" w:line="180" w:lineRule="exact"/>
              <w:rPr>
                <w:sz w:val="20"/>
                <w:szCs w:val="20"/>
                <w:color w:val="auto"/>
              </w:rPr>
            </w:pPr>
            <w:r>
              <w:rPr>
                <w:rFonts w:ascii="Arial" w:cs="Arial" w:eastAsia="Arial" w:hAnsi="Arial"/>
                <w:sz w:val="16"/>
                <w:szCs w:val="16"/>
                <w:color w:val="auto"/>
              </w:rPr>
              <w:t>AOCL as of March 31, 2020</w:t>
            </w:r>
          </w:p>
        </w:tc>
        <w:tc>
          <w:tcPr>
            <w:tcW w:w="980" w:type="dxa"/>
            <w:vAlign w:val="bottom"/>
            <w:tcBorders>
              <w:bottom w:val="single" w:sz="8" w:color="CFF0FC"/>
            </w:tcBorders>
            <w:shd w:val="clear" w:color="auto" w:fill="CFF0FC"/>
          </w:tcPr>
          <w:p>
            <w:pPr>
              <w:spacing w:after="0"/>
              <w:rPr>
                <w:sz w:val="15"/>
                <w:szCs w:val="15"/>
                <w:color w:val="auto"/>
              </w:rPr>
            </w:pPr>
          </w:p>
        </w:tc>
        <w:tc>
          <w:tcPr>
            <w:tcW w:w="920" w:type="dxa"/>
            <w:vAlign w:val="bottom"/>
            <w:tcBorders>
              <w:bottom w:val="single" w:sz="8" w:color="auto"/>
            </w:tcBorders>
            <w:shd w:val="clear" w:color="auto" w:fill="CFF0FC"/>
          </w:tcPr>
          <w:p>
            <w:pPr>
              <w:jc w:val="right"/>
              <w:ind w:right="772"/>
              <w:spacing w:after="0"/>
              <w:rPr>
                <w:sz w:val="20"/>
                <w:szCs w:val="20"/>
                <w:color w:val="auto"/>
              </w:rPr>
            </w:pPr>
            <w:r>
              <w:rPr>
                <w:rFonts w:ascii="Arial" w:cs="Arial" w:eastAsia="Arial" w:hAnsi="Arial"/>
                <w:sz w:val="15"/>
                <w:szCs w:val="15"/>
                <w:b w:val="1"/>
                <w:bCs w:val="1"/>
                <w:color w:val="auto"/>
                <w:w w:val="71"/>
              </w:rPr>
              <w:t>$</w:t>
            </w:r>
          </w:p>
        </w:tc>
        <w:tc>
          <w:tcPr>
            <w:tcW w:w="320" w:type="dxa"/>
            <w:vAlign w:val="bottom"/>
            <w:tcBorders>
              <w:bottom w:val="single" w:sz="8" w:color="auto"/>
            </w:tcBorders>
            <w:shd w:val="clear" w:color="auto" w:fill="CFF0FC"/>
          </w:tcPr>
          <w:p>
            <w:pPr>
              <w:jc w:val="right"/>
              <w:ind w:right="42"/>
              <w:spacing w:after="0" w:line="180" w:lineRule="exact"/>
              <w:rPr>
                <w:sz w:val="20"/>
                <w:szCs w:val="20"/>
                <w:color w:val="auto"/>
              </w:rPr>
            </w:pPr>
            <w:r>
              <w:rPr>
                <w:rFonts w:ascii="Arial" w:cs="Arial" w:eastAsia="Arial" w:hAnsi="Arial"/>
                <w:sz w:val="16"/>
                <w:szCs w:val="16"/>
                <w:b w:val="1"/>
                <w:bCs w:val="1"/>
                <w:color w:val="auto"/>
              </w:rPr>
              <w:t>4</w:t>
            </w:r>
          </w:p>
        </w:tc>
        <w:tc>
          <w:tcPr>
            <w:tcW w:w="14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1120" w:type="dxa"/>
            <w:vAlign w:val="bottom"/>
            <w:tcBorders>
              <w:bottom w:val="single" w:sz="8" w:color="auto"/>
            </w:tcBorders>
            <w:shd w:val="clear" w:color="auto" w:fill="CFF0FC"/>
          </w:tcPr>
          <w:p>
            <w:pPr>
              <w:jc w:val="right"/>
              <w:spacing w:after="0" w:line="180" w:lineRule="exact"/>
              <w:rPr>
                <w:sz w:val="20"/>
                <w:szCs w:val="20"/>
                <w:color w:val="auto"/>
              </w:rPr>
            </w:pPr>
            <w:r>
              <w:rPr>
                <w:rFonts w:ascii="Arial" w:cs="Arial" w:eastAsia="Arial" w:hAnsi="Arial"/>
                <w:sz w:val="16"/>
                <w:szCs w:val="16"/>
                <w:b w:val="1"/>
                <w:bCs w:val="1"/>
                <w:color w:val="auto"/>
              </w:rPr>
              <w:t>(49)</w:t>
            </w:r>
          </w:p>
        </w:tc>
        <w:tc>
          <w:tcPr>
            <w:tcW w:w="12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b w:val="1"/>
                <w:bCs w:val="1"/>
                <w:color w:val="auto"/>
                <w:w w:val="71"/>
              </w:rPr>
              <w:t>$</w:t>
            </w:r>
          </w:p>
        </w:tc>
        <w:tc>
          <w:tcPr>
            <w:tcW w:w="1060" w:type="dxa"/>
            <w:vAlign w:val="bottom"/>
            <w:tcBorders>
              <w:bottom w:val="single" w:sz="8" w:color="auto"/>
            </w:tcBorders>
            <w:shd w:val="clear" w:color="auto" w:fill="CFF0FC"/>
          </w:tcPr>
          <w:p>
            <w:pPr>
              <w:jc w:val="right"/>
              <w:spacing w:after="0" w:line="180" w:lineRule="exact"/>
              <w:rPr>
                <w:sz w:val="20"/>
                <w:szCs w:val="20"/>
                <w:color w:val="auto"/>
              </w:rPr>
            </w:pPr>
            <w:r>
              <w:rPr>
                <w:rFonts w:ascii="Arial" w:cs="Arial" w:eastAsia="Arial" w:hAnsi="Arial"/>
                <w:sz w:val="16"/>
                <w:szCs w:val="16"/>
                <w:b w:val="1"/>
                <w:bCs w:val="1"/>
                <w:color w:val="auto"/>
              </w:rPr>
              <w:t>(36)</w:t>
            </w:r>
          </w:p>
        </w:tc>
        <w:tc>
          <w:tcPr>
            <w:tcW w:w="120" w:type="dxa"/>
            <w:vAlign w:val="bottom"/>
            <w:tcBorders>
              <w:bottom w:val="single" w:sz="8" w:color="CFF0FC"/>
            </w:tcBorders>
            <w:shd w:val="clear" w:color="auto" w:fill="CFF0FC"/>
          </w:tcPr>
          <w:p>
            <w:pPr>
              <w:spacing w:after="0"/>
              <w:rPr>
                <w:sz w:val="15"/>
                <w:szCs w:val="15"/>
                <w:color w:val="auto"/>
              </w:rPr>
            </w:pPr>
          </w:p>
        </w:tc>
        <w:tc>
          <w:tcPr>
            <w:tcW w:w="260" w:type="dxa"/>
            <w:vAlign w:val="bottom"/>
            <w:tcBorders>
              <w:bottom w:val="single" w:sz="8" w:color="auto"/>
            </w:tcBorders>
            <w:shd w:val="clear" w:color="auto" w:fill="CFF0FC"/>
          </w:tcPr>
          <w:p>
            <w:pPr>
              <w:jc w:val="right"/>
              <w:ind w:right="82"/>
              <w:spacing w:after="0" w:line="180" w:lineRule="exact"/>
              <w:rPr>
                <w:sz w:val="20"/>
                <w:szCs w:val="20"/>
                <w:color w:val="auto"/>
              </w:rPr>
            </w:pPr>
            <w:r>
              <w:rPr>
                <w:rFonts w:ascii="Arial" w:cs="Arial" w:eastAsia="Arial" w:hAnsi="Arial"/>
                <w:sz w:val="16"/>
                <w:szCs w:val="16"/>
                <w:b w:val="1"/>
                <w:bCs w:val="1"/>
                <w:color w:val="auto"/>
                <w:w w:val="89"/>
              </w:rPr>
              <w:t>$</w:t>
            </w:r>
          </w:p>
        </w:tc>
        <w:tc>
          <w:tcPr>
            <w:tcW w:w="1020" w:type="dxa"/>
            <w:vAlign w:val="bottom"/>
            <w:tcBorders>
              <w:bottom w:val="single" w:sz="8" w:color="auto"/>
            </w:tcBorders>
            <w:shd w:val="clear" w:color="auto" w:fill="CFF0FC"/>
          </w:tcPr>
          <w:p>
            <w:pPr>
              <w:jc w:val="right"/>
              <w:ind w:right="3"/>
              <w:spacing w:after="0" w:line="180" w:lineRule="exact"/>
              <w:rPr>
                <w:sz w:val="20"/>
                <w:szCs w:val="20"/>
                <w:color w:val="auto"/>
              </w:rPr>
            </w:pPr>
            <w:r>
              <w:rPr>
                <w:rFonts w:ascii="Arial" w:cs="Arial" w:eastAsia="Arial" w:hAnsi="Arial"/>
                <w:sz w:val="16"/>
                <w:szCs w:val="16"/>
                <w:b w:val="1"/>
                <w:bCs w:val="1"/>
                <w:color w:val="auto"/>
              </w:rPr>
              <w:t>(81)</w:t>
            </w:r>
          </w:p>
        </w:tc>
      </w:tr>
      <w:tr>
        <w:trPr>
          <w:trHeight w:val="20"/>
        </w:trPr>
        <w:tc>
          <w:tcPr>
            <w:tcW w:w="48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2" w:lineRule="exact"/>
        <w:rPr>
          <w:sz w:val="20"/>
          <w:szCs w:val="20"/>
          <w:color w:val="auto"/>
        </w:rPr>
      </w:pPr>
    </w:p>
    <w:p>
      <w:pPr>
        <w:ind w:right="100" w:firstLine="528"/>
        <w:spacing w:after="0" w:line="234" w:lineRule="auto"/>
        <w:rPr>
          <w:sz w:val="20"/>
          <w:szCs w:val="20"/>
          <w:color w:val="auto"/>
        </w:rPr>
      </w:pPr>
      <w:r>
        <w:rPr>
          <w:rFonts w:ascii="Arial" w:cs="Arial" w:eastAsia="Arial" w:hAnsi="Arial"/>
          <w:sz w:val="16"/>
          <w:szCs w:val="16"/>
          <w:color w:val="auto"/>
        </w:rPr>
        <w:t>The Company reclassified approximately $7 million, as of January 1, 2019, from accumulated other comprehensive loss to retained earnings for the stranded tax effects resulting from the U.S. Tax Cuts and Jobs Act. This reclassification had zero net effect on total stockholders' equity. The Company utilizes the portfolio securities approach when releasing income tax effects from AOCL for its investment securities.</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3880" w:type="dxa"/>
            <w:vAlign w:val="bottom"/>
          </w:tcPr>
          <w:p>
            <w:pPr>
              <w:spacing w:after="0"/>
              <w:rPr>
                <w:sz w:val="13"/>
                <w:szCs w:val="13"/>
                <w:color w:val="auto"/>
              </w:rPr>
            </w:pPr>
          </w:p>
        </w:tc>
        <w:tc>
          <w:tcPr>
            <w:tcW w:w="3680" w:type="dxa"/>
            <w:vAlign w:val="bottom"/>
            <w:tcBorders>
              <w:bottom w:val="single" w:sz="8" w:color="auto"/>
            </w:tcBorders>
            <w:gridSpan w:val="4"/>
          </w:tcPr>
          <w:p>
            <w:pPr>
              <w:jc w:val="right"/>
              <w:ind w:right="671"/>
              <w:spacing w:after="0"/>
              <w:rPr>
                <w:sz w:val="20"/>
                <w:szCs w:val="20"/>
                <w:color w:val="auto"/>
              </w:rPr>
            </w:pPr>
            <w:r>
              <w:rPr>
                <w:rFonts w:ascii="Arial" w:cs="Arial" w:eastAsia="Arial" w:hAnsi="Arial"/>
                <w:sz w:val="13"/>
                <w:szCs w:val="13"/>
                <w:b w:val="1"/>
                <w:bCs w:val="1"/>
                <w:color w:val="auto"/>
              </w:rPr>
              <w:t>Amounts reclassified from AOCL</w:t>
            </w:r>
          </w:p>
        </w:tc>
        <w:tc>
          <w:tcPr>
            <w:tcW w:w="340" w:type="dxa"/>
            <w:vAlign w:val="bottom"/>
            <w:tcBorders>
              <w:bottom w:val="single" w:sz="8" w:color="auto"/>
            </w:tcBorders>
          </w:tcPr>
          <w:p>
            <w:pPr>
              <w:spacing w:after="0"/>
              <w:rPr>
                <w:sz w:val="13"/>
                <w:szCs w:val="13"/>
                <w:color w:val="auto"/>
              </w:rPr>
            </w:pPr>
          </w:p>
        </w:tc>
        <w:tc>
          <w:tcPr>
            <w:tcW w:w="3360" w:type="dxa"/>
            <w:vAlign w:val="bottom"/>
            <w:vMerge w:val="restart"/>
          </w:tcPr>
          <w:p>
            <w:pPr>
              <w:jc w:val="center"/>
              <w:ind w:left="70"/>
              <w:spacing w:after="0"/>
              <w:rPr>
                <w:sz w:val="20"/>
                <w:szCs w:val="20"/>
                <w:color w:val="auto"/>
              </w:rPr>
            </w:pPr>
            <w:r>
              <w:rPr>
                <w:rFonts w:ascii="Arial" w:cs="Arial" w:eastAsia="Arial" w:hAnsi="Arial"/>
                <w:sz w:val="13"/>
                <w:szCs w:val="13"/>
                <w:b w:val="1"/>
                <w:bCs w:val="1"/>
                <w:color w:val="auto"/>
                <w:w w:val="96"/>
              </w:rPr>
              <w:t>Affected line item in the Condensed</w:t>
            </w:r>
          </w:p>
        </w:tc>
        <w:tc>
          <w:tcPr>
            <w:tcW w:w="0" w:type="dxa"/>
            <w:vAlign w:val="bottom"/>
          </w:tcPr>
          <w:p>
            <w:pPr>
              <w:spacing w:after="0"/>
              <w:rPr>
                <w:sz w:val="1"/>
                <w:szCs w:val="1"/>
                <w:color w:val="auto"/>
              </w:rPr>
            </w:pPr>
          </w:p>
        </w:tc>
      </w:tr>
      <w:tr>
        <w:trPr>
          <w:trHeight w:val="121"/>
        </w:trPr>
        <w:tc>
          <w:tcPr>
            <w:tcW w:w="388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3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3880" w:type="dxa"/>
            <w:vAlign w:val="bottom"/>
          </w:tcPr>
          <w:p>
            <w:pPr>
              <w:spacing w:after="0"/>
              <w:rPr>
                <w:sz w:val="12"/>
                <w:szCs w:val="12"/>
                <w:color w:val="auto"/>
              </w:rPr>
            </w:pPr>
          </w:p>
        </w:tc>
        <w:tc>
          <w:tcPr>
            <w:tcW w:w="1600" w:type="dxa"/>
            <w:vAlign w:val="bottom"/>
          </w:tcPr>
          <w:p>
            <w:pPr>
              <w:jc w:val="right"/>
              <w:ind w:right="12"/>
              <w:spacing w:after="0" w:line="141" w:lineRule="exact"/>
              <w:rPr>
                <w:sz w:val="20"/>
                <w:szCs w:val="20"/>
                <w:color w:val="auto"/>
              </w:rPr>
            </w:pPr>
            <w:r>
              <w:rPr>
                <w:rFonts w:ascii="Arial" w:cs="Arial" w:eastAsia="Arial" w:hAnsi="Arial"/>
                <w:sz w:val="13"/>
                <w:szCs w:val="13"/>
                <w:b w:val="1"/>
                <w:bCs w:val="1"/>
                <w:color w:val="auto"/>
              </w:rPr>
              <w:t>Three months ended</w:t>
            </w: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80" w:type="dxa"/>
            <w:vAlign w:val="bottom"/>
          </w:tcPr>
          <w:p>
            <w:pPr>
              <w:jc w:val="right"/>
              <w:ind w:right="11"/>
              <w:spacing w:after="0" w:line="141" w:lineRule="exact"/>
              <w:rPr>
                <w:sz w:val="20"/>
                <w:szCs w:val="20"/>
                <w:color w:val="auto"/>
              </w:rPr>
            </w:pPr>
            <w:r>
              <w:rPr>
                <w:rFonts w:ascii="Arial" w:cs="Arial" w:eastAsia="Arial" w:hAnsi="Arial"/>
                <w:sz w:val="13"/>
                <w:szCs w:val="13"/>
                <w:b w:val="1"/>
                <w:bCs w:val="1"/>
                <w:color w:val="auto"/>
              </w:rPr>
              <w:t>Three months ended</w:t>
            </w:r>
          </w:p>
        </w:tc>
        <w:tc>
          <w:tcPr>
            <w:tcW w:w="340" w:type="dxa"/>
            <w:vAlign w:val="bottom"/>
          </w:tcPr>
          <w:p>
            <w:pPr>
              <w:spacing w:after="0"/>
              <w:rPr>
                <w:sz w:val="12"/>
                <w:szCs w:val="12"/>
                <w:color w:val="auto"/>
              </w:rPr>
            </w:pPr>
          </w:p>
        </w:tc>
        <w:tc>
          <w:tcPr>
            <w:tcW w:w="3360" w:type="dxa"/>
            <w:vAlign w:val="bottom"/>
          </w:tcPr>
          <w:p>
            <w:pPr>
              <w:jc w:val="center"/>
              <w:ind w:left="70"/>
              <w:spacing w:after="0" w:line="141" w:lineRule="exact"/>
              <w:rPr>
                <w:sz w:val="20"/>
                <w:szCs w:val="20"/>
                <w:color w:val="auto"/>
              </w:rPr>
            </w:pPr>
            <w:r>
              <w:rPr>
                <w:rFonts w:ascii="Arial" w:cs="Arial" w:eastAsia="Arial" w:hAnsi="Arial"/>
                <w:sz w:val="13"/>
                <w:szCs w:val="13"/>
                <w:b w:val="1"/>
                <w:bCs w:val="1"/>
                <w:color w:val="auto"/>
                <w:w w:val="96"/>
              </w:rPr>
              <w:t>Consolidated Statements of</w:t>
            </w:r>
          </w:p>
        </w:tc>
        <w:tc>
          <w:tcPr>
            <w:tcW w:w="0" w:type="dxa"/>
            <w:vAlign w:val="bottom"/>
          </w:tcPr>
          <w:p>
            <w:pPr>
              <w:spacing w:after="0"/>
              <w:rPr>
                <w:sz w:val="1"/>
                <w:szCs w:val="1"/>
                <w:color w:val="auto"/>
              </w:rPr>
            </w:pPr>
          </w:p>
        </w:tc>
      </w:tr>
      <w:tr>
        <w:trPr>
          <w:trHeight w:val="153"/>
        </w:trPr>
        <w:tc>
          <w:tcPr>
            <w:tcW w:w="3880" w:type="dxa"/>
            <w:vAlign w:val="bottom"/>
            <w:tcBorders>
              <w:bottom w:val="single" w:sz="8" w:color="CFF0FC"/>
            </w:tcBorders>
          </w:tcPr>
          <w:p>
            <w:pPr>
              <w:spacing w:after="0"/>
              <w:rPr>
                <w:sz w:val="20"/>
                <w:szCs w:val="20"/>
                <w:color w:val="auto"/>
              </w:rPr>
            </w:pPr>
            <w:r>
              <w:rPr>
                <w:rFonts w:ascii="Arial" w:cs="Arial" w:eastAsia="Arial" w:hAnsi="Arial"/>
                <w:sz w:val="13"/>
                <w:szCs w:val="13"/>
                <w:b w:val="1"/>
                <w:bCs w:val="1"/>
                <w:color w:val="auto"/>
              </w:rPr>
              <w:t>AOCL Components</w:t>
            </w:r>
          </w:p>
        </w:tc>
        <w:tc>
          <w:tcPr>
            <w:tcW w:w="1600" w:type="dxa"/>
            <w:vAlign w:val="bottom"/>
            <w:tcBorders>
              <w:bottom w:val="single" w:sz="8" w:color="auto"/>
            </w:tcBorders>
          </w:tcPr>
          <w:p>
            <w:pPr>
              <w:jc w:val="right"/>
              <w:ind w:right="192"/>
              <w:spacing w:after="0"/>
              <w:rPr>
                <w:sz w:val="20"/>
                <w:szCs w:val="20"/>
                <w:color w:val="auto"/>
              </w:rPr>
            </w:pPr>
            <w:r>
              <w:rPr>
                <w:rFonts w:ascii="Arial" w:cs="Arial" w:eastAsia="Arial" w:hAnsi="Arial"/>
                <w:sz w:val="13"/>
                <w:szCs w:val="13"/>
                <w:b w:val="1"/>
                <w:bCs w:val="1"/>
                <w:color w:val="auto"/>
              </w:rPr>
              <w:t>March 31, 2020</w:t>
            </w:r>
          </w:p>
        </w:tc>
        <w:tc>
          <w:tcPr>
            <w:tcW w:w="320" w:type="dxa"/>
            <w:vAlign w:val="bottom"/>
            <w:tcBorders>
              <w:bottom w:val="single" w:sz="8" w:color="auto"/>
            </w:tcBorders>
          </w:tcPr>
          <w:p>
            <w:pPr>
              <w:spacing w:after="0"/>
              <w:rPr>
                <w:sz w:val="13"/>
                <w:szCs w:val="13"/>
                <w:color w:val="auto"/>
              </w:rPr>
            </w:pPr>
          </w:p>
        </w:tc>
        <w:tc>
          <w:tcPr>
            <w:tcW w:w="180" w:type="dxa"/>
            <w:vAlign w:val="bottom"/>
            <w:tcBorders>
              <w:bottom w:val="single" w:sz="8" w:color="CFF0FC"/>
            </w:tcBorders>
          </w:tcPr>
          <w:p>
            <w:pPr>
              <w:spacing w:after="0"/>
              <w:rPr>
                <w:sz w:val="13"/>
                <w:szCs w:val="13"/>
                <w:color w:val="auto"/>
              </w:rPr>
            </w:pPr>
          </w:p>
        </w:tc>
        <w:tc>
          <w:tcPr>
            <w:tcW w:w="1580" w:type="dxa"/>
            <w:vAlign w:val="bottom"/>
            <w:tcBorders>
              <w:bottom w:val="single" w:sz="8" w:color="auto"/>
            </w:tcBorders>
          </w:tcPr>
          <w:p>
            <w:pPr>
              <w:jc w:val="right"/>
              <w:ind w:right="171"/>
              <w:spacing w:after="0"/>
              <w:rPr>
                <w:sz w:val="20"/>
                <w:szCs w:val="20"/>
                <w:color w:val="auto"/>
              </w:rPr>
            </w:pPr>
            <w:r>
              <w:rPr>
                <w:rFonts w:ascii="Arial" w:cs="Arial" w:eastAsia="Arial" w:hAnsi="Arial"/>
                <w:sz w:val="13"/>
                <w:szCs w:val="13"/>
                <w:b w:val="1"/>
                <w:bCs w:val="1"/>
                <w:color w:val="auto"/>
              </w:rPr>
              <w:t>March 31, 2019</w:t>
            </w:r>
          </w:p>
        </w:tc>
        <w:tc>
          <w:tcPr>
            <w:tcW w:w="340" w:type="dxa"/>
            <w:vAlign w:val="bottom"/>
            <w:tcBorders>
              <w:bottom w:val="single" w:sz="8" w:color="auto"/>
            </w:tcBorders>
          </w:tcPr>
          <w:p>
            <w:pPr>
              <w:spacing w:after="0"/>
              <w:rPr>
                <w:sz w:val="13"/>
                <w:szCs w:val="13"/>
                <w:color w:val="auto"/>
              </w:rPr>
            </w:pPr>
          </w:p>
        </w:tc>
        <w:tc>
          <w:tcPr>
            <w:tcW w:w="3360" w:type="dxa"/>
            <w:vAlign w:val="bottom"/>
            <w:tcBorders>
              <w:bottom w:val="single" w:sz="8" w:color="CFF0FC"/>
            </w:tcBorders>
          </w:tcPr>
          <w:p>
            <w:pPr>
              <w:jc w:val="center"/>
              <w:ind w:left="70"/>
              <w:spacing w:after="0"/>
              <w:rPr>
                <w:sz w:val="20"/>
                <w:szCs w:val="20"/>
                <w:color w:val="auto"/>
              </w:rPr>
            </w:pPr>
            <w:r>
              <w:rPr>
                <w:rFonts w:ascii="Arial" w:cs="Arial" w:eastAsia="Arial" w:hAnsi="Arial"/>
                <w:sz w:val="13"/>
                <w:szCs w:val="13"/>
                <w:b w:val="1"/>
                <w:bCs w:val="1"/>
                <w:color w:val="auto"/>
                <w:w w:val="96"/>
              </w:rPr>
              <w:t>Comprehensive Income</w:t>
            </w:r>
          </w:p>
        </w:tc>
        <w:tc>
          <w:tcPr>
            <w:tcW w:w="0" w:type="dxa"/>
            <w:vAlign w:val="bottom"/>
          </w:tcPr>
          <w:p>
            <w:pPr>
              <w:spacing w:after="0"/>
              <w:rPr>
                <w:sz w:val="1"/>
                <w:szCs w:val="1"/>
                <w:color w:val="auto"/>
              </w:rPr>
            </w:pPr>
          </w:p>
        </w:tc>
      </w:tr>
      <w:tr>
        <w:trPr>
          <w:trHeight w:val="180"/>
        </w:trPr>
        <w:tc>
          <w:tcPr>
            <w:tcW w:w="3880" w:type="dxa"/>
            <w:vAlign w:val="bottom"/>
            <w:shd w:val="clear" w:color="auto" w:fill="CFF0FC"/>
          </w:tcPr>
          <w:p>
            <w:pPr>
              <w:spacing w:after="0" w:line="180" w:lineRule="exact"/>
              <w:rPr>
                <w:sz w:val="20"/>
                <w:szCs w:val="20"/>
                <w:color w:val="auto"/>
              </w:rPr>
            </w:pPr>
            <w:r>
              <w:rPr>
                <w:rFonts w:ascii="Arial" w:cs="Arial" w:eastAsia="Arial" w:hAnsi="Arial"/>
                <w:sz w:val="16"/>
                <w:szCs w:val="16"/>
                <w:color w:val="auto"/>
              </w:rPr>
              <w:t>Amortization of benefit items:</w:t>
            </w:r>
          </w:p>
        </w:tc>
        <w:tc>
          <w:tcPr>
            <w:tcW w:w="160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58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33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3880" w:type="dxa"/>
            <w:vAlign w:val="bottom"/>
            <w:tcBorders>
              <w:bottom w:val="single" w:sz="8" w:color="CFF0FC"/>
            </w:tcBorders>
          </w:tcPr>
          <w:p>
            <w:pPr>
              <w:ind w:left="200"/>
              <w:spacing w:after="0"/>
              <w:rPr>
                <w:sz w:val="20"/>
                <w:szCs w:val="20"/>
                <w:color w:val="auto"/>
              </w:rPr>
            </w:pPr>
            <w:r>
              <w:rPr>
                <w:rFonts w:ascii="Arial" w:cs="Arial" w:eastAsia="Arial" w:hAnsi="Arial"/>
                <w:sz w:val="16"/>
                <w:szCs w:val="16"/>
                <w:color w:val="auto"/>
              </w:rPr>
              <w:t>Prior service cost</w:t>
            </w:r>
          </w:p>
        </w:tc>
        <w:tc>
          <w:tcPr>
            <w:tcW w:w="1600" w:type="dxa"/>
            <w:vAlign w:val="bottom"/>
            <w:tcBorders>
              <w:bottom w:val="single" w:sz="8" w:color="auto"/>
            </w:tcBorders>
          </w:tcPr>
          <w:p>
            <w:pPr>
              <w:jc w:val="right"/>
              <w:ind w:right="1452"/>
              <w:spacing w:after="0"/>
              <w:rPr>
                <w:sz w:val="20"/>
                <w:szCs w:val="20"/>
                <w:color w:val="auto"/>
              </w:rPr>
            </w:pPr>
            <w:r>
              <w:rPr>
                <w:rFonts w:ascii="Arial" w:cs="Arial" w:eastAsia="Arial" w:hAnsi="Arial"/>
                <w:sz w:val="15"/>
                <w:szCs w:val="15"/>
                <w:b w:val="1"/>
                <w:bCs w:val="1"/>
                <w:color w:val="auto"/>
                <w:w w:val="71"/>
              </w:rPr>
              <w:t>$</w:t>
            </w:r>
          </w:p>
        </w:tc>
        <w:tc>
          <w:tcPr>
            <w:tcW w:w="32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b w:val="1"/>
                <w:bCs w:val="1"/>
                <w:color w:val="auto"/>
              </w:rPr>
              <w:t>5</w:t>
            </w:r>
          </w:p>
        </w:tc>
        <w:tc>
          <w:tcPr>
            <w:tcW w:w="180" w:type="dxa"/>
            <w:vAlign w:val="bottom"/>
            <w:tcBorders>
              <w:bottom w:val="single" w:sz="8" w:color="CFF0FC"/>
            </w:tcBorders>
          </w:tcPr>
          <w:p>
            <w:pPr>
              <w:spacing w:after="0"/>
              <w:rPr>
                <w:sz w:val="16"/>
                <w:szCs w:val="16"/>
                <w:color w:val="auto"/>
              </w:rPr>
            </w:pPr>
          </w:p>
        </w:tc>
        <w:tc>
          <w:tcPr>
            <w:tcW w:w="1580" w:type="dxa"/>
            <w:vAlign w:val="bottom"/>
            <w:tcBorders>
              <w:bottom w:val="single" w:sz="8" w:color="auto"/>
            </w:tcBorders>
          </w:tcPr>
          <w:p>
            <w:pPr>
              <w:jc w:val="right"/>
              <w:ind w:right="1431"/>
              <w:spacing w:after="0"/>
              <w:rPr>
                <w:sz w:val="20"/>
                <w:szCs w:val="20"/>
                <w:color w:val="auto"/>
              </w:rPr>
            </w:pPr>
            <w:r>
              <w:rPr>
                <w:rFonts w:ascii="Arial" w:cs="Arial" w:eastAsia="Arial" w:hAnsi="Arial"/>
                <w:sz w:val="15"/>
                <w:szCs w:val="15"/>
                <w:color w:val="auto"/>
                <w:w w:val="71"/>
              </w:rPr>
              <w:t>$</w:t>
            </w:r>
          </w:p>
        </w:tc>
        <w:tc>
          <w:tcPr>
            <w:tcW w:w="34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3</w:t>
            </w:r>
          </w:p>
        </w:tc>
        <w:tc>
          <w:tcPr>
            <w:tcW w:w="3360" w:type="dxa"/>
            <w:vAlign w:val="bottom"/>
            <w:tcBorders>
              <w:bottom w:val="single" w:sz="8" w:color="CFF0FC"/>
            </w:tcBorders>
          </w:tcPr>
          <w:p>
            <w:pPr>
              <w:ind w:left="160"/>
              <w:spacing w:after="0"/>
              <w:rPr>
                <w:sz w:val="20"/>
                <w:szCs w:val="20"/>
                <w:color w:val="auto"/>
              </w:rPr>
            </w:pPr>
            <w:r>
              <w:rPr>
                <w:rFonts w:ascii="Arial" w:cs="Arial" w:eastAsia="Arial" w:hAnsi="Arial"/>
                <w:sz w:val="16"/>
                <w:szCs w:val="16"/>
                <w:color w:val="auto"/>
              </w:rPr>
              <w:t>Other (expense) income, net</w:t>
            </w:r>
          </w:p>
        </w:tc>
        <w:tc>
          <w:tcPr>
            <w:tcW w:w="0" w:type="dxa"/>
            <w:vAlign w:val="bottom"/>
          </w:tcPr>
          <w:p>
            <w:pPr>
              <w:spacing w:after="0"/>
              <w:rPr>
                <w:sz w:val="1"/>
                <w:szCs w:val="1"/>
                <w:color w:val="auto"/>
              </w:rPr>
            </w:pPr>
          </w:p>
        </w:tc>
      </w:tr>
      <w:tr>
        <w:trPr>
          <w:trHeight w:val="180"/>
        </w:trPr>
        <w:tc>
          <w:tcPr>
            <w:tcW w:w="3880" w:type="dxa"/>
            <w:vAlign w:val="bottom"/>
            <w:shd w:val="clear" w:color="auto" w:fill="CFF0FC"/>
          </w:tcPr>
          <w:p>
            <w:pPr>
              <w:spacing w:after="0" w:line="180" w:lineRule="exact"/>
              <w:rPr>
                <w:sz w:val="20"/>
                <w:szCs w:val="20"/>
                <w:color w:val="auto"/>
              </w:rPr>
            </w:pPr>
            <w:r>
              <w:rPr>
                <w:rFonts w:ascii="Arial" w:cs="Arial" w:eastAsia="Arial" w:hAnsi="Arial"/>
                <w:sz w:val="16"/>
                <w:szCs w:val="16"/>
                <w:color w:val="auto"/>
              </w:rPr>
              <w:t>Total reclassifications, before tax</w:t>
            </w:r>
          </w:p>
        </w:tc>
        <w:tc>
          <w:tcPr>
            <w:tcW w:w="1600" w:type="dxa"/>
            <w:vAlign w:val="bottom"/>
            <w:shd w:val="clear" w:color="auto" w:fill="CFF0FC"/>
          </w:tcPr>
          <w:p>
            <w:pPr>
              <w:jc w:val="right"/>
              <w:ind w:right="1452"/>
              <w:spacing w:after="0"/>
              <w:rPr>
                <w:sz w:val="20"/>
                <w:szCs w:val="20"/>
                <w:color w:val="auto"/>
              </w:rPr>
            </w:pPr>
            <w:r>
              <w:rPr>
                <w:rFonts w:ascii="Arial" w:cs="Arial" w:eastAsia="Arial" w:hAnsi="Arial"/>
                <w:sz w:val="15"/>
                <w:szCs w:val="15"/>
                <w:b w:val="1"/>
                <w:bCs w:val="1"/>
                <w:color w:val="auto"/>
                <w:w w:val="71"/>
              </w:rPr>
              <w:t>$</w:t>
            </w:r>
          </w:p>
        </w:tc>
        <w:tc>
          <w:tcPr>
            <w:tcW w:w="320" w:type="dxa"/>
            <w:vAlign w:val="bottom"/>
            <w:shd w:val="clear" w:color="auto" w:fill="CFF0FC"/>
          </w:tcPr>
          <w:p>
            <w:pPr>
              <w:jc w:val="right"/>
              <w:ind w:right="42"/>
              <w:spacing w:after="0" w:line="180" w:lineRule="exact"/>
              <w:rPr>
                <w:sz w:val="20"/>
                <w:szCs w:val="20"/>
                <w:color w:val="auto"/>
              </w:rPr>
            </w:pPr>
            <w:r>
              <w:rPr>
                <w:rFonts w:ascii="Arial" w:cs="Arial" w:eastAsia="Arial" w:hAnsi="Arial"/>
                <w:sz w:val="16"/>
                <w:szCs w:val="16"/>
                <w:b w:val="1"/>
                <w:bCs w:val="1"/>
                <w:color w:val="auto"/>
              </w:rPr>
              <w:t>5</w:t>
            </w:r>
          </w:p>
        </w:tc>
        <w:tc>
          <w:tcPr>
            <w:tcW w:w="180" w:type="dxa"/>
            <w:vAlign w:val="bottom"/>
            <w:shd w:val="clear" w:color="auto" w:fill="CFF0FC"/>
          </w:tcPr>
          <w:p>
            <w:pPr>
              <w:spacing w:after="0"/>
              <w:rPr>
                <w:sz w:val="15"/>
                <w:szCs w:val="15"/>
                <w:color w:val="auto"/>
              </w:rPr>
            </w:pPr>
          </w:p>
        </w:tc>
        <w:tc>
          <w:tcPr>
            <w:tcW w:w="1580" w:type="dxa"/>
            <w:vAlign w:val="bottom"/>
            <w:shd w:val="clear" w:color="auto" w:fill="CFF0FC"/>
          </w:tcPr>
          <w:p>
            <w:pPr>
              <w:jc w:val="right"/>
              <w:ind w:right="1431"/>
              <w:spacing w:after="0"/>
              <w:rPr>
                <w:sz w:val="20"/>
                <w:szCs w:val="20"/>
                <w:color w:val="auto"/>
              </w:rPr>
            </w:pPr>
            <w:r>
              <w:rPr>
                <w:rFonts w:ascii="Arial" w:cs="Arial" w:eastAsia="Arial" w:hAnsi="Arial"/>
                <w:sz w:val="15"/>
                <w:szCs w:val="15"/>
                <w:color w:val="auto"/>
                <w:w w:val="71"/>
              </w:rPr>
              <w:t>$</w:t>
            </w:r>
          </w:p>
        </w:tc>
        <w:tc>
          <w:tcPr>
            <w:tcW w:w="340" w:type="dxa"/>
            <w:vAlign w:val="bottom"/>
            <w:shd w:val="clear" w:color="auto" w:fill="CFF0FC"/>
          </w:tcPr>
          <w:p>
            <w:pPr>
              <w:jc w:val="right"/>
              <w:ind w:right="42"/>
              <w:spacing w:after="0" w:line="180" w:lineRule="exact"/>
              <w:rPr>
                <w:sz w:val="20"/>
                <w:szCs w:val="20"/>
                <w:color w:val="auto"/>
              </w:rPr>
            </w:pPr>
            <w:r>
              <w:rPr>
                <w:rFonts w:ascii="Arial" w:cs="Arial" w:eastAsia="Arial" w:hAnsi="Arial"/>
                <w:sz w:val="16"/>
                <w:szCs w:val="16"/>
                <w:color w:val="auto"/>
              </w:rPr>
              <w:t>3</w:t>
            </w:r>
          </w:p>
        </w:tc>
        <w:tc>
          <w:tcPr>
            <w:tcW w:w="3360" w:type="dxa"/>
            <w:vAlign w:val="bottom"/>
            <w:shd w:val="clear" w:color="auto" w:fill="CFF0FC"/>
          </w:tcPr>
          <w:p>
            <w:pPr>
              <w:ind w:left="160"/>
              <w:spacing w:after="0" w:line="180" w:lineRule="exact"/>
              <w:rPr>
                <w:sz w:val="20"/>
                <w:szCs w:val="20"/>
                <w:color w:val="auto"/>
              </w:rPr>
            </w:pPr>
            <w:r>
              <w:rPr>
                <w:rFonts w:ascii="Arial" w:cs="Arial" w:eastAsia="Arial" w:hAnsi="Arial"/>
                <w:sz w:val="16"/>
                <w:szCs w:val="16"/>
                <w:color w:val="auto"/>
              </w:rPr>
              <w:t>Income before income taxes</w:t>
            </w:r>
          </w:p>
        </w:tc>
        <w:tc>
          <w:tcPr>
            <w:tcW w:w="0" w:type="dxa"/>
            <w:vAlign w:val="bottom"/>
          </w:tcPr>
          <w:p>
            <w:pPr>
              <w:spacing w:after="0"/>
              <w:rPr>
                <w:sz w:val="1"/>
                <w:szCs w:val="1"/>
                <w:color w:val="auto"/>
              </w:rPr>
            </w:pPr>
          </w:p>
        </w:tc>
      </w:tr>
      <w:tr>
        <w:trPr>
          <w:trHeight w:val="188"/>
        </w:trPr>
        <w:tc>
          <w:tcPr>
            <w:tcW w:w="388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Income tax expense</w:t>
            </w:r>
          </w:p>
        </w:tc>
        <w:tc>
          <w:tcPr>
            <w:tcW w:w="16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w:t>
            </w:r>
          </w:p>
        </w:tc>
        <w:tc>
          <w:tcPr>
            <w:tcW w:w="180" w:type="dxa"/>
            <w:vAlign w:val="bottom"/>
            <w:tcBorders>
              <w:bottom w:val="single" w:sz="8" w:color="CFF0FC"/>
            </w:tcBorders>
          </w:tcPr>
          <w:p>
            <w:pPr>
              <w:spacing w:after="0"/>
              <w:rPr>
                <w:sz w:val="16"/>
                <w:szCs w:val="16"/>
                <w:color w:val="auto"/>
              </w:rPr>
            </w:pPr>
          </w:p>
        </w:tc>
        <w:tc>
          <w:tcPr>
            <w:tcW w:w="158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3360" w:type="dxa"/>
            <w:vAlign w:val="bottom"/>
            <w:tcBorders>
              <w:bottom w:val="single" w:sz="8" w:color="CFF0FC"/>
            </w:tcBorders>
          </w:tcPr>
          <w:p>
            <w:pPr>
              <w:ind w:left="160"/>
              <w:spacing w:after="0"/>
              <w:rPr>
                <w:sz w:val="20"/>
                <w:szCs w:val="20"/>
                <w:color w:val="auto"/>
              </w:rPr>
            </w:pPr>
            <w:r>
              <w:rPr>
                <w:rFonts w:ascii="Arial" w:cs="Arial" w:eastAsia="Arial" w:hAnsi="Arial"/>
                <w:sz w:val="16"/>
                <w:szCs w:val="16"/>
                <w:color w:val="auto"/>
              </w:rPr>
              <w:t>Income tax expense</w:t>
            </w:r>
          </w:p>
        </w:tc>
        <w:tc>
          <w:tcPr>
            <w:tcW w:w="0" w:type="dxa"/>
            <w:vAlign w:val="bottom"/>
          </w:tcPr>
          <w:p>
            <w:pPr>
              <w:spacing w:after="0"/>
              <w:rPr>
                <w:sz w:val="1"/>
                <w:szCs w:val="1"/>
                <w:color w:val="auto"/>
              </w:rPr>
            </w:pPr>
          </w:p>
        </w:tc>
      </w:tr>
      <w:tr>
        <w:trPr>
          <w:trHeight w:val="180"/>
        </w:trPr>
        <w:tc>
          <w:tcPr>
            <w:tcW w:w="3880" w:type="dxa"/>
            <w:vAlign w:val="bottom"/>
            <w:tcBorders>
              <w:bottom w:val="single" w:sz="8" w:color="CFF0FC"/>
            </w:tcBorders>
            <w:shd w:val="clear" w:color="auto" w:fill="CFF0FC"/>
          </w:tcPr>
          <w:p>
            <w:pPr>
              <w:spacing w:after="0" w:line="180" w:lineRule="exact"/>
              <w:rPr>
                <w:sz w:val="20"/>
                <w:szCs w:val="20"/>
                <w:color w:val="auto"/>
              </w:rPr>
            </w:pPr>
            <w:r>
              <w:rPr>
                <w:rFonts w:ascii="Arial" w:cs="Arial" w:eastAsia="Arial" w:hAnsi="Arial"/>
                <w:sz w:val="16"/>
                <w:szCs w:val="16"/>
                <w:color w:val="auto"/>
              </w:rPr>
              <w:t>Total reclassifications, net of tax</w:t>
            </w:r>
          </w:p>
        </w:tc>
        <w:tc>
          <w:tcPr>
            <w:tcW w:w="1600" w:type="dxa"/>
            <w:vAlign w:val="bottom"/>
            <w:tcBorders>
              <w:bottom w:val="single" w:sz="8" w:color="auto"/>
            </w:tcBorders>
            <w:shd w:val="clear" w:color="auto" w:fill="CFF0FC"/>
          </w:tcPr>
          <w:p>
            <w:pPr>
              <w:jc w:val="right"/>
              <w:ind w:right="1452"/>
              <w:spacing w:after="0"/>
              <w:rPr>
                <w:sz w:val="20"/>
                <w:szCs w:val="20"/>
                <w:color w:val="auto"/>
              </w:rPr>
            </w:pPr>
            <w:r>
              <w:rPr>
                <w:rFonts w:ascii="Arial" w:cs="Arial" w:eastAsia="Arial" w:hAnsi="Arial"/>
                <w:sz w:val="15"/>
                <w:szCs w:val="15"/>
                <w:b w:val="1"/>
                <w:bCs w:val="1"/>
                <w:color w:val="auto"/>
                <w:w w:val="71"/>
              </w:rPr>
              <w:t>$</w:t>
            </w:r>
          </w:p>
        </w:tc>
        <w:tc>
          <w:tcPr>
            <w:tcW w:w="320" w:type="dxa"/>
            <w:vAlign w:val="bottom"/>
            <w:tcBorders>
              <w:bottom w:val="single" w:sz="8" w:color="auto"/>
            </w:tcBorders>
            <w:shd w:val="clear" w:color="auto" w:fill="CFF0FC"/>
          </w:tcPr>
          <w:p>
            <w:pPr>
              <w:jc w:val="right"/>
              <w:ind w:right="42"/>
              <w:spacing w:after="0" w:line="180" w:lineRule="exact"/>
              <w:rPr>
                <w:sz w:val="20"/>
                <w:szCs w:val="20"/>
                <w:color w:val="auto"/>
              </w:rPr>
            </w:pPr>
            <w:r>
              <w:rPr>
                <w:rFonts w:ascii="Arial" w:cs="Arial" w:eastAsia="Arial" w:hAnsi="Arial"/>
                <w:sz w:val="16"/>
                <w:szCs w:val="16"/>
                <w:b w:val="1"/>
                <w:bCs w:val="1"/>
                <w:color w:val="auto"/>
              </w:rPr>
              <w:t>4</w:t>
            </w:r>
          </w:p>
        </w:tc>
        <w:tc>
          <w:tcPr>
            <w:tcW w:w="180" w:type="dxa"/>
            <w:vAlign w:val="bottom"/>
            <w:tcBorders>
              <w:bottom w:val="single" w:sz="8" w:color="CFF0FC"/>
            </w:tcBorders>
            <w:shd w:val="clear" w:color="auto" w:fill="CFF0FC"/>
          </w:tcPr>
          <w:p>
            <w:pPr>
              <w:spacing w:after="0"/>
              <w:rPr>
                <w:sz w:val="15"/>
                <w:szCs w:val="15"/>
                <w:color w:val="auto"/>
              </w:rPr>
            </w:pPr>
          </w:p>
        </w:tc>
        <w:tc>
          <w:tcPr>
            <w:tcW w:w="1580" w:type="dxa"/>
            <w:vAlign w:val="bottom"/>
            <w:tcBorders>
              <w:bottom w:val="single" w:sz="8" w:color="auto"/>
            </w:tcBorders>
            <w:shd w:val="clear" w:color="auto" w:fill="CFF0FC"/>
          </w:tcPr>
          <w:p>
            <w:pPr>
              <w:jc w:val="right"/>
              <w:ind w:right="1431"/>
              <w:spacing w:after="0"/>
              <w:rPr>
                <w:sz w:val="20"/>
                <w:szCs w:val="20"/>
                <w:color w:val="auto"/>
              </w:rPr>
            </w:pPr>
            <w:r>
              <w:rPr>
                <w:rFonts w:ascii="Arial" w:cs="Arial" w:eastAsia="Arial" w:hAnsi="Arial"/>
                <w:sz w:val="15"/>
                <w:szCs w:val="15"/>
                <w:color w:val="auto"/>
                <w:w w:val="71"/>
              </w:rPr>
              <w:t>$</w:t>
            </w:r>
          </w:p>
        </w:tc>
        <w:tc>
          <w:tcPr>
            <w:tcW w:w="340" w:type="dxa"/>
            <w:vAlign w:val="bottom"/>
            <w:tcBorders>
              <w:bottom w:val="single" w:sz="8" w:color="auto"/>
            </w:tcBorders>
            <w:shd w:val="clear" w:color="auto" w:fill="CFF0FC"/>
          </w:tcPr>
          <w:p>
            <w:pPr>
              <w:jc w:val="right"/>
              <w:ind w:right="42"/>
              <w:spacing w:after="0" w:line="180" w:lineRule="exact"/>
              <w:rPr>
                <w:sz w:val="20"/>
                <w:szCs w:val="20"/>
                <w:color w:val="auto"/>
              </w:rPr>
            </w:pPr>
            <w:r>
              <w:rPr>
                <w:rFonts w:ascii="Arial" w:cs="Arial" w:eastAsia="Arial" w:hAnsi="Arial"/>
                <w:sz w:val="16"/>
                <w:szCs w:val="16"/>
                <w:color w:val="auto"/>
              </w:rPr>
              <w:t>2</w:t>
            </w:r>
          </w:p>
        </w:tc>
        <w:tc>
          <w:tcPr>
            <w:tcW w:w="336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both"/>
        <w:ind w:firstLine="528"/>
        <w:spacing w:after="0" w:line="237" w:lineRule="auto"/>
        <w:rPr>
          <w:sz w:val="20"/>
          <w:szCs w:val="20"/>
          <w:color w:val="auto"/>
        </w:rPr>
      </w:pPr>
      <w:r>
        <w:rPr>
          <w:rFonts w:ascii="Arial" w:cs="Arial" w:eastAsia="Arial" w:hAnsi="Arial"/>
          <w:sz w:val="16"/>
          <w:szCs w:val="16"/>
          <w:color w:val="auto"/>
        </w:rPr>
        <w:t>Prior service cost and actuarial loss are included in the computation of the Company’s net periodic benefit cost. See NOTE M, “Employee Benefit Plans” for additional details.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55245</wp:posOffset>
            </wp:positionV>
            <wp:extent cx="7150100" cy="146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0"/>
          </w:cols>
          <w:pgMar w:left="320" w:top="140" w:right="319" w:bottom="1440" w:gutter="0" w:footer="0" w:header="0"/>
        </w:sectPr>
      </w:pPr>
    </w:p>
    <w:bookmarkStart w:id="21" w:name="page22"/>
    <w:bookmarkEnd w:id="2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P. COMMITMENTS AND CONTINGENCIES</w:t>
      </w:r>
    </w:p>
    <w:p>
      <w:pPr>
        <w:spacing w:after="0" w:line="88" w:lineRule="exact"/>
        <w:rPr>
          <w:sz w:val="20"/>
          <w:szCs w:val="20"/>
          <w:color w:val="auto"/>
        </w:rPr>
      </w:pPr>
    </w:p>
    <w:p>
      <w:pPr>
        <w:ind w:left="260"/>
        <w:spacing w:after="0"/>
        <w:rPr>
          <w:sz w:val="20"/>
          <w:szCs w:val="20"/>
          <w:color w:val="auto"/>
        </w:rPr>
      </w:pPr>
      <w:r>
        <w:rPr>
          <w:rFonts w:ascii="Arial" w:cs="Arial" w:eastAsia="Arial" w:hAnsi="Arial"/>
          <w:sz w:val="16"/>
          <w:szCs w:val="16"/>
          <w:b w:val="1"/>
          <w:bCs w:val="1"/>
          <w:i w:val="1"/>
          <w:iCs w:val="1"/>
          <w:color w:val="auto"/>
        </w:rPr>
        <w:t>Environmental Matters</w:t>
      </w:r>
    </w:p>
    <w:p>
      <w:pPr>
        <w:spacing w:after="0" w:line="104" w:lineRule="exact"/>
        <w:rPr>
          <w:sz w:val="20"/>
          <w:szCs w:val="20"/>
          <w:color w:val="auto"/>
        </w:rPr>
      </w:pPr>
    </w:p>
    <w:p>
      <w:pPr>
        <w:ind w:right="720" w:firstLine="528"/>
        <w:spacing w:after="0" w:line="233" w:lineRule="auto"/>
        <w:rPr>
          <w:sz w:val="20"/>
          <w:szCs w:val="20"/>
          <w:color w:val="auto"/>
        </w:rPr>
      </w:pPr>
      <w:r>
        <w:rPr>
          <w:rFonts w:ascii="Arial" w:cs="Arial" w:eastAsia="Arial" w:hAnsi="Arial"/>
          <w:sz w:val="16"/>
          <w:szCs w:val="16"/>
          <w:color w:val="auto"/>
        </w:rPr>
        <w:t>The Company has an agreement with the Environmental Protection Agency to perform remedial activities at the Company’s Indianapolis, Indiana manufacturing facilities related to historical soil and groundwater contamination. In the fourth quarter of 2019, the EPA accepted a proposal to reduce the Company’s ongoing responsibilities for operating, monitoring and maintaining the ongoing activities, resulting in the Company reducing its associated undiscounted liability to $3 million to complete the future operating, monitoring and maintenance activities over the next 30 years.</w:t>
      </w:r>
    </w:p>
    <w:p>
      <w:pPr>
        <w:spacing w:after="0" w:line="113" w:lineRule="exact"/>
        <w:rPr>
          <w:sz w:val="20"/>
          <w:szCs w:val="20"/>
          <w:color w:val="auto"/>
        </w:rPr>
      </w:pPr>
    </w:p>
    <w:p>
      <w:pPr>
        <w:ind w:left="260"/>
        <w:spacing w:after="0"/>
        <w:rPr>
          <w:sz w:val="20"/>
          <w:szCs w:val="20"/>
          <w:color w:val="auto"/>
        </w:rPr>
      </w:pPr>
      <w:r>
        <w:rPr>
          <w:rFonts w:ascii="Arial" w:cs="Arial" w:eastAsia="Arial" w:hAnsi="Arial"/>
          <w:sz w:val="16"/>
          <w:szCs w:val="16"/>
          <w:b w:val="1"/>
          <w:bCs w:val="1"/>
          <w:i w:val="1"/>
          <w:iCs w:val="1"/>
          <w:color w:val="auto"/>
        </w:rPr>
        <w:t>Claims, Disputes, and Litigation</w:t>
      </w:r>
    </w:p>
    <w:p>
      <w:pPr>
        <w:spacing w:after="0" w:line="104" w:lineRule="exact"/>
        <w:rPr>
          <w:sz w:val="20"/>
          <w:szCs w:val="20"/>
          <w:color w:val="auto"/>
        </w:rPr>
      </w:pPr>
    </w:p>
    <w:p>
      <w:pPr>
        <w:ind w:right="120" w:firstLine="528"/>
        <w:spacing w:after="0" w:line="252" w:lineRule="auto"/>
        <w:rPr>
          <w:sz w:val="20"/>
          <w:szCs w:val="20"/>
          <w:color w:val="auto"/>
        </w:rPr>
      </w:pPr>
      <w:r>
        <w:rPr>
          <w:rFonts w:ascii="Arial" w:cs="Arial" w:eastAsia="Arial" w:hAnsi="Arial"/>
          <w:sz w:val="15"/>
          <w:szCs w:val="15"/>
          <w:color w:val="auto"/>
        </w:rPr>
        <w:t>The Company is party to various legal actions and administrative proceedings and subject to various claims arising in the ordinary course of business. These proceedings primarily involve commercial claims, product liability claims, personal injury claims and workers’ compensation claims. The Company believes that the ultimate liability, if any, in excess of amounts already provided for in the condensed consolidated financial statements or covered by insurance on the disposition of these matters will not have a material adverse effect on the financial position, results of operations or cash flows of the Company.</w:t>
      </w:r>
    </w:p>
    <w:p>
      <w:pPr>
        <w:spacing w:after="0" w:line="24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Q. EARNINGS PER SHARE</w:t>
      </w:r>
    </w:p>
    <w:p>
      <w:pPr>
        <w:spacing w:after="0" w:line="106" w:lineRule="exact"/>
        <w:rPr>
          <w:sz w:val="20"/>
          <w:szCs w:val="20"/>
          <w:color w:val="auto"/>
        </w:rPr>
      </w:pPr>
    </w:p>
    <w:p>
      <w:pPr>
        <w:ind w:right="140" w:firstLine="528"/>
        <w:spacing w:after="0" w:line="231" w:lineRule="auto"/>
        <w:rPr>
          <w:sz w:val="20"/>
          <w:szCs w:val="20"/>
          <w:color w:val="auto"/>
        </w:rPr>
      </w:pPr>
      <w:r>
        <w:rPr>
          <w:rFonts w:ascii="Arial" w:cs="Arial" w:eastAsia="Arial" w:hAnsi="Arial"/>
          <w:sz w:val="16"/>
          <w:szCs w:val="16"/>
          <w:color w:val="auto"/>
        </w:rPr>
        <w:t>The Company presents both basic and diluted earnings per share (“EPS”) amounts. Basic EPS is calculated by dividing net income by the weighted average number of common shares outstanding during the reporting period. Diluted EPS is calculated by dividing net income by the weighted average number of common shares and common equivalent shares outstanding during the reporting period that are calculated using the treasury stock method for stock-based awards. The treasury stock method assumes that the Company uses the proceeds from the exercise of awards to repurchase common stock at the average market price during the period. The assumed proceeds under the treasury stock method include the purchase price that the grantee will pay in the future and compensation cost for future service that the Company has not yet recognized. For the three ended both March 31, 2020 and March 31, 2019, there were no outstanding stock options excluded from the diluted EPS calculation because they were anti-dilutive.</w:t>
      </w:r>
    </w:p>
    <w:p>
      <w:pPr>
        <w:spacing w:after="0" w:line="8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following table reconciles the numerators and denominators used to calculate basic EPS and diluted EPS (in millions, except per share data):</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060" w:type="dxa"/>
            <w:vAlign w:val="bottom"/>
          </w:tcPr>
          <w:p>
            <w:pPr>
              <w:spacing w:after="0"/>
              <w:rPr>
                <w:sz w:val="13"/>
                <w:szCs w:val="13"/>
                <w:color w:val="auto"/>
              </w:rPr>
            </w:pPr>
          </w:p>
        </w:tc>
        <w:tc>
          <w:tcPr>
            <w:tcW w:w="26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400" w:type="dxa"/>
            <w:vAlign w:val="bottom"/>
            <w:gridSpan w:val="3"/>
          </w:tcPr>
          <w:p>
            <w:pPr>
              <w:jc w:val="right"/>
              <w:ind w:right="80"/>
              <w:spacing w:after="0"/>
              <w:rPr>
                <w:sz w:val="20"/>
                <w:szCs w:val="20"/>
                <w:color w:val="auto"/>
              </w:rPr>
            </w:pPr>
            <w:r>
              <w:rPr>
                <w:rFonts w:ascii="Arial" w:cs="Arial" w:eastAsia="Arial" w:hAnsi="Arial"/>
                <w:sz w:val="13"/>
                <w:szCs w:val="13"/>
                <w:b w:val="1"/>
                <w:bCs w:val="1"/>
                <w:color w:val="auto"/>
              </w:rPr>
              <w:t>Three Months Ended</w:t>
            </w: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5060" w:type="dxa"/>
            <w:vAlign w:val="bottom"/>
          </w:tcPr>
          <w:p>
            <w:pPr>
              <w:spacing w:after="0"/>
              <w:rPr>
                <w:sz w:val="14"/>
                <w:szCs w:val="14"/>
                <w:color w:val="auto"/>
              </w:rPr>
            </w:pPr>
          </w:p>
        </w:tc>
        <w:tc>
          <w:tcPr>
            <w:tcW w:w="2680" w:type="dxa"/>
            <w:vAlign w:val="bottom"/>
            <w:vMerge w:val="restart"/>
          </w:tcPr>
          <w:p>
            <w:pPr>
              <w:spacing w:after="0"/>
              <w:rPr>
                <w:sz w:val="14"/>
                <w:szCs w:val="14"/>
                <w:color w:val="auto"/>
              </w:rPr>
            </w:pPr>
          </w:p>
        </w:tc>
        <w:tc>
          <w:tcPr>
            <w:tcW w:w="1000" w:type="dxa"/>
            <w:vAlign w:val="bottom"/>
            <w:vMerge w:val="restart"/>
          </w:tcPr>
          <w:p>
            <w:pPr>
              <w:jc w:val="right"/>
              <w:ind w:right="6"/>
              <w:spacing w:after="0"/>
              <w:rPr>
                <w:sz w:val="20"/>
                <w:szCs w:val="20"/>
                <w:color w:val="auto"/>
              </w:rPr>
            </w:pPr>
            <w:r>
              <w:rPr>
                <w:rFonts w:ascii="Arial" w:cs="Arial" w:eastAsia="Arial" w:hAnsi="Arial"/>
                <w:sz w:val="13"/>
                <w:szCs w:val="13"/>
                <w:b w:val="1"/>
                <w:bCs w:val="1"/>
                <w:color w:val="auto"/>
              </w:rPr>
              <w:t>2020</w:t>
            </w:r>
          </w:p>
        </w:tc>
        <w:tc>
          <w:tcPr>
            <w:tcW w:w="1400" w:type="dxa"/>
            <w:vAlign w:val="bottom"/>
            <w:gridSpan w:val="3"/>
          </w:tcPr>
          <w:p>
            <w:pPr>
              <w:jc w:val="right"/>
              <w:ind w:right="420"/>
              <w:spacing w:after="0"/>
              <w:rPr>
                <w:sz w:val="20"/>
                <w:szCs w:val="20"/>
                <w:color w:val="auto"/>
              </w:rPr>
            </w:pPr>
            <w:r>
              <w:rPr>
                <w:rFonts w:ascii="Arial" w:cs="Arial" w:eastAsia="Arial" w:hAnsi="Arial"/>
                <w:sz w:val="13"/>
                <w:szCs w:val="13"/>
                <w:b w:val="1"/>
                <w:bCs w:val="1"/>
                <w:color w:val="auto"/>
              </w:rPr>
              <w:t>March 31,</w:t>
            </w:r>
          </w:p>
        </w:tc>
        <w:tc>
          <w:tcPr>
            <w:tcW w:w="1120" w:type="dxa"/>
            <w:vAlign w:val="bottom"/>
            <w:vMerge w:val="restart"/>
          </w:tcPr>
          <w:p>
            <w:pPr>
              <w:jc w:val="right"/>
              <w:ind w:right="704"/>
              <w:spacing w:after="0"/>
              <w:rPr>
                <w:sz w:val="20"/>
                <w:szCs w:val="20"/>
                <w:color w:val="auto"/>
              </w:rPr>
            </w:pPr>
            <w:r>
              <w:rPr>
                <w:rFonts w:ascii="Arial" w:cs="Arial" w:eastAsia="Arial" w:hAnsi="Arial"/>
                <w:sz w:val="13"/>
                <w:szCs w:val="13"/>
                <w:b w:val="1"/>
                <w:bCs w:val="1"/>
                <w:color w:val="auto"/>
              </w:rPr>
              <w:t>2019</w:t>
            </w:r>
          </w:p>
        </w:tc>
        <w:tc>
          <w:tcPr>
            <w:tcW w:w="0" w:type="dxa"/>
            <w:vAlign w:val="bottom"/>
          </w:tcPr>
          <w:p>
            <w:pPr>
              <w:spacing w:after="0"/>
              <w:rPr>
                <w:sz w:val="1"/>
                <w:szCs w:val="1"/>
                <w:color w:val="auto"/>
              </w:rPr>
            </w:pPr>
          </w:p>
        </w:tc>
      </w:tr>
      <w:tr>
        <w:trPr>
          <w:trHeight w:val="140"/>
        </w:trPr>
        <w:tc>
          <w:tcPr>
            <w:tcW w:w="5060" w:type="dxa"/>
            <w:vAlign w:val="bottom"/>
            <w:tcBorders>
              <w:bottom w:val="single" w:sz="8" w:color="CFF0FC"/>
            </w:tcBorders>
          </w:tcPr>
          <w:p>
            <w:pPr>
              <w:spacing w:after="0"/>
              <w:rPr>
                <w:sz w:val="12"/>
                <w:szCs w:val="12"/>
                <w:color w:val="auto"/>
              </w:rPr>
            </w:pPr>
          </w:p>
        </w:tc>
        <w:tc>
          <w:tcPr>
            <w:tcW w:w="2680" w:type="dxa"/>
            <w:vAlign w:val="bottom"/>
            <w:tcBorders>
              <w:bottom w:val="single" w:sz="8" w:color="CFF0FC"/>
            </w:tcBorders>
            <w:vMerge w:val="continue"/>
          </w:tcPr>
          <w:p>
            <w:pPr>
              <w:spacing w:after="0"/>
              <w:rPr>
                <w:sz w:val="12"/>
                <w:szCs w:val="12"/>
                <w:color w:val="auto"/>
              </w:rPr>
            </w:pPr>
          </w:p>
        </w:tc>
        <w:tc>
          <w:tcPr>
            <w:tcW w:w="1000" w:type="dxa"/>
            <w:vAlign w:val="bottom"/>
            <w:tcBorders>
              <w:bottom w:val="single" w:sz="8" w:color="auto"/>
            </w:tcBorders>
            <w:vMerge w:val="continue"/>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80" w:type="dxa"/>
            <w:vAlign w:val="bottom"/>
            <w:tcBorders>
              <w:bottom w:val="single" w:sz="8" w:color="CFF0FC"/>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5060" w:type="dxa"/>
            <w:vAlign w:val="bottom"/>
            <w:shd w:val="clear" w:color="auto" w:fill="CFF0FC"/>
          </w:tcPr>
          <w:p>
            <w:pPr>
              <w:spacing w:after="0" w:line="180" w:lineRule="exact"/>
              <w:rPr>
                <w:sz w:val="20"/>
                <w:szCs w:val="20"/>
                <w:color w:val="auto"/>
              </w:rPr>
            </w:pPr>
            <w:r>
              <w:rPr>
                <w:rFonts w:ascii="Arial" w:cs="Arial" w:eastAsia="Arial" w:hAnsi="Arial"/>
                <w:sz w:val="16"/>
                <w:szCs w:val="16"/>
                <w:color w:val="auto"/>
              </w:rPr>
              <w:t>Net income</w:t>
            </w:r>
          </w:p>
        </w:tc>
        <w:tc>
          <w:tcPr>
            <w:tcW w:w="2680" w:type="dxa"/>
            <w:vAlign w:val="bottom"/>
            <w:shd w:val="clear" w:color="auto" w:fill="CFF0FC"/>
          </w:tcPr>
          <w:p>
            <w:pPr>
              <w:spacing w:after="0"/>
              <w:rPr>
                <w:sz w:val="15"/>
                <w:szCs w:val="15"/>
                <w:color w:val="auto"/>
              </w:rPr>
            </w:pPr>
          </w:p>
        </w:tc>
        <w:tc>
          <w:tcPr>
            <w:tcW w:w="1000" w:type="dxa"/>
            <w:vAlign w:val="bottom"/>
            <w:shd w:val="clear" w:color="auto" w:fill="CFF0FC"/>
          </w:tcPr>
          <w:p>
            <w:pPr>
              <w:jc w:val="right"/>
              <w:ind w:right="826"/>
              <w:spacing w:after="0" w:line="180" w:lineRule="exact"/>
              <w:rPr>
                <w:sz w:val="20"/>
                <w:szCs w:val="20"/>
                <w:color w:val="auto"/>
              </w:rPr>
            </w:pPr>
            <w:r>
              <w:rPr>
                <w:rFonts w:ascii="Arial" w:cs="Arial" w:eastAsia="Arial" w:hAnsi="Arial"/>
                <w:sz w:val="16"/>
                <w:szCs w:val="16"/>
                <w:b w:val="1"/>
                <w:bCs w:val="1"/>
                <w:color w:val="auto"/>
                <w:w w:val="89"/>
              </w:rPr>
              <w:t>$</w:t>
            </w:r>
          </w:p>
        </w:tc>
        <w:tc>
          <w:tcPr>
            <w:tcW w:w="660" w:type="dxa"/>
            <w:vAlign w:val="bottom"/>
            <w:shd w:val="clear" w:color="auto" w:fill="CFF0FC"/>
          </w:tcPr>
          <w:p>
            <w:pPr>
              <w:jc w:val="right"/>
              <w:ind w:right="46"/>
              <w:spacing w:after="0" w:line="180" w:lineRule="exact"/>
              <w:rPr>
                <w:sz w:val="20"/>
                <w:szCs w:val="20"/>
                <w:color w:val="auto"/>
              </w:rPr>
            </w:pPr>
            <w:r>
              <w:rPr>
                <w:rFonts w:ascii="Arial" w:cs="Arial" w:eastAsia="Arial" w:hAnsi="Arial"/>
                <w:sz w:val="16"/>
                <w:szCs w:val="16"/>
                <w:b w:val="1"/>
                <w:bCs w:val="1"/>
                <w:color w:val="auto"/>
              </w:rPr>
              <w:t>139</w:t>
            </w:r>
          </w:p>
        </w:tc>
        <w:tc>
          <w:tcPr>
            <w:tcW w:w="740" w:type="dxa"/>
            <w:vAlign w:val="bottom"/>
            <w:gridSpan w:val="2"/>
            <w:shd w:val="clear" w:color="auto" w:fill="CFF0FC"/>
          </w:tcPr>
          <w:p>
            <w:pPr>
              <w:jc w:val="right"/>
              <w:ind w:right="480"/>
              <w:spacing w:after="0" w:line="180" w:lineRule="exact"/>
              <w:rPr>
                <w:sz w:val="20"/>
                <w:szCs w:val="20"/>
                <w:color w:val="auto"/>
              </w:rPr>
            </w:pPr>
            <w:r>
              <w:rPr>
                <w:rFonts w:ascii="Arial" w:cs="Arial" w:eastAsia="Arial" w:hAnsi="Arial"/>
                <w:sz w:val="16"/>
                <w:szCs w:val="16"/>
                <w:color w:val="auto"/>
              </w:rPr>
              <w:t>$</w:t>
            </w:r>
          </w:p>
        </w:tc>
        <w:tc>
          <w:tcPr>
            <w:tcW w:w="1120" w:type="dxa"/>
            <w:vAlign w:val="bottom"/>
            <w:shd w:val="clear" w:color="auto" w:fill="CFF0FC"/>
          </w:tcPr>
          <w:p>
            <w:pPr>
              <w:jc w:val="right"/>
              <w:ind w:right="64"/>
              <w:spacing w:after="0" w:line="180" w:lineRule="exact"/>
              <w:rPr>
                <w:sz w:val="20"/>
                <w:szCs w:val="20"/>
                <w:color w:val="auto"/>
              </w:rPr>
            </w:pPr>
            <w:r>
              <w:rPr>
                <w:rFonts w:ascii="Arial" w:cs="Arial" w:eastAsia="Arial" w:hAnsi="Arial"/>
                <w:sz w:val="16"/>
                <w:szCs w:val="16"/>
                <w:color w:val="auto"/>
              </w:rPr>
              <w:t>167</w:t>
            </w:r>
          </w:p>
        </w:tc>
        <w:tc>
          <w:tcPr>
            <w:tcW w:w="0" w:type="dxa"/>
            <w:vAlign w:val="bottom"/>
          </w:tcPr>
          <w:p>
            <w:pPr>
              <w:spacing w:after="0"/>
              <w:rPr>
                <w:sz w:val="1"/>
                <w:szCs w:val="1"/>
                <w:color w:val="auto"/>
              </w:rPr>
            </w:pPr>
          </w:p>
        </w:tc>
      </w:tr>
      <w:tr>
        <w:trPr>
          <w:trHeight w:val="20"/>
        </w:trPr>
        <w:tc>
          <w:tcPr>
            <w:tcW w:w="5060" w:type="dxa"/>
            <w:vAlign w:val="bottom"/>
            <w:tcBorders>
              <w:top w:val="single" w:sz="8" w:color="CFF0FC"/>
            </w:tcBorders>
          </w:tcPr>
          <w:p>
            <w:pPr>
              <w:spacing w:after="0" w:line="20" w:lineRule="exact"/>
              <w:rPr>
                <w:sz w:val="1"/>
                <w:szCs w:val="1"/>
                <w:color w:val="auto"/>
              </w:rPr>
            </w:pPr>
          </w:p>
        </w:tc>
        <w:tc>
          <w:tcPr>
            <w:tcW w:w="2680" w:type="dxa"/>
            <w:vAlign w:val="bottom"/>
            <w:tcBorders>
              <w:top w:val="single" w:sz="8" w:color="CFF0FC"/>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5060" w:type="dxa"/>
            <w:vAlign w:val="bottom"/>
          </w:tcPr>
          <w:p>
            <w:pPr>
              <w:spacing w:after="0" w:line="163" w:lineRule="exact"/>
              <w:rPr>
                <w:sz w:val="20"/>
                <w:szCs w:val="20"/>
                <w:color w:val="auto"/>
              </w:rPr>
            </w:pPr>
            <w:r>
              <w:rPr>
                <w:rFonts w:ascii="Arial" w:cs="Arial" w:eastAsia="Arial" w:hAnsi="Arial"/>
                <w:sz w:val="16"/>
                <w:szCs w:val="16"/>
                <w:color w:val="auto"/>
              </w:rPr>
              <w:t>Weighted average shares of common stock outstanding</w:t>
            </w:r>
          </w:p>
        </w:tc>
        <w:tc>
          <w:tcPr>
            <w:tcW w:w="26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60" w:type="dxa"/>
            <w:vAlign w:val="bottom"/>
          </w:tcPr>
          <w:p>
            <w:pPr>
              <w:jc w:val="right"/>
              <w:ind w:right="46"/>
              <w:spacing w:after="0" w:line="163" w:lineRule="exact"/>
              <w:rPr>
                <w:sz w:val="20"/>
                <w:szCs w:val="20"/>
                <w:color w:val="auto"/>
              </w:rPr>
            </w:pPr>
            <w:r>
              <w:rPr>
                <w:rFonts w:ascii="Arial" w:cs="Arial" w:eastAsia="Arial" w:hAnsi="Arial"/>
                <w:sz w:val="16"/>
                <w:szCs w:val="16"/>
                <w:b w:val="1"/>
                <w:bCs w:val="1"/>
                <w:color w:val="auto"/>
              </w:rPr>
              <w:t>116</w:t>
            </w: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20" w:type="dxa"/>
            <w:vAlign w:val="bottom"/>
          </w:tcPr>
          <w:p>
            <w:pPr>
              <w:jc w:val="right"/>
              <w:ind w:right="64"/>
              <w:spacing w:after="0" w:line="163" w:lineRule="exact"/>
              <w:rPr>
                <w:sz w:val="20"/>
                <w:szCs w:val="20"/>
                <w:color w:val="auto"/>
              </w:rPr>
            </w:pPr>
            <w:r>
              <w:rPr>
                <w:rFonts w:ascii="Arial" w:cs="Arial" w:eastAsia="Arial" w:hAnsi="Arial"/>
                <w:sz w:val="16"/>
                <w:szCs w:val="16"/>
                <w:color w:val="auto"/>
              </w:rPr>
              <w:t>126</w:t>
            </w:r>
          </w:p>
        </w:tc>
        <w:tc>
          <w:tcPr>
            <w:tcW w:w="0" w:type="dxa"/>
            <w:vAlign w:val="bottom"/>
          </w:tcPr>
          <w:p>
            <w:pPr>
              <w:spacing w:after="0"/>
              <w:rPr>
                <w:sz w:val="1"/>
                <w:szCs w:val="1"/>
                <w:color w:val="auto"/>
              </w:rPr>
            </w:pPr>
          </w:p>
        </w:tc>
      </w:tr>
      <w:tr>
        <w:trPr>
          <w:trHeight w:val="188"/>
        </w:trPr>
        <w:tc>
          <w:tcPr>
            <w:tcW w:w="5060" w:type="dxa"/>
            <w:vAlign w:val="bottom"/>
            <w:shd w:val="clear" w:color="auto" w:fill="CFF0FC"/>
          </w:tcPr>
          <w:p>
            <w:pPr>
              <w:spacing w:after="0"/>
              <w:rPr>
                <w:sz w:val="20"/>
                <w:szCs w:val="20"/>
                <w:color w:val="auto"/>
              </w:rPr>
            </w:pPr>
            <w:r>
              <w:rPr>
                <w:rFonts w:ascii="Arial" w:cs="Arial" w:eastAsia="Arial" w:hAnsi="Arial"/>
                <w:sz w:val="16"/>
                <w:szCs w:val="16"/>
                <w:color w:val="auto"/>
              </w:rPr>
              <w:t>Dilutive effect of stock-based awards</w:t>
            </w:r>
          </w:p>
        </w:tc>
        <w:tc>
          <w:tcPr>
            <w:tcW w:w="2680" w:type="dxa"/>
            <w:vAlign w:val="bottom"/>
            <w:shd w:val="clear" w:color="auto" w:fill="CFF0FC"/>
          </w:tcPr>
          <w:p>
            <w:pPr>
              <w:spacing w:after="0"/>
              <w:rPr>
                <w:sz w:val="16"/>
                <w:szCs w:val="16"/>
                <w:color w:val="auto"/>
              </w:rPr>
            </w:pPr>
          </w:p>
        </w:tc>
        <w:tc>
          <w:tcPr>
            <w:tcW w:w="1000" w:type="dxa"/>
            <w:vAlign w:val="bottom"/>
            <w:tcBorders>
              <w:bottom w:val="single" w:sz="8" w:color="auto"/>
            </w:tcBorders>
            <w:shd w:val="clear" w:color="auto" w:fill="CFF0FC"/>
          </w:tcPr>
          <w:p>
            <w:pPr>
              <w:spacing w:after="0"/>
              <w:rPr>
                <w:sz w:val="16"/>
                <w:szCs w:val="16"/>
                <w:color w:val="auto"/>
              </w:rPr>
            </w:pPr>
          </w:p>
        </w:tc>
        <w:tc>
          <w:tcPr>
            <w:tcW w:w="660" w:type="dxa"/>
            <w:vAlign w:val="bottom"/>
            <w:tcBorders>
              <w:bottom w:val="single" w:sz="8" w:color="auto"/>
            </w:tcBorders>
            <w:shd w:val="clear" w:color="auto" w:fill="CFF0FC"/>
          </w:tcPr>
          <w:p>
            <w:pPr>
              <w:jc w:val="right"/>
              <w:ind w:right="46"/>
              <w:spacing w:after="0"/>
              <w:rPr>
                <w:sz w:val="20"/>
                <w:szCs w:val="20"/>
                <w:color w:val="auto"/>
              </w:rPr>
            </w:pPr>
            <w:r>
              <w:rPr>
                <w:rFonts w:ascii="Arial" w:cs="Arial" w:eastAsia="Arial" w:hAnsi="Arial"/>
                <w:sz w:val="16"/>
                <w:szCs w:val="16"/>
                <w:b w:val="1"/>
                <w:bCs w:val="1"/>
                <w:color w:val="auto"/>
              </w:rPr>
              <w:t>—</w:t>
            </w:r>
          </w:p>
        </w:tc>
        <w:tc>
          <w:tcPr>
            <w:tcW w:w="180" w:type="dxa"/>
            <w:vAlign w:val="bottom"/>
            <w:shd w:val="clear" w:color="auto" w:fill="CFF0FC"/>
          </w:tcPr>
          <w:p>
            <w:pPr>
              <w:spacing w:after="0"/>
              <w:rPr>
                <w:sz w:val="16"/>
                <w:szCs w:val="16"/>
                <w:color w:val="auto"/>
              </w:rPr>
            </w:pPr>
          </w:p>
        </w:tc>
        <w:tc>
          <w:tcPr>
            <w:tcW w:w="560" w:type="dxa"/>
            <w:vAlign w:val="bottom"/>
            <w:tcBorders>
              <w:bottom w:val="single" w:sz="8" w:color="auto"/>
            </w:tcBorders>
            <w:shd w:val="clear" w:color="auto" w:fill="CFF0FC"/>
          </w:tcPr>
          <w:p>
            <w:pPr>
              <w:spacing w:after="0"/>
              <w:rPr>
                <w:sz w:val="16"/>
                <w:szCs w:val="16"/>
                <w:color w:val="auto"/>
              </w:rPr>
            </w:pPr>
          </w:p>
        </w:tc>
        <w:tc>
          <w:tcPr>
            <w:tcW w:w="1120" w:type="dxa"/>
            <w:vAlign w:val="bottom"/>
            <w:tcBorders>
              <w:bottom w:val="single" w:sz="8" w:color="auto"/>
            </w:tcBorders>
            <w:shd w:val="clear" w:color="auto" w:fill="CFF0FC"/>
          </w:tcPr>
          <w:p>
            <w:pPr>
              <w:jc w:val="right"/>
              <w:ind w:right="64"/>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20"/>
        </w:trPr>
        <w:tc>
          <w:tcPr>
            <w:tcW w:w="5060" w:type="dxa"/>
            <w:vAlign w:val="bottom"/>
            <w:tcBorders>
              <w:bottom w:val="single" w:sz="8" w:color="CFF0FC"/>
            </w:tcBorders>
          </w:tcPr>
          <w:p>
            <w:pPr>
              <w:ind w:left="200"/>
              <w:spacing w:after="0" w:line="180" w:lineRule="exact"/>
              <w:rPr>
                <w:sz w:val="20"/>
                <w:szCs w:val="20"/>
                <w:color w:val="auto"/>
              </w:rPr>
            </w:pPr>
            <w:r>
              <w:rPr>
                <w:rFonts w:ascii="Arial" w:cs="Arial" w:eastAsia="Arial" w:hAnsi="Arial"/>
                <w:sz w:val="16"/>
                <w:szCs w:val="16"/>
                <w:color w:val="auto"/>
              </w:rPr>
              <w:t>Diluted weighted average shares of common stock outstanding</w:t>
            </w:r>
          </w:p>
        </w:tc>
        <w:tc>
          <w:tcPr>
            <w:tcW w:w="2680" w:type="dxa"/>
            <w:vAlign w:val="bottom"/>
            <w:tcBorders>
              <w:bottom w:val="single" w:sz="8" w:color="CFF0FC"/>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46"/>
              <w:spacing w:after="0" w:line="180" w:lineRule="exact"/>
              <w:rPr>
                <w:sz w:val="20"/>
                <w:szCs w:val="20"/>
                <w:color w:val="auto"/>
              </w:rPr>
            </w:pPr>
            <w:r>
              <w:rPr>
                <w:rFonts w:ascii="Arial" w:cs="Arial" w:eastAsia="Arial" w:hAnsi="Arial"/>
                <w:sz w:val="16"/>
                <w:szCs w:val="16"/>
                <w:b w:val="1"/>
                <w:bCs w:val="1"/>
                <w:color w:val="auto"/>
              </w:rPr>
              <w:t>116</w:t>
            </w:r>
          </w:p>
        </w:tc>
        <w:tc>
          <w:tcPr>
            <w:tcW w:w="180" w:type="dxa"/>
            <w:vAlign w:val="bottom"/>
            <w:tcBorders>
              <w:bottom w:val="single" w:sz="8" w:color="CFF0FC"/>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64"/>
              <w:spacing w:after="0" w:line="180" w:lineRule="exact"/>
              <w:rPr>
                <w:sz w:val="20"/>
                <w:szCs w:val="20"/>
                <w:color w:val="auto"/>
              </w:rPr>
            </w:pPr>
            <w:r>
              <w:rPr>
                <w:rFonts w:ascii="Arial" w:cs="Arial" w:eastAsia="Arial" w:hAnsi="Arial"/>
                <w:sz w:val="16"/>
                <w:szCs w:val="16"/>
                <w:color w:val="auto"/>
              </w:rPr>
              <w:t>127</w:t>
            </w:r>
          </w:p>
        </w:tc>
        <w:tc>
          <w:tcPr>
            <w:tcW w:w="0" w:type="dxa"/>
            <w:vAlign w:val="bottom"/>
          </w:tcPr>
          <w:p>
            <w:pPr>
              <w:spacing w:after="0"/>
              <w:rPr>
                <w:sz w:val="1"/>
                <w:szCs w:val="1"/>
                <w:color w:val="auto"/>
              </w:rPr>
            </w:pPr>
          </w:p>
        </w:tc>
      </w:tr>
      <w:tr>
        <w:trPr>
          <w:trHeight w:val="163"/>
        </w:trPr>
        <w:tc>
          <w:tcPr>
            <w:tcW w:w="5060" w:type="dxa"/>
            <w:vAlign w:val="bottom"/>
            <w:shd w:val="clear" w:color="auto" w:fill="CFF0FC"/>
          </w:tcPr>
          <w:p>
            <w:pPr>
              <w:spacing w:after="0" w:line="163" w:lineRule="exact"/>
              <w:rPr>
                <w:sz w:val="20"/>
                <w:szCs w:val="20"/>
                <w:color w:val="auto"/>
              </w:rPr>
            </w:pPr>
            <w:r>
              <w:rPr>
                <w:rFonts w:ascii="Arial" w:cs="Arial" w:eastAsia="Arial" w:hAnsi="Arial"/>
                <w:sz w:val="16"/>
                <w:szCs w:val="16"/>
                <w:color w:val="auto"/>
              </w:rPr>
              <w:t>Basic earnings per share attributable to common stockholders</w:t>
            </w:r>
          </w:p>
        </w:tc>
        <w:tc>
          <w:tcPr>
            <w:tcW w:w="2680" w:type="dxa"/>
            <w:vAlign w:val="bottom"/>
            <w:shd w:val="clear" w:color="auto" w:fill="CFF0FC"/>
          </w:tcPr>
          <w:p>
            <w:pPr>
              <w:spacing w:after="0"/>
              <w:rPr>
                <w:sz w:val="14"/>
                <w:szCs w:val="14"/>
                <w:color w:val="auto"/>
              </w:rPr>
            </w:pPr>
          </w:p>
        </w:tc>
        <w:tc>
          <w:tcPr>
            <w:tcW w:w="1000" w:type="dxa"/>
            <w:vAlign w:val="bottom"/>
            <w:shd w:val="clear" w:color="auto" w:fill="CFF0FC"/>
          </w:tcPr>
          <w:p>
            <w:pPr>
              <w:jc w:val="right"/>
              <w:ind w:right="826"/>
              <w:spacing w:after="0" w:line="163" w:lineRule="exact"/>
              <w:rPr>
                <w:sz w:val="20"/>
                <w:szCs w:val="20"/>
                <w:color w:val="auto"/>
              </w:rPr>
            </w:pPr>
            <w:r>
              <w:rPr>
                <w:rFonts w:ascii="Arial" w:cs="Arial" w:eastAsia="Arial" w:hAnsi="Arial"/>
                <w:sz w:val="16"/>
                <w:szCs w:val="16"/>
                <w:b w:val="1"/>
                <w:bCs w:val="1"/>
                <w:color w:val="auto"/>
                <w:w w:val="89"/>
              </w:rPr>
              <w:t>$</w:t>
            </w:r>
          </w:p>
        </w:tc>
        <w:tc>
          <w:tcPr>
            <w:tcW w:w="660" w:type="dxa"/>
            <w:vAlign w:val="bottom"/>
            <w:shd w:val="clear" w:color="auto" w:fill="CFF0FC"/>
          </w:tcPr>
          <w:p>
            <w:pPr>
              <w:jc w:val="right"/>
              <w:ind w:right="46"/>
              <w:spacing w:after="0" w:line="163" w:lineRule="exact"/>
              <w:rPr>
                <w:sz w:val="20"/>
                <w:szCs w:val="20"/>
                <w:color w:val="auto"/>
              </w:rPr>
            </w:pPr>
            <w:r>
              <w:rPr>
                <w:rFonts w:ascii="Arial" w:cs="Arial" w:eastAsia="Arial" w:hAnsi="Arial"/>
                <w:sz w:val="16"/>
                <w:szCs w:val="16"/>
                <w:b w:val="1"/>
                <w:bCs w:val="1"/>
                <w:color w:val="auto"/>
              </w:rPr>
              <w:t>1.20</w:t>
            </w:r>
          </w:p>
        </w:tc>
        <w:tc>
          <w:tcPr>
            <w:tcW w:w="740" w:type="dxa"/>
            <w:vAlign w:val="bottom"/>
            <w:gridSpan w:val="2"/>
            <w:shd w:val="clear" w:color="auto" w:fill="CFF0FC"/>
          </w:tcPr>
          <w:p>
            <w:pPr>
              <w:jc w:val="right"/>
              <w:ind w:right="480"/>
              <w:spacing w:after="0" w:line="163" w:lineRule="exact"/>
              <w:rPr>
                <w:sz w:val="20"/>
                <w:szCs w:val="20"/>
                <w:color w:val="auto"/>
              </w:rPr>
            </w:pPr>
            <w:r>
              <w:rPr>
                <w:rFonts w:ascii="Arial" w:cs="Arial" w:eastAsia="Arial" w:hAnsi="Arial"/>
                <w:sz w:val="16"/>
                <w:szCs w:val="16"/>
                <w:color w:val="auto"/>
              </w:rPr>
              <w:t>$</w:t>
            </w:r>
          </w:p>
        </w:tc>
        <w:tc>
          <w:tcPr>
            <w:tcW w:w="1120" w:type="dxa"/>
            <w:vAlign w:val="bottom"/>
            <w:shd w:val="clear" w:color="auto" w:fill="CFF0FC"/>
          </w:tcPr>
          <w:p>
            <w:pPr>
              <w:jc w:val="right"/>
              <w:ind w:right="64"/>
              <w:spacing w:after="0" w:line="163" w:lineRule="exact"/>
              <w:rPr>
                <w:sz w:val="20"/>
                <w:szCs w:val="20"/>
                <w:color w:val="auto"/>
              </w:rPr>
            </w:pPr>
            <w:r>
              <w:rPr>
                <w:rFonts w:ascii="Arial" w:cs="Arial" w:eastAsia="Arial" w:hAnsi="Arial"/>
                <w:sz w:val="16"/>
                <w:szCs w:val="16"/>
                <w:color w:val="auto"/>
              </w:rPr>
              <w:t>1.33</w:t>
            </w:r>
          </w:p>
        </w:tc>
        <w:tc>
          <w:tcPr>
            <w:tcW w:w="0" w:type="dxa"/>
            <w:vAlign w:val="bottom"/>
          </w:tcPr>
          <w:p>
            <w:pPr>
              <w:spacing w:after="0"/>
              <w:rPr>
                <w:sz w:val="1"/>
                <w:szCs w:val="1"/>
                <w:color w:val="auto"/>
              </w:rPr>
            </w:pPr>
          </w:p>
        </w:tc>
      </w:tr>
      <w:tr>
        <w:trPr>
          <w:trHeight w:val="20"/>
        </w:trPr>
        <w:tc>
          <w:tcPr>
            <w:tcW w:w="5060" w:type="dxa"/>
            <w:vAlign w:val="bottom"/>
            <w:tcBorders>
              <w:top w:val="single" w:sz="8" w:color="CFF0FC"/>
            </w:tcBorders>
          </w:tcPr>
          <w:p>
            <w:pPr>
              <w:spacing w:after="0" w:line="20" w:lineRule="exact"/>
              <w:rPr>
                <w:sz w:val="1"/>
                <w:szCs w:val="1"/>
                <w:color w:val="auto"/>
              </w:rPr>
            </w:pPr>
          </w:p>
        </w:tc>
        <w:tc>
          <w:tcPr>
            <w:tcW w:w="2680" w:type="dxa"/>
            <w:vAlign w:val="bottom"/>
            <w:tcBorders>
              <w:top w:val="single" w:sz="8" w:color="CFF0FC"/>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5060" w:type="dxa"/>
            <w:vAlign w:val="bottom"/>
          </w:tcPr>
          <w:p>
            <w:pPr>
              <w:ind w:left="200"/>
              <w:spacing w:after="0" w:line="163" w:lineRule="exact"/>
              <w:rPr>
                <w:sz w:val="20"/>
                <w:szCs w:val="20"/>
                <w:color w:val="auto"/>
              </w:rPr>
            </w:pPr>
            <w:r>
              <w:rPr>
                <w:rFonts w:ascii="Arial" w:cs="Arial" w:eastAsia="Arial" w:hAnsi="Arial"/>
                <w:sz w:val="16"/>
                <w:szCs w:val="16"/>
                <w:color w:val="auto"/>
              </w:rPr>
              <w:t>Diluted earnings per share attributable to common stockholders</w:t>
            </w:r>
          </w:p>
        </w:tc>
        <w:tc>
          <w:tcPr>
            <w:tcW w:w="2680" w:type="dxa"/>
            <w:vAlign w:val="bottom"/>
          </w:tcPr>
          <w:p>
            <w:pPr>
              <w:spacing w:after="0"/>
              <w:rPr>
                <w:sz w:val="14"/>
                <w:szCs w:val="14"/>
                <w:color w:val="auto"/>
              </w:rPr>
            </w:pPr>
          </w:p>
        </w:tc>
        <w:tc>
          <w:tcPr>
            <w:tcW w:w="1000" w:type="dxa"/>
            <w:vAlign w:val="bottom"/>
          </w:tcPr>
          <w:p>
            <w:pPr>
              <w:jc w:val="right"/>
              <w:ind w:right="826"/>
              <w:spacing w:after="0" w:line="163" w:lineRule="exact"/>
              <w:rPr>
                <w:sz w:val="20"/>
                <w:szCs w:val="20"/>
                <w:color w:val="auto"/>
              </w:rPr>
            </w:pPr>
            <w:r>
              <w:rPr>
                <w:rFonts w:ascii="Arial" w:cs="Arial" w:eastAsia="Arial" w:hAnsi="Arial"/>
                <w:sz w:val="16"/>
                <w:szCs w:val="16"/>
                <w:b w:val="1"/>
                <w:bCs w:val="1"/>
                <w:color w:val="auto"/>
                <w:w w:val="89"/>
              </w:rPr>
              <w:t>$</w:t>
            </w:r>
          </w:p>
        </w:tc>
        <w:tc>
          <w:tcPr>
            <w:tcW w:w="660" w:type="dxa"/>
            <w:vAlign w:val="bottom"/>
          </w:tcPr>
          <w:p>
            <w:pPr>
              <w:jc w:val="right"/>
              <w:ind w:right="46"/>
              <w:spacing w:after="0" w:line="163" w:lineRule="exact"/>
              <w:rPr>
                <w:sz w:val="20"/>
                <w:szCs w:val="20"/>
                <w:color w:val="auto"/>
              </w:rPr>
            </w:pPr>
            <w:r>
              <w:rPr>
                <w:rFonts w:ascii="Arial" w:cs="Arial" w:eastAsia="Arial" w:hAnsi="Arial"/>
                <w:sz w:val="16"/>
                <w:szCs w:val="16"/>
                <w:b w:val="1"/>
                <w:bCs w:val="1"/>
                <w:color w:val="auto"/>
              </w:rPr>
              <w:t>1.20</w:t>
            </w:r>
          </w:p>
        </w:tc>
        <w:tc>
          <w:tcPr>
            <w:tcW w:w="740" w:type="dxa"/>
            <w:vAlign w:val="bottom"/>
            <w:gridSpan w:val="2"/>
          </w:tcPr>
          <w:p>
            <w:pPr>
              <w:jc w:val="right"/>
              <w:ind w:right="480"/>
              <w:spacing w:after="0" w:line="163" w:lineRule="exact"/>
              <w:rPr>
                <w:sz w:val="20"/>
                <w:szCs w:val="20"/>
                <w:color w:val="auto"/>
              </w:rPr>
            </w:pPr>
            <w:r>
              <w:rPr>
                <w:rFonts w:ascii="Arial" w:cs="Arial" w:eastAsia="Arial" w:hAnsi="Arial"/>
                <w:sz w:val="16"/>
                <w:szCs w:val="16"/>
                <w:color w:val="auto"/>
              </w:rPr>
              <w:t>$</w:t>
            </w:r>
          </w:p>
        </w:tc>
        <w:tc>
          <w:tcPr>
            <w:tcW w:w="1120" w:type="dxa"/>
            <w:vAlign w:val="bottom"/>
          </w:tcPr>
          <w:p>
            <w:pPr>
              <w:jc w:val="right"/>
              <w:ind w:right="64"/>
              <w:spacing w:after="0" w:line="163" w:lineRule="exact"/>
              <w:rPr>
                <w:sz w:val="20"/>
                <w:szCs w:val="20"/>
                <w:color w:val="auto"/>
              </w:rPr>
            </w:pPr>
            <w:r>
              <w:rPr>
                <w:rFonts w:ascii="Arial" w:cs="Arial" w:eastAsia="Arial" w:hAnsi="Arial"/>
                <w:sz w:val="16"/>
                <w:szCs w:val="16"/>
                <w:color w:val="auto"/>
              </w:rPr>
              <w:t>1.32</w:t>
            </w:r>
          </w:p>
        </w:tc>
        <w:tc>
          <w:tcPr>
            <w:tcW w:w="0" w:type="dxa"/>
            <w:vAlign w:val="bottom"/>
          </w:tcPr>
          <w:p>
            <w:pPr>
              <w:spacing w:after="0"/>
              <w:rPr>
                <w:sz w:val="1"/>
                <w:szCs w:val="1"/>
                <w:color w:val="auto"/>
              </w:rPr>
            </w:pPr>
          </w:p>
        </w:tc>
      </w:tr>
      <w:tr>
        <w:trPr>
          <w:trHeight w:val="20"/>
        </w:trPr>
        <w:tc>
          <w:tcPr>
            <w:tcW w:w="5060" w:type="dxa"/>
            <w:vAlign w:val="bottom"/>
          </w:tcPr>
          <w:p>
            <w:pPr>
              <w:spacing w:after="0" w:line="20" w:lineRule="exact"/>
              <w:rPr>
                <w:sz w:val="1"/>
                <w:szCs w:val="1"/>
                <w:color w:val="auto"/>
              </w:rPr>
            </w:pPr>
          </w:p>
        </w:tc>
        <w:tc>
          <w:tcPr>
            <w:tcW w:w="2680" w:type="dxa"/>
            <w:vAlign w:val="bottom"/>
            <w:vMerge w:val="restart"/>
          </w:tcPr>
          <w:p>
            <w:pPr>
              <w:jc w:val="right"/>
              <w:ind w:right="1942"/>
              <w:spacing w:after="0"/>
              <w:rPr>
                <w:sz w:val="20"/>
                <w:szCs w:val="20"/>
                <w:color w:val="auto"/>
              </w:rPr>
            </w:pPr>
            <w:r>
              <w:rPr>
                <w:rFonts w:ascii="Arial" w:cs="Arial" w:eastAsia="Arial" w:hAnsi="Arial"/>
                <w:sz w:val="16"/>
                <w:szCs w:val="16"/>
                <w:color w:val="auto"/>
              </w:rPr>
              <w:t>22</w:t>
            </w: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1"/>
        </w:trPr>
        <w:tc>
          <w:tcPr>
            <w:tcW w:w="5060" w:type="dxa"/>
            <w:vAlign w:val="bottom"/>
          </w:tcPr>
          <w:p>
            <w:pPr>
              <w:spacing w:after="0"/>
              <w:rPr>
                <w:sz w:val="24"/>
                <w:szCs w:val="24"/>
                <w:color w:val="auto"/>
              </w:rPr>
            </w:pPr>
          </w:p>
        </w:tc>
        <w:tc>
          <w:tcPr>
            <w:tcW w:w="2680" w:type="dxa"/>
            <w:vAlign w:val="bottom"/>
            <w:vMerge w:val="continue"/>
          </w:tcPr>
          <w:p>
            <w:pPr>
              <w:spacing w:after="0"/>
              <w:rPr>
                <w:sz w:val="24"/>
                <w:szCs w:val="24"/>
                <w:color w:val="auto"/>
              </w:rPr>
            </w:pPr>
          </w:p>
        </w:tc>
        <w:tc>
          <w:tcPr>
            <w:tcW w:w="10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5060" w:type="dxa"/>
            <w:vAlign w:val="bottom"/>
            <w:tcBorders>
              <w:bottom w:val="single" w:sz="8" w:color="9A9A9A"/>
            </w:tcBorders>
          </w:tcPr>
          <w:p>
            <w:pPr>
              <w:spacing w:after="0"/>
              <w:rPr>
                <w:sz w:val="7"/>
                <w:szCs w:val="7"/>
                <w:color w:val="auto"/>
              </w:rPr>
            </w:pPr>
          </w:p>
        </w:tc>
        <w:tc>
          <w:tcPr>
            <w:tcW w:w="2680" w:type="dxa"/>
            <w:vAlign w:val="bottom"/>
            <w:tcBorders>
              <w:bottom w:val="single" w:sz="8" w:color="9A9A9A"/>
            </w:tcBorders>
          </w:tcPr>
          <w:p>
            <w:pPr>
              <w:spacing w:after="0"/>
              <w:rPr>
                <w:sz w:val="7"/>
                <w:szCs w:val="7"/>
                <w:color w:val="auto"/>
              </w:rPr>
            </w:pPr>
          </w:p>
        </w:tc>
        <w:tc>
          <w:tcPr>
            <w:tcW w:w="100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112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7138670</wp:posOffset>
            </wp:positionH>
            <wp:positionV relativeFrom="paragraph">
              <wp:posOffset>-6985</wp:posOffset>
            </wp:positionV>
            <wp:extent cx="7620" cy="76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-13970</wp:posOffset>
            </wp:positionV>
            <wp:extent cx="7620" cy="146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620" cy="14605"/>
                    </a:xfrm>
                    <a:prstGeom prst="rect">
                      <a:avLst/>
                    </a:prstGeom>
                    <a:noFill/>
                  </pic:spPr>
                </pic:pic>
              </a:graphicData>
            </a:graphic>
          </wp:anchor>
        </w:drawing>
      </w:r>
    </w:p>
    <w:p>
      <w:pPr>
        <w:sectPr>
          <w:pgSz w:w="11900" w:h="16838" w:orient="portrait"/>
          <w:cols w:equalWidth="0" w:num="1">
            <w:col w:w="11260"/>
          </w:cols>
          <w:pgMar w:left="320" w:top="140" w:right="319" w:bottom="1440" w:gutter="0" w:footer="0" w:header="0"/>
        </w:sectPr>
      </w:pPr>
    </w:p>
    <w:bookmarkStart w:id="22" w:name="page23"/>
    <w:bookmarkEnd w:id="2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R. COMMON STOCK</w:t>
      </w:r>
    </w:p>
    <w:p>
      <w:pPr>
        <w:spacing w:after="0" w:line="106" w:lineRule="exact"/>
        <w:rPr>
          <w:sz w:val="20"/>
          <w:szCs w:val="20"/>
          <w:color w:val="auto"/>
        </w:rPr>
      </w:pPr>
    </w:p>
    <w:p>
      <w:pPr>
        <w:ind w:firstLine="528"/>
        <w:spacing w:after="0" w:line="232" w:lineRule="auto"/>
        <w:rPr>
          <w:sz w:val="20"/>
          <w:szCs w:val="20"/>
          <w:color w:val="auto"/>
        </w:rPr>
      </w:pPr>
      <w:r>
        <w:rPr>
          <w:rFonts w:ascii="Arial" w:cs="Arial" w:eastAsia="Arial" w:hAnsi="Arial"/>
          <w:sz w:val="16"/>
          <w:szCs w:val="16"/>
          <w:color w:val="auto"/>
        </w:rPr>
        <w:t>The Company’s current stock repurchase program (the “Repurchase Program”) was announced on November 14, 2016 when the Board of Directors authorized the Company to repurchase up to $1,000 million of its common stock on the open market or through privately negotiated transactions. On November 8, 2017, July 30, 2018 and May 9, 2019, the Board of Directors authorized the Company to repurchase an additional $500 million, $500 million and $1,000 million, respectively, of its common stock, bringing the total amount authorized under the Repurchase Program to $3,000 million. The Repurchase Program has no termination date. The timing and amount of stock purchases are subject to market conditions and corporate needs. The Repurchase Program may be modified, suspended or discontinued at any time at the Company’s discretion.</w:t>
      </w:r>
    </w:p>
    <w:p>
      <w:pPr>
        <w:spacing w:after="0" w:line="84" w:lineRule="exact"/>
        <w:rPr>
          <w:sz w:val="20"/>
          <w:szCs w:val="20"/>
          <w:color w:val="auto"/>
        </w:rPr>
      </w:pPr>
    </w:p>
    <w:p>
      <w:pPr>
        <w:ind w:right="540" w:firstLine="528"/>
        <w:spacing w:after="0" w:line="237" w:lineRule="auto"/>
        <w:rPr>
          <w:sz w:val="20"/>
          <w:szCs w:val="20"/>
          <w:color w:val="auto"/>
        </w:rPr>
      </w:pPr>
      <w:r>
        <w:rPr>
          <w:rFonts w:ascii="Arial" w:cs="Arial" w:eastAsia="Arial" w:hAnsi="Arial"/>
          <w:sz w:val="16"/>
          <w:szCs w:val="16"/>
          <w:color w:val="auto"/>
        </w:rPr>
        <w:t>During the three months ended March 31, 2020, the Company repurchased approximately $ 180 million of its common stock under the Repurchase Program, leaving $872 million of authorized repurchases remaining under the Repurchase Program as of March 31, 2020.</w:t>
      </w:r>
    </w:p>
    <w:p>
      <w:pPr>
        <w:spacing w:after="0" w:line="25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S. CERTAIN RELATIONSHIPS AND RELATED PARTY TRANSACTIONS</w:t>
      </w:r>
    </w:p>
    <w:p>
      <w:pPr>
        <w:spacing w:after="0" w:line="106" w:lineRule="exact"/>
        <w:rPr>
          <w:sz w:val="20"/>
          <w:szCs w:val="20"/>
          <w:color w:val="auto"/>
        </w:rPr>
      </w:pPr>
    </w:p>
    <w:p>
      <w:pPr>
        <w:ind w:right="100" w:firstLine="528"/>
        <w:spacing w:after="0" w:line="233" w:lineRule="auto"/>
        <w:rPr>
          <w:sz w:val="20"/>
          <w:szCs w:val="20"/>
          <w:color w:val="auto"/>
        </w:rPr>
      </w:pPr>
      <w:r>
        <w:rPr>
          <w:rFonts w:ascii="Arial" w:cs="Arial" w:eastAsia="Arial" w:hAnsi="Arial"/>
          <w:sz w:val="16"/>
          <w:szCs w:val="16"/>
          <w:color w:val="auto"/>
        </w:rPr>
        <w:t>On May 7, 2019, the Company entered into a stock repurchase agreement with Ashe Capital Management, LP to repurchase 4,977,043 shares of the Company's common stock for approximately $ 232 million. William Harker, a member of the Company's Board of Directors until May 9, 2019, is the President and Co-Founder of Ashe Capital Management, LP. The shares were repurchased under the Repurchase Program. The purchase was funded with cash on hand and borrowings under the New Revolving Credit Facility. The shares were subsequently retired.</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T. ACQUISITIONS</w:t>
      </w:r>
    </w:p>
    <w:p>
      <w:pPr>
        <w:spacing w:after="0" w:line="88" w:lineRule="exact"/>
        <w:rPr>
          <w:sz w:val="20"/>
          <w:szCs w:val="20"/>
          <w:color w:val="auto"/>
        </w:rPr>
      </w:pPr>
    </w:p>
    <w:p>
      <w:pPr>
        <w:ind w:left="260"/>
        <w:spacing w:after="0"/>
        <w:rPr>
          <w:sz w:val="20"/>
          <w:szCs w:val="20"/>
          <w:color w:val="auto"/>
        </w:rPr>
      </w:pPr>
      <w:r>
        <w:rPr>
          <w:rFonts w:ascii="Arial" w:cs="Arial" w:eastAsia="Arial" w:hAnsi="Arial"/>
          <w:sz w:val="16"/>
          <w:szCs w:val="16"/>
          <w:b w:val="1"/>
          <w:bCs w:val="1"/>
          <w:i w:val="1"/>
          <w:iCs w:val="1"/>
          <w:color w:val="auto"/>
        </w:rPr>
        <w:t>Walker Die Casting Acquisition</w:t>
      </w:r>
    </w:p>
    <w:p>
      <w:pPr>
        <w:spacing w:after="0" w:line="151" w:lineRule="exact"/>
        <w:rPr>
          <w:sz w:val="20"/>
          <w:szCs w:val="20"/>
          <w:color w:val="auto"/>
        </w:rPr>
      </w:pPr>
    </w:p>
    <w:p>
      <w:pPr>
        <w:ind w:right="140" w:firstLine="528"/>
        <w:spacing w:after="0" w:line="232" w:lineRule="auto"/>
        <w:rPr>
          <w:sz w:val="20"/>
          <w:szCs w:val="20"/>
          <w:color w:val="auto"/>
        </w:rPr>
      </w:pPr>
      <w:r>
        <w:rPr>
          <w:rFonts w:ascii="Arial" w:cs="Arial" w:eastAsia="Arial" w:hAnsi="Arial"/>
          <w:sz w:val="16"/>
          <w:szCs w:val="16"/>
          <w:color w:val="auto"/>
        </w:rPr>
        <w:t>On September 9, 2019, the Company acquired the assets of Walker Die Casting, Inc. (“Walker Die Casting”), an aluminum castings company, and C&amp;R Tool and Engineering, Inc. (“C&amp;R Tool and Engineering”), a supplier of metal-working tools, for approximately $103 million in cash. The initial accounting is complete for the fair value of the acquired assets and liabilities except for the expected adjustment to the provisional amounts recorded for working capital at the acquisition date. Any further adjustments identified in the measurement period, not to exceed one year from the acquisition date, will be accounted for in accordance with the applicable authoritative guidance.</w:t>
      </w:r>
    </w:p>
    <w:p>
      <w:pPr>
        <w:spacing w:after="0" w:line="200" w:lineRule="exact"/>
        <w:rPr>
          <w:sz w:val="20"/>
          <w:szCs w:val="20"/>
          <w:color w:val="auto"/>
        </w:rPr>
      </w:pPr>
    </w:p>
    <w:p>
      <w:pPr>
        <w:spacing w:after="0" w:line="284"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55245</wp:posOffset>
            </wp:positionV>
            <wp:extent cx="7150100" cy="146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00"/>
          </w:cols>
          <w:pgMar w:left="320" w:top="140" w:right="379" w:bottom="1440" w:gutter="0" w:footer="0" w:header="0"/>
        </w:sectPr>
      </w:pPr>
    </w:p>
    <w:bookmarkStart w:id="23" w:name="page24"/>
    <w:bookmarkEnd w:id="2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128905</wp:posOffset>
            </wp:positionV>
            <wp:extent cx="7150100" cy="76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0100" cy="7620"/>
                    </a:xfrm>
                    <a:prstGeom prst="rect">
                      <a:avLst/>
                    </a:prstGeom>
                    <a:noFill/>
                  </pic:spPr>
                </pic:pic>
              </a:graphicData>
            </a:graphic>
          </wp:anchor>
        </w:drawing>
      </w:r>
    </w:p>
    <w:p>
      <w:pPr>
        <w:spacing w:after="0" w:line="315" w:lineRule="exact"/>
        <w:rPr>
          <w:sz w:val="20"/>
          <w:szCs w:val="20"/>
          <w:color w:val="auto"/>
        </w:rPr>
      </w:pPr>
    </w:p>
    <w:p>
      <w:pPr>
        <w:ind w:left="40"/>
        <w:spacing w:after="0"/>
        <w:tabs>
          <w:tab w:leader="none" w:pos="1460" w:val="left"/>
        </w:tabs>
        <w:rPr>
          <w:sz w:val="20"/>
          <w:szCs w:val="20"/>
          <w:color w:val="auto"/>
        </w:rPr>
      </w:pPr>
      <w:r>
        <w:rPr>
          <w:rFonts w:ascii="Arial" w:cs="Arial" w:eastAsia="Arial" w:hAnsi="Arial"/>
          <w:sz w:val="16"/>
          <w:szCs w:val="16"/>
          <w:b w:val="1"/>
          <w:bCs w:val="1"/>
          <w:color w:val="auto"/>
        </w:rPr>
        <w:t>ITEM 2.</w:t>
      </w:r>
      <w:r>
        <w:rPr>
          <w:sz w:val="20"/>
          <w:szCs w:val="20"/>
          <w:color w:val="auto"/>
        </w:rPr>
        <w:tab/>
      </w:r>
      <w:r>
        <w:rPr>
          <w:rFonts w:ascii="Arial" w:cs="Arial" w:eastAsia="Arial" w:hAnsi="Arial"/>
          <w:sz w:val="15"/>
          <w:szCs w:val="15"/>
          <w:b w:val="1"/>
          <w:bCs w:val="1"/>
          <w:color w:val="auto"/>
        </w:rPr>
        <w:t>Management’s Discussion and Analysis of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97790</wp:posOffset>
            </wp:positionV>
            <wp:extent cx="7150100" cy="76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0100" cy="7620"/>
                    </a:xfrm>
                    <a:prstGeom prst="rect">
                      <a:avLst/>
                    </a:prstGeom>
                    <a:noFill/>
                  </pic:spPr>
                </pic:pic>
              </a:graphicData>
            </a:graphic>
          </wp:anchor>
        </w:drawing>
      </w:r>
    </w:p>
    <w:p>
      <w:pPr>
        <w:spacing w:after="0" w:line="223" w:lineRule="exact"/>
        <w:rPr>
          <w:sz w:val="20"/>
          <w:szCs w:val="20"/>
          <w:color w:val="auto"/>
        </w:rPr>
      </w:pPr>
    </w:p>
    <w:p>
      <w:pPr>
        <w:jc w:val="both"/>
        <w:ind w:firstLine="528"/>
        <w:spacing w:after="0" w:line="242" w:lineRule="auto"/>
        <w:rPr>
          <w:sz w:val="20"/>
          <w:szCs w:val="20"/>
          <w:color w:val="auto"/>
        </w:rPr>
      </w:pPr>
      <w:r>
        <w:rPr>
          <w:rFonts w:ascii="Arial" w:cs="Arial" w:eastAsia="Arial" w:hAnsi="Arial"/>
          <w:sz w:val="16"/>
          <w:szCs w:val="16"/>
          <w:i w:val="1"/>
          <w:iCs w:val="1"/>
          <w:color w:val="auto"/>
        </w:rPr>
        <w:t>The following discussion and analysis is intended to help the reader understand our business, financial condition, results of operations, liquidity and capital resources. You should read this discussion in conjunction with our condensed consolidated interim financial statements and the related notes contained elsewhere in this Quarterly Report on Form 10-Q.</w:t>
      </w:r>
    </w:p>
    <w:p>
      <w:pPr>
        <w:spacing w:after="0" w:line="66" w:lineRule="exact"/>
        <w:rPr>
          <w:sz w:val="20"/>
          <w:szCs w:val="20"/>
          <w:color w:val="auto"/>
        </w:rPr>
      </w:pPr>
    </w:p>
    <w:p>
      <w:pPr>
        <w:ind w:right="40" w:firstLine="528"/>
        <w:spacing w:after="0" w:line="236" w:lineRule="auto"/>
        <w:rPr>
          <w:sz w:val="20"/>
          <w:szCs w:val="20"/>
          <w:color w:val="auto"/>
        </w:rPr>
      </w:pPr>
      <w:r>
        <w:rPr>
          <w:rFonts w:ascii="Arial" w:cs="Arial" w:eastAsia="Arial" w:hAnsi="Arial"/>
          <w:sz w:val="16"/>
          <w:szCs w:val="16"/>
          <w:i w:val="1"/>
          <w:iCs w:val="1"/>
          <w:color w:val="auto"/>
        </w:rPr>
        <w:t>The statements in this discussion regarding industry trends, our expectations regarding our future performance, liquidity and capital resources and other non-historical statements are forward-looking statements. These forward-looking statements are subject to numerous risks and uncertainties, including, but not limited to, the risks and uncertainties described in “Cautionary Note Regarding Forward-Looking Statements” and Part II, Item 1A “Risk Factors” below and in Part I, Item 1A "Risk Factors" in our Annual Report on Form 10-K for the year ended December 31, 2019 as filed with the Securities and Exchange Commission ("SEC") on February 27, 2020. Our actual results may differ materially from those contained in or implied by any forward-looking statements.</w:t>
      </w: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Overview</w:t>
      </w:r>
    </w:p>
    <w:p>
      <w:pPr>
        <w:spacing w:after="0" w:line="153" w:lineRule="exact"/>
        <w:rPr>
          <w:sz w:val="20"/>
          <w:szCs w:val="20"/>
          <w:color w:val="auto"/>
        </w:rPr>
      </w:pPr>
    </w:p>
    <w:p>
      <w:pPr>
        <w:ind w:firstLine="522"/>
        <w:spacing w:after="0" w:line="252" w:lineRule="auto"/>
        <w:rPr>
          <w:sz w:val="20"/>
          <w:szCs w:val="20"/>
          <w:color w:val="auto"/>
        </w:rPr>
      </w:pPr>
      <w:r>
        <w:rPr>
          <w:rFonts w:ascii="Arial" w:cs="Arial" w:eastAsia="Arial" w:hAnsi="Arial"/>
          <w:sz w:val="15"/>
          <w:szCs w:val="15"/>
          <w:color w:val="auto"/>
        </w:rPr>
        <w:t>Allison Transmission Holdings, Inc. and its subsidiaries (“Allison,” the “Company,” “we,” “us” or “our”) design and manufacture vehicle propulsion solutions, including commercial duty on-highway, off-highway and defense fully automatic transmissions and electric hybrid and fully electric systems. The business was founded in 1915 and has been headquartered in Indianapolis, Indiana since inception. Allison was an operating unit of General Motors Corporation from 1929 until 2007, when Allison once again became a stand-alone company. In March 2012, Allison began trading on the New York Stock Exchange under the symbol “ALSN”.</w:t>
      </w:r>
    </w:p>
    <w:p>
      <w:pPr>
        <w:spacing w:after="0" w:line="74" w:lineRule="exact"/>
        <w:rPr>
          <w:sz w:val="20"/>
          <w:szCs w:val="20"/>
          <w:color w:val="auto"/>
        </w:rPr>
      </w:pPr>
    </w:p>
    <w:p>
      <w:pPr>
        <w:ind w:right="160" w:firstLine="528"/>
        <w:spacing w:after="0" w:line="266" w:lineRule="auto"/>
        <w:rPr>
          <w:sz w:val="20"/>
          <w:szCs w:val="20"/>
          <w:color w:val="auto"/>
        </w:rPr>
      </w:pPr>
      <w:r>
        <w:rPr>
          <w:rFonts w:ascii="Arial" w:cs="Arial" w:eastAsia="Arial" w:hAnsi="Arial"/>
          <w:sz w:val="15"/>
          <w:szCs w:val="15"/>
          <w:color w:val="auto"/>
        </w:rPr>
        <w:t>Although approximately 77% of revenues were generated in North America in 2019, we have a global presence by serving customers in Europe, Asia, South America and Africa. We serve customers through an independent network of approximately 1,500 independent distributor and dealer locations worldwide.</w:t>
      </w:r>
    </w:p>
    <w:p>
      <w:pPr>
        <w:spacing w:after="0" w:line="13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Trends Impacting Our Business</w:t>
      </w:r>
    </w:p>
    <w:p>
      <w:pPr>
        <w:spacing w:after="0" w:line="106" w:lineRule="exact"/>
        <w:rPr>
          <w:sz w:val="20"/>
          <w:szCs w:val="20"/>
          <w:color w:val="auto"/>
        </w:rPr>
      </w:pPr>
    </w:p>
    <w:p>
      <w:pPr>
        <w:ind w:right="60" w:firstLine="528"/>
        <w:spacing w:after="0" w:line="233" w:lineRule="auto"/>
        <w:rPr>
          <w:sz w:val="20"/>
          <w:szCs w:val="20"/>
          <w:color w:val="auto"/>
        </w:rPr>
      </w:pPr>
      <w:r>
        <w:rPr>
          <w:rFonts w:ascii="Arial" w:cs="Arial" w:eastAsia="Arial" w:hAnsi="Arial"/>
          <w:sz w:val="16"/>
          <w:szCs w:val="16"/>
          <w:color w:val="auto"/>
        </w:rPr>
        <w:t>Our net sales are driven by commercial vehicle production, which tends to be highly correlated to macroeconomic conditions. In March 2020, the World Health Organization categorized the novel coronavirus ("COVID-19") as a pandemic, and it continues to spread throughout the United States and other major markets in which we operate across the world. To limit the spread of COVID-19, governments have taken various actions including the issuance of stay-at-home orders and social distancing guidelines. While the majority of our plants are continuing to operate as essential businesses, our manufacturing facilities in Hungary, India, Indianapolis and Tennessee have suspended or cut back on operating levels and shifts as a result of government orders, our inability to obtain component parts from suppliers and/or decreased customer demand, and additional suspensions and cutbacks may occur as the impacts from COVID-19 and related responses continue to develop within our global supply chains and customer base. While not material, we began to see the impact to demand in our results of operations during the first quarter 2020 in Europe and Asia as our suppliers and customers reduced or halted production. Additional production slowdowns and shutdowns by our global suppliers and customers have continued during the second quarter of 2020 and the impact on our financial results is expected to be material for the second quarter 2020. We are taking a variety of measures to maintain operations with as minimal impact as possible to our stakeholders and to promote the safety and security of our employees, including increased frequency of cleaning and disinfecting of facilities, social distancing, remote working when possible, travel restrictions and limitations on visitor access to facilities. We are also working to align operations, programs and spending across our entire business with current conditions, including furloughs of a portion of our workforce, freezing all employee requisitions, reducing overtime, and assessing the timing and cadence of various capital investments and product development initiatives.</w:t>
      </w:r>
    </w:p>
    <w:p>
      <w:pPr>
        <w:spacing w:after="0" w:line="17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55245</wp:posOffset>
            </wp:positionV>
            <wp:extent cx="7150100" cy="146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24" w:name="page25"/>
    <w:bookmarkEnd w:id="2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97" w:lineRule="exact"/>
        <w:rPr>
          <w:sz w:val="20"/>
          <w:szCs w:val="20"/>
          <w:color w:val="auto"/>
        </w:rPr>
      </w:pPr>
    </w:p>
    <w:p>
      <w:pPr>
        <w:ind w:right="120" w:firstLine="528"/>
        <w:spacing w:after="0" w:line="237" w:lineRule="auto"/>
        <w:rPr>
          <w:sz w:val="20"/>
          <w:szCs w:val="20"/>
          <w:color w:val="auto"/>
        </w:rPr>
      </w:pPr>
      <w:r>
        <w:rPr>
          <w:rFonts w:ascii="Arial" w:cs="Arial" w:eastAsia="Arial" w:hAnsi="Arial"/>
          <w:sz w:val="16"/>
          <w:szCs w:val="16"/>
          <w:color w:val="auto"/>
        </w:rPr>
        <w:t>The extent to which our operations will be impacted by the outbreak will depend largely on future developments, which are highly uncertain and cannot be accurately predicted, including the emergence of new information concerning the severity of the outbreak and actions by governmental authorities.</w:t>
      </w:r>
    </w:p>
    <w:p>
      <w:pPr>
        <w:spacing w:after="0" w:line="112" w:lineRule="exact"/>
        <w:rPr>
          <w:sz w:val="20"/>
          <w:szCs w:val="20"/>
          <w:color w:val="auto"/>
        </w:rPr>
      </w:pPr>
    </w:p>
    <w:p>
      <w:pPr>
        <w:ind w:left="520"/>
        <w:spacing w:after="0"/>
        <w:rPr>
          <w:sz w:val="20"/>
          <w:szCs w:val="20"/>
          <w:color w:val="auto"/>
        </w:rPr>
      </w:pPr>
      <w:r>
        <w:rPr>
          <w:rFonts w:ascii="Arial" w:cs="Arial" w:eastAsia="Arial" w:hAnsi="Arial"/>
          <w:sz w:val="16"/>
          <w:szCs w:val="16"/>
          <w:b w:val="1"/>
          <w:bCs w:val="1"/>
          <w:i w:val="1"/>
          <w:iCs w:val="1"/>
          <w:color w:val="auto"/>
        </w:rPr>
        <w:t>First Quarter Net Sales by End Market (dollars in millions)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580" w:type="dxa"/>
            <w:vAlign w:val="bottom"/>
          </w:tcPr>
          <w:p>
            <w:pPr>
              <w:spacing w:after="0"/>
              <w:rPr>
                <w:sz w:val="13"/>
                <w:szCs w:val="13"/>
                <w:color w:val="auto"/>
              </w:rPr>
            </w:pPr>
          </w:p>
        </w:tc>
        <w:tc>
          <w:tcPr>
            <w:tcW w:w="980" w:type="dxa"/>
            <w:vAlign w:val="bottom"/>
          </w:tcPr>
          <w:p>
            <w:pPr>
              <w:jc w:val="right"/>
              <w:ind w:right="12"/>
              <w:spacing w:after="0"/>
              <w:rPr>
                <w:sz w:val="20"/>
                <w:szCs w:val="20"/>
                <w:color w:val="auto"/>
              </w:rPr>
            </w:pPr>
            <w:r>
              <w:rPr>
                <w:rFonts w:ascii="Arial" w:cs="Arial" w:eastAsia="Arial" w:hAnsi="Arial"/>
                <w:sz w:val="13"/>
                <w:szCs w:val="13"/>
                <w:b w:val="1"/>
                <w:bCs w:val="1"/>
                <w:color w:val="auto"/>
              </w:rPr>
              <w:t>Q1 2020</w:t>
            </w: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tcPr>
          <w:p>
            <w:pPr>
              <w:jc w:val="right"/>
              <w:ind w:right="465"/>
              <w:spacing w:after="0"/>
              <w:rPr>
                <w:sz w:val="20"/>
                <w:szCs w:val="20"/>
                <w:color w:val="auto"/>
              </w:rPr>
            </w:pPr>
            <w:r>
              <w:rPr>
                <w:rFonts w:ascii="Arial" w:cs="Arial" w:eastAsia="Arial" w:hAnsi="Arial"/>
                <w:sz w:val="13"/>
                <w:szCs w:val="13"/>
                <w:b w:val="1"/>
                <w:bCs w:val="1"/>
                <w:color w:val="auto"/>
              </w:rPr>
              <w:t>Q1 2019</w:t>
            </w:r>
          </w:p>
        </w:tc>
        <w:tc>
          <w:tcPr>
            <w:tcW w:w="140" w:type="dxa"/>
            <w:vAlign w:val="bottom"/>
          </w:tcPr>
          <w:p>
            <w:pPr>
              <w:spacing w:after="0"/>
              <w:rPr>
                <w:sz w:val="13"/>
                <w:szCs w:val="13"/>
                <w:color w:val="auto"/>
              </w:rPr>
            </w:pPr>
          </w:p>
        </w:tc>
        <w:tc>
          <w:tcPr>
            <w:tcW w:w="1540" w:type="dxa"/>
            <w:vAlign w:val="bottom"/>
          </w:tcPr>
          <w:p>
            <w:pPr>
              <w:spacing w:after="0"/>
              <w:rPr>
                <w:sz w:val="13"/>
                <w:szCs w:val="13"/>
                <w:color w:val="auto"/>
              </w:rPr>
            </w:pPr>
          </w:p>
        </w:tc>
      </w:tr>
      <w:tr>
        <w:trPr>
          <w:trHeight w:val="153"/>
        </w:trPr>
        <w:tc>
          <w:tcPr>
            <w:tcW w:w="658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End Market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Net Sales</w:t>
            </w:r>
          </w:p>
        </w:tc>
        <w:tc>
          <w:tcPr>
            <w:tcW w:w="440" w:type="dxa"/>
            <w:vAlign w:val="bottom"/>
            <w:tcBorders>
              <w:bottom w:val="single" w:sz="8" w:color="auto"/>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425"/>
              <w:spacing w:after="0"/>
              <w:rPr>
                <w:sz w:val="20"/>
                <w:szCs w:val="20"/>
                <w:color w:val="auto"/>
              </w:rPr>
            </w:pPr>
            <w:r>
              <w:rPr>
                <w:rFonts w:ascii="Arial" w:cs="Arial" w:eastAsia="Arial" w:hAnsi="Arial"/>
                <w:sz w:val="13"/>
                <w:szCs w:val="13"/>
                <w:b w:val="1"/>
                <w:bCs w:val="1"/>
                <w:color w:val="auto"/>
              </w:rPr>
              <w:t>Net Sales</w:t>
            </w:r>
          </w:p>
        </w:tc>
        <w:tc>
          <w:tcPr>
            <w:tcW w:w="140" w:type="dxa"/>
            <w:vAlign w:val="bottom"/>
            <w:tcBorders>
              <w:bottom w:val="single" w:sz="8" w:color="CFF0FC"/>
            </w:tcBorders>
          </w:tcPr>
          <w:p>
            <w:pPr>
              <w:spacing w:after="0"/>
              <w:rPr>
                <w:sz w:val="13"/>
                <w:szCs w:val="13"/>
                <w:color w:val="auto"/>
              </w:rPr>
            </w:pPr>
          </w:p>
        </w:tc>
        <w:tc>
          <w:tcPr>
            <w:tcW w:w="1540" w:type="dxa"/>
            <w:vAlign w:val="bottom"/>
            <w:tcBorders>
              <w:bottom w:val="single" w:sz="8" w:color="auto"/>
            </w:tcBorders>
          </w:tcPr>
          <w:p>
            <w:pPr>
              <w:jc w:val="right"/>
              <w:ind w:right="490"/>
              <w:spacing w:after="0"/>
              <w:rPr>
                <w:sz w:val="20"/>
                <w:szCs w:val="20"/>
                <w:color w:val="auto"/>
              </w:rPr>
            </w:pPr>
            <w:r>
              <w:rPr>
                <w:rFonts w:ascii="Arial" w:cs="Arial" w:eastAsia="Arial" w:hAnsi="Arial"/>
                <w:sz w:val="13"/>
                <w:szCs w:val="13"/>
                <w:b w:val="1"/>
                <w:bCs w:val="1"/>
                <w:color w:val="auto"/>
              </w:rPr>
              <w:t>% Variance</w:t>
            </w:r>
          </w:p>
        </w:tc>
      </w:tr>
      <w:tr>
        <w:trPr>
          <w:trHeight w:val="180"/>
        </w:trPr>
        <w:tc>
          <w:tcPr>
            <w:tcW w:w="6580" w:type="dxa"/>
            <w:vAlign w:val="bottom"/>
            <w:shd w:val="clear" w:color="auto" w:fill="CFF0FC"/>
          </w:tcPr>
          <w:p>
            <w:pPr>
              <w:spacing w:after="0" w:line="180" w:lineRule="exact"/>
              <w:rPr>
                <w:sz w:val="20"/>
                <w:szCs w:val="20"/>
                <w:color w:val="auto"/>
              </w:rPr>
            </w:pPr>
            <w:r>
              <w:rPr>
                <w:rFonts w:ascii="Arial" w:cs="Arial" w:eastAsia="Arial" w:hAnsi="Arial"/>
                <w:sz w:val="16"/>
                <w:szCs w:val="16"/>
                <w:color w:val="auto"/>
              </w:rPr>
              <w:t>North America On-Highway</w:t>
            </w:r>
          </w:p>
        </w:tc>
        <w:tc>
          <w:tcPr>
            <w:tcW w:w="980" w:type="dxa"/>
            <w:vAlign w:val="bottom"/>
            <w:shd w:val="clear" w:color="auto" w:fill="CFF0FC"/>
          </w:tcPr>
          <w:p>
            <w:pPr>
              <w:jc w:val="right"/>
              <w:ind w:right="832"/>
              <w:spacing w:after="0"/>
              <w:rPr>
                <w:sz w:val="20"/>
                <w:szCs w:val="20"/>
                <w:color w:val="auto"/>
              </w:rPr>
            </w:pPr>
            <w:r>
              <w:rPr>
                <w:rFonts w:ascii="Arial" w:cs="Arial" w:eastAsia="Arial" w:hAnsi="Arial"/>
                <w:sz w:val="15"/>
                <w:szCs w:val="15"/>
                <w:b w:val="1"/>
                <w:bCs w:val="1"/>
                <w:color w:val="auto"/>
                <w:w w:val="71"/>
              </w:rPr>
              <w:t>$</w:t>
            </w:r>
          </w:p>
        </w:tc>
        <w:tc>
          <w:tcPr>
            <w:tcW w:w="440" w:type="dxa"/>
            <w:vAlign w:val="bottom"/>
            <w:shd w:val="clear" w:color="auto" w:fill="CFF0FC"/>
          </w:tcPr>
          <w:p>
            <w:pPr>
              <w:jc w:val="right"/>
              <w:ind w:right="42"/>
              <w:spacing w:after="0" w:line="180" w:lineRule="exact"/>
              <w:rPr>
                <w:sz w:val="20"/>
                <w:szCs w:val="20"/>
                <w:color w:val="auto"/>
              </w:rPr>
            </w:pPr>
            <w:r>
              <w:rPr>
                <w:rFonts w:ascii="Arial" w:cs="Arial" w:eastAsia="Arial" w:hAnsi="Arial"/>
                <w:sz w:val="16"/>
                <w:szCs w:val="16"/>
                <w:b w:val="1"/>
                <w:bCs w:val="1"/>
                <w:color w:val="auto"/>
              </w:rPr>
              <w:t>352</w:t>
            </w:r>
          </w:p>
        </w:tc>
        <w:tc>
          <w:tcPr>
            <w:tcW w:w="160" w:type="dxa"/>
            <w:vAlign w:val="bottom"/>
            <w:shd w:val="clear" w:color="auto" w:fill="CFF0FC"/>
          </w:tcPr>
          <w:p>
            <w:pPr>
              <w:spacing w:after="0"/>
              <w:rPr>
                <w:sz w:val="15"/>
                <w:szCs w:val="15"/>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FF0FC"/>
          </w:tcPr>
          <w:p>
            <w:pPr>
              <w:jc w:val="right"/>
              <w:ind w:right="45"/>
              <w:spacing w:after="0" w:line="180" w:lineRule="exact"/>
              <w:rPr>
                <w:sz w:val="20"/>
                <w:szCs w:val="20"/>
                <w:color w:val="auto"/>
              </w:rPr>
            </w:pPr>
            <w:r>
              <w:rPr>
                <w:rFonts w:ascii="Arial" w:cs="Arial" w:eastAsia="Arial" w:hAnsi="Arial"/>
                <w:sz w:val="16"/>
                <w:szCs w:val="16"/>
                <w:color w:val="auto"/>
              </w:rPr>
              <w:t>377</w:t>
            </w:r>
          </w:p>
        </w:tc>
        <w:tc>
          <w:tcPr>
            <w:tcW w:w="1680" w:type="dxa"/>
            <w:vAlign w:val="bottom"/>
            <w:gridSpan w:val="2"/>
            <w:shd w:val="clear" w:color="auto" w:fill="CFF0FC"/>
          </w:tcPr>
          <w:p>
            <w:pPr>
              <w:jc w:val="right"/>
              <w:spacing w:after="0" w:line="180" w:lineRule="exact"/>
              <w:rPr>
                <w:sz w:val="20"/>
                <w:szCs w:val="20"/>
                <w:color w:val="auto"/>
              </w:rPr>
            </w:pPr>
            <w:r>
              <w:rPr>
                <w:rFonts w:ascii="Arial" w:cs="Arial" w:eastAsia="Arial" w:hAnsi="Arial"/>
                <w:sz w:val="16"/>
                <w:szCs w:val="16"/>
                <w:color w:val="auto"/>
              </w:rPr>
              <w:t>(7)%</w:t>
            </w:r>
          </w:p>
        </w:tc>
      </w:tr>
      <w:tr>
        <w:trPr>
          <w:trHeight w:val="188"/>
        </w:trPr>
        <w:tc>
          <w:tcPr>
            <w:tcW w:w="6580" w:type="dxa"/>
            <w:vAlign w:val="bottom"/>
          </w:tcPr>
          <w:p>
            <w:pPr>
              <w:spacing w:after="0"/>
              <w:rPr>
                <w:sz w:val="20"/>
                <w:szCs w:val="20"/>
                <w:color w:val="auto"/>
              </w:rPr>
            </w:pPr>
            <w:r>
              <w:rPr>
                <w:rFonts w:ascii="Arial" w:cs="Arial" w:eastAsia="Arial" w:hAnsi="Arial"/>
                <w:sz w:val="16"/>
                <w:szCs w:val="16"/>
                <w:color w:val="auto"/>
              </w:rPr>
              <w:t>North America Off-Highway</w:t>
            </w:r>
          </w:p>
        </w:tc>
        <w:tc>
          <w:tcPr>
            <w:tcW w:w="980" w:type="dxa"/>
            <w:vAlign w:val="bottom"/>
          </w:tcPr>
          <w:p>
            <w:pPr>
              <w:spacing w:after="0"/>
              <w:rPr>
                <w:sz w:val="16"/>
                <w:szCs w:val="16"/>
                <w:color w:val="auto"/>
              </w:rPr>
            </w:pPr>
          </w:p>
        </w:tc>
        <w:tc>
          <w:tcPr>
            <w:tcW w:w="440" w:type="dxa"/>
            <w:vAlign w:val="bottom"/>
          </w:tcPr>
          <w:p>
            <w:pPr>
              <w:jc w:val="right"/>
              <w:ind w:right="42"/>
              <w:spacing w:after="0"/>
              <w:rPr>
                <w:sz w:val="20"/>
                <w:szCs w:val="20"/>
                <w:color w:val="auto"/>
              </w:rPr>
            </w:pPr>
            <w:r>
              <w:rPr>
                <w:rFonts w:ascii="Arial" w:cs="Arial" w:eastAsia="Arial" w:hAnsi="Arial"/>
                <w:sz w:val="16"/>
                <w:szCs w:val="16"/>
                <w:b w:val="1"/>
                <w:bCs w:val="1"/>
                <w:color w:val="auto"/>
              </w:rPr>
              <w:t>8</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Pr>
          <w:p>
            <w:pPr>
              <w:jc w:val="right"/>
              <w:ind w:right="45"/>
              <w:spacing w:after="0"/>
              <w:rPr>
                <w:sz w:val="20"/>
                <w:szCs w:val="20"/>
                <w:color w:val="auto"/>
              </w:rPr>
            </w:pPr>
            <w:r>
              <w:rPr>
                <w:rFonts w:ascii="Arial" w:cs="Arial" w:eastAsia="Arial" w:hAnsi="Arial"/>
                <w:sz w:val="16"/>
                <w:szCs w:val="16"/>
                <w:color w:val="auto"/>
              </w:rPr>
              <w:t>14</w:t>
            </w:r>
          </w:p>
        </w:tc>
        <w:tc>
          <w:tcPr>
            <w:tcW w:w="1680" w:type="dxa"/>
            <w:vAlign w:val="bottom"/>
            <w:gridSpan w:val="2"/>
          </w:tcPr>
          <w:p>
            <w:pPr>
              <w:jc w:val="right"/>
              <w:spacing w:after="0"/>
              <w:rPr>
                <w:sz w:val="20"/>
                <w:szCs w:val="20"/>
                <w:color w:val="auto"/>
              </w:rPr>
            </w:pPr>
            <w:r>
              <w:rPr>
                <w:rFonts w:ascii="Arial" w:cs="Arial" w:eastAsia="Arial" w:hAnsi="Arial"/>
                <w:sz w:val="16"/>
                <w:szCs w:val="16"/>
                <w:color w:val="auto"/>
              </w:rPr>
              <w:t>(43)%</w:t>
            </w:r>
          </w:p>
        </w:tc>
      </w:tr>
      <w:tr>
        <w:trPr>
          <w:trHeight w:val="188"/>
        </w:trPr>
        <w:tc>
          <w:tcPr>
            <w:tcW w:w="6580" w:type="dxa"/>
            <w:vAlign w:val="bottom"/>
            <w:shd w:val="clear" w:color="auto" w:fill="CFF0FC"/>
          </w:tcPr>
          <w:p>
            <w:pPr>
              <w:spacing w:after="0"/>
              <w:rPr>
                <w:sz w:val="20"/>
                <w:szCs w:val="20"/>
                <w:color w:val="auto"/>
              </w:rPr>
            </w:pPr>
            <w:r>
              <w:rPr>
                <w:rFonts w:ascii="Arial" w:cs="Arial" w:eastAsia="Arial" w:hAnsi="Arial"/>
                <w:sz w:val="16"/>
                <w:szCs w:val="16"/>
                <w:color w:val="auto"/>
              </w:rPr>
              <w:t>Defense</w:t>
            </w:r>
          </w:p>
        </w:tc>
        <w:tc>
          <w:tcPr>
            <w:tcW w:w="980" w:type="dxa"/>
            <w:vAlign w:val="bottom"/>
            <w:shd w:val="clear" w:color="auto" w:fill="CFF0FC"/>
          </w:tcPr>
          <w:p>
            <w:pPr>
              <w:spacing w:after="0"/>
              <w:rPr>
                <w:sz w:val="16"/>
                <w:szCs w:val="16"/>
                <w:color w:val="auto"/>
              </w:rPr>
            </w:pPr>
          </w:p>
        </w:tc>
        <w:tc>
          <w:tcPr>
            <w:tcW w:w="440" w:type="dxa"/>
            <w:vAlign w:val="bottom"/>
            <w:shd w:val="clear" w:color="auto" w:fill="CFF0FC"/>
          </w:tcPr>
          <w:p>
            <w:pPr>
              <w:jc w:val="right"/>
              <w:ind w:right="42"/>
              <w:spacing w:after="0"/>
              <w:rPr>
                <w:sz w:val="20"/>
                <w:szCs w:val="20"/>
                <w:color w:val="auto"/>
              </w:rPr>
            </w:pPr>
            <w:r>
              <w:rPr>
                <w:rFonts w:ascii="Arial" w:cs="Arial" w:eastAsia="Arial" w:hAnsi="Arial"/>
                <w:sz w:val="16"/>
                <w:szCs w:val="16"/>
                <w:b w:val="1"/>
                <w:bCs w:val="1"/>
                <w:color w:val="auto"/>
              </w:rPr>
              <w:t>40</w:t>
            </w:r>
          </w:p>
        </w:tc>
        <w:tc>
          <w:tcPr>
            <w:tcW w:w="1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00" w:type="dxa"/>
            <w:vAlign w:val="bottom"/>
            <w:shd w:val="clear" w:color="auto" w:fill="CFF0FC"/>
          </w:tcPr>
          <w:p>
            <w:pPr>
              <w:jc w:val="right"/>
              <w:ind w:right="45"/>
              <w:spacing w:after="0"/>
              <w:rPr>
                <w:sz w:val="20"/>
                <w:szCs w:val="20"/>
                <w:color w:val="auto"/>
              </w:rPr>
            </w:pPr>
            <w:r>
              <w:rPr>
                <w:rFonts w:ascii="Arial" w:cs="Arial" w:eastAsia="Arial" w:hAnsi="Arial"/>
                <w:sz w:val="16"/>
                <w:szCs w:val="16"/>
                <w:color w:val="auto"/>
              </w:rPr>
              <w:t>32</w:t>
            </w:r>
          </w:p>
        </w:tc>
        <w:tc>
          <w:tcPr>
            <w:tcW w:w="1680" w:type="dxa"/>
            <w:vAlign w:val="bottom"/>
            <w:gridSpan w:val="2"/>
            <w:shd w:val="clear" w:color="auto" w:fill="CFF0FC"/>
          </w:tcPr>
          <w:p>
            <w:pPr>
              <w:jc w:val="right"/>
              <w:ind w:right="10"/>
              <w:spacing w:after="0"/>
              <w:rPr>
                <w:sz w:val="20"/>
                <w:szCs w:val="20"/>
                <w:color w:val="auto"/>
              </w:rPr>
            </w:pPr>
            <w:r>
              <w:rPr>
                <w:rFonts w:ascii="Arial" w:cs="Arial" w:eastAsia="Arial" w:hAnsi="Arial"/>
                <w:sz w:val="16"/>
                <w:szCs w:val="16"/>
                <w:color w:val="auto"/>
              </w:rPr>
              <w:t>25%</w:t>
            </w:r>
          </w:p>
        </w:tc>
      </w:tr>
      <w:tr>
        <w:trPr>
          <w:trHeight w:val="188"/>
        </w:trPr>
        <w:tc>
          <w:tcPr>
            <w:tcW w:w="6580" w:type="dxa"/>
            <w:vAlign w:val="bottom"/>
          </w:tcPr>
          <w:p>
            <w:pPr>
              <w:spacing w:after="0"/>
              <w:rPr>
                <w:sz w:val="20"/>
                <w:szCs w:val="20"/>
                <w:color w:val="auto"/>
              </w:rPr>
            </w:pPr>
            <w:r>
              <w:rPr>
                <w:rFonts w:ascii="Arial" w:cs="Arial" w:eastAsia="Arial" w:hAnsi="Arial"/>
                <w:sz w:val="16"/>
                <w:szCs w:val="16"/>
                <w:color w:val="auto"/>
              </w:rPr>
              <w:t>Outside North America On-Highway</w:t>
            </w:r>
          </w:p>
        </w:tc>
        <w:tc>
          <w:tcPr>
            <w:tcW w:w="980" w:type="dxa"/>
            <w:vAlign w:val="bottom"/>
          </w:tcPr>
          <w:p>
            <w:pPr>
              <w:spacing w:after="0"/>
              <w:rPr>
                <w:sz w:val="16"/>
                <w:szCs w:val="16"/>
                <w:color w:val="auto"/>
              </w:rPr>
            </w:pPr>
          </w:p>
        </w:tc>
        <w:tc>
          <w:tcPr>
            <w:tcW w:w="440" w:type="dxa"/>
            <w:vAlign w:val="bottom"/>
          </w:tcPr>
          <w:p>
            <w:pPr>
              <w:jc w:val="right"/>
              <w:ind w:right="42"/>
              <w:spacing w:after="0"/>
              <w:rPr>
                <w:sz w:val="20"/>
                <w:szCs w:val="20"/>
                <w:color w:val="auto"/>
              </w:rPr>
            </w:pPr>
            <w:r>
              <w:rPr>
                <w:rFonts w:ascii="Arial" w:cs="Arial" w:eastAsia="Arial" w:hAnsi="Arial"/>
                <w:sz w:val="16"/>
                <w:szCs w:val="16"/>
                <w:b w:val="1"/>
                <w:bCs w:val="1"/>
                <w:color w:val="auto"/>
              </w:rPr>
              <w:t>72</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Pr>
          <w:p>
            <w:pPr>
              <w:jc w:val="right"/>
              <w:ind w:right="45"/>
              <w:spacing w:after="0"/>
              <w:rPr>
                <w:sz w:val="20"/>
                <w:szCs w:val="20"/>
                <w:color w:val="auto"/>
              </w:rPr>
            </w:pPr>
            <w:r>
              <w:rPr>
                <w:rFonts w:ascii="Arial" w:cs="Arial" w:eastAsia="Arial" w:hAnsi="Arial"/>
                <w:sz w:val="16"/>
                <w:szCs w:val="16"/>
                <w:color w:val="auto"/>
              </w:rPr>
              <w:t>94</w:t>
            </w:r>
          </w:p>
        </w:tc>
        <w:tc>
          <w:tcPr>
            <w:tcW w:w="1680" w:type="dxa"/>
            <w:vAlign w:val="bottom"/>
            <w:gridSpan w:val="2"/>
          </w:tcPr>
          <w:p>
            <w:pPr>
              <w:jc w:val="right"/>
              <w:spacing w:after="0"/>
              <w:rPr>
                <w:sz w:val="20"/>
                <w:szCs w:val="20"/>
                <w:color w:val="auto"/>
              </w:rPr>
            </w:pPr>
            <w:r>
              <w:rPr>
                <w:rFonts w:ascii="Arial" w:cs="Arial" w:eastAsia="Arial" w:hAnsi="Arial"/>
                <w:sz w:val="16"/>
                <w:szCs w:val="16"/>
                <w:color w:val="auto"/>
              </w:rPr>
              <w:t>(23)%</w:t>
            </w:r>
          </w:p>
        </w:tc>
      </w:tr>
      <w:tr>
        <w:trPr>
          <w:trHeight w:val="188"/>
        </w:trPr>
        <w:tc>
          <w:tcPr>
            <w:tcW w:w="6580" w:type="dxa"/>
            <w:vAlign w:val="bottom"/>
            <w:shd w:val="clear" w:color="auto" w:fill="CFF0FC"/>
          </w:tcPr>
          <w:p>
            <w:pPr>
              <w:spacing w:after="0"/>
              <w:rPr>
                <w:sz w:val="20"/>
                <w:szCs w:val="20"/>
                <w:color w:val="auto"/>
              </w:rPr>
            </w:pPr>
            <w:r>
              <w:rPr>
                <w:rFonts w:ascii="Arial" w:cs="Arial" w:eastAsia="Arial" w:hAnsi="Arial"/>
                <w:sz w:val="16"/>
                <w:szCs w:val="16"/>
                <w:color w:val="auto"/>
              </w:rPr>
              <w:t>Outside North America Off-Highway</w:t>
            </w:r>
          </w:p>
        </w:tc>
        <w:tc>
          <w:tcPr>
            <w:tcW w:w="980" w:type="dxa"/>
            <w:vAlign w:val="bottom"/>
            <w:shd w:val="clear" w:color="auto" w:fill="CFF0FC"/>
          </w:tcPr>
          <w:p>
            <w:pPr>
              <w:spacing w:after="0"/>
              <w:rPr>
                <w:sz w:val="16"/>
                <w:szCs w:val="16"/>
                <w:color w:val="auto"/>
              </w:rPr>
            </w:pPr>
          </w:p>
        </w:tc>
        <w:tc>
          <w:tcPr>
            <w:tcW w:w="440" w:type="dxa"/>
            <w:vAlign w:val="bottom"/>
            <w:shd w:val="clear" w:color="auto" w:fill="CFF0FC"/>
          </w:tcPr>
          <w:p>
            <w:pPr>
              <w:jc w:val="right"/>
              <w:ind w:right="42"/>
              <w:spacing w:after="0"/>
              <w:rPr>
                <w:sz w:val="20"/>
                <w:szCs w:val="20"/>
                <w:color w:val="auto"/>
              </w:rPr>
            </w:pPr>
            <w:r>
              <w:rPr>
                <w:rFonts w:ascii="Arial" w:cs="Arial" w:eastAsia="Arial" w:hAnsi="Arial"/>
                <w:sz w:val="16"/>
                <w:szCs w:val="16"/>
                <w:b w:val="1"/>
                <w:bCs w:val="1"/>
                <w:color w:val="auto"/>
              </w:rPr>
              <w:t>27</w:t>
            </w:r>
          </w:p>
        </w:tc>
        <w:tc>
          <w:tcPr>
            <w:tcW w:w="1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00" w:type="dxa"/>
            <w:vAlign w:val="bottom"/>
            <w:shd w:val="clear" w:color="auto" w:fill="CFF0FC"/>
          </w:tcPr>
          <w:p>
            <w:pPr>
              <w:jc w:val="right"/>
              <w:ind w:right="45"/>
              <w:spacing w:after="0"/>
              <w:rPr>
                <w:sz w:val="20"/>
                <w:szCs w:val="20"/>
                <w:color w:val="auto"/>
              </w:rPr>
            </w:pPr>
            <w:r>
              <w:rPr>
                <w:rFonts w:ascii="Arial" w:cs="Arial" w:eastAsia="Arial" w:hAnsi="Arial"/>
                <w:sz w:val="16"/>
                <w:szCs w:val="16"/>
                <w:color w:val="auto"/>
              </w:rPr>
              <w:t>27</w:t>
            </w:r>
          </w:p>
        </w:tc>
        <w:tc>
          <w:tcPr>
            <w:tcW w:w="140" w:type="dxa"/>
            <w:vAlign w:val="bottom"/>
            <w:shd w:val="clear" w:color="auto" w:fill="CFF0FC"/>
          </w:tcPr>
          <w:p>
            <w:pPr>
              <w:spacing w:after="0"/>
              <w:rPr>
                <w:sz w:val="16"/>
                <w:szCs w:val="16"/>
                <w:color w:val="auto"/>
              </w:rPr>
            </w:pPr>
          </w:p>
        </w:tc>
        <w:tc>
          <w:tcPr>
            <w:tcW w:w="1540" w:type="dxa"/>
            <w:vAlign w:val="bottom"/>
            <w:shd w:val="clear" w:color="auto" w:fill="CFF0FC"/>
          </w:tcPr>
          <w:p>
            <w:pPr>
              <w:jc w:val="right"/>
              <w:ind w:right="150"/>
              <w:spacing w:after="0"/>
              <w:rPr>
                <w:sz w:val="20"/>
                <w:szCs w:val="20"/>
                <w:color w:val="auto"/>
              </w:rPr>
            </w:pPr>
            <w:r>
              <w:rPr>
                <w:rFonts w:ascii="Arial" w:cs="Arial" w:eastAsia="Arial" w:hAnsi="Arial"/>
                <w:sz w:val="16"/>
                <w:szCs w:val="16"/>
                <w:color w:val="auto"/>
              </w:rPr>
              <w:t>—</w:t>
            </w:r>
          </w:p>
        </w:tc>
      </w:tr>
      <w:tr>
        <w:trPr>
          <w:trHeight w:val="188"/>
        </w:trPr>
        <w:tc>
          <w:tcPr>
            <w:tcW w:w="658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Service Parts, Support Equipment and Other</w:t>
            </w:r>
          </w:p>
        </w:tc>
        <w:tc>
          <w:tcPr>
            <w:tcW w:w="98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b w:val="1"/>
                <w:bCs w:val="1"/>
                <w:color w:val="auto"/>
              </w:rPr>
              <w:t>138</w:t>
            </w:r>
          </w:p>
        </w:tc>
        <w:tc>
          <w:tcPr>
            <w:tcW w:w="160" w:type="dxa"/>
            <w:vAlign w:val="bottom"/>
            <w:tcBorders>
              <w:bottom w:val="single" w:sz="8" w:color="CFF0FC"/>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5"/>
              <w:spacing w:after="0"/>
              <w:rPr>
                <w:sz w:val="20"/>
                <w:szCs w:val="20"/>
                <w:color w:val="auto"/>
              </w:rPr>
            </w:pPr>
            <w:r>
              <w:rPr>
                <w:rFonts w:ascii="Arial" w:cs="Arial" w:eastAsia="Arial" w:hAnsi="Arial"/>
                <w:sz w:val="16"/>
                <w:szCs w:val="16"/>
                <w:color w:val="auto"/>
              </w:rPr>
              <w:t>131</w:t>
            </w:r>
          </w:p>
        </w:tc>
        <w:tc>
          <w:tcPr>
            <w:tcW w:w="1680" w:type="dxa"/>
            <w:vAlign w:val="bottom"/>
            <w:tcBorders>
              <w:bottom w:val="single" w:sz="8" w:color="CFF0FC"/>
            </w:tcBorders>
            <w:gridSpan w:val="2"/>
          </w:tcPr>
          <w:p>
            <w:pPr>
              <w:jc w:val="right"/>
              <w:ind w:right="10"/>
              <w:spacing w:after="0"/>
              <w:rPr>
                <w:sz w:val="20"/>
                <w:szCs w:val="20"/>
                <w:color w:val="auto"/>
              </w:rPr>
            </w:pPr>
            <w:r>
              <w:rPr>
                <w:rFonts w:ascii="Arial" w:cs="Arial" w:eastAsia="Arial" w:hAnsi="Arial"/>
                <w:sz w:val="16"/>
                <w:szCs w:val="16"/>
                <w:color w:val="auto"/>
              </w:rPr>
              <w:t>5%</w:t>
            </w:r>
          </w:p>
        </w:tc>
      </w:tr>
      <w:tr>
        <w:trPr>
          <w:trHeight w:val="180"/>
        </w:trPr>
        <w:tc>
          <w:tcPr>
            <w:tcW w:w="6580" w:type="dxa"/>
            <w:vAlign w:val="bottom"/>
            <w:tcBorders>
              <w:bottom w:val="single" w:sz="8" w:color="CFF0FC"/>
            </w:tcBorders>
            <w:shd w:val="clear" w:color="auto" w:fill="CFF0FC"/>
          </w:tcPr>
          <w:p>
            <w:pPr>
              <w:spacing w:after="0" w:line="180" w:lineRule="exact"/>
              <w:rPr>
                <w:sz w:val="20"/>
                <w:szCs w:val="20"/>
                <w:color w:val="auto"/>
              </w:rPr>
            </w:pPr>
            <w:r>
              <w:rPr>
                <w:rFonts w:ascii="Arial" w:cs="Arial" w:eastAsia="Arial" w:hAnsi="Arial"/>
                <w:sz w:val="16"/>
                <w:szCs w:val="16"/>
                <w:color w:val="auto"/>
              </w:rPr>
              <w:t>Total Net Sales</w:t>
            </w:r>
          </w:p>
        </w:tc>
        <w:tc>
          <w:tcPr>
            <w:tcW w:w="980" w:type="dxa"/>
            <w:vAlign w:val="bottom"/>
            <w:tcBorders>
              <w:bottom w:val="single" w:sz="8" w:color="auto"/>
            </w:tcBorders>
            <w:shd w:val="clear" w:color="auto" w:fill="CFF0FC"/>
          </w:tcPr>
          <w:p>
            <w:pPr>
              <w:jc w:val="right"/>
              <w:ind w:right="832"/>
              <w:spacing w:after="0"/>
              <w:rPr>
                <w:sz w:val="20"/>
                <w:szCs w:val="20"/>
                <w:color w:val="auto"/>
              </w:rPr>
            </w:pPr>
            <w:r>
              <w:rPr>
                <w:rFonts w:ascii="Arial" w:cs="Arial" w:eastAsia="Arial" w:hAnsi="Arial"/>
                <w:sz w:val="15"/>
                <w:szCs w:val="15"/>
                <w:b w:val="1"/>
                <w:bCs w:val="1"/>
                <w:color w:val="auto"/>
                <w:w w:val="71"/>
              </w:rPr>
              <w:t>$</w:t>
            </w:r>
          </w:p>
        </w:tc>
        <w:tc>
          <w:tcPr>
            <w:tcW w:w="440" w:type="dxa"/>
            <w:vAlign w:val="bottom"/>
            <w:tcBorders>
              <w:bottom w:val="single" w:sz="8" w:color="auto"/>
            </w:tcBorders>
            <w:shd w:val="clear" w:color="auto" w:fill="CFF0FC"/>
          </w:tcPr>
          <w:p>
            <w:pPr>
              <w:jc w:val="right"/>
              <w:ind w:right="42"/>
              <w:spacing w:after="0" w:line="180" w:lineRule="exact"/>
              <w:rPr>
                <w:sz w:val="20"/>
                <w:szCs w:val="20"/>
                <w:color w:val="auto"/>
              </w:rPr>
            </w:pPr>
            <w:r>
              <w:rPr>
                <w:rFonts w:ascii="Arial" w:cs="Arial" w:eastAsia="Arial" w:hAnsi="Arial"/>
                <w:sz w:val="16"/>
                <w:szCs w:val="16"/>
                <w:b w:val="1"/>
                <w:bCs w:val="1"/>
                <w:color w:val="auto"/>
              </w:rPr>
              <w:t>637</w:t>
            </w:r>
          </w:p>
        </w:tc>
        <w:tc>
          <w:tcPr>
            <w:tcW w:w="16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shd w:val="clear" w:color="auto" w:fill="CFF0FC"/>
          </w:tcPr>
          <w:p>
            <w:pPr>
              <w:jc w:val="right"/>
              <w:ind w:right="45"/>
              <w:spacing w:after="0" w:line="180" w:lineRule="exact"/>
              <w:rPr>
                <w:sz w:val="20"/>
                <w:szCs w:val="20"/>
                <w:color w:val="auto"/>
              </w:rPr>
            </w:pPr>
            <w:r>
              <w:rPr>
                <w:rFonts w:ascii="Arial" w:cs="Arial" w:eastAsia="Arial" w:hAnsi="Arial"/>
                <w:sz w:val="16"/>
                <w:szCs w:val="16"/>
                <w:color w:val="auto"/>
              </w:rPr>
              <w:t>675</w:t>
            </w:r>
          </w:p>
        </w:tc>
        <w:tc>
          <w:tcPr>
            <w:tcW w:w="1680" w:type="dxa"/>
            <w:vAlign w:val="bottom"/>
            <w:tcBorders>
              <w:bottom w:val="single" w:sz="8" w:color="CFF0FC"/>
            </w:tcBorders>
            <w:gridSpan w:val="2"/>
            <w:shd w:val="clear" w:color="auto" w:fill="CFF0FC"/>
          </w:tcPr>
          <w:p>
            <w:pPr>
              <w:jc w:val="right"/>
              <w:spacing w:after="0" w:line="180" w:lineRule="exact"/>
              <w:rPr>
                <w:sz w:val="20"/>
                <w:szCs w:val="20"/>
                <w:color w:val="auto"/>
              </w:rPr>
            </w:pPr>
            <w:r>
              <w:rPr>
                <w:rFonts w:ascii="Arial" w:cs="Arial" w:eastAsia="Arial" w:hAnsi="Arial"/>
                <w:sz w:val="16"/>
                <w:szCs w:val="16"/>
                <w:color w:val="auto"/>
              </w:rPr>
              <w:t>(6)%</w:t>
            </w:r>
          </w:p>
        </w:tc>
      </w:tr>
      <w:tr>
        <w:trPr>
          <w:trHeight w:val="20"/>
        </w:trPr>
        <w:tc>
          <w:tcPr>
            <w:tcW w:w="65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bl>
    <w:p>
      <w:pPr>
        <w:spacing w:after="0" w:line="211" w:lineRule="exact"/>
        <w:rPr>
          <w:sz w:val="20"/>
          <w:szCs w:val="20"/>
          <w:color w:val="auto"/>
        </w:rPr>
      </w:pPr>
    </w:p>
    <w:p>
      <w:pPr>
        <w:ind w:right="280" w:firstLine="528"/>
        <w:spacing w:after="0" w:line="237" w:lineRule="auto"/>
        <w:rPr>
          <w:sz w:val="20"/>
          <w:szCs w:val="20"/>
          <w:color w:val="auto"/>
        </w:rPr>
      </w:pPr>
      <w:r>
        <w:rPr>
          <w:rFonts w:ascii="Arial" w:cs="Arial" w:eastAsia="Arial" w:hAnsi="Arial"/>
          <w:sz w:val="16"/>
          <w:szCs w:val="16"/>
          <w:color w:val="auto"/>
        </w:rPr>
        <w:t>North America On-Highway end market net sales were down 7% for the first quarter 2020 compared to the first quarter 2019, principally driven by lower demand for Rugged Duty Series models.</w:t>
      </w:r>
    </w:p>
    <w:p>
      <w:pPr>
        <w:spacing w:after="0" w:line="83" w:lineRule="exact"/>
        <w:rPr>
          <w:sz w:val="20"/>
          <w:szCs w:val="20"/>
          <w:color w:val="auto"/>
        </w:rPr>
      </w:pPr>
    </w:p>
    <w:p>
      <w:pPr>
        <w:ind w:right="260" w:firstLine="528"/>
        <w:spacing w:after="0" w:line="237" w:lineRule="auto"/>
        <w:rPr>
          <w:sz w:val="20"/>
          <w:szCs w:val="20"/>
          <w:color w:val="auto"/>
        </w:rPr>
      </w:pPr>
      <w:r>
        <w:rPr>
          <w:rFonts w:ascii="Arial" w:cs="Arial" w:eastAsia="Arial" w:hAnsi="Arial"/>
          <w:sz w:val="16"/>
          <w:szCs w:val="16"/>
          <w:color w:val="auto"/>
        </w:rPr>
        <w:t>North America Off-Highway end market net sales were down $6 million for the first quarter 2020 compared to the first quarter 2019, principally driven by lower demand for hydraulic fracturing applications.</w:t>
      </w:r>
    </w:p>
    <w:p>
      <w:pPr>
        <w:spacing w:after="0" w:line="83" w:lineRule="exact"/>
        <w:rPr>
          <w:sz w:val="20"/>
          <w:szCs w:val="20"/>
          <w:color w:val="auto"/>
        </w:rPr>
      </w:pPr>
    </w:p>
    <w:p>
      <w:pPr>
        <w:ind w:right="520" w:firstLine="528"/>
        <w:spacing w:after="0" w:line="237" w:lineRule="auto"/>
        <w:rPr>
          <w:sz w:val="20"/>
          <w:szCs w:val="20"/>
          <w:color w:val="auto"/>
        </w:rPr>
      </w:pPr>
      <w:r>
        <w:rPr>
          <w:rFonts w:ascii="Arial" w:cs="Arial" w:eastAsia="Arial" w:hAnsi="Arial"/>
          <w:sz w:val="16"/>
          <w:szCs w:val="16"/>
          <w:color w:val="auto"/>
        </w:rPr>
        <w:t>Defense end market net sales were up 25% for the first quarter 2020 compared to the first quarter 2019, principally driven by higher Tracked vehicle demand.</w:t>
      </w:r>
    </w:p>
    <w:p>
      <w:pPr>
        <w:spacing w:after="0" w:line="83" w:lineRule="exact"/>
        <w:rPr>
          <w:sz w:val="20"/>
          <w:szCs w:val="20"/>
          <w:color w:val="auto"/>
        </w:rPr>
      </w:pPr>
    </w:p>
    <w:p>
      <w:pPr>
        <w:ind w:right="20" w:firstLine="528"/>
        <w:spacing w:after="0" w:line="237" w:lineRule="auto"/>
        <w:rPr>
          <w:sz w:val="20"/>
          <w:szCs w:val="20"/>
          <w:color w:val="auto"/>
        </w:rPr>
      </w:pPr>
      <w:r>
        <w:rPr>
          <w:rFonts w:ascii="Arial" w:cs="Arial" w:eastAsia="Arial" w:hAnsi="Arial"/>
          <w:sz w:val="16"/>
          <w:szCs w:val="16"/>
          <w:color w:val="auto"/>
        </w:rPr>
        <w:t>Outside North America On-Highway end market net sales were down 23% for the first quarter 2020 compared to the first quarter 2019, principally driven by lower demand in Europe and Asia.</w:t>
      </w:r>
    </w:p>
    <w:p>
      <w:pPr>
        <w:spacing w:after="0" w:line="83" w:lineRule="exact"/>
        <w:rPr>
          <w:sz w:val="20"/>
          <w:szCs w:val="20"/>
          <w:color w:val="auto"/>
        </w:rPr>
      </w:pPr>
    </w:p>
    <w:p>
      <w:pPr>
        <w:ind w:right="60" w:firstLine="528"/>
        <w:spacing w:after="0" w:line="237" w:lineRule="auto"/>
        <w:rPr>
          <w:sz w:val="20"/>
          <w:szCs w:val="20"/>
          <w:color w:val="auto"/>
        </w:rPr>
      </w:pPr>
      <w:r>
        <w:rPr>
          <w:rFonts w:ascii="Arial" w:cs="Arial" w:eastAsia="Arial" w:hAnsi="Arial"/>
          <w:sz w:val="16"/>
          <w:szCs w:val="16"/>
          <w:color w:val="auto"/>
        </w:rPr>
        <w:t>Outside North America Off-Highway end market net sales were flat for the first quarter 2020 compared to the first quarter 2019, principally driven by higher demand in the energy sector, offset by lower demand in the mining and construction sectors.</w:t>
      </w:r>
    </w:p>
    <w:p>
      <w:pPr>
        <w:spacing w:after="0" w:line="83" w:lineRule="exact"/>
        <w:rPr>
          <w:sz w:val="20"/>
          <w:szCs w:val="20"/>
          <w:color w:val="auto"/>
        </w:rPr>
      </w:pPr>
    </w:p>
    <w:p>
      <w:pPr>
        <w:jc w:val="both"/>
        <w:ind w:right="360" w:firstLine="528"/>
        <w:spacing w:after="0" w:line="234" w:lineRule="auto"/>
        <w:rPr>
          <w:sz w:val="20"/>
          <w:szCs w:val="20"/>
          <w:color w:val="auto"/>
        </w:rPr>
      </w:pPr>
      <w:r>
        <w:rPr>
          <w:rFonts w:ascii="Arial" w:cs="Arial" w:eastAsia="Arial" w:hAnsi="Arial"/>
          <w:sz w:val="16"/>
          <w:szCs w:val="16"/>
          <w:color w:val="auto"/>
        </w:rPr>
        <w:t>Service Parts, Support Equipment and Other end market net sales were up 5% for the first quarter 2020 compared to the first quarter 2019, principally driven by aluminum die casting component volume associated with the Walker Die Casting acquisition, partially offset by lower demand for North America Off-Highway service parts.</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Key Components of our Results of Operations</w:t>
      </w:r>
    </w:p>
    <w:p>
      <w:pPr>
        <w:spacing w:after="0" w:line="88" w:lineRule="exact"/>
        <w:rPr>
          <w:sz w:val="20"/>
          <w:szCs w:val="20"/>
          <w:color w:val="auto"/>
        </w:rPr>
      </w:pPr>
    </w:p>
    <w:p>
      <w:pPr>
        <w:ind w:left="260"/>
        <w:spacing w:after="0"/>
        <w:rPr>
          <w:sz w:val="20"/>
          <w:szCs w:val="20"/>
          <w:color w:val="auto"/>
        </w:rPr>
      </w:pPr>
      <w:r>
        <w:rPr>
          <w:rFonts w:ascii="Arial" w:cs="Arial" w:eastAsia="Arial" w:hAnsi="Arial"/>
          <w:sz w:val="16"/>
          <w:szCs w:val="16"/>
          <w:b w:val="1"/>
          <w:bCs w:val="1"/>
          <w:i w:val="1"/>
          <w:iCs w:val="1"/>
          <w:color w:val="auto"/>
        </w:rPr>
        <w:t>Net sales</w:t>
      </w:r>
    </w:p>
    <w:p>
      <w:pPr>
        <w:spacing w:after="0" w:line="104" w:lineRule="exact"/>
        <w:rPr>
          <w:sz w:val="20"/>
          <w:szCs w:val="20"/>
          <w:color w:val="auto"/>
        </w:rPr>
      </w:pPr>
    </w:p>
    <w:p>
      <w:pPr>
        <w:ind w:right="260" w:firstLine="528"/>
        <w:spacing w:after="0" w:line="232" w:lineRule="auto"/>
        <w:rPr>
          <w:sz w:val="20"/>
          <w:szCs w:val="20"/>
          <w:color w:val="auto"/>
        </w:rPr>
      </w:pPr>
      <w:r>
        <w:rPr>
          <w:rFonts w:ascii="Arial" w:cs="Arial" w:eastAsia="Arial" w:hAnsi="Arial"/>
          <w:sz w:val="16"/>
          <w:szCs w:val="16"/>
          <w:color w:val="auto"/>
        </w:rPr>
        <w:t>We generate our net sales primarily from the sale of vehicle propulsion solutions, service and component parts, support equipment, defense kits, engineering services, royalties and extended transmission coverage to a wide array of OEMs, distributors and the U.S. government. Sales are recorded net of provisions for customer allowances and other rebates. Engineering services are recorded as net sales in accordance with the terms of the contract. The associated costs are recorded in cost of sales. We also have royalty agreements with third parties that provide net sales as a result of joint efforts in developing marketable products.</w:t>
      </w:r>
    </w:p>
    <w:p>
      <w:pPr>
        <w:spacing w:after="0" w:line="114" w:lineRule="exact"/>
        <w:rPr>
          <w:sz w:val="20"/>
          <w:szCs w:val="20"/>
          <w:color w:val="auto"/>
        </w:rPr>
      </w:pPr>
    </w:p>
    <w:p>
      <w:pPr>
        <w:ind w:left="260"/>
        <w:spacing w:after="0"/>
        <w:rPr>
          <w:sz w:val="20"/>
          <w:szCs w:val="20"/>
          <w:color w:val="auto"/>
        </w:rPr>
      </w:pPr>
      <w:r>
        <w:rPr>
          <w:rFonts w:ascii="Arial" w:cs="Arial" w:eastAsia="Arial" w:hAnsi="Arial"/>
          <w:sz w:val="16"/>
          <w:szCs w:val="16"/>
          <w:b w:val="1"/>
          <w:bCs w:val="1"/>
          <w:i w:val="1"/>
          <w:iCs w:val="1"/>
          <w:color w:val="auto"/>
        </w:rPr>
        <w:t>Cost of sales</w:t>
      </w:r>
    </w:p>
    <w:p>
      <w:pPr>
        <w:spacing w:after="0" w:line="104" w:lineRule="exact"/>
        <w:rPr>
          <w:sz w:val="20"/>
          <w:szCs w:val="20"/>
          <w:color w:val="auto"/>
        </w:rPr>
      </w:pPr>
    </w:p>
    <w:p>
      <w:pPr>
        <w:ind w:right="160" w:firstLine="528"/>
        <w:spacing w:after="0" w:line="232" w:lineRule="auto"/>
        <w:rPr>
          <w:sz w:val="20"/>
          <w:szCs w:val="20"/>
          <w:color w:val="auto"/>
        </w:rPr>
      </w:pPr>
      <w:r>
        <w:rPr>
          <w:rFonts w:ascii="Arial" w:cs="Arial" w:eastAsia="Arial" w:hAnsi="Arial"/>
          <w:sz w:val="16"/>
          <w:szCs w:val="16"/>
          <w:color w:val="auto"/>
        </w:rPr>
        <w:t>Our primary components of cost of sales are purchased parts, the overhead expense related to our manufacturing operations and direct labor associated with the manufacture and assembly of transmissions and parts. For the three months ended March 31, 2020, direct material costs were approximately 68%, overhead costs were approximately 23%, and direct labor costs were approximately 9% of total cost of sales. We are subject to changes in our cost of sales caused by movements in underlying commodity prices. We seek to hedge against this risk by using long-term agreements, as appropriate. See Part I, Item 3 “Quantitative and Qualitative Disclosures about Market Risk—Commodity Price Risk” included below.</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55245</wp:posOffset>
            </wp:positionV>
            <wp:extent cx="7150100" cy="146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0"/>
          </w:cols>
          <w:pgMar w:left="320" w:top="140" w:right="319" w:bottom="1440" w:gutter="0" w:footer="0" w:header="0"/>
        </w:sectPr>
      </w:pPr>
    </w:p>
    <w:bookmarkStart w:id="25" w:name="page26"/>
    <w:bookmarkEnd w:id="2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26" w:lineRule="exact"/>
        <w:rPr>
          <w:sz w:val="20"/>
          <w:szCs w:val="20"/>
          <w:color w:val="auto"/>
        </w:rPr>
      </w:pPr>
    </w:p>
    <w:p>
      <w:pPr>
        <w:ind w:left="260"/>
        <w:spacing w:after="0"/>
        <w:rPr>
          <w:sz w:val="20"/>
          <w:szCs w:val="20"/>
          <w:color w:val="auto"/>
        </w:rPr>
      </w:pPr>
      <w:r>
        <w:rPr>
          <w:rFonts w:ascii="Arial" w:cs="Arial" w:eastAsia="Arial" w:hAnsi="Arial"/>
          <w:sz w:val="16"/>
          <w:szCs w:val="16"/>
          <w:b w:val="1"/>
          <w:bCs w:val="1"/>
          <w:i w:val="1"/>
          <w:iCs w:val="1"/>
          <w:color w:val="auto"/>
        </w:rPr>
        <w:t>Selling, general and administrative</w:t>
      </w:r>
    </w:p>
    <w:p>
      <w:pPr>
        <w:spacing w:after="0" w:line="104" w:lineRule="exact"/>
        <w:rPr>
          <w:sz w:val="20"/>
          <w:szCs w:val="20"/>
          <w:color w:val="auto"/>
        </w:rPr>
      </w:pPr>
    </w:p>
    <w:p>
      <w:pPr>
        <w:ind w:right="480" w:firstLine="528"/>
        <w:spacing w:after="0" w:line="266" w:lineRule="auto"/>
        <w:rPr>
          <w:sz w:val="20"/>
          <w:szCs w:val="20"/>
          <w:color w:val="auto"/>
        </w:rPr>
      </w:pPr>
      <w:r>
        <w:rPr>
          <w:rFonts w:ascii="Arial" w:cs="Arial" w:eastAsia="Arial" w:hAnsi="Arial"/>
          <w:sz w:val="15"/>
          <w:szCs w:val="15"/>
          <w:color w:val="auto"/>
        </w:rPr>
        <w:t>The principal components of our selling, general and administrative expenses are salaries and benefits for our office personnel, advertising and promotional expenses, product warranty expense, expenses relating to certain information technology systems and amortization of our intangibles.</w:t>
      </w:r>
    </w:p>
    <w:p>
      <w:pPr>
        <w:spacing w:after="0" w:line="93" w:lineRule="exact"/>
        <w:rPr>
          <w:sz w:val="20"/>
          <w:szCs w:val="20"/>
          <w:color w:val="auto"/>
        </w:rPr>
      </w:pPr>
    </w:p>
    <w:p>
      <w:pPr>
        <w:ind w:left="260"/>
        <w:spacing w:after="0"/>
        <w:rPr>
          <w:sz w:val="20"/>
          <w:szCs w:val="20"/>
          <w:color w:val="auto"/>
        </w:rPr>
      </w:pPr>
      <w:r>
        <w:rPr>
          <w:rFonts w:ascii="Arial" w:cs="Arial" w:eastAsia="Arial" w:hAnsi="Arial"/>
          <w:sz w:val="16"/>
          <w:szCs w:val="16"/>
          <w:b w:val="1"/>
          <w:bCs w:val="1"/>
          <w:i w:val="1"/>
          <w:iCs w:val="1"/>
          <w:color w:val="auto"/>
        </w:rPr>
        <w:t>Engineering — research and development</w:t>
      </w:r>
    </w:p>
    <w:p>
      <w:pPr>
        <w:spacing w:after="0" w:line="104" w:lineRule="exact"/>
        <w:rPr>
          <w:sz w:val="20"/>
          <w:szCs w:val="20"/>
          <w:color w:val="auto"/>
        </w:rPr>
      </w:pPr>
    </w:p>
    <w:p>
      <w:pPr>
        <w:ind w:firstLine="528"/>
        <w:spacing w:after="0" w:line="237" w:lineRule="auto"/>
        <w:rPr>
          <w:sz w:val="20"/>
          <w:szCs w:val="20"/>
          <w:color w:val="auto"/>
        </w:rPr>
      </w:pPr>
      <w:r>
        <w:rPr>
          <w:rFonts w:ascii="Arial" w:cs="Arial" w:eastAsia="Arial" w:hAnsi="Arial"/>
          <w:sz w:val="16"/>
          <w:szCs w:val="16"/>
          <w:color w:val="auto"/>
        </w:rPr>
        <w:t>We incur costs in connection with research and development programs that are expected to contribute to future earnings. Such costs are expensed as incurred.</w:t>
      </w:r>
    </w:p>
    <w:p>
      <w:pPr>
        <w:spacing w:after="0" w:line="177" w:lineRule="exact"/>
        <w:rPr>
          <w:sz w:val="20"/>
          <w:szCs w:val="20"/>
          <w:color w:val="auto"/>
        </w:rPr>
      </w:pPr>
    </w:p>
    <w:p>
      <w:pPr>
        <w:jc w:val="center"/>
        <w:ind w:right="-339"/>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55245</wp:posOffset>
            </wp:positionV>
            <wp:extent cx="7150100" cy="146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0900"/>
          </w:cols>
          <w:pgMar w:left="320" w:top="140" w:right="679" w:bottom="1440" w:gutter="0" w:footer="0" w:header="0"/>
        </w:sectPr>
      </w:pPr>
    </w:p>
    <w:bookmarkStart w:id="26" w:name="page27"/>
    <w:bookmarkEnd w:id="2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26" w:lineRule="exact"/>
        <w:rPr>
          <w:sz w:val="20"/>
          <w:szCs w:val="20"/>
          <w:color w:val="auto"/>
        </w:rPr>
      </w:pPr>
    </w:p>
    <w:p>
      <w:pPr>
        <w:ind w:left="260"/>
        <w:spacing w:after="0"/>
        <w:rPr>
          <w:sz w:val="20"/>
          <w:szCs w:val="20"/>
          <w:color w:val="auto"/>
        </w:rPr>
      </w:pPr>
      <w:r>
        <w:rPr>
          <w:rFonts w:ascii="Arial" w:cs="Arial" w:eastAsia="Arial" w:hAnsi="Arial"/>
          <w:sz w:val="16"/>
          <w:szCs w:val="16"/>
          <w:b w:val="1"/>
          <w:bCs w:val="1"/>
          <w:i w:val="1"/>
          <w:iCs w:val="1"/>
          <w:color w:val="auto"/>
        </w:rPr>
        <w:t>Non-GAAP Financial Measures</w:t>
      </w:r>
    </w:p>
    <w:p>
      <w:pPr>
        <w:spacing w:after="0" w:line="151" w:lineRule="exact"/>
        <w:rPr>
          <w:sz w:val="20"/>
          <w:szCs w:val="20"/>
          <w:color w:val="auto"/>
        </w:rPr>
      </w:pPr>
    </w:p>
    <w:p>
      <w:pPr>
        <w:ind w:right="20" w:firstLine="522"/>
        <w:spacing w:after="0" w:line="247" w:lineRule="auto"/>
        <w:rPr>
          <w:sz w:val="20"/>
          <w:szCs w:val="20"/>
          <w:color w:val="auto"/>
        </w:rPr>
      </w:pPr>
      <w:r>
        <w:rPr>
          <w:rFonts w:ascii="Arial" w:cs="Arial" w:eastAsia="Arial" w:hAnsi="Arial"/>
          <w:sz w:val="15"/>
          <w:szCs w:val="15"/>
          <w:color w:val="auto"/>
        </w:rPr>
        <w:t>We use Adjusted Earnings before Interest, Taxes, Depreciation, and Amortization (“EBITDA”) and Adjusted EBITDA as a percent of net sales to measure our operating profitability. We believe that Adjusted EBITDA and Adjusted EBITDA as a percent of net sales provide management, investors and creditors with useful measures of the operational results of our business and increase the period-to-period comparability of our operating profitability and comparability with other companies. Adjusted EBITDA as a percent of net sales is also used in the calculation of management’s incentive compensation program. The most directly comparable U.S. generally accepted accounting principles (“GAAP”) measure to Adjusted EBITDA and Adjusted EBITDA as a percent of net sales is Net income and Net income as a percent of net sales, respectively. Adjusted EBITDA is calculated as earnings before interest expense, income tax expense, amortization of intangible assets, depreciation of property, plant and equipment and other adjustments as defined by the Second Amended and Restated Credit Agreement dated as of March 29, 2019 (the “Credit Agreement”) governing Allison Transmission, Inc.’s (“ATI”), our wholly-owned subsidiary, term loan facility in the amount of $643 million due March 2026 (“New Term Loan”). Adjusted EBITDA as a percent of net sales is calculated as Adjusted EBITDA divided by net sales.</w:t>
      </w:r>
    </w:p>
    <w:p>
      <w:pPr>
        <w:spacing w:after="0" w:line="128" w:lineRule="exact"/>
        <w:rPr>
          <w:sz w:val="20"/>
          <w:szCs w:val="20"/>
          <w:color w:val="auto"/>
        </w:rPr>
      </w:pPr>
    </w:p>
    <w:p>
      <w:pPr>
        <w:ind w:right="60" w:firstLine="522"/>
        <w:spacing w:after="0" w:line="232" w:lineRule="auto"/>
        <w:rPr>
          <w:sz w:val="20"/>
          <w:szCs w:val="20"/>
          <w:color w:val="auto"/>
        </w:rPr>
      </w:pPr>
      <w:r>
        <w:rPr>
          <w:rFonts w:ascii="Arial" w:cs="Arial" w:eastAsia="Arial" w:hAnsi="Arial"/>
          <w:sz w:val="16"/>
          <w:szCs w:val="16"/>
          <w:color w:val="auto"/>
        </w:rPr>
        <w:t>We use Adjusted free cash flow to evaluate the amount of cash generated by our business that, after the capital investment needed to maintain and grow our business and certain mandatory debt service requirements, can be used for repayment of debt, stockholder distributions and strategic opportunities, including investing in our business. We believe that Adjusted free cash flow enhances the understanding of the cash flows of our business for management, investors and creditors. Adjusted free cash flow is also used in the calculation of management’s incentive compensation program. The most directly comparable GAAP measure to Adjusted free cash flow is Net cash provided by operating activities. Adjusted free cash flow is calculated as Net cash provided by operating activities after additions of long-lived assets.</w:t>
      </w:r>
    </w:p>
    <w:p>
      <w:pPr>
        <w:spacing w:after="0" w:line="84" w:lineRule="exact"/>
        <w:rPr>
          <w:sz w:val="20"/>
          <w:szCs w:val="20"/>
          <w:color w:val="auto"/>
        </w:rPr>
      </w:pPr>
    </w:p>
    <w:p>
      <w:pPr>
        <w:ind w:right="340" w:firstLine="528"/>
        <w:spacing w:after="0" w:line="237" w:lineRule="auto"/>
        <w:rPr>
          <w:sz w:val="20"/>
          <w:szCs w:val="20"/>
          <w:color w:val="auto"/>
        </w:rPr>
      </w:pPr>
      <w:r>
        <w:rPr>
          <w:rFonts w:ascii="Arial" w:cs="Arial" w:eastAsia="Arial" w:hAnsi="Arial"/>
          <w:sz w:val="16"/>
          <w:szCs w:val="16"/>
          <w:color w:val="auto"/>
        </w:rPr>
        <w:t>The following is a reconciliation of Net income and Net income as a percent of net sales to Adjusted EBITDA and Adjusted EBITDA as a percent of net sales and a reconciliation of Net cash provided by operating activities to Adjusted free cash flow:</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88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40" w:type="dxa"/>
            <w:vAlign w:val="bottom"/>
            <w:gridSpan w:val="3"/>
          </w:tcPr>
          <w:p>
            <w:pPr>
              <w:jc w:val="right"/>
              <w:ind w:right="7"/>
              <w:spacing w:after="0"/>
              <w:rPr>
                <w:sz w:val="20"/>
                <w:szCs w:val="20"/>
                <w:color w:val="auto"/>
              </w:rPr>
            </w:pPr>
            <w:r>
              <w:rPr>
                <w:rFonts w:ascii="Arial" w:cs="Arial" w:eastAsia="Arial" w:hAnsi="Arial"/>
                <w:sz w:val="13"/>
                <w:szCs w:val="13"/>
                <w:b w:val="1"/>
                <w:bCs w:val="1"/>
                <w:color w:val="auto"/>
              </w:rPr>
              <w:t>Three months ended</w:t>
            </w: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880" w:type="dxa"/>
            <w:vAlign w:val="bottom"/>
            <w:vMerge w:val="restart"/>
          </w:tcPr>
          <w:p>
            <w:pPr>
              <w:spacing w:after="0"/>
              <w:rPr>
                <w:sz w:val="20"/>
                <w:szCs w:val="20"/>
                <w:color w:val="auto"/>
              </w:rPr>
            </w:pPr>
            <w:r>
              <w:rPr>
                <w:rFonts w:ascii="Arial" w:cs="Arial" w:eastAsia="Arial" w:hAnsi="Arial"/>
                <w:sz w:val="13"/>
                <w:szCs w:val="13"/>
                <w:b w:val="1"/>
                <w:bCs w:val="1"/>
                <w:color w:val="auto"/>
              </w:rPr>
              <w:t>(unaudited, dollars in millions)</w:t>
            </w:r>
          </w:p>
        </w:tc>
        <w:tc>
          <w:tcPr>
            <w:tcW w:w="180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2040" w:type="dxa"/>
            <w:vAlign w:val="bottom"/>
            <w:tcBorders>
              <w:bottom w:val="single" w:sz="8" w:color="auto"/>
            </w:tcBorders>
            <w:gridSpan w:val="3"/>
          </w:tcPr>
          <w:p>
            <w:pPr>
              <w:jc w:val="right"/>
              <w:ind w:right="327"/>
              <w:spacing w:after="0"/>
              <w:rPr>
                <w:sz w:val="20"/>
                <w:szCs w:val="20"/>
                <w:color w:val="auto"/>
              </w:rPr>
            </w:pPr>
            <w:r>
              <w:rPr>
                <w:rFonts w:ascii="Arial" w:cs="Arial" w:eastAsia="Arial" w:hAnsi="Arial"/>
                <w:sz w:val="13"/>
                <w:szCs w:val="13"/>
                <w:b w:val="1"/>
                <w:bCs w:val="1"/>
                <w:color w:val="auto"/>
              </w:rPr>
              <w:t>March 31,</w:t>
            </w:r>
          </w:p>
        </w:tc>
        <w:tc>
          <w:tcPr>
            <w:tcW w:w="11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5880" w:type="dxa"/>
            <w:vAlign w:val="bottom"/>
            <w:tcBorders>
              <w:bottom w:val="single" w:sz="8" w:color="CFF0FC"/>
            </w:tcBorders>
            <w:vMerge w:val="continue"/>
          </w:tcPr>
          <w:p>
            <w:pPr>
              <w:spacing w:after="0"/>
              <w:rPr>
                <w:sz w:val="12"/>
                <w:szCs w:val="12"/>
                <w:color w:val="auto"/>
              </w:rPr>
            </w:pPr>
          </w:p>
        </w:tc>
        <w:tc>
          <w:tcPr>
            <w:tcW w:w="1800" w:type="dxa"/>
            <w:vAlign w:val="bottom"/>
            <w:tcBorders>
              <w:bottom w:val="single" w:sz="8" w:color="CFF0FC"/>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tcPr>
          <w:p>
            <w:pPr>
              <w:jc w:val="right"/>
              <w:ind w:right="724"/>
              <w:spacing w:after="0" w:line="144" w:lineRule="exact"/>
              <w:rPr>
                <w:sz w:val="20"/>
                <w:szCs w:val="20"/>
                <w:color w:val="auto"/>
              </w:rPr>
            </w:pPr>
            <w:r>
              <w:rPr>
                <w:rFonts w:ascii="Arial" w:cs="Arial" w:eastAsia="Arial" w:hAnsi="Arial"/>
                <w:sz w:val="13"/>
                <w:szCs w:val="13"/>
                <w:b w:val="1"/>
                <w:bCs w:val="1"/>
                <w:color w:val="auto"/>
              </w:rPr>
              <w:t>2020</w:t>
            </w:r>
          </w:p>
        </w:tc>
        <w:tc>
          <w:tcPr>
            <w:tcW w:w="180" w:type="dxa"/>
            <w:vAlign w:val="bottom"/>
            <w:tcBorders>
              <w:bottom w:val="single" w:sz="8" w:color="CFF0FC"/>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ind w:right="723"/>
              <w:spacing w:after="0" w:line="144" w:lineRule="exact"/>
              <w:rPr>
                <w:sz w:val="20"/>
                <w:szCs w:val="20"/>
                <w:color w:val="auto"/>
              </w:rPr>
            </w:pPr>
            <w:r>
              <w:rPr>
                <w:rFonts w:ascii="Arial" w:cs="Arial" w:eastAsia="Arial" w:hAnsi="Arial"/>
                <w:sz w:val="13"/>
                <w:szCs w:val="13"/>
                <w:b w:val="1"/>
                <w:bCs w:val="1"/>
                <w:color w:val="auto"/>
              </w:rPr>
              <w:t>2019</w:t>
            </w:r>
          </w:p>
        </w:tc>
        <w:tc>
          <w:tcPr>
            <w:tcW w:w="0" w:type="dxa"/>
            <w:vAlign w:val="bottom"/>
          </w:tcPr>
          <w:p>
            <w:pPr>
              <w:spacing w:after="0"/>
              <w:rPr>
                <w:sz w:val="1"/>
                <w:szCs w:val="1"/>
                <w:color w:val="auto"/>
              </w:rPr>
            </w:pPr>
          </w:p>
        </w:tc>
      </w:tr>
      <w:tr>
        <w:trPr>
          <w:trHeight w:val="180"/>
        </w:trPr>
        <w:tc>
          <w:tcPr>
            <w:tcW w:w="5880" w:type="dxa"/>
            <w:vAlign w:val="bottom"/>
            <w:shd w:val="clear" w:color="auto" w:fill="CFF0FC"/>
          </w:tcPr>
          <w:p>
            <w:pPr>
              <w:spacing w:after="0" w:line="180" w:lineRule="exact"/>
              <w:rPr>
                <w:sz w:val="20"/>
                <w:szCs w:val="20"/>
                <w:color w:val="auto"/>
              </w:rPr>
            </w:pPr>
            <w:r>
              <w:rPr>
                <w:rFonts w:ascii="Arial" w:cs="Arial" w:eastAsia="Arial" w:hAnsi="Arial"/>
                <w:sz w:val="16"/>
                <w:szCs w:val="16"/>
                <w:b w:val="1"/>
                <w:bCs w:val="1"/>
                <w:color w:val="auto"/>
              </w:rPr>
              <w:t>Net income (GAAP)</w:t>
            </w:r>
          </w:p>
        </w:tc>
        <w:tc>
          <w:tcPr>
            <w:tcW w:w="1800" w:type="dxa"/>
            <w:vAlign w:val="bottom"/>
            <w:shd w:val="clear" w:color="auto" w:fill="CFF0FC"/>
          </w:tcPr>
          <w:p>
            <w:pPr>
              <w:spacing w:after="0"/>
              <w:rPr>
                <w:sz w:val="15"/>
                <w:szCs w:val="15"/>
                <w:color w:val="auto"/>
              </w:rPr>
            </w:pPr>
          </w:p>
        </w:tc>
        <w:tc>
          <w:tcPr>
            <w:tcW w:w="360" w:type="dxa"/>
            <w:vAlign w:val="bottom"/>
            <w:shd w:val="clear" w:color="auto" w:fill="CFF0FC"/>
          </w:tcPr>
          <w:p>
            <w:pPr>
              <w:jc w:val="right"/>
              <w:ind w:right="207"/>
              <w:spacing w:after="0"/>
              <w:rPr>
                <w:sz w:val="20"/>
                <w:szCs w:val="20"/>
                <w:color w:val="auto"/>
              </w:rPr>
            </w:pPr>
            <w:r>
              <w:rPr>
                <w:rFonts w:ascii="Arial" w:cs="Arial" w:eastAsia="Arial" w:hAnsi="Arial"/>
                <w:sz w:val="15"/>
                <w:szCs w:val="15"/>
                <w:b w:val="1"/>
                <w:bCs w:val="1"/>
                <w:color w:val="auto"/>
                <w:w w:val="71"/>
              </w:rPr>
              <w:t>$</w:t>
            </w:r>
          </w:p>
        </w:tc>
        <w:tc>
          <w:tcPr>
            <w:tcW w:w="1340" w:type="dxa"/>
            <w:vAlign w:val="bottom"/>
            <w:shd w:val="clear" w:color="auto" w:fill="CFF0FC"/>
          </w:tcPr>
          <w:p>
            <w:pPr>
              <w:jc w:val="right"/>
              <w:ind w:right="84"/>
              <w:spacing w:after="0" w:line="180" w:lineRule="exact"/>
              <w:rPr>
                <w:sz w:val="20"/>
                <w:szCs w:val="20"/>
                <w:color w:val="auto"/>
              </w:rPr>
            </w:pPr>
            <w:r>
              <w:rPr>
                <w:rFonts w:ascii="Arial" w:cs="Arial" w:eastAsia="Arial" w:hAnsi="Arial"/>
                <w:sz w:val="16"/>
                <w:szCs w:val="16"/>
                <w:b w:val="1"/>
                <w:bCs w:val="1"/>
                <w:color w:val="auto"/>
              </w:rPr>
              <w:t>139</w:t>
            </w:r>
          </w:p>
        </w:tc>
        <w:tc>
          <w:tcPr>
            <w:tcW w:w="180" w:type="dxa"/>
            <w:vAlign w:val="bottom"/>
            <w:shd w:val="clear" w:color="auto" w:fill="CFF0FC"/>
          </w:tcPr>
          <w:p>
            <w:pPr>
              <w:spacing w:after="0"/>
              <w:rPr>
                <w:sz w:val="15"/>
                <w:szCs w:val="15"/>
                <w:color w:val="auto"/>
              </w:rPr>
            </w:pPr>
          </w:p>
        </w:tc>
        <w:tc>
          <w:tcPr>
            <w:tcW w:w="520" w:type="dxa"/>
            <w:vAlign w:val="bottom"/>
            <w:shd w:val="clear" w:color="auto" w:fill="CFF0FC"/>
          </w:tcPr>
          <w:p>
            <w:pPr>
              <w:jc w:val="right"/>
              <w:ind w:right="367"/>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FF0FC"/>
          </w:tcPr>
          <w:p>
            <w:pPr>
              <w:jc w:val="right"/>
              <w:ind w:right="103"/>
              <w:spacing w:after="0" w:line="180" w:lineRule="exact"/>
              <w:rPr>
                <w:sz w:val="20"/>
                <w:szCs w:val="20"/>
                <w:color w:val="auto"/>
              </w:rPr>
            </w:pPr>
            <w:r>
              <w:rPr>
                <w:rFonts w:ascii="Arial" w:cs="Arial" w:eastAsia="Arial" w:hAnsi="Arial"/>
                <w:sz w:val="16"/>
                <w:szCs w:val="16"/>
                <w:color w:val="auto"/>
              </w:rPr>
              <w:t>167</w:t>
            </w:r>
          </w:p>
        </w:tc>
        <w:tc>
          <w:tcPr>
            <w:tcW w:w="0" w:type="dxa"/>
            <w:vAlign w:val="bottom"/>
          </w:tcPr>
          <w:p>
            <w:pPr>
              <w:spacing w:after="0"/>
              <w:rPr>
                <w:sz w:val="1"/>
                <w:szCs w:val="1"/>
                <w:color w:val="auto"/>
              </w:rPr>
            </w:pPr>
          </w:p>
        </w:tc>
      </w:tr>
      <w:tr>
        <w:trPr>
          <w:trHeight w:val="188"/>
        </w:trPr>
        <w:tc>
          <w:tcPr>
            <w:tcW w:w="5880" w:type="dxa"/>
            <w:vAlign w:val="bottom"/>
          </w:tcPr>
          <w:p>
            <w:pPr>
              <w:spacing w:after="0"/>
              <w:rPr>
                <w:sz w:val="20"/>
                <w:szCs w:val="20"/>
                <w:color w:val="auto"/>
              </w:rPr>
            </w:pPr>
            <w:r>
              <w:rPr>
                <w:rFonts w:ascii="Arial" w:cs="Arial" w:eastAsia="Arial" w:hAnsi="Arial"/>
                <w:sz w:val="16"/>
                <w:szCs w:val="16"/>
                <w:color w:val="auto"/>
              </w:rPr>
              <w:t>plus:</w:t>
            </w:r>
          </w:p>
        </w:tc>
        <w:tc>
          <w:tcPr>
            <w:tcW w:w="18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5880" w:type="dxa"/>
            <w:vAlign w:val="bottom"/>
            <w:shd w:val="clear" w:color="auto" w:fill="CFF0FC"/>
          </w:tcPr>
          <w:p>
            <w:pPr>
              <w:ind w:left="200"/>
              <w:spacing w:after="0"/>
              <w:rPr>
                <w:sz w:val="20"/>
                <w:szCs w:val="20"/>
                <w:color w:val="auto"/>
              </w:rPr>
            </w:pPr>
            <w:r>
              <w:rPr>
                <w:rFonts w:ascii="Arial" w:cs="Arial" w:eastAsia="Arial" w:hAnsi="Arial"/>
                <w:sz w:val="16"/>
                <w:szCs w:val="16"/>
                <w:color w:val="auto"/>
              </w:rPr>
              <w:t>Income tax expense</w:t>
            </w:r>
          </w:p>
        </w:tc>
        <w:tc>
          <w:tcPr>
            <w:tcW w:w="180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340" w:type="dxa"/>
            <w:vAlign w:val="bottom"/>
            <w:shd w:val="clear" w:color="auto" w:fill="CFF0FC"/>
          </w:tcPr>
          <w:p>
            <w:pPr>
              <w:jc w:val="right"/>
              <w:ind w:right="84"/>
              <w:spacing w:after="0"/>
              <w:rPr>
                <w:sz w:val="20"/>
                <w:szCs w:val="20"/>
                <w:color w:val="auto"/>
              </w:rPr>
            </w:pPr>
            <w:r>
              <w:rPr>
                <w:rFonts w:ascii="Arial" w:cs="Arial" w:eastAsia="Arial" w:hAnsi="Arial"/>
                <w:sz w:val="16"/>
                <w:szCs w:val="16"/>
                <w:b w:val="1"/>
                <w:bCs w:val="1"/>
                <w:color w:val="auto"/>
              </w:rPr>
              <w:t>42</w:t>
            </w:r>
          </w:p>
        </w:tc>
        <w:tc>
          <w:tcPr>
            <w:tcW w:w="18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1180" w:type="dxa"/>
            <w:vAlign w:val="bottom"/>
            <w:shd w:val="clear" w:color="auto" w:fill="CFF0FC"/>
          </w:tcPr>
          <w:p>
            <w:pPr>
              <w:jc w:val="right"/>
              <w:ind w:right="103"/>
              <w:spacing w:after="0"/>
              <w:rPr>
                <w:sz w:val="20"/>
                <w:szCs w:val="20"/>
                <w:color w:val="auto"/>
              </w:rPr>
            </w:pPr>
            <w:r>
              <w:rPr>
                <w:rFonts w:ascii="Arial" w:cs="Arial" w:eastAsia="Arial" w:hAnsi="Arial"/>
                <w:sz w:val="16"/>
                <w:szCs w:val="16"/>
                <w:color w:val="auto"/>
              </w:rPr>
              <w:t>44</w:t>
            </w:r>
          </w:p>
        </w:tc>
        <w:tc>
          <w:tcPr>
            <w:tcW w:w="0" w:type="dxa"/>
            <w:vAlign w:val="bottom"/>
          </w:tcPr>
          <w:p>
            <w:pPr>
              <w:spacing w:after="0"/>
              <w:rPr>
                <w:sz w:val="1"/>
                <w:szCs w:val="1"/>
                <w:color w:val="auto"/>
              </w:rPr>
            </w:pPr>
          </w:p>
        </w:tc>
      </w:tr>
      <w:tr>
        <w:trPr>
          <w:trHeight w:val="188"/>
        </w:trPr>
        <w:tc>
          <w:tcPr>
            <w:tcW w:w="5880" w:type="dxa"/>
            <w:vAlign w:val="bottom"/>
          </w:tcPr>
          <w:p>
            <w:pPr>
              <w:ind w:left="200"/>
              <w:spacing w:after="0"/>
              <w:rPr>
                <w:sz w:val="20"/>
                <w:szCs w:val="20"/>
                <w:color w:val="auto"/>
              </w:rPr>
            </w:pPr>
            <w:r>
              <w:rPr>
                <w:rFonts w:ascii="Arial" w:cs="Arial" w:eastAsia="Arial" w:hAnsi="Arial"/>
                <w:sz w:val="16"/>
                <w:szCs w:val="16"/>
                <w:color w:val="auto"/>
              </w:rPr>
              <w:t>Interest expense, net</w:t>
            </w:r>
          </w:p>
        </w:tc>
        <w:tc>
          <w:tcPr>
            <w:tcW w:w="18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40" w:type="dxa"/>
            <w:vAlign w:val="bottom"/>
          </w:tcPr>
          <w:p>
            <w:pPr>
              <w:jc w:val="right"/>
              <w:ind w:right="84"/>
              <w:spacing w:after="0"/>
              <w:rPr>
                <w:sz w:val="20"/>
                <w:szCs w:val="20"/>
                <w:color w:val="auto"/>
              </w:rPr>
            </w:pPr>
            <w:r>
              <w:rPr>
                <w:rFonts w:ascii="Arial" w:cs="Arial" w:eastAsia="Arial" w:hAnsi="Arial"/>
                <w:sz w:val="16"/>
                <w:szCs w:val="16"/>
                <w:b w:val="1"/>
                <w:bCs w:val="1"/>
                <w:color w:val="auto"/>
              </w:rPr>
              <w:t>33</w:t>
            </w:r>
          </w:p>
        </w:tc>
        <w:tc>
          <w:tcPr>
            <w:tcW w:w="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180" w:type="dxa"/>
            <w:vAlign w:val="bottom"/>
          </w:tcPr>
          <w:p>
            <w:pPr>
              <w:jc w:val="right"/>
              <w:ind w:right="103"/>
              <w:spacing w:after="0"/>
              <w:rPr>
                <w:sz w:val="20"/>
                <w:szCs w:val="20"/>
                <w:color w:val="auto"/>
              </w:rPr>
            </w:pPr>
            <w:r>
              <w:rPr>
                <w:rFonts w:ascii="Arial" w:cs="Arial" w:eastAsia="Arial" w:hAnsi="Arial"/>
                <w:sz w:val="16"/>
                <w:szCs w:val="16"/>
                <w:color w:val="auto"/>
              </w:rPr>
              <w:t>36</w:t>
            </w:r>
          </w:p>
        </w:tc>
        <w:tc>
          <w:tcPr>
            <w:tcW w:w="0" w:type="dxa"/>
            <w:vAlign w:val="bottom"/>
          </w:tcPr>
          <w:p>
            <w:pPr>
              <w:spacing w:after="0"/>
              <w:rPr>
                <w:sz w:val="1"/>
                <w:szCs w:val="1"/>
                <w:color w:val="auto"/>
              </w:rPr>
            </w:pPr>
          </w:p>
        </w:tc>
      </w:tr>
      <w:tr>
        <w:trPr>
          <w:trHeight w:val="188"/>
        </w:trPr>
        <w:tc>
          <w:tcPr>
            <w:tcW w:w="5880" w:type="dxa"/>
            <w:vAlign w:val="bottom"/>
            <w:shd w:val="clear" w:color="auto" w:fill="CFF0FC"/>
          </w:tcPr>
          <w:p>
            <w:pPr>
              <w:ind w:left="200"/>
              <w:spacing w:after="0"/>
              <w:rPr>
                <w:sz w:val="20"/>
                <w:szCs w:val="20"/>
                <w:color w:val="auto"/>
              </w:rPr>
            </w:pPr>
            <w:r>
              <w:rPr>
                <w:rFonts w:ascii="Arial" w:cs="Arial" w:eastAsia="Arial" w:hAnsi="Arial"/>
                <w:sz w:val="16"/>
                <w:szCs w:val="16"/>
                <w:color w:val="auto"/>
              </w:rPr>
              <w:t>Depreciation of property, plant and equipment</w:t>
            </w:r>
          </w:p>
        </w:tc>
        <w:tc>
          <w:tcPr>
            <w:tcW w:w="180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340" w:type="dxa"/>
            <w:vAlign w:val="bottom"/>
            <w:shd w:val="clear" w:color="auto" w:fill="CFF0FC"/>
          </w:tcPr>
          <w:p>
            <w:pPr>
              <w:jc w:val="right"/>
              <w:ind w:right="84"/>
              <w:spacing w:after="0"/>
              <w:rPr>
                <w:sz w:val="20"/>
                <w:szCs w:val="20"/>
                <w:color w:val="auto"/>
              </w:rPr>
            </w:pPr>
            <w:r>
              <w:rPr>
                <w:rFonts w:ascii="Arial" w:cs="Arial" w:eastAsia="Arial" w:hAnsi="Arial"/>
                <w:sz w:val="16"/>
                <w:szCs w:val="16"/>
                <w:b w:val="1"/>
                <w:bCs w:val="1"/>
                <w:color w:val="auto"/>
              </w:rPr>
              <w:t>22</w:t>
            </w:r>
          </w:p>
        </w:tc>
        <w:tc>
          <w:tcPr>
            <w:tcW w:w="18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1180" w:type="dxa"/>
            <w:vAlign w:val="bottom"/>
            <w:shd w:val="clear" w:color="auto" w:fill="CFF0FC"/>
          </w:tcPr>
          <w:p>
            <w:pPr>
              <w:jc w:val="right"/>
              <w:ind w:right="103"/>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188"/>
        </w:trPr>
        <w:tc>
          <w:tcPr>
            <w:tcW w:w="5880" w:type="dxa"/>
            <w:vAlign w:val="bottom"/>
          </w:tcPr>
          <w:p>
            <w:pPr>
              <w:ind w:left="200"/>
              <w:spacing w:after="0"/>
              <w:rPr>
                <w:sz w:val="20"/>
                <w:szCs w:val="20"/>
                <w:color w:val="auto"/>
              </w:rPr>
            </w:pPr>
            <w:r>
              <w:rPr>
                <w:rFonts w:ascii="Arial" w:cs="Arial" w:eastAsia="Arial" w:hAnsi="Arial"/>
                <w:sz w:val="16"/>
                <w:szCs w:val="16"/>
                <w:color w:val="auto"/>
              </w:rPr>
              <w:t>Amortization of intangible assets</w:t>
            </w:r>
          </w:p>
        </w:tc>
        <w:tc>
          <w:tcPr>
            <w:tcW w:w="18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40" w:type="dxa"/>
            <w:vAlign w:val="bottom"/>
          </w:tcPr>
          <w:p>
            <w:pPr>
              <w:jc w:val="right"/>
              <w:ind w:right="84"/>
              <w:spacing w:after="0"/>
              <w:rPr>
                <w:sz w:val="20"/>
                <w:szCs w:val="20"/>
                <w:color w:val="auto"/>
              </w:rPr>
            </w:pPr>
            <w:r>
              <w:rPr>
                <w:rFonts w:ascii="Arial" w:cs="Arial" w:eastAsia="Arial" w:hAnsi="Arial"/>
                <w:sz w:val="16"/>
                <w:szCs w:val="16"/>
                <w:b w:val="1"/>
                <w:bCs w:val="1"/>
                <w:color w:val="auto"/>
              </w:rPr>
              <w:t>16</w:t>
            </w:r>
          </w:p>
        </w:tc>
        <w:tc>
          <w:tcPr>
            <w:tcW w:w="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180" w:type="dxa"/>
            <w:vAlign w:val="bottom"/>
          </w:tcPr>
          <w:p>
            <w:pPr>
              <w:jc w:val="right"/>
              <w:ind w:right="103"/>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188"/>
        </w:trPr>
        <w:tc>
          <w:tcPr>
            <w:tcW w:w="5880" w:type="dxa"/>
            <w:vAlign w:val="bottom"/>
            <w:shd w:val="clear" w:color="auto" w:fill="CFF0FC"/>
          </w:tcPr>
          <w:p>
            <w:pPr>
              <w:ind w:left="200"/>
              <w:spacing w:after="0"/>
              <w:rPr>
                <w:sz w:val="20"/>
                <w:szCs w:val="20"/>
                <w:color w:val="auto"/>
              </w:rPr>
            </w:pPr>
            <w:r>
              <w:rPr>
                <w:rFonts w:ascii="Arial" w:cs="Arial" w:eastAsia="Arial" w:hAnsi="Arial"/>
                <w:sz w:val="16"/>
                <w:szCs w:val="16"/>
                <w:color w:val="auto"/>
              </w:rPr>
              <w:t>Stock-based compensation expense (a)</w:t>
            </w:r>
          </w:p>
        </w:tc>
        <w:tc>
          <w:tcPr>
            <w:tcW w:w="180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340" w:type="dxa"/>
            <w:vAlign w:val="bottom"/>
            <w:shd w:val="clear" w:color="auto" w:fill="CFF0FC"/>
          </w:tcPr>
          <w:p>
            <w:pPr>
              <w:jc w:val="right"/>
              <w:ind w:right="84"/>
              <w:spacing w:after="0"/>
              <w:rPr>
                <w:sz w:val="20"/>
                <w:szCs w:val="20"/>
                <w:color w:val="auto"/>
              </w:rPr>
            </w:pPr>
            <w:r>
              <w:rPr>
                <w:rFonts w:ascii="Arial" w:cs="Arial" w:eastAsia="Arial" w:hAnsi="Arial"/>
                <w:sz w:val="16"/>
                <w:szCs w:val="16"/>
                <w:b w:val="1"/>
                <w:bCs w:val="1"/>
                <w:color w:val="auto"/>
              </w:rPr>
              <w:t>3</w:t>
            </w:r>
          </w:p>
        </w:tc>
        <w:tc>
          <w:tcPr>
            <w:tcW w:w="18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1180" w:type="dxa"/>
            <w:vAlign w:val="bottom"/>
            <w:shd w:val="clear" w:color="auto" w:fill="CFF0FC"/>
          </w:tcPr>
          <w:p>
            <w:pPr>
              <w:jc w:val="right"/>
              <w:ind w:right="103"/>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188"/>
        </w:trPr>
        <w:tc>
          <w:tcPr>
            <w:tcW w:w="5880" w:type="dxa"/>
            <w:vAlign w:val="bottom"/>
          </w:tcPr>
          <w:p>
            <w:pPr>
              <w:ind w:left="200"/>
              <w:spacing w:after="0"/>
              <w:rPr>
                <w:sz w:val="20"/>
                <w:szCs w:val="20"/>
                <w:color w:val="auto"/>
              </w:rPr>
            </w:pPr>
            <w:r>
              <w:rPr>
                <w:rFonts w:ascii="Arial" w:cs="Arial" w:eastAsia="Arial" w:hAnsi="Arial"/>
                <w:sz w:val="16"/>
                <w:szCs w:val="16"/>
                <w:color w:val="auto"/>
              </w:rPr>
              <w:t>Unrealized loss (gain) on foreign exchange (b)</w:t>
            </w:r>
          </w:p>
        </w:tc>
        <w:tc>
          <w:tcPr>
            <w:tcW w:w="18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40" w:type="dxa"/>
            <w:vAlign w:val="bottom"/>
          </w:tcPr>
          <w:p>
            <w:pPr>
              <w:jc w:val="right"/>
              <w:ind w:right="84"/>
              <w:spacing w:after="0"/>
              <w:rPr>
                <w:sz w:val="20"/>
                <w:szCs w:val="20"/>
                <w:color w:val="auto"/>
              </w:rPr>
            </w:pPr>
            <w:r>
              <w:rPr>
                <w:rFonts w:ascii="Arial" w:cs="Arial" w:eastAsia="Arial" w:hAnsi="Arial"/>
                <w:sz w:val="16"/>
                <w:szCs w:val="16"/>
                <w:b w:val="1"/>
                <w:bCs w:val="1"/>
                <w:color w:val="auto"/>
              </w:rPr>
              <w:t>2</w:t>
            </w:r>
          </w:p>
        </w:tc>
        <w:tc>
          <w:tcPr>
            <w:tcW w:w="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180" w:type="dxa"/>
            <w:vAlign w:val="bottom"/>
          </w:tcPr>
          <w:p>
            <w:pPr>
              <w:jc w:val="right"/>
              <w:ind w:right="23"/>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188"/>
        </w:trPr>
        <w:tc>
          <w:tcPr>
            <w:tcW w:w="5880" w:type="dxa"/>
            <w:vAlign w:val="bottom"/>
            <w:shd w:val="clear" w:color="auto" w:fill="CFF0FC"/>
          </w:tcPr>
          <w:p>
            <w:pPr>
              <w:ind w:left="200"/>
              <w:spacing w:after="0"/>
              <w:rPr>
                <w:sz w:val="20"/>
                <w:szCs w:val="20"/>
                <w:color w:val="auto"/>
              </w:rPr>
            </w:pPr>
            <w:r>
              <w:rPr>
                <w:rFonts w:ascii="Arial" w:cs="Arial" w:eastAsia="Arial" w:hAnsi="Arial"/>
                <w:sz w:val="16"/>
                <w:szCs w:val="16"/>
                <w:color w:val="auto"/>
              </w:rPr>
              <w:t>Expenses related to long-term debt refinancing (c)</w:t>
            </w:r>
          </w:p>
        </w:tc>
        <w:tc>
          <w:tcPr>
            <w:tcW w:w="180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520" w:type="dxa"/>
            <w:vAlign w:val="bottom"/>
            <w:gridSpan w:val="2"/>
            <w:shd w:val="clear" w:color="auto" w:fill="CFF0FC"/>
          </w:tcPr>
          <w:p>
            <w:pPr>
              <w:jc w:val="right"/>
              <w:ind w:right="340"/>
              <w:spacing w:after="0"/>
              <w:rPr>
                <w:sz w:val="20"/>
                <w:szCs w:val="20"/>
                <w:color w:val="auto"/>
              </w:rPr>
            </w:pPr>
            <w:r>
              <w:rPr>
                <w:rFonts w:ascii="Arial" w:cs="Arial" w:eastAsia="Arial" w:hAnsi="Arial"/>
                <w:sz w:val="16"/>
                <w:szCs w:val="16"/>
                <w:b w:val="1"/>
                <w:bCs w:val="1"/>
                <w:color w:val="auto"/>
              </w:rPr>
              <w:t>—</w:t>
            </w:r>
          </w:p>
        </w:tc>
        <w:tc>
          <w:tcPr>
            <w:tcW w:w="520" w:type="dxa"/>
            <w:vAlign w:val="bottom"/>
            <w:shd w:val="clear" w:color="auto" w:fill="CFF0FC"/>
          </w:tcPr>
          <w:p>
            <w:pPr>
              <w:spacing w:after="0"/>
              <w:rPr>
                <w:sz w:val="16"/>
                <w:szCs w:val="16"/>
                <w:color w:val="auto"/>
              </w:rPr>
            </w:pPr>
          </w:p>
        </w:tc>
        <w:tc>
          <w:tcPr>
            <w:tcW w:w="1180" w:type="dxa"/>
            <w:vAlign w:val="bottom"/>
            <w:shd w:val="clear" w:color="auto" w:fill="CFF0FC"/>
          </w:tcPr>
          <w:p>
            <w:pPr>
              <w:jc w:val="right"/>
              <w:ind w:right="103"/>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20"/>
        </w:trPr>
        <w:tc>
          <w:tcPr>
            <w:tcW w:w="5880" w:type="dxa"/>
            <w:vAlign w:val="bottom"/>
            <w:tcBorders>
              <w:bottom w:val="single" w:sz="8" w:color="CFF0FC"/>
            </w:tcBorders>
          </w:tcPr>
          <w:p>
            <w:pPr>
              <w:spacing w:after="0" w:line="180" w:lineRule="exact"/>
              <w:rPr>
                <w:sz w:val="20"/>
                <w:szCs w:val="20"/>
                <w:color w:val="auto"/>
              </w:rPr>
            </w:pPr>
            <w:r>
              <w:rPr>
                <w:rFonts w:ascii="Arial" w:cs="Arial" w:eastAsia="Arial" w:hAnsi="Arial"/>
                <w:sz w:val="16"/>
                <w:szCs w:val="16"/>
                <w:b w:val="1"/>
                <w:bCs w:val="1"/>
                <w:color w:val="auto"/>
              </w:rPr>
              <w:t>Adjusted EBITDA (Non-GAAP)</w:t>
            </w:r>
          </w:p>
        </w:tc>
        <w:tc>
          <w:tcPr>
            <w:tcW w:w="1800" w:type="dxa"/>
            <w:vAlign w:val="bottom"/>
            <w:tcBorders>
              <w:bottom w:val="single" w:sz="8" w:color="CFF0FC"/>
            </w:tcBorders>
          </w:tcPr>
          <w:p>
            <w:pPr>
              <w:spacing w:after="0"/>
              <w:rPr>
                <w:sz w:val="19"/>
                <w:szCs w:val="19"/>
                <w:color w:val="auto"/>
              </w:rPr>
            </w:pPr>
          </w:p>
        </w:tc>
        <w:tc>
          <w:tcPr>
            <w:tcW w:w="360" w:type="dxa"/>
            <w:vAlign w:val="bottom"/>
            <w:tcBorders>
              <w:top w:val="single" w:sz="8" w:color="auto"/>
              <w:bottom w:val="single" w:sz="8" w:color="auto"/>
            </w:tcBorders>
          </w:tcPr>
          <w:p>
            <w:pPr>
              <w:jc w:val="right"/>
              <w:ind w:right="207"/>
              <w:spacing w:after="0"/>
              <w:rPr>
                <w:sz w:val="20"/>
                <w:szCs w:val="20"/>
                <w:color w:val="auto"/>
              </w:rPr>
            </w:pPr>
            <w:r>
              <w:rPr>
                <w:rFonts w:ascii="Arial" w:cs="Arial" w:eastAsia="Arial" w:hAnsi="Arial"/>
                <w:sz w:val="15"/>
                <w:szCs w:val="15"/>
                <w:b w:val="1"/>
                <w:bCs w:val="1"/>
                <w:color w:val="auto"/>
                <w:w w:val="71"/>
              </w:rPr>
              <w:t>$</w:t>
            </w:r>
          </w:p>
        </w:tc>
        <w:tc>
          <w:tcPr>
            <w:tcW w:w="1340" w:type="dxa"/>
            <w:vAlign w:val="bottom"/>
            <w:tcBorders>
              <w:top w:val="single" w:sz="8" w:color="auto"/>
              <w:bottom w:val="single" w:sz="8" w:color="auto"/>
            </w:tcBorders>
          </w:tcPr>
          <w:p>
            <w:pPr>
              <w:jc w:val="right"/>
              <w:ind w:right="84"/>
              <w:spacing w:after="0" w:line="180" w:lineRule="exact"/>
              <w:rPr>
                <w:sz w:val="20"/>
                <w:szCs w:val="20"/>
                <w:color w:val="auto"/>
              </w:rPr>
            </w:pPr>
            <w:r>
              <w:rPr>
                <w:rFonts w:ascii="Arial" w:cs="Arial" w:eastAsia="Arial" w:hAnsi="Arial"/>
                <w:sz w:val="16"/>
                <w:szCs w:val="16"/>
                <w:b w:val="1"/>
                <w:bCs w:val="1"/>
                <w:color w:val="auto"/>
              </w:rPr>
              <w:t>257</w:t>
            </w:r>
          </w:p>
        </w:tc>
        <w:tc>
          <w:tcPr>
            <w:tcW w:w="180" w:type="dxa"/>
            <w:vAlign w:val="bottom"/>
            <w:tcBorders>
              <w:bottom w:val="single" w:sz="8" w:color="CFF0FC"/>
            </w:tcBorders>
          </w:tcPr>
          <w:p>
            <w:pPr>
              <w:spacing w:after="0"/>
              <w:rPr>
                <w:sz w:val="19"/>
                <w:szCs w:val="19"/>
                <w:color w:val="auto"/>
              </w:rPr>
            </w:pPr>
          </w:p>
        </w:tc>
        <w:tc>
          <w:tcPr>
            <w:tcW w:w="520" w:type="dxa"/>
            <w:vAlign w:val="bottom"/>
            <w:tcBorders>
              <w:top w:val="single" w:sz="8" w:color="auto"/>
              <w:bottom w:val="single" w:sz="8" w:color="auto"/>
            </w:tcBorders>
          </w:tcPr>
          <w:p>
            <w:pPr>
              <w:jc w:val="right"/>
              <w:ind w:right="367"/>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tcPr>
          <w:p>
            <w:pPr>
              <w:jc w:val="right"/>
              <w:ind w:right="103"/>
              <w:spacing w:after="0" w:line="180" w:lineRule="exact"/>
              <w:rPr>
                <w:sz w:val="20"/>
                <w:szCs w:val="20"/>
                <w:color w:val="auto"/>
              </w:rPr>
            </w:pPr>
            <w:r>
              <w:rPr>
                <w:rFonts w:ascii="Arial" w:cs="Arial" w:eastAsia="Arial" w:hAnsi="Arial"/>
                <w:sz w:val="16"/>
                <w:szCs w:val="16"/>
                <w:color w:val="auto"/>
              </w:rPr>
              <w:t>290</w:t>
            </w:r>
          </w:p>
        </w:tc>
        <w:tc>
          <w:tcPr>
            <w:tcW w:w="0" w:type="dxa"/>
            <w:vAlign w:val="bottom"/>
          </w:tcPr>
          <w:p>
            <w:pPr>
              <w:spacing w:after="0"/>
              <w:rPr>
                <w:sz w:val="1"/>
                <w:szCs w:val="1"/>
                <w:color w:val="auto"/>
              </w:rPr>
            </w:pPr>
          </w:p>
        </w:tc>
      </w:tr>
      <w:tr>
        <w:trPr>
          <w:trHeight w:val="163"/>
        </w:trPr>
        <w:tc>
          <w:tcPr>
            <w:tcW w:w="5880" w:type="dxa"/>
            <w:vAlign w:val="bottom"/>
            <w:shd w:val="clear" w:color="auto" w:fill="CFF0FC"/>
          </w:tcPr>
          <w:p>
            <w:pPr>
              <w:spacing w:after="0" w:line="163" w:lineRule="exact"/>
              <w:rPr>
                <w:sz w:val="20"/>
                <w:szCs w:val="20"/>
                <w:color w:val="auto"/>
              </w:rPr>
            </w:pPr>
            <w:r>
              <w:rPr>
                <w:rFonts w:ascii="Arial" w:cs="Arial" w:eastAsia="Arial" w:hAnsi="Arial"/>
                <w:sz w:val="16"/>
                <w:szCs w:val="16"/>
                <w:b w:val="1"/>
                <w:bCs w:val="1"/>
                <w:color w:val="auto"/>
              </w:rPr>
              <w:t>Net sales (GAAP)</w:t>
            </w:r>
          </w:p>
        </w:tc>
        <w:tc>
          <w:tcPr>
            <w:tcW w:w="1800" w:type="dxa"/>
            <w:vAlign w:val="bottom"/>
            <w:shd w:val="clear" w:color="auto" w:fill="CFF0FC"/>
          </w:tcPr>
          <w:p>
            <w:pPr>
              <w:spacing w:after="0"/>
              <w:rPr>
                <w:sz w:val="14"/>
                <w:szCs w:val="14"/>
                <w:color w:val="auto"/>
              </w:rPr>
            </w:pPr>
          </w:p>
        </w:tc>
        <w:tc>
          <w:tcPr>
            <w:tcW w:w="360" w:type="dxa"/>
            <w:vAlign w:val="bottom"/>
            <w:shd w:val="clear" w:color="auto" w:fill="CFF0FC"/>
          </w:tcPr>
          <w:p>
            <w:pPr>
              <w:jc w:val="right"/>
              <w:ind w:right="207"/>
              <w:spacing w:after="0" w:line="163" w:lineRule="exact"/>
              <w:rPr>
                <w:sz w:val="20"/>
                <w:szCs w:val="20"/>
                <w:color w:val="auto"/>
              </w:rPr>
            </w:pPr>
            <w:r>
              <w:rPr>
                <w:rFonts w:ascii="Arial" w:cs="Arial" w:eastAsia="Arial" w:hAnsi="Arial"/>
                <w:sz w:val="15"/>
                <w:szCs w:val="15"/>
                <w:b w:val="1"/>
                <w:bCs w:val="1"/>
                <w:color w:val="auto"/>
                <w:w w:val="71"/>
              </w:rPr>
              <w:t>$</w:t>
            </w:r>
          </w:p>
        </w:tc>
        <w:tc>
          <w:tcPr>
            <w:tcW w:w="1340" w:type="dxa"/>
            <w:vAlign w:val="bottom"/>
            <w:shd w:val="clear" w:color="auto" w:fill="CFF0FC"/>
          </w:tcPr>
          <w:p>
            <w:pPr>
              <w:jc w:val="right"/>
              <w:ind w:right="84"/>
              <w:spacing w:after="0" w:line="163" w:lineRule="exact"/>
              <w:rPr>
                <w:sz w:val="20"/>
                <w:szCs w:val="20"/>
                <w:color w:val="auto"/>
              </w:rPr>
            </w:pPr>
            <w:r>
              <w:rPr>
                <w:rFonts w:ascii="Arial" w:cs="Arial" w:eastAsia="Arial" w:hAnsi="Arial"/>
                <w:sz w:val="16"/>
                <w:szCs w:val="16"/>
                <w:b w:val="1"/>
                <w:bCs w:val="1"/>
                <w:color w:val="auto"/>
              </w:rPr>
              <w:t>637</w:t>
            </w:r>
          </w:p>
        </w:tc>
        <w:tc>
          <w:tcPr>
            <w:tcW w:w="180" w:type="dxa"/>
            <w:vAlign w:val="bottom"/>
            <w:shd w:val="clear" w:color="auto" w:fill="CFF0FC"/>
          </w:tcPr>
          <w:p>
            <w:pPr>
              <w:spacing w:after="0"/>
              <w:rPr>
                <w:sz w:val="14"/>
                <w:szCs w:val="14"/>
                <w:color w:val="auto"/>
              </w:rPr>
            </w:pPr>
          </w:p>
        </w:tc>
        <w:tc>
          <w:tcPr>
            <w:tcW w:w="520" w:type="dxa"/>
            <w:vAlign w:val="bottom"/>
            <w:shd w:val="clear" w:color="auto" w:fill="CFF0FC"/>
          </w:tcPr>
          <w:p>
            <w:pPr>
              <w:jc w:val="right"/>
              <w:ind w:right="367"/>
              <w:spacing w:after="0" w:line="163" w:lineRule="exact"/>
              <w:rPr>
                <w:sz w:val="20"/>
                <w:szCs w:val="20"/>
                <w:color w:val="auto"/>
              </w:rPr>
            </w:pPr>
            <w:r>
              <w:rPr>
                <w:rFonts w:ascii="Arial" w:cs="Arial" w:eastAsia="Arial" w:hAnsi="Arial"/>
                <w:sz w:val="15"/>
                <w:szCs w:val="15"/>
                <w:color w:val="auto"/>
                <w:w w:val="71"/>
              </w:rPr>
              <w:t>$</w:t>
            </w:r>
          </w:p>
        </w:tc>
        <w:tc>
          <w:tcPr>
            <w:tcW w:w="1180" w:type="dxa"/>
            <w:vAlign w:val="bottom"/>
            <w:shd w:val="clear" w:color="auto" w:fill="CFF0FC"/>
          </w:tcPr>
          <w:p>
            <w:pPr>
              <w:jc w:val="right"/>
              <w:ind w:right="103"/>
              <w:spacing w:after="0" w:line="163" w:lineRule="exact"/>
              <w:rPr>
                <w:sz w:val="20"/>
                <w:szCs w:val="20"/>
                <w:color w:val="auto"/>
              </w:rPr>
            </w:pPr>
            <w:r>
              <w:rPr>
                <w:rFonts w:ascii="Arial" w:cs="Arial" w:eastAsia="Arial" w:hAnsi="Arial"/>
                <w:sz w:val="16"/>
                <w:szCs w:val="16"/>
                <w:color w:val="auto"/>
              </w:rPr>
              <w:t>675</w:t>
            </w:r>
          </w:p>
        </w:tc>
        <w:tc>
          <w:tcPr>
            <w:tcW w:w="0" w:type="dxa"/>
            <w:vAlign w:val="bottom"/>
          </w:tcPr>
          <w:p>
            <w:pPr>
              <w:spacing w:after="0"/>
              <w:rPr>
                <w:sz w:val="1"/>
                <w:szCs w:val="1"/>
                <w:color w:val="auto"/>
              </w:rPr>
            </w:pPr>
          </w:p>
        </w:tc>
      </w:tr>
      <w:tr>
        <w:trPr>
          <w:trHeight w:val="188"/>
        </w:trPr>
        <w:tc>
          <w:tcPr>
            <w:tcW w:w="5880" w:type="dxa"/>
            <w:vAlign w:val="bottom"/>
          </w:tcPr>
          <w:p>
            <w:pPr>
              <w:spacing w:after="0"/>
              <w:rPr>
                <w:sz w:val="20"/>
                <w:szCs w:val="20"/>
                <w:color w:val="auto"/>
              </w:rPr>
            </w:pPr>
            <w:r>
              <w:rPr>
                <w:rFonts w:ascii="Arial" w:cs="Arial" w:eastAsia="Arial" w:hAnsi="Arial"/>
                <w:sz w:val="16"/>
                <w:szCs w:val="16"/>
                <w:b w:val="1"/>
                <w:bCs w:val="1"/>
                <w:color w:val="auto"/>
              </w:rPr>
              <w:t>Net income as a percent of net sales (GAAP)</w:t>
            </w:r>
          </w:p>
        </w:tc>
        <w:tc>
          <w:tcPr>
            <w:tcW w:w="18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6"/>
                <w:szCs w:val="16"/>
                <w:b w:val="1"/>
                <w:bCs w:val="1"/>
                <w:color w:val="auto"/>
              </w:rPr>
              <w:t>21.8%</w:t>
            </w:r>
          </w:p>
        </w:tc>
        <w:tc>
          <w:tcPr>
            <w:tcW w:w="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24.7%</w:t>
            </w:r>
          </w:p>
        </w:tc>
        <w:tc>
          <w:tcPr>
            <w:tcW w:w="0" w:type="dxa"/>
            <w:vAlign w:val="bottom"/>
          </w:tcPr>
          <w:p>
            <w:pPr>
              <w:spacing w:after="0"/>
              <w:rPr>
                <w:sz w:val="1"/>
                <w:szCs w:val="1"/>
                <w:color w:val="auto"/>
              </w:rPr>
            </w:pPr>
          </w:p>
        </w:tc>
      </w:tr>
      <w:tr>
        <w:trPr>
          <w:trHeight w:val="188"/>
        </w:trPr>
        <w:tc>
          <w:tcPr>
            <w:tcW w:w="588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Adjusted EBITDA as a percent of net sales (Non-GAAP)</w:t>
            </w:r>
          </w:p>
        </w:tc>
        <w:tc>
          <w:tcPr>
            <w:tcW w:w="180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40.3%</w:t>
            </w:r>
          </w:p>
        </w:tc>
        <w:tc>
          <w:tcPr>
            <w:tcW w:w="18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43.0%</w:t>
            </w:r>
          </w:p>
        </w:tc>
        <w:tc>
          <w:tcPr>
            <w:tcW w:w="0" w:type="dxa"/>
            <w:vAlign w:val="bottom"/>
          </w:tcPr>
          <w:p>
            <w:pPr>
              <w:spacing w:after="0"/>
              <w:rPr>
                <w:sz w:val="1"/>
                <w:szCs w:val="1"/>
                <w:color w:val="auto"/>
              </w:rPr>
            </w:pPr>
          </w:p>
        </w:tc>
      </w:tr>
      <w:tr>
        <w:trPr>
          <w:trHeight w:val="188"/>
        </w:trPr>
        <w:tc>
          <w:tcPr>
            <w:tcW w:w="5880" w:type="dxa"/>
            <w:vAlign w:val="bottom"/>
          </w:tcPr>
          <w:p>
            <w:pPr>
              <w:spacing w:after="0"/>
              <w:rPr>
                <w:sz w:val="20"/>
                <w:szCs w:val="20"/>
                <w:color w:val="auto"/>
              </w:rPr>
            </w:pPr>
            <w:r>
              <w:rPr>
                <w:rFonts w:ascii="Arial" w:cs="Arial" w:eastAsia="Arial" w:hAnsi="Arial"/>
                <w:sz w:val="16"/>
                <w:szCs w:val="16"/>
                <w:b w:val="1"/>
                <w:bCs w:val="1"/>
                <w:color w:val="auto"/>
              </w:rPr>
              <w:t>Net cash provided by operating activities (GAAP)</w:t>
            </w:r>
          </w:p>
        </w:tc>
        <w:tc>
          <w:tcPr>
            <w:tcW w:w="2160" w:type="dxa"/>
            <w:vAlign w:val="bottom"/>
            <w:gridSpan w:val="2"/>
          </w:tcPr>
          <w:p>
            <w:pPr>
              <w:jc w:val="right"/>
              <w:ind w:right="207"/>
              <w:spacing w:after="0"/>
              <w:rPr>
                <w:sz w:val="20"/>
                <w:szCs w:val="20"/>
                <w:color w:val="auto"/>
              </w:rPr>
            </w:pPr>
            <w:r>
              <w:rPr>
                <w:rFonts w:ascii="Arial" w:cs="Arial" w:eastAsia="Arial" w:hAnsi="Arial"/>
                <w:sz w:val="16"/>
                <w:szCs w:val="16"/>
                <w:b w:val="1"/>
                <w:bCs w:val="1"/>
                <w:color w:val="auto"/>
              </w:rPr>
              <w:t>$</w:t>
            </w:r>
          </w:p>
        </w:tc>
        <w:tc>
          <w:tcPr>
            <w:tcW w:w="1340" w:type="dxa"/>
            <w:vAlign w:val="bottom"/>
          </w:tcPr>
          <w:p>
            <w:pPr>
              <w:jc w:val="right"/>
              <w:ind w:right="84"/>
              <w:spacing w:after="0"/>
              <w:rPr>
                <w:sz w:val="20"/>
                <w:szCs w:val="20"/>
                <w:color w:val="auto"/>
              </w:rPr>
            </w:pPr>
            <w:r>
              <w:rPr>
                <w:rFonts w:ascii="Arial" w:cs="Arial" w:eastAsia="Arial" w:hAnsi="Arial"/>
                <w:sz w:val="16"/>
                <w:szCs w:val="16"/>
                <w:b w:val="1"/>
                <w:bCs w:val="1"/>
                <w:color w:val="auto"/>
              </w:rPr>
              <w:t>148</w:t>
            </w:r>
          </w:p>
        </w:tc>
        <w:tc>
          <w:tcPr>
            <w:tcW w:w="180" w:type="dxa"/>
            <w:vAlign w:val="bottom"/>
          </w:tcPr>
          <w:p>
            <w:pPr>
              <w:spacing w:after="0"/>
              <w:rPr>
                <w:sz w:val="16"/>
                <w:szCs w:val="16"/>
                <w:color w:val="auto"/>
              </w:rPr>
            </w:pPr>
          </w:p>
        </w:tc>
        <w:tc>
          <w:tcPr>
            <w:tcW w:w="520" w:type="dxa"/>
            <w:vAlign w:val="bottom"/>
          </w:tcPr>
          <w:p>
            <w:pPr>
              <w:jc w:val="right"/>
              <w:ind w:right="367"/>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ind w:right="103"/>
              <w:spacing w:after="0"/>
              <w:rPr>
                <w:sz w:val="20"/>
                <w:szCs w:val="20"/>
                <w:color w:val="auto"/>
              </w:rPr>
            </w:pPr>
            <w:r>
              <w:rPr>
                <w:rFonts w:ascii="Arial" w:cs="Arial" w:eastAsia="Arial" w:hAnsi="Arial"/>
                <w:sz w:val="16"/>
                <w:szCs w:val="16"/>
                <w:color w:val="auto"/>
              </w:rPr>
              <w:t>194</w:t>
            </w:r>
          </w:p>
        </w:tc>
        <w:tc>
          <w:tcPr>
            <w:tcW w:w="0" w:type="dxa"/>
            <w:vAlign w:val="bottom"/>
          </w:tcPr>
          <w:p>
            <w:pPr>
              <w:spacing w:after="0"/>
              <w:rPr>
                <w:sz w:val="1"/>
                <w:szCs w:val="1"/>
                <w:color w:val="auto"/>
              </w:rPr>
            </w:pPr>
          </w:p>
        </w:tc>
      </w:tr>
      <w:tr>
        <w:trPr>
          <w:trHeight w:val="188"/>
        </w:trPr>
        <w:tc>
          <w:tcPr>
            <w:tcW w:w="5880" w:type="dxa"/>
            <w:vAlign w:val="bottom"/>
            <w:shd w:val="clear" w:color="auto" w:fill="CFF0FC"/>
          </w:tcPr>
          <w:p>
            <w:pPr>
              <w:spacing w:after="0"/>
              <w:rPr>
                <w:sz w:val="20"/>
                <w:szCs w:val="20"/>
                <w:color w:val="auto"/>
              </w:rPr>
            </w:pPr>
            <w:r>
              <w:rPr>
                <w:rFonts w:ascii="Arial" w:cs="Arial" w:eastAsia="Arial" w:hAnsi="Arial"/>
                <w:sz w:val="16"/>
                <w:szCs w:val="16"/>
                <w:color w:val="auto"/>
              </w:rPr>
              <w:t>Deductions to reconcile to Adjusted free cash flow:</w:t>
            </w:r>
          </w:p>
        </w:tc>
        <w:tc>
          <w:tcPr>
            <w:tcW w:w="180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3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11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588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Additions of long-lived assets</w:t>
            </w:r>
          </w:p>
        </w:tc>
        <w:tc>
          <w:tcPr>
            <w:tcW w:w="1800" w:type="dxa"/>
            <w:vAlign w:val="bottom"/>
            <w:tcBorders>
              <w:bottom w:val="single" w:sz="8" w:color="CFF0FC"/>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24"/>
              <w:spacing w:after="0"/>
              <w:rPr>
                <w:sz w:val="20"/>
                <w:szCs w:val="20"/>
                <w:color w:val="auto"/>
              </w:rPr>
            </w:pPr>
            <w:r>
              <w:rPr>
                <w:rFonts w:ascii="Arial" w:cs="Arial" w:eastAsia="Arial" w:hAnsi="Arial"/>
                <w:sz w:val="16"/>
                <w:szCs w:val="16"/>
                <w:b w:val="1"/>
                <w:bCs w:val="1"/>
                <w:color w:val="auto"/>
              </w:rPr>
              <w:t>(21)</w:t>
            </w:r>
          </w:p>
        </w:tc>
        <w:tc>
          <w:tcPr>
            <w:tcW w:w="180" w:type="dxa"/>
            <w:vAlign w:val="bottom"/>
            <w:tcBorders>
              <w:bottom w:val="single" w:sz="8" w:color="CFF0FC"/>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180"/>
        </w:trPr>
        <w:tc>
          <w:tcPr>
            <w:tcW w:w="5880" w:type="dxa"/>
            <w:vAlign w:val="bottom"/>
            <w:tcBorders>
              <w:bottom w:val="single" w:sz="8" w:color="CFF0FC"/>
            </w:tcBorders>
            <w:shd w:val="clear" w:color="auto" w:fill="CFF0FC"/>
          </w:tcPr>
          <w:p>
            <w:pPr>
              <w:spacing w:after="0" w:line="180" w:lineRule="exact"/>
              <w:rPr>
                <w:sz w:val="20"/>
                <w:szCs w:val="20"/>
                <w:color w:val="auto"/>
              </w:rPr>
            </w:pPr>
            <w:r>
              <w:rPr>
                <w:rFonts w:ascii="Arial" w:cs="Arial" w:eastAsia="Arial" w:hAnsi="Arial"/>
                <w:sz w:val="16"/>
                <w:szCs w:val="16"/>
                <w:b w:val="1"/>
                <w:bCs w:val="1"/>
                <w:color w:val="auto"/>
              </w:rPr>
              <w:t>Adjusted free cash flow (Non-GAAP)</w:t>
            </w:r>
          </w:p>
        </w:tc>
        <w:tc>
          <w:tcPr>
            <w:tcW w:w="1800" w:type="dxa"/>
            <w:vAlign w:val="bottom"/>
            <w:tcBorders>
              <w:bottom w:val="single" w:sz="8" w:color="CFF0FC"/>
            </w:tcBorders>
            <w:shd w:val="clear" w:color="auto" w:fill="CFF0FC"/>
          </w:tcPr>
          <w:p>
            <w:pPr>
              <w:spacing w:after="0"/>
              <w:rPr>
                <w:sz w:val="15"/>
                <w:szCs w:val="15"/>
                <w:color w:val="auto"/>
              </w:rPr>
            </w:pPr>
          </w:p>
        </w:tc>
        <w:tc>
          <w:tcPr>
            <w:tcW w:w="360" w:type="dxa"/>
            <w:vAlign w:val="bottom"/>
            <w:tcBorders>
              <w:bottom w:val="single" w:sz="8" w:color="auto"/>
            </w:tcBorders>
            <w:shd w:val="clear" w:color="auto" w:fill="CFF0FC"/>
          </w:tcPr>
          <w:p>
            <w:pPr>
              <w:jc w:val="right"/>
              <w:ind w:right="207"/>
              <w:spacing w:after="0"/>
              <w:rPr>
                <w:sz w:val="20"/>
                <w:szCs w:val="20"/>
                <w:color w:val="auto"/>
              </w:rPr>
            </w:pPr>
            <w:r>
              <w:rPr>
                <w:rFonts w:ascii="Arial" w:cs="Arial" w:eastAsia="Arial" w:hAnsi="Arial"/>
                <w:sz w:val="15"/>
                <w:szCs w:val="15"/>
                <w:b w:val="1"/>
                <w:bCs w:val="1"/>
                <w:color w:val="auto"/>
                <w:w w:val="71"/>
              </w:rPr>
              <w:t>$</w:t>
            </w:r>
          </w:p>
        </w:tc>
        <w:tc>
          <w:tcPr>
            <w:tcW w:w="1340" w:type="dxa"/>
            <w:vAlign w:val="bottom"/>
            <w:tcBorders>
              <w:bottom w:val="single" w:sz="8" w:color="auto"/>
            </w:tcBorders>
            <w:shd w:val="clear" w:color="auto" w:fill="CFF0FC"/>
          </w:tcPr>
          <w:p>
            <w:pPr>
              <w:jc w:val="right"/>
              <w:ind w:right="84"/>
              <w:spacing w:after="0" w:line="180" w:lineRule="exact"/>
              <w:rPr>
                <w:sz w:val="20"/>
                <w:szCs w:val="20"/>
                <w:color w:val="auto"/>
              </w:rPr>
            </w:pPr>
            <w:r>
              <w:rPr>
                <w:rFonts w:ascii="Arial" w:cs="Arial" w:eastAsia="Arial" w:hAnsi="Arial"/>
                <w:sz w:val="16"/>
                <w:szCs w:val="16"/>
                <w:b w:val="1"/>
                <w:bCs w:val="1"/>
                <w:color w:val="auto"/>
              </w:rPr>
              <w:t>127</w:t>
            </w:r>
          </w:p>
        </w:tc>
        <w:tc>
          <w:tcPr>
            <w:tcW w:w="180" w:type="dxa"/>
            <w:vAlign w:val="bottom"/>
            <w:tcBorders>
              <w:bottom w:val="single" w:sz="8" w:color="CFF0FC"/>
            </w:tcBorders>
            <w:shd w:val="clear" w:color="auto" w:fill="CFF0FC"/>
          </w:tcPr>
          <w:p>
            <w:pPr>
              <w:spacing w:after="0"/>
              <w:rPr>
                <w:sz w:val="15"/>
                <w:szCs w:val="15"/>
                <w:color w:val="auto"/>
              </w:rPr>
            </w:pPr>
          </w:p>
        </w:tc>
        <w:tc>
          <w:tcPr>
            <w:tcW w:w="520" w:type="dxa"/>
            <w:vAlign w:val="bottom"/>
            <w:tcBorders>
              <w:bottom w:val="single" w:sz="8" w:color="auto"/>
            </w:tcBorders>
            <w:shd w:val="clear" w:color="auto" w:fill="CFF0FC"/>
          </w:tcPr>
          <w:p>
            <w:pPr>
              <w:jc w:val="right"/>
              <w:ind w:right="367"/>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shd w:val="clear" w:color="auto" w:fill="CFF0FC"/>
          </w:tcPr>
          <w:p>
            <w:pPr>
              <w:jc w:val="right"/>
              <w:ind w:right="103"/>
              <w:spacing w:after="0" w:line="180" w:lineRule="exact"/>
              <w:rPr>
                <w:sz w:val="20"/>
                <w:szCs w:val="20"/>
                <w:color w:val="auto"/>
              </w:rPr>
            </w:pPr>
            <w:r>
              <w:rPr>
                <w:rFonts w:ascii="Arial" w:cs="Arial" w:eastAsia="Arial" w:hAnsi="Arial"/>
                <w:sz w:val="16"/>
                <w:szCs w:val="16"/>
                <w:color w:val="auto"/>
              </w:rPr>
              <w:t>175</w:t>
            </w:r>
          </w:p>
        </w:tc>
        <w:tc>
          <w:tcPr>
            <w:tcW w:w="0" w:type="dxa"/>
            <w:vAlign w:val="bottom"/>
          </w:tcPr>
          <w:p>
            <w:pPr>
              <w:spacing w:after="0"/>
              <w:rPr>
                <w:sz w:val="1"/>
                <w:szCs w:val="1"/>
                <w:color w:val="auto"/>
              </w:rPr>
            </w:pPr>
          </w:p>
        </w:tc>
      </w:tr>
      <w:tr>
        <w:trPr>
          <w:trHeight w:val="20"/>
        </w:trPr>
        <w:tc>
          <w:tcPr>
            <w:tcW w:w="58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660" w:right="680" w:hanging="396"/>
        <w:spacing w:after="0" w:line="229" w:lineRule="auto"/>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Represents stock-based compensation expense (recorded in Cost of sales, Selling, general and administrative, and Engineering - research and development).</w:t>
      </w:r>
    </w:p>
    <w:p>
      <w:pPr>
        <w:spacing w:after="0" w:line="1" w:lineRule="exact"/>
        <w:rPr>
          <w:rFonts w:ascii="Arial" w:cs="Arial" w:eastAsia="Arial" w:hAnsi="Arial"/>
          <w:sz w:val="16"/>
          <w:szCs w:val="16"/>
          <w:color w:val="auto"/>
        </w:rPr>
      </w:pPr>
    </w:p>
    <w:p>
      <w:pPr>
        <w:ind w:left="660" w:right="240" w:hanging="396"/>
        <w:spacing w:after="0" w:line="229" w:lineRule="auto"/>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Represents losses (gains) (recorded in Other (expense) income, net) on intercompany financing transactions related to investments in plant assets for our India facility.</w:t>
      </w:r>
    </w:p>
    <w:p>
      <w:pPr>
        <w:spacing w:after="0" w:line="1" w:lineRule="exact"/>
        <w:rPr>
          <w:rFonts w:ascii="Arial" w:cs="Arial" w:eastAsia="Arial" w:hAnsi="Arial"/>
          <w:sz w:val="16"/>
          <w:szCs w:val="16"/>
          <w:color w:val="auto"/>
        </w:rPr>
      </w:pPr>
    </w:p>
    <w:p>
      <w:pPr>
        <w:ind w:left="660" w:right="440" w:hanging="396"/>
        <w:spacing w:after="0" w:line="237" w:lineRule="auto"/>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Represents expenses (recorded in Other (expense) income, net) related to the refinancing of the prior term loan due 2022 and prior revolving credit facility due 2021 in the first quarter of 2019.</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55245</wp:posOffset>
            </wp:positionV>
            <wp:extent cx="7150100" cy="146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0"/>
          </w:cols>
          <w:pgMar w:left="320" w:top="140" w:right="319" w:bottom="1440" w:gutter="0" w:footer="0" w:header="0"/>
        </w:sectPr>
      </w:pPr>
    </w:p>
    <w:bookmarkStart w:id="27" w:name="page28"/>
    <w:bookmarkEnd w:id="2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2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Results of Operations</w:t>
      </w:r>
    </w:p>
    <w:p>
      <w:pPr>
        <w:spacing w:after="0" w:line="88" w:lineRule="exact"/>
        <w:rPr>
          <w:sz w:val="20"/>
          <w:szCs w:val="20"/>
          <w:color w:val="auto"/>
        </w:rPr>
      </w:pPr>
    </w:p>
    <w:p>
      <w:pPr>
        <w:ind w:left="260"/>
        <w:spacing w:after="0"/>
        <w:rPr>
          <w:sz w:val="20"/>
          <w:szCs w:val="20"/>
          <w:color w:val="auto"/>
        </w:rPr>
      </w:pPr>
      <w:r>
        <w:rPr>
          <w:rFonts w:ascii="Arial" w:cs="Arial" w:eastAsia="Arial" w:hAnsi="Arial"/>
          <w:sz w:val="16"/>
          <w:szCs w:val="16"/>
          <w:b w:val="1"/>
          <w:bCs w:val="1"/>
          <w:i w:val="1"/>
          <w:iCs w:val="1"/>
          <w:color w:val="auto"/>
        </w:rPr>
        <w:t>Comparison of three months ended March 31, 2020 and 2019</w:t>
      </w:r>
    </w:p>
    <w:p>
      <w:pPr>
        <w:spacing w:after="0" w:line="104" w:lineRule="exact"/>
        <w:rPr>
          <w:sz w:val="20"/>
          <w:szCs w:val="20"/>
          <w:color w:val="auto"/>
        </w:rPr>
      </w:pPr>
    </w:p>
    <w:p>
      <w:pPr>
        <w:jc w:val="both"/>
        <w:ind w:right="140" w:firstLine="528"/>
        <w:spacing w:after="0" w:line="234" w:lineRule="auto"/>
        <w:rPr>
          <w:sz w:val="20"/>
          <w:szCs w:val="20"/>
          <w:color w:val="auto"/>
        </w:rPr>
      </w:pPr>
      <w:r>
        <w:rPr>
          <w:rFonts w:ascii="Arial" w:cs="Arial" w:eastAsia="Arial" w:hAnsi="Arial"/>
          <w:sz w:val="16"/>
          <w:szCs w:val="16"/>
          <w:color w:val="auto"/>
        </w:rPr>
        <w:t>While the recent outbreak of COVID-19 did not have a material adverse effect on our reported results for the first quarter 2020, we are actively monitoring the impact of the global pandemic, which we expect to materially negatively impact our business and results of operations for the second quarter 2020 and likely beyond. See “Trends Impacting our Business” above for additional information on the impact of COVID-19 on our results of operations.</w:t>
      </w:r>
    </w:p>
    <w:p>
      <w:pPr>
        <w:spacing w:after="0" w:line="84" w:lineRule="exact"/>
        <w:rPr>
          <w:sz w:val="20"/>
          <w:szCs w:val="20"/>
          <w:color w:val="auto"/>
        </w:rPr>
      </w:pPr>
    </w:p>
    <w:p>
      <w:pPr>
        <w:ind w:right="80" w:firstLine="528"/>
        <w:spacing w:after="0" w:line="234" w:lineRule="auto"/>
        <w:rPr>
          <w:sz w:val="20"/>
          <w:szCs w:val="20"/>
          <w:color w:val="auto"/>
        </w:rPr>
      </w:pPr>
      <w:r>
        <w:rPr>
          <w:rFonts w:ascii="Arial" w:cs="Arial" w:eastAsia="Arial" w:hAnsi="Arial"/>
          <w:sz w:val="16"/>
          <w:szCs w:val="16"/>
          <w:color w:val="auto"/>
        </w:rPr>
        <w:t>The following table sets forth certain financial information for the three months ended March 31, 2020 and 2019. The following table and discussion should be read in conjunction with the information contained in our condensed consolidated financial statements and the notes thereto included in Part I, Item 1 of this Quarterly Report on Form 10-Q.</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44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800" w:type="dxa"/>
            <w:vAlign w:val="bottom"/>
            <w:tcBorders>
              <w:bottom w:val="single" w:sz="8" w:color="auto"/>
            </w:tcBorders>
            <w:gridSpan w:val="5"/>
          </w:tcPr>
          <w:p>
            <w:pPr>
              <w:ind w:left="360"/>
              <w:spacing w:after="0"/>
              <w:rPr>
                <w:sz w:val="20"/>
                <w:szCs w:val="20"/>
                <w:color w:val="auto"/>
              </w:rPr>
            </w:pPr>
            <w:r>
              <w:rPr>
                <w:rFonts w:ascii="Arial" w:cs="Arial" w:eastAsia="Arial" w:hAnsi="Arial"/>
                <w:sz w:val="13"/>
                <w:szCs w:val="13"/>
                <w:b w:val="1"/>
                <w:bCs w:val="1"/>
                <w:color w:val="auto"/>
              </w:rPr>
              <w:t>Three Months Ended March 31,</w:t>
            </w:r>
          </w:p>
        </w:tc>
        <w:tc>
          <w:tcPr>
            <w:tcW w:w="1300" w:type="dxa"/>
            <w:vAlign w:val="bottom"/>
            <w:tcBorders>
              <w:bottom w:val="single" w:sz="8" w:color="auto"/>
            </w:tcBorders>
          </w:tcPr>
          <w:p>
            <w:pPr>
              <w:spacing w:after="0"/>
              <w:rPr>
                <w:sz w:val="13"/>
                <w:szCs w:val="13"/>
                <w:color w:val="auto"/>
              </w:rPr>
            </w:pPr>
          </w:p>
        </w:tc>
      </w:tr>
      <w:tr>
        <w:trPr>
          <w:trHeight w:val="133"/>
        </w:trPr>
        <w:tc>
          <w:tcPr>
            <w:tcW w:w="44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tcPr>
          <w:p>
            <w:pPr>
              <w:jc w:val="right"/>
              <w:ind w:right="605"/>
              <w:spacing w:after="0" w:line="133" w:lineRule="exact"/>
              <w:rPr>
                <w:sz w:val="20"/>
                <w:szCs w:val="20"/>
                <w:color w:val="auto"/>
              </w:rPr>
            </w:pPr>
            <w:r>
              <w:rPr>
                <w:rFonts w:ascii="Arial" w:cs="Arial" w:eastAsia="Arial" w:hAnsi="Arial"/>
                <w:sz w:val="13"/>
                <w:szCs w:val="13"/>
                <w:b w:val="1"/>
                <w:bCs w:val="1"/>
                <w:color w:val="auto"/>
              </w:rPr>
              <w:t>%</w:t>
            </w: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tcPr>
          <w:p>
            <w:pPr>
              <w:jc w:val="right"/>
              <w:ind w:right="604"/>
              <w:spacing w:after="0" w:line="133" w:lineRule="exact"/>
              <w:rPr>
                <w:sz w:val="20"/>
                <w:szCs w:val="20"/>
                <w:color w:val="auto"/>
              </w:rPr>
            </w:pPr>
            <w:r>
              <w:rPr>
                <w:rFonts w:ascii="Arial" w:cs="Arial" w:eastAsia="Arial" w:hAnsi="Arial"/>
                <w:sz w:val="13"/>
                <w:szCs w:val="13"/>
                <w:b w:val="1"/>
                <w:bCs w:val="1"/>
                <w:color w:val="auto"/>
              </w:rPr>
              <w:t>%</w:t>
            </w:r>
          </w:p>
        </w:tc>
      </w:tr>
      <w:tr>
        <w:trPr>
          <w:trHeight w:val="153"/>
        </w:trPr>
        <w:tc>
          <w:tcPr>
            <w:tcW w:w="4460" w:type="dxa"/>
            <w:vAlign w:val="bottom"/>
          </w:tcPr>
          <w:p>
            <w:pPr>
              <w:spacing w:after="0"/>
              <w:rPr>
                <w:sz w:val="20"/>
                <w:szCs w:val="20"/>
                <w:color w:val="auto"/>
              </w:rPr>
            </w:pPr>
            <w:r>
              <w:rPr>
                <w:rFonts w:ascii="Arial" w:cs="Arial" w:eastAsia="Arial" w:hAnsi="Arial"/>
                <w:sz w:val="13"/>
                <w:szCs w:val="13"/>
                <w:b w:val="1"/>
                <w:bCs w:val="1"/>
                <w:i w:val="1"/>
                <w:iCs w:val="1"/>
                <w:color w:val="auto"/>
              </w:rPr>
              <w:t>(unaudited, dollars in millions)</w:t>
            </w:r>
          </w:p>
        </w:tc>
        <w:tc>
          <w:tcPr>
            <w:tcW w:w="1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tcPr>
          <w:p>
            <w:pPr>
              <w:jc w:val="right"/>
              <w:ind w:right="463"/>
              <w:spacing w:after="0"/>
              <w:rPr>
                <w:sz w:val="20"/>
                <w:szCs w:val="20"/>
                <w:color w:val="auto"/>
              </w:rPr>
            </w:pPr>
            <w:r>
              <w:rPr>
                <w:rFonts w:ascii="Arial" w:cs="Arial" w:eastAsia="Arial" w:hAnsi="Arial"/>
                <w:sz w:val="13"/>
                <w:szCs w:val="13"/>
                <w:b w:val="1"/>
                <w:bCs w:val="1"/>
                <w:color w:val="auto"/>
              </w:rPr>
              <w:t>2020</w:t>
            </w:r>
          </w:p>
        </w:tc>
        <w:tc>
          <w:tcPr>
            <w:tcW w:w="120" w:type="dxa"/>
            <w:vAlign w:val="bottom"/>
          </w:tcPr>
          <w:p>
            <w:pPr>
              <w:spacing w:after="0"/>
              <w:rPr>
                <w:sz w:val="13"/>
                <w:szCs w:val="13"/>
                <w:color w:val="auto"/>
              </w:rPr>
            </w:pPr>
          </w:p>
        </w:tc>
        <w:tc>
          <w:tcPr>
            <w:tcW w:w="1420" w:type="dxa"/>
            <w:vAlign w:val="bottom"/>
            <w:gridSpan w:val="2"/>
          </w:tcPr>
          <w:p>
            <w:pPr>
              <w:ind w:left="220"/>
              <w:spacing w:after="0"/>
              <w:rPr>
                <w:sz w:val="20"/>
                <w:szCs w:val="20"/>
                <w:color w:val="auto"/>
              </w:rPr>
            </w:pPr>
            <w:r>
              <w:rPr>
                <w:rFonts w:ascii="Arial" w:cs="Arial" w:eastAsia="Arial" w:hAnsi="Arial"/>
                <w:sz w:val="13"/>
                <w:szCs w:val="13"/>
                <w:b w:val="1"/>
                <w:bCs w:val="1"/>
                <w:color w:val="auto"/>
              </w:rPr>
              <w:t>of net sales</w:t>
            </w:r>
          </w:p>
        </w:tc>
        <w:tc>
          <w:tcPr>
            <w:tcW w:w="260" w:type="dxa"/>
            <w:vAlign w:val="bottom"/>
          </w:tcPr>
          <w:p>
            <w:pPr>
              <w:spacing w:after="0"/>
              <w:rPr>
                <w:sz w:val="13"/>
                <w:szCs w:val="13"/>
                <w:color w:val="auto"/>
              </w:rPr>
            </w:pPr>
          </w:p>
        </w:tc>
        <w:tc>
          <w:tcPr>
            <w:tcW w:w="1000" w:type="dxa"/>
            <w:vAlign w:val="bottom"/>
          </w:tcPr>
          <w:p>
            <w:pPr>
              <w:jc w:val="right"/>
              <w:ind w:right="463"/>
              <w:spacing w:after="0"/>
              <w:rPr>
                <w:sz w:val="20"/>
                <w:szCs w:val="20"/>
                <w:color w:val="auto"/>
              </w:rPr>
            </w:pPr>
            <w:r>
              <w:rPr>
                <w:rFonts w:ascii="Arial" w:cs="Arial" w:eastAsia="Arial" w:hAnsi="Arial"/>
                <w:sz w:val="13"/>
                <w:szCs w:val="13"/>
                <w:b w:val="1"/>
                <w:bCs w:val="1"/>
                <w:color w:val="auto"/>
              </w:rPr>
              <w:t>2019</w:t>
            </w:r>
          </w:p>
        </w:tc>
        <w:tc>
          <w:tcPr>
            <w:tcW w:w="120" w:type="dxa"/>
            <w:vAlign w:val="bottom"/>
          </w:tcPr>
          <w:p>
            <w:pPr>
              <w:spacing w:after="0"/>
              <w:rPr>
                <w:sz w:val="13"/>
                <w:szCs w:val="13"/>
                <w:color w:val="auto"/>
              </w:rPr>
            </w:pPr>
          </w:p>
        </w:tc>
        <w:tc>
          <w:tcPr>
            <w:tcW w:w="1300" w:type="dxa"/>
            <w:vAlign w:val="bottom"/>
          </w:tcPr>
          <w:p>
            <w:pPr>
              <w:jc w:val="right"/>
              <w:ind w:right="304"/>
              <w:spacing w:after="0"/>
              <w:rPr>
                <w:sz w:val="20"/>
                <w:szCs w:val="20"/>
                <w:color w:val="auto"/>
              </w:rPr>
            </w:pPr>
            <w:r>
              <w:rPr>
                <w:rFonts w:ascii="Arial" w:cs="Arial" w:eastAsia="Arial" w:hAnsi="Arial"/>
                <w:sz w:val="13"/>
                <w:szCs w:val="13"/>
                <w:b w:val="1"/>
                <w:bCs w:val="1"/>
                <w:color w:val="auto"/>
              </w:rPr>
              <w:t>of net sales</w:t>
            </w:r>
          </w:p>
        </w:tc>
      </w:tr>
      <w:tr>
        <w:trPr>
          <w:trHeight w:val="180"/>
        </w:trPr>
        <w:tc>
          <w:tcPr>
            <w:tcW w:w="4460" w:type="dxa"/>
            <w:vAlign w:val="bottom"/>
            <w:tcBorders>
              <w:top w:val="single" w:sz="8" w:color="CFF0FC"/>
            </w:tcBorders>
            <w:shd w:val="clear" w:color="auto" w:fill="CFF0FC"/>
          </w:tcPr>
          <w:p>
            <w:pPr>
              <w:spacing w:after="0" w:line="180" w:lineRule="exact"/>
              <w:rPr>
                <w:sz w:val="20"/>
                <w:szCs w:val="20"/>
                <w:color w:val="auto"/>
              </w:rPr>
            </w:pPr>
            <w:r>
              <w:rPr>
                <w:rFonts w:ascii="Arial" w:cs="Arial" w:eastAsia="Arial" w:hAnsi="Arial"/>
                <w:sz w:val="16"/>
                <w:szCs w:val="16"/>
                <w:color w:val="auto"/>
              </w:rPr>
              <w:t>Net sales</w:t>
            </w:r>
          </w:p>
        </w:tc>
        <w:tc>
          <w:tcPr>
            <w:tcW w:w="1340" w:type="dxa"/>
            <w:vAlign w:val="bottom"/>
            <w:tcBorders>
              <w:top w:val="single" w:sz="8" w:color="CFF0FC"/>
            </w:tcBorders>
            <w:shd w:val="clear" w:color="auto" w:fill="CFF0FC"/>
          </w:tcPr>
          <w:p>
            <w:pPr>
              <w:spacing w:after="0"/>
              <w:rPr>
                <w:sz w:val="15"/>
                <w:szCs w:val="15"/>
                <w:color w:val="auto"/>
              </w:rPr>
            </w:pPr>
          </w:p>
        </w:tc>
        <w:tc>
          <w:tcPr>
            <w:tcW w:w="240" w:type="dxa"/>
            <w:vAlign w:val="bottom"/>
            <w:tcBorders>
              <w:top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b w:val="1"/>
                <w:bCs w:val="1"/>
                <w:color w:val="auto"/>
                <w:w w:val="71"/>
              </w:rPr>
              <w:t>$</w:t>
            </w:r>
          </w:p>
        </w:tc>
        <w:tc>
          <w:tcPr>
            <w:tcW w:w="1000" w:type="dxa"/>
            <w:vAlign w:val="bottom"/>
            <w:tcBorders>
              <w:top w:val="single" w:sz="8" w:color="auto"/>
            </w:tcBorders>
            <w:shd w:val="clear" w:color="auto" w:fill="CFF0FC"/>
          </w:tcPr>
          <w:p>
            <w:pPr>
              <w:jc w:val="right"/>
              <w:ind w:right="43"/>
              <w:spacing w:after="0" w:line="180" w:lineRule="exact"/>
              <w:rPr>
                <w:sz w:val="20"/>
                <w:szCs w:val="20"/>
                <w:color w:val="auto"/>
              </w:rPr>
            </w:pPr>
            <w:r>
              <w:rPr>
                <w:rFonts w:ascii="Arial" w:cs="Arial" w:eastAsia="Arial" w:hAnsi="Arial"/>
                <w:sz w:val="16"/>
                <w:szCs w:val="16"/>
                <w:b w:val="1"/>
                <w:bCs w:val="1"/>
                <w:color w:val="auto"/>
              </w:rPr>
              <w:t>637</w:t>
            </w:r>
          </w:p>
        </w:tc>
        <w:tc>
          <w:tcPr>
            <w:tcW w:w="120" w:type="dxa"/>
            <w:vAlign w:val="bottom"/>
            <w:tcBorders>
              <w:top w:val="single" w:sz="8" w:color="CFF0FC"/>
            </w:tcBorders>
            <w:shd w:val="clear" w:color="auto" w:fill="CFF0FC"/>
          </w:tcPr>
          <w:p>
            <w:pPr>
              <w:spacing w:after="0"/>
              <w:rPr>
                <w:sz w:val="15"/>
                <w:szCs w:val="15"/>
                <w:color w:val="auto"/>
              </w:rPr>
            </w:pPr>
          </w:p>
        </w:tc>
        <w:tc>
          <w:tcPr>
            <w:tcW w:w="1300" w:type="dxa"/>
            <w:vAlign w:val="bottom"/>
            <w:tcBorders>
              <w:top w:val="single" w:sz="8" w:color="auto"/>
            </w:tcBorders>
            <w:shd w:val="clear" w:color="auto" w:fill="CFF0FC"/>
          </w:tcPr>
          <w:p>
            <w:pPr>
              <w:jc w:val="right"/>
              <w:spacing w:after="0" w:line="180" w:lineRule="exact"/>
              <w:rPr>
                <w:sz w:val="20"/>
                <w:szCs w:val="20"/>
                <w:color w:val="auto"/>
              </w:rPr>
            </w:pPr>
            <w:r>
              <w:rPr>
                <w:rFonts w:ascii="Arial" w:cs="Arial" w:eastAsia="Arial" w:hAnsi="Arial"/>
                <w:sz w:val="16"/>
                <w:szCs w:val="16"/>
                <w:b w:val="1"/>
                <w:bCs w:val="1"/>
                <w:color w:val="auto"/>
              </w:rPr>
              <w:t>100%</w:t>
            </w:r>
          </w:p>
        </w:tc>
        <w:tc>
          <w:tcPr>
            <w:tcW w:w="120" w:type="dxa"/>
            <w:vAlign w:val="bottom"/>
            <w:tcBorders>
              <w:top w:val="single" w:sz="8" w:color="CFF0FC"/>
            </w:tcBorders>
            <w:shd w:val="clear" w:color="auto" w:fill="CFF0FC"/>
          </w:tcPr>
          <w:p>
            <w:pPr>
              <w:spacing w:after="0"/>
              <w:rPr>
                <w:sz w:val="15"/>
                <w:szCs w:val="15"/>
                <w:color w:val="auto"/>
              </w:rPr>
            </w:pPr>
          </w:p>
        </w:tc>
        <w:tc>
          <w:tcPr>
            <w:tcW w:w="260" w:type="dxa"/>
            <w:vAlign w:val="bottom"/>
            <w:tcBorders>
              <w:top w:val="single" w:sz="8" w:color="auto"/>
            </w:tcBorders>
            <w:shd w:val="clear" w:color="auto" w:fill="CFF0FC"/>
          </w:tcPr>
          <w:p>
            <w:pPr>
              <w:jc w:val="right"/>
              <w:ind w:right="82"/>
              <w:spacing w:after="0" w:line="180" w:lineRule="exact"/>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tcBorders>
            <w:shd w:val="clear" w:color="auto" w:fill="CFF0FC"/>
          </w:tcPr>
          <w:p>
            <w:pPr>
              <w:jc w:val="right"/>
              <w:ind w:right="43"/>
              <w:spacing w:after="0" w:line="180" w:lineRule="exact"/>
              <w:rPr>
                <w:sz w:val="20"/>
                <w:szCs w:val="20"/>
                <w:color w:val="auto"/>
              </w:rPr>
            </w:pPr>
            <w:r>
              <w:rPr>
                <w:rFonts w:ascii="Arial" w:cs="Arial" w:eastAsia="Arial" w:hAnsi="Arial"/>
                <w:sz w:val="16"/>
                <w:szCs w:val="16"/>
                <w:color w:val="auto"/>
              </w:rPr>
              <w:t>675</w:t>
            </w:r>
          </w:p>
        </w:tc>
        <w:tc>
          <w:tcPr>
            <w:tcW w:w="120" w:type="dxa"/>
            <w:vAlign w:val="bottom"/>
            <w:tcBorders>
              <w:top w:val="single" w:sz="8" w:color="CFF0FC"/>
            </w:tcBorders>
            <w:shd w:val="clear" w:color="auto" w:fill="CFF0FC"/>
          </w:tcPr>
          <w:p>
            <w:pPr>
              <w:spacing w:after="0"/>
              <w:rPr>
                <w:sz w:val="15"/>
                <w:szCs w:val="15"/>
                <w:color w:val="auto"/>
              </w:rPr>
            </w:pPr>
          </w:p>
        </w:tc>
        <w:tc>
          <w:tcPr>
            <w:tcW w:w="1300" w:type="dxa"/>
            <w:vAlign w:val="bottom"/>
            <w:tcBorders>
              <w:top w:val="single" w:sz="8" w:color="auto"/>
            </w:tcBorders>
            <w:shd w:val="clear" w:color="auto" w:fill="CFF0FC"/>
          </w:tcPr>
          <w:p>
            <w:pPr>
              <w:jc w:val="right"/>
              <w:spacing w:after="0" w:line="180" w:lineRule="exact"/>
              <w:rPr>
                <w:sz w:val="20"/>
                <w:szCs w:val="20"/>
                <w:color w:val="auto"/>
              </w:rPr>
            </w:pPr>
            <w:r>
              <w:rPr>
                <w:rFonts w:ascii="Arial" w:cs="Arial" w:eastAsia="Arial" w:hAnsi="Arial"/>
                <w:sz w:val="16"/>
                <w:szCs w:val="16"/>
                <w:color w:val="auto"/>
              </w:rPr>
              <w:t>100%</w:t>
            </w:r>
          </w:p>
        </w:tc>
      </w:tr>
      <w:tr>
        <w:trPr>
          <w:trHeight w:val="188"/>
        </w:trPr>
        <w:tc>
          <w:tcPr>
            <w:tcW w:w="446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Cost of sales</w:t>
            </w:r>
          </w:p>
        </w:tc>
        <w:tc>
          <w:tcPr>
            <w:tcW w:w="1340" w:type="dxa"/>
            <w:vAlign w:val="bottom"/>
            <w:tcBorders>
              <w:bottom w:val="single" w:sz="8" w:color="CFF0FC"/>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b w:val="1"/>
                <w:bCs w:val="1"/>
                <w:color w:val="auto"/>
              </w:rPr>
              <w:t>311</w:t>
            </w:r>
          </w:p>
        </w:tc>
        <w:tc>
          <w:tcPr>
            <w:tcW w:w="120" w:type="dxa"/>
            <w:vAlign w:val="bottom"/>
            <w:tcBorders>
              <w:bottom w:val="single" w:sz="8" w:color="CFF0FC"/>
            </w:tcBorders>
          </w:tcPr>
          <w:p>
            <w:pPr>
              <w:spacing w:after="0"/>
              <w:rPr>
                <w:sz w:val="16"/>
                <w:szCs w:val="16"/>
                <w:color w:val="auto"/>
              </w:rPr>
            </w:pPr>
          </w:p>
        </w:tc>
        <w:tc>
          <w:tcPr>
            <w:tcW w:w="1300" w:type="dxa"/>
            <w:vAlign w:val="bottom"/>
            <w:tcBorders>
              <w:bottom w:val="single" w:sz="8" w:color="auto"/>
            </w:tcBorders>
          </w:tcPr>
          <w:p>
            <w:pPr>
              <w:jc w:val="right"/>
              <w:ind w:right="85"/>
              <w:spacing w:after="0"/>
              <w:rPr>
                <w:sz w:val="20"/>
                <w:szCs w:val="20"/>
                <w:color w:val="auto"/>
              </w:rPr>
            </w:pPr>
            <w:r>
              <w:rPr>
                <w:rFonts w:ascii="Arial" w:cs="Arial" w:eastAsia="Arial" w:hAnsi="Arial"/>
                <w:sz w:val="16"/>
                <w:szCs w:val="16"/>
                <w:b w:val="1"/>
                <w:bCs w:val="1"/>
                <w:color w:val="auto"/>
              </w:rPr>
              <w:t>49</w:t>
            </w:r>
          </w:p>
        </w:tc>
        <w:tc>
          <w:tcPr>
            <w:tcW w:w="120" w:type="dxa"/>
            <w:vAlign w:val="bottom"/>
            <w:tcBorders>
              <w:bottom w:val="single" w:sz="8" w:color="CFF0FC"/>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color w:val="auto"/>
              </w:rPr>
              <w:t>316</w:t>
            </w:r>
          </w:p>
        </w:tc>
        <w:tc>
          <w:tcPr>
            <w:tcW w:w="120" w:type="dxa"/>
            <w:vAlign w:val="bottom"/>
            <w:tcBorders>
              <w:bottom w:val="single" w:sz="8" w:color="CFF0FC"/>
            </w:tcBorders>
          </w:tcPr>
          <w:p>
            <w:pPr>
              <w:spacing w:after="0"/>
              <w:rPr>
                <w:sz w:val="16"/>
                <w:szCs w:val="16"/>
                <w:color w:val="auto"/>
              </w:rPr>
            </w:pPr>
          </w:p>
        </w:tc>
        <w:tc>
          <w:tcPr>
            <w:tcW w:w="1300" w:type="dxa"/>
            <w:vAlign w:val="bottom"/>
            <w:tcBorders>
              <w:bottom w:val="single" w:sz="8" w:color="auto"/>
            </w:tcBorders>
          </w:tcPr>
          <w:p>
            <w:pPr>
              <w:jc w:val="right"/>
              <w:ind w:right="104"/>
              <w:spacing w:after="0"/>
              <w:rPr>
                <w:sz w:val="20"/>
                <w:szCs w:val="20"/>
                <w:color w:val="auto"/>
              </w:rPr>
            </w:pPr>
            <w:r>
              <w:rPr>
                <w:rFonts w:ascii="Arial" w:cs="Arial" w:eastAsia="Arial" w:hAnsi="Arial"/>
                <w:sz w:val="16"/>
                <w:szCs w:val="16"/>
                <w:color w:val="auto"/>
              </w:rPr>
              <w:t>47</w:t>
            </w:r>
          </w:p>
        </w:tc>
      </w:tr>
      <w:tr>
        <w:trPr>
          <w:trHeight w:val="180"/>
        </w:trPr>
        <w:tc>
          <w:tcPr>
            <w:tcW w:w="4460" w:type="dxa"/>
            <w:vAlign w:val="bottom"/>
            <w:shd w:val="clear" w:color="auto" w:fill="CFF0FC"/>
          </w:tcPr>
          <w:p>
            <w:pPr>
              <w:spacing w:after="0" w:line="180" w:lineRule="exact"/>
              <w:rPr>
                <w:sz w:val="20"/>
                <w:szCs w:val="20"/>
                <w:color w:val="auto"/>
              </w:rPr>
            </w:pPr>
            <w:r>
              <w:rPr>
                <w:rFonts w:ascii="Arial" w:cs="Arial" w:eastAsia="Arial" w:hAnsi="Arial"/>
                <w:sz w:val="16"/>
                <w:szCs w:val="16"/>
                <w:color w:val="auto"/>
              </w:rPr>
              <w:t>Gross profit</w:t>
            </w:r>
          </w:p>
        </w:tc>
        <w:tc>
          <w:tcPr>
            <w:tcW w:w="13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000" w:type="dxa"/>
            <w:vAlign w:val="bottom"/>
            <w:shd w:val="clear" w:color="auto" w:fill="CFF0FC"/>
          </w:tcPr>
          <w:p>
            <w:pPr>
              <w:jc w:val="right"/>
              <w:ind w:right="43"/>
              <w:spacing w:after="0" w:line="180" w:lineRule="exact"/>
              <w:rPr>
                <w:sz w:val="20"/>
                <w:szCs w:val="20"/>
                <w:color w:val="auto"/>
              </w:rPr>
            </w:pPr>
            <w:r>
              <w:rPr>
                <w:rFonts w:ascii="Arial" w:cs="Arial" w:eastAsia="Arial" w:hAnsi="Arial"/>
                <w:sz w:val="16"/>
                <w:szCs w:val="16"/>
                <w:b w:val="1"/>
                <w:bCs w:val="1"/>
                <w:color w:val="auto"/>
              </w:rPr>
              <w:t>326</w:t>
            </w:r>
          </w:p>
        </w:tc>
        <w:tc>
          <w:tcPr>
            <w:tcW w:w="120" w:type="dxa"/>
            <w:vAlign w:val="bottom"/>
            <w:shd w:val="clear" w:color="auto" w:fill="CFF0FC"/>
          </w:tcPr>
          <w:p>
            <w:pPr>
              <w:spacing w:after="0"/>
              <w:rPr>
                <w:sz w:val="15"/>
                <w:szCs w:val="15"/>
                <w:color w:val="auto"/>
              </w:rPr>
            </w:pPr>
          </w:p>
        </w:tc>
        <w:tc>
          <w:tcPr>
            <w:tcW w:w="1300" w:type="dxa"/>
            <w:vAlign w:val="bottom"/>
            <w:shd w:val="clear" w:color="auto" w:fill="CFF0FC"/>
          </w:tcPr>
          <w:p>
            <w:pPr>
              <w:jc w:val="right"/>
              <w:ind w:right="85"/>
              <w:spacing w:after="0" w:line="180" w:lineRule="exact"/>
              <w:rPr>
                <w:sz w:val="20"/>
                <w:szCs w:val="20"/>
                <w:color w:val="auto"/>
              </w:rPr>
            </w:pPr>
            <w:r>
              <w:rPr>
                <w:rFonts w:ascii="Arial" w:cs="Arial" w:eastAsia="Arial" w:hAnsi="Arial"/>
                <w:sz w:val="16"/>
                <w:szCs w:val="16"/>
                <w:b w:val="1"/>
                <w:bCs w:val="1"/>
                <w:color w:val="auto"/>
              </w:rPr>
              <w:t>51</w:t>
            </w:r>
          </w:p>
        </w:tc>
        <w:tc>
          <w:tcPr>
            <w:tcW w:w="1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00" w:type="dxa"/>
            <w:vAlign w:val="bottom"/>
            <w:shd w:val="clear" w:color="auto" w:fill="CFF0FC"/>
          </w:tcPr>
          <w:p>
            <w:pPr>
              <w:jc w:val="right"/>
              <w:ind w:right="43"/>
              <w:spacing w:after="0" w:line="180" w:lineRule="exact"/>
              <w:rPr>
                <w:sz w:val="20"/>
                <w:szCs w:val="20"/>
                <w:color w:val="auto"/>
              </w:rPr>
            </w:pPr>
            <w:r>
              <w:rPr>
                <w:rFonts w:ascii="Arial" w:cs="Arial" w:eastAsia="Arial" w:hAnsi="Arial"/>
                <w:sz w:val="16"/>
                <w:szCs w:val="16"/>
                <w:color w:val="auto"/>
              </w:rPr>
              <w:t>359</w:t>
            </w:r>
          </w:p>
        </w:tc>
        <w:tc>
          <w:tcPr>
            <w:tcW w:w="120" w:type="dxa"/>
            <w:vAlign w:val="bottom"/>
            <w:shd w:val="clear" w:color="auto" w:fill="CFF0FC"/>
          </w:tcPr>
          <w:p>
            <w:pPr>
              <w:spacing w:after="0"/>
              <w:rPr>
                <w:sz w:val="15"/>
                <w:szCs w:val="15"/>
                <w:color w:val="auto"/>
              </w:rPr>
            </w:pPr>
          </w:p>
        </w:tc>
        <w:tc>
          <w:tcPr>
            <w:tcW w:w="1300" w:type="dxa"/>
            <w:vAlign w:val="bottom"/>
            <w:shd w:val="clear" w:color="auto" w:fill="CFF0FC"/>
          </w:tcPr>
          <w:p>
            <w:pPr>
              <w:jc w:val="right"/>
              <w:ind w:right="104"/>
              <w:spacing w:after="0" w:line="180" w:lineRule="exact"/>
              <w:rPr>
                <w:sz w:val="20"/>
                <w:szCs w:val="20"/>
                <w:color w:val="auto"/>
              </w:rPr>
            </w:pPr>
            <w:r>
              <w:rPr>
                <w:rFonts w:ascii="Arial" w:cs="Arial" w:eastAsia="Arial" w:hAnsi="Arial"/>
                <w:sz w:val="16"/>
                <w:szCs w:val="16"/>
                <w:color w:val="auto"/>
              </w:rPr>
              <w:t>53</w:t>
            </w:r>
          </w:p>
        </w:tc>
      </w:tr>
      <w:tr>
        <w:trPr>
          <w:trHeight w:val="188"/>
        </w:trPr>
        <w:tc>
          <w:tcPr>
            <w:tcW w:w="4460" w:type="dxa"/>
            <w:vAlign w:val="bottom"/>
          </w:tcPr>
          <w:p>
            <w:pPr>
              <w:spacing w:after="0"/>
              <w:rPr>
                <w:sz w:val="20"/>
                <w:szCs w:val="20"/>
                <w:color w:val="auto"/>
              </w:rPr>
            </w:pPr>
            <w:r>
              <w:rPr>
                <w:rFonts w:ascii="Arial" w:cs="Arial" w:eastAsia="Arial" w:hAnsi="Arial"/>
                <w:sz w:val="16"/>
                <w:szCs w:val="16"/>
                <w:color w:val="auto"/>
              </w:rPr>
              <w:t>Operating expenses:</w:t>
            </w:r>
          </w:p>
        </w:tc>
        <w:tc>
          <w:tcPr>
            <w:tcW w:w="1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188"/>
        </w:trPr>
        <w:tc>
          <w:tcPr>
            <w:tcW w:w="4460" w:type="dxa"/>
            <w:vAlign w:val="bottom"/>
            <w:shd w:val="clear" w:color="auto" w:fill="CFF0FC"/>
          </w:tcPr>
          <w:p>
            <w:pPr>
              <w:ind w:left="200"/>
              <w:spacing w:after="0"/>
              <w:rPr>
                <w:sz w:val="20"/>
                <w:szCs w:val="20"/>
                <w:color w:val="auto"/>
              </w:rPr>
            </w:pPr>
            <w:r>
              <w:rPr>
                <w:rFonts w:ascii="Arial" w:cs="Arial" w:eastAsia="Arial" w:hAnsi="Arial"/>
                <w:sz w:val="16"/>
                <w:szCs w:val="16"/>
                <w:color w:val="auto"/>
              </w:rPr>
              <w:t>Selling, general and administrative</w:t>
            </w:r>
          </w:p>
        </w:tc>
        <w:tc>
          <w:tcPr>
            <w:tcW w:w="13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000" w:type="dxa"/>
            <w:vAlign w:val="bottom"/>
            <w:shd w:val="clear" w:color="auto" w:fill="CFF0FC"/>
          </w:tcPr>
          <w:p>
            <w:pPr>
              <w:jc w:val="right"/>
              <w:ind w:right="43"/>
              <w:spacing w:after="0"/>
              <w:rPr>
                <w:sz w:val="20"/>
                <w:szCs w:val="20"/>
                <w:color w:val="auto"/>
              </w:rPr>
            </w:pPr>
            <w:r>
              <w:rPr>
                <w:rFonts w:ascii="Arial" w:cs="Arial" w:eastAsia="Arial" w:hAnsi="Arial"/>
                <w:sz w:val="16"/>
                <w:szCs w:val="16"/>
                <w:b w:val="1"/>
                <w:bCs w:val="1"/>
                <w:color w:val="auto"/>
              </w:rPr>
              <w:t>75</w:t>
            </w:r>
          </w:p>
        </w:tc>
        <w:tc>
          <w:tcPr>
            <w:tcW w:w="120" w:type="dxa"/>
            <w:vAlign w:val="bottom"/>
            <w:shd w:val="clear" w:color="auto" w:fill="CFF0FC"/>
          </w:tcPr>
          <w:p>
            <w:pPr>
              <w:spacing w:after="0"/>
              <w:rPr>
                <w:sz w:val="16"/>
                <w:szCs w:val="16"/>
                <w:color w:val="auto"/>
              </w:rPr>
            </w:pPr>
          </w:p>
        </w:tc>
        <w:tc>
          <w:tcPr>
            <w:tcW w:w="1300" w:type="dxa"/>
            <w:vAlign w:val="bottom"/>
            <w:shd w:val="clear" w:color="auto" w:fill="CFF0FC"/>
          </w:tcPr>
          <w:p>
            <w:pPr>
              <w:jc w:val="right"/>
              <w:ind w:right="85"/>
              <w:spacing w:after="0"/>
              <w:rPr>
                <w:sz w:val="20"/>
                <w:szCs w:val="20"/>
                <w:color w:val="auto"/>
              </w:rPr>
            </w:pPr>
            <w:r>
              <w:rPr>
                <w:rFonts w:ascii="Arial" w:cs="Arial" w:eastAsia="Arial" w:hAnsi="Arial"/>
                <w:sz w:val="16"/>
                <w:szCs w:val="16"/>
                <w:b w:val="1"/>
                <w:bCs w:val="1"/>
                <w:color w:val="auto"/>
              </w:rPr>
              <w:t>12</w:t>
            </w:r>
          </w:p>
        </w:tc>
        <w:tc>
          <w:tcPr>
            <w:tcW w:w="1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00" w:type="dxa"/>
            <w:vAlign w:val="bottom"/>
            <w:shd w:val="clear" w:color="auto" w:fill="CFF0FC"/>
          </w:tcPr>
          <w:p>
            <w:pPr>
              <w:jc w:val="right"/>
              <w:ind w:right="43"/>
              <w:spacing w:after="0"/>
              <w:rPr>
                <w:sz w:val="20"/>
                <w:szCs w:val="20"/>
                <w:color w:val="auto"/>
              </w:rPr>
            </w:pPr>
            <w:r>
              <w:rPr>
                <w:rFonts w:ascii="Arial" w:cs="Arial" w:eastAsia="Arial" w:hAnsi="Arial"/>
                <w:sz w:val="16"/>
                <w:szCs w:val="16"/>
                <w:color w:val="auto"/>
              </w:rPr>
              <w:t>84</w:t>
            </w:r>
          </w:p>
        </w:tc>
        <w:tc>
          <w:tcPr>
            <w:tcW w:w="120" w:type="dxa"/>
            <w:vAlign w:val="bottom"/>
            <w:shd w:val="clear" w:color="auto" w:fill="CFF0FC"/>
          </w:tcPr>
          <w:p>
            <w:pPr>
              <w:spacing w:after="0"/>
              <w:rPr>
                <w:sz w:val="16"/>
                <w:szCs w:val="16"/>
                <w:color w:val="auto"/>
              </w:rPr>
            </w:pPr>
          </w:p>
        </w:tc>
        <w:tc>
          <w:tcPr>
            <w:tcW w:w="1300" w:type="dxa"/>
            <w:vAlign w:val="bottom"/>
            <w:shd w:val="clear" w:color="auto" w:fill="CFF0FC"/>
          </w:tcPr>
          <w:p>
            <w:pPr>
              <w:jc w:val="right"/>
              <w:ind w:right="104"/>
              <w:spacing w:after="0"/>
              <w:rPr>
                <w:sz w:val="20"/>
                <w:szCs w:val="20"/>
                <w:color w:val="auto"/>
              </w:rPr>
            </w:pPr>
            <w:r>
              <w:rPr>
                <w:rFonts w:ascii="Arial" w:cs="Arial" w:eastAsia="Arial" w:hAnsi="Arial"/>
                <w:sz w:val="16"/>
                <w:szCs w:val="16"/>
                <w:color w:val="auto"/>
              </w:rPr>
              <w:t>12</w:t>
            </w:r>
          </w:p>
        </w:tc>
      </w:tr>
      <w:tr>
        <w:trPr>
          <w:trHeight w:val="188"/>
        </w:trPr>
        <w:tc>
          <w:tcPr>
            <w:tcW w:w="4460" w:type="dxa"/>
            <w:vAlign w:val="bottom"/>
            <w:tcBorders>
              <w:bottom w:val="single" w:sz="8" w:color="CFF0FC"/>
            </w:tcBorders>
          </w:tcPr>
          <w:p>
            <w:pPr>
              <w:ind w:left="200"/>
              <w:spacing w:after="0"/>
              <w:rPr>
                <w:sz w:val="20"/>
                <w:szCs w:val="20"/>
                <w:color w:val="auto"/>
              </w:rPr>
            </w:pPr>
            <w:r>
              <w:rPr>
                <w:rFonts w:ascii="Arial" w:cs="Arial" w:eastAsia="Arial" w:hAnsi="Arial"/>
                <w:sz w:val="16"/>
                <w:szCs w:val="16"/>
                <w:color w:val="auto"/>
              </w:rPr>
              <w:t>Engineering — research and development</w:t>
            </w:r>
          </w:p>
        </w:tc>
        <w:tc>
          <w:tcPr>
            <w:tcW w:w="1340" w:type="dxa"/>
            <w:vAlign w:val="bottom"/>
            <w:tcBorders>
              <w:bottom w:val="single" w:sz="8" w:color="CFF0FC"/>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b w:val="1"/>
                <w:bCs w:val="1"/>
                <w:color w:val="auto"/>
              </w:rPr>
              <w:t>36</w:t>
            </w:r>
          </w:p>
        </w:tc>
        <w:tc>
          <w:tcPr>
            <w:tcW w:w="120" w:type="dxa"/>
            <w:vAlign w:val="bottom"/>
            <w:tcBorders>
              <w:bottom w:val="single" w:sz="8" w:color="CFF0FC"/>
            </w:tcBorders>
          </w:tcPr>
          <w:p>
            <w:pPr>
              <w:spacing w:after="0"/>
              <w:rPr>
                <w:sz w:val="16"/>
                <w:szCs w:val="16"/>
                <w:color w:val="auto"/>
              </w:rPr>
            </w:pPr>
          </w:p>
        </w:tc>
        <w:tc>
          <w:tcPr>
            <w:tcW w:w="1300" w:type="dxa"/>
            <w:vAlign w:val="bottom"/>
            <w:tcBorders>
              <w:bottom w:val="single" w:sz="8" w:color="auto"/>
            </w:tcBorders>
          </w:tcPr>
          <w:p>
            <w:pPr>
              <w:jc w:val="right"/>
              <w:ind w:right="85"/>
              <w:spacing w:after="0"/>
              <w:rPr>
                <w:sz w:val="20"/>
                <w:szCs w:val="20"/>
                <w:color w:val="auto"/>
              </w:rPr>
            </w:pPr>
            <w:r>
              <w:rPr>
                <w:rFonts w:ascii="Arial" w:cs="Arial" w:eastAsia="Arial" w:hAnsi="Arial"/>
                <w:sz w:val="16"/>
                <w:szCs w:val="16"/>
                <w:b w:val="1"/>
                <w:bCs w:val="1"/>
                <w:color w:val="auto"/>
              </w:rPr>
              <w:t>6</w:t>
            </w:r>
          </w:p>
        </w:tc>
        <w:tc>
          <w:tcPr>
            <w:tcW w:w="120" w:type="dxa"/>
            <w:vAlign w:val="bottom"/>
            <w:tcBorders>
              <w:bottom w:val="single" w:sz="8" w:color="CFF0FC"/>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color w:val="auto"/>
              </w:rPr>
              <w:t>31</w:t>
            </w:r>
          </w:p>
        </w:tc>
        <w:tc>
          <w:tcPr>
            <w:tcW w:w="120" w:type="dxa"/>
            <w:vAlign w:val="bottom"/>
            <w:tcBorders>
              <w:bottom w:val="single" w:sz="8" w:color="CFF0FC"/>
            </w:tcBorders>
          </w:tcPr>
          <w:p>
            <w:pPr>
              <w:spacing w:after="0"/>
              <w:rPr>
                <w:sz w:val="16"/>
                <w:szCs w:val="16"/>
                <w:color w:val="auto"/>
              </w:rPr>
            </w:pPr>
          </w:p>
        </w:tc>
        <w:tc>
          <w:tcPr>
            <w:tcW w:w="1300" w:type="dxa"/>
            <w:vAlign w:val="bottom"/>
            <w:tcBorders>
              <w:bottom w:val="single" w:sz="8" w:color="auto"/>
            </w:tcBorders>
          </w:tcPr>
          <w:p>
            <w:pPr>
              <w:jc w:val="right"/>
              <w:ind w:right="104"/>
              <w:spacing w:after="0"/>
              <w:rPr>
                <w:sz w:val="20"/>
                <w:szCs w:val="20"/>
                <w:color w:val="auto"/>
              </w:rPr>
            </w:pPr>
            <w:r>
              <w:rPr>
                <w:rFonts w:ascii="Arial" w:cs="Arial" w:eastAsia="Arial" w:hAnsi="Arial"/>
                <w:sz w:val="16"/>
                <w:szCs w:val="16"/>
                <w:color w:val="auto"/>
              </w:rPr>
              <w:t>5</w:t>
            </w:r>
          </w:p>
        </w:tc>
      </w:tr>
      <w:tr>
        <w:trPr>
          <w:trHeight w:val="180"/>
        </w:trPr>
        <w:tc>
          <w:tcPr>
            <w:tcW w:w="4460" w:type="dxa"/>
            <w:vAlign w:val="bottom"/>
            <w:shd w:val="clear" w:color="auto" w:fill="CFF0FC"/>
          </w:tcPr>
          <w:p>
            <w:pPr>
              <w:ind w:left="420"/>
              <w:spacing w:after="0" w:line="180" w:lineRule="exact"/>
              <w:rPr>
                <w:sz w:val="20"/>
                <w:szCs w:val="20"/>
                <w:color w:val="auto"/>
              </w:rPr>
            </w:pPr>
            <w:r>
              <w:rPr>
                <w:rFonts w:ascii="Arial" w:cs="Arial" w:eastAsia="Arial" w:hAnsi="Arial"/>
                <w:sz w:val="16"/>
                <w:szCs w:val="16"/>
                <w:color w:val="auto"/>
              </w:rPr>
              <w:t>Total operating expenses</w:t>
            </w:r>
          </w:p>
        </w:tc>
        <w:tc>
          <w:tcPr>
            <w:tcW w:w="1340" w:type="dxa"/>
            <w:vAlign w:val="bottom"/>
            <w:shd w:val="clear" w:color="auto" w:fill="CFF0FC"/>
          </w:tcPr>
          <w:p>
            <w:pPr>
              <w:spacing w:after="0"/>
              <w:rPr>
                <w:sz w:val="15"/>
                <w:szCs w:val="15"/>
                <w:color w:val="auto"/>
              </w:rPr>
            </w:pPr>
          </w:p>
        </w:tc>
        <w:tc>
          <w:tcPr>
            <w:tcW w:w="240" w:type="dxa"/>
            <w:vAlign w:val="bottom"/>
            <w:tcBorders>
              <w:bottom w:val="single" w:sz="8" w:color="auto"/>
            </w:tcBorders>
            <w:shd w:val="clear" w:color="auto" w:fill="CFF0FC"/>
          </w:tcPr>
          <w:p>
            <w:pPr>
              <w:spacing w:after="0"/>
              <w:rPr>
                <w:sz w:val="15"/>
                <w:szCs w:val="15"/>
                <w:color w:val="auto"/>
              </w:rPr>
            </w:pPr>
          </w:p>
        </w:tc>
        <w:tc>
          <w:tcPr>
            <w:tcW w:w="1000" w:type="dxa"/>
            <w:vAlign w:val="bottom"/>
            <w:tcBorders>
              <w:bottom w:val="single" w:sz="8" w:color="auto"/>
            </w:tcBorders>
            <w:shd w:val="clear" w:color="auto" w:fill="CFF0FC"/>
          </w:tcPr>
          <w:p>
            <w:pPr>
              <w:jc w:val="right"/>
              <w:ind w:right="43"/>
              <w:spacing w:after="0" w:line="180" w:lineRule="exact"/>
              <w:rPr>
                <w:sz w:val="20"/>
                <w:szCs w:val="20"/>
                <w:color w:val="auto"/>
              </w:rPr>
            </w:pPr>
            <w:r>
              <w:rPr>
                <w:rFonts w:ascii="Arial" w:cs="Arial" w:eastAsia="Arial" w:hAnsi="Arial"/>
                <w:sz w:val="16"/>
                <w:szCs w:val="16"/>
                <w:b w:val="1"/>
                <w:bCs w:val="1"/>
                <w:color w:val="auto"/>
              </w:rPr>
              <w:t>111</w:t>
            </w:r>
          </w:p>
        </w:tc>
        <w:tc>
          <w:tcPr>
            <w:tcW w:w="120" w:type="dxa"/>
            <w:vAlign w:val="bottom"/>
            <w:shd w:val="clear" w:color="auto" w:fill="CFF0FC"/>
          </w:tcPr>
          <w:p>
            <w:pPr>
              <w:spacing w:after="0"/>
              <w:rPr>
                <w:sz w:val="15"/>
                <w:szCs w:val="15"/>
                <w:color w:val="auto"/>
              </w:rPr>
            </w:pPr>
          </w:p>
        </w:tc>
        <w:tc>
          <w:tcPr>
            <w:tcW w:w="1300" w:type="dxa"/>
            <w:vAlign w:val="bottom"/>
            <w:tcBorders>
              <w:bottom w:val="single" w:sz="8" w:color="auto"/>
            </w:tcBorders>
            <w:shd w:val="clear" w:color="auto" w:fill="CFF0FC"/>
          </w:tcPr>
          <w:p>
            <w:pPr>
              <w:jc w:val="right"/>
              <w:ind w:right="85"/>
              <w:spacing w:after="0" w:line="180" w:lineRule="exact"/>
              <w:rPr>
                <w:sz w:val="20"/>
                <w:szCs w:val="20"/>
                <w:color w:val="auto"/>
              </w:rPr>
            </w:pPr>
            <w:r>
              <w:rPr>
                <w:rFonts w:ascii="Arial" w:cs="Arial" w:eastAsia="Arial" w:hAnsi="Arial"/>
                <w:sz w:val="16"/>
                <w:szCs w:val="16"/>
                <w:b w:val="1"/>
                <w:bCs w:val="1"/>
                <w:color w:val="auto"/>
              </w:rPr>
              <w:t>18</w:t>
            </w:r>
          </w:p>
        </w:tc>
        <w:tc>
          <w:tcPr>
            <w:tcW w:w="120" w:type="dxa"/>
            <w:vAlign w:val="bottom"/>
            <w:shd w:val="clear" w:color="auto" w:fill="CFF0FC"/>
          </w:tcPr>
          <w:p>
            <w:pPr>
              <w:spacing w:after="0"/>
              <w:rPr>
                <w:sz w:val="15"/>
                <w:szCs w:val="15"/>
                <w:color w:val="auto"/>
              </w:rPr>
            </w:pPr>
          </w:p>
        </w:tc>
        <w:tc>
          <w:tcPr>
            <w:tcW w:w="260" w:type="dxa"/>
            <w:vAlign w:val="bottom"/>
            <w:tcBorders>
              <w:bottom w:val="single" w:sz="8" w:color="auto"/>
            </w:tcBorders>
            <w:shd w:val="clear" w:color="auto" w:fill="CFF0FC"/>
          </w:tcPr>
          <w:p>
            <w:pPr>
              <w:spacing w:after="0"/>
              <w:rPr>
                <w:sz w:val="15"/>
                <w:szCs w:val="15"/>
                <w:color w:val="auto"/>
              </w:rPr>
            </w:pPr>
          </w:p>
        </w:tc>
        <w:tc>
          <w:tcPr>
            <w:tcW w:w="1000" w:type="dxa"/>
            <w:vAlign w:val="bottom"/>
            <w:tcBorders>
              <w:bottom w:val="single" w:sz="8" w:color="auto"/>
            </w:tcBorders>
            <w:shd w:val="clear" w:color="auto" w:fill="CFF0FC"/>
          </w:tcPr>
          <w:p>
            <w:pPr>
              <w:jc w:val="right"/>
              <w:ind w:right="43"/>
              <w:spacing w:after="0" w:line="180" w:lineRule="exact"/>
              <w:rPr>
                <w:sz w:val="20"/>
                <w:szCs w:val="20"/>
                <w:color w:val="auto"/>
              </w:rPr>
            </w:pPr>
            <w:r>
              <w:rPr>
                <w:rFonts w:ascii="Arial" w:cs="Arial" w:eastAsia="Arial" w:hAnsi="Arial"/>
                <w:sz w:val="16"/>
                <w:szCs w:val="16"/>
                <w:color w:val="auto"/>
              </w:rPr>
              <w:t>115</w:t>
            </w:r>
          </w:p>
        </w:tc>
        <w:tc>
          <w:tcPr>
            <w:tcW w:w="120" w:type="dxa"/>
            <w:vAlign w:val="bottom"/>
            <w:shd w:val="clear" w:color="auto" w:fill="CFF0FC"/>
          </w:tcPr>
          <w:p>
            <w:pPr>
              <w:spacing w:after="0"/>
              <w:rPr>
                <w:sz w:val="15"/>
                <w:szCs w:val="15"/>
                <w:color w:val="auto"/>
              </w:rPr>
            </w:pPr>
          </w:p>
        </w:tc>
        <w:tc>
          <w:tcPr>
            <w:tcW w:w="1300" w:type="dxa"/>
            <w:vAlign w:val="bottom"/>
            <w:tcBorders>
              <w:bottom w:val="single" w:sz="8" w:color="auto"/>
            </w:tcBorders>
            <w:shd w:val="clear" w:color="auto" w:fill="CFF0FC"/>
          </w:tcPr>
          <w:p>
            <w:pPr>
              <w:jc w:val="right"/>
              <w:ind w:right="104"/>
              <w:spacing w:after="0" w:line="180" w:lineRule="exact"/>
              <w:rPr>
                <w:sz w:val="20"/>
                <w:szCs w:val="20"/>
                <w:color w:val="auto"/>
              </w:rPr>
            </w:pPr>
            <w:r>
              <w:rPr>
                <w:rFonts w:ascii="Arial" w:cs="Arial" w:eastAsia="Arial" w:hAnsi="Arial"/>
                <w:sz w:val="16"/>
                <w:szCs w:val="16"/>
                <w:color w:val="auto"/>
              </w:rPr>
              <w:t>17</w:t>
            </w:r>
          </w:p>
        </w:tc>
      </w:tr>
      <w:tr>
        <w:trPr>
          <w:trHeight w:val="180"/>
        </w:trPr>
        <w:tc>
          <w:tcPr>
            <w:tcW w:w="4460" w:type="dxa"/>
            <w:vAlign w:val="bottom"/>
          </w:tcPr>
          <w:p>
            <w:pPr>
              <w:spacing w:after="0" w:line="180" w:lineRule="exact"/>
              <w:rPr>
                <w:sz w:val="20"/>
                <w:szCs w:val="20"/>
                <w:color w:val="auto"/>
              </w:rPr>
            </w:pPr>
            <w:r>
              <w:rPr>
                <w:rFonts w:ascii="Arial" w:cs="Arial" w:eastAsia="Arial" w:hAnsi="Arial"/>
                <w:sz w:val="16"/>
                <w:szCs w:val="16"/>
                <w:color w:val="auto"/>
              </w:rPr>
              <w:t>Operating income</w:t>
            </w:r>
          </w:p>
        </w:tc>
        <w:tc>
          <w:tcPr>
            <w:tcW w:w="1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jc w:val="right"/>
              <w:ind w:right="43"/>
              <w:spacing w:after="0" w:line="180" w:lineRule="exact"/>
              <w:rPr>
                <w:sz w:val="20"/>
                <w:szCs w:val="20"/>
                <w:color w:val="auto"/>
              </w:rPr>
            </w:pPr>
            <w:r>
              <w:rPr>
                <w:rFonts w:ascii="Arial" w:cs="Arial" w:eastAsia="Arial" w:hAnsi="Arial"/>
                <w:sz w:val="16"/>
                <w:szCs w:val="16"/>
                <w:b w:val="1"/>
                <w:bCs w:val="1"/>
                <w:color w:val="auto"/>
              </w:rPr>
              <w:t>215</w:t>
            </w:r>
          </w:p>
        </w:tc>
        <w:tc>
          <w:tcPr>
            <w:tcW w:w="120" w:type="dxa"/>
            <w:vAlign w:val="bottom"/>
          </w:tcPr>
          <w:p>
            <w:pPr>
              <w:spacing w:after="0"/>
              <w:rPr>
                <w:sz w:val="15"/>
                <w:szCs w:val="15"/>
                <w:color w:val="auto"/>
              </w:rPr>
            </w:pPr>
          </w:p>
        </w:tc>
        <w:tc>
          <w:tcPr>
            <w:tcW w:w="1300" w:type="dxa"/>
            <w:vAlign w:val="bottom"/>
          </w:tcPr>
          <w:p>
            <w:pPr>
              <w:jc w:val="right"/>
              <w:ind w:right="85"/>
              <w:spacing w:after="0" w:line="180" w:lineRule="exact"/>
              <w:rPr>
                <w:sz w:val="20"/>
                <w:szCs w:val="20"/>
                <w:color w:val="auto"/>
              </w:rPr>
            </w:pPr>
            <w:r>
              <w:rPr>
                <w:rFonts w:ascii="Arial" w:cs="Arial" w:eastAsia="Arial" w:hAnsi="Arial"/>
                <w:sz w:val="16"/>
                <w:szCs w:val="16"/>
                <w:b w:val="1"/>
                <w:bCs w:val="1"/>
                <w:color w:val="auto"/>
              </w:rPr>
              <w:t>33</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jc w:val="right"/>
              <w:ind w:right="43"/>
              <w:spacing w:after="0" w:line="180" w:lineRule="exact"/>
              <w:rPr>
                <w:sz w:val="20"/>
                <w:szCs w:val="20"/>
                <w:color w:val="auto"/>
              </w:rPr>
            </w:pPr>
            <w:r>
              <w:rPr>
                <w:rFonts w:ascii="Arial" w:cs="Arial" w:eastAsia="Arial" w:hAnsi="Arial"/>
                <w:sz w:val="16"/>
                <w:szCs w:val="16"/>
                <w:color w:val="auto"/>
              </w:rPr>
              <w:t>244</w:t>
            </w:r>
          </w:p>
        </w:tc>
        <w:tc>
          <w:tcPr>
            <w:tcW w:w="120" w:type="dxa"/>
            <w:vAlign w:val="bottom"/>
          </w:tcPr>
          <w:p>
            <w:pPr>
              <w:spacing w:after="0"/>
              <w:rPr>
                <w:sz w:val="15"/>
                <w:szCs w:val="15"/>
                <w:color w:val="auto"/>
              </w:rPr>
            </w:pPr>
          </w:p>
        </w:tc>
        <w:tc>
          <w:tcPr>
            <w:tcW w:w="1300" w:type="dxa"/>
            <w:vAlign w:val="bottom"/>
          </w:tcPr>
          <w:p>
            <w:pPr>
              <w:jc w:val="right"/>
              <w:ind w:right="104"/>
              <w:spacing w:after="0" w:line="180" w:lineRule="exact"/>
              <w:rPr>
                <w:sz w:val="20"/>
                <w:szCs w:val="20"/>
                <w:color w:val="auto"/>
              </w:rPr>
            </w:pPr>
            <w:r>
              <w:rPr>
                <w:rFonts w:ascii="Arial" w:cs="Arial" w:eastAsia="Arial" w:hAnsi="Arial"/>
                <w:sz w:val="16"/>
                <w:szCs w:val="16"/>
                <w:color w:val="auto"/>
              </w:rPr>
              <w:t>36</w:t>
            </w:r>
          </w:p>
        </w:tc>
      </w:tr>
      <w:tr>
        <w:trPr>
          <w:trHeight w:val="188"/>
        </w:trPr>
        <w:tc>
          <w:tcPr>
            <w:tcW w:w="4460" w:type="dxa"/>
            <w:vAlign w:val="bottom"/>
            <w:shd w:val="clear" w:color="auto" w:fill="CFF0FC"/>
          </w:tcPr>
          <w:p>
            <w:pPr>
              <w:spacing w:after="0"/>
              <w:rPr>
                <w:sz w:val="20"/>
                <w:szCs w:val="20"/>
                <w:color w:val="auto"/>
              </w:rPr>
            </w:pPr>
            <w:r>
              <w:rPr>
                <w:rFonts w:ascii="Arial" w:cs="Arial" w:eastAsia="Arial" w:hAnsi="Arial"/>
                <w:sz w:val="16"/>
                <w:szCs w:val="16"/>
                <w:color w:val="auto"/>
              </w:rPr>
              <w:t>Interest expense, net</w:t>
            </w:r>
          </w:p>
        </w:tc>
        <w:tc>
          <w:tcPr>
            <w:tcW w:w="13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(33)</w:t>
            </w:r>
          </w:p>
        </w:tc>
        <w:tc>
          <w:tcPr>
            <w:tcW w:w="120" w:type="dxa"/>
            <w:vAlign w:val="bottom"/>
            <w:shd w:val="clear" w:color="auto" w:fill="CFF0FC"/>
          </w:tcPr>
          <w:p>
            <w:pPr>
              <w:spacing w:after="0"/>
              <w:rPr>
                <w:sz w:val="16"/>
                <w:szCs w:val="16"/>
                <w:color w:val="auto"/>
              </w:rPr>
            </w:pPr>
          </w:p>
        </w:tc>
        <w:tc>
          <w:tcPr>
            <w:tcW w:w="1300" w:type="dxa"/>
            <w:vAlign w:val="bottom"/>
            <w:shd w:val="clear" w:color="auto" w:fill="CFF0FC"/>
          </w:tcPr>
          <w:p>
            <w:pPr>
              <w:jc w:val="right"/>
              <w:ind w:right="25"/>
              <w:spacing w:after="0"/>
              <w:rPr>
                <w:sz w:val="20"/>
                <w:szCs w:val="20"/>
                <w:color w:val="auto"/>
              </w:rPr>
            </w:pPr>
            <w:r>
              <w:rPr>
                <w:rFonts w:ascii="Arial" w:cs="Arial" w:eastAsia="Arial" w:hAnsi="Arial"/>
                <w:sz w:val="16"/>
                <w:szCs w:val="16"/>
                <w:b w:val="1"/>
                <w:bCs w:val="1"/>
                <w:color w:val="auto"/>
              </w:rPr>
              <w:t>(5)</w:t>
            </w:r>
          </w:p>
        </w:tc>
        <w:tc>
          <w:tcPr>
            <w:tcW w:w="1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w:t>
            </w:r>
          </w:p>
        </w:tc>
        <w:tc>
          <w:tcPr>
            <w:tcW w:w="120" w:type="dxa"/>
            <w:vAlign w:val="bottom"/>
            <w:shd w:val="clear" w:color="auto" w:fill="CFF0FC"/>
          </w:tcPr>
          <w:p>
            <w:pPr>
              <w:spacing w:after="0"/>
              <w:rPr>
                <w:sz w:val="16"/>
                <w:szCs w:val="16"/>
                <w:color w:val="auto"/>
              </w:rPr>
            </w:pPr>
          </w:p>
        </w:tc>
        <w:tc>
          <w:tcPr>
            <w:tcW w:w="1300" w:type="dxa"/>
            <w:vAlign w:val="bottom"/>
            <w:shd w:val="clear" w:color="auto" w:fill="CFF0FC"/>
          </w:tcPr>
          <w:p>
            <w:pPr>
              <w:jc w:val="right"/>
              <w:ind w:right="24"/>
              <w:spacing w:after="0"/>
              <w:rPr>
                <w:sz w:val="20"/>
                <w:szCs w:val="20"/>
                <w:color w:val="auto"/>
              </w:rPr>
            </w:pPr>
            <w:r>
              <w:rPr>
                <w:rFonts w:ascii="Arial" w:cs="Arial" w:eastAsia="Arial" w:hAnsi="Arial"/>
                <w:sz w:val="16"/>
                <w:szCs w:val="16"/>
                <w:color w:val="auto"/>
              </w:rPr>
              <w:t>(5)</w:t>
            </w:r>
          </w:p>
        </w:tc>
      </w:tr>
      <w:tr>
        <w:trPr>
          <w:trHeight w:val="188"/>
        </w:trPr>
        <w:tc>
          <w:tcPr>
            <w:tcW w:w="4460" w:type="dxa"/>
            <w:vAlign w:val="bottom"/>
          </w:tcPr>
          <w:p>
            <w:pPr>
              <w:spacing w:after="0"/>
              <w:rPr>
                <w:sz w:val="20"/>
                <w:szCs w:val="20"/>
                <w:color w:val="auto"/>
              </w:rPr>
            </w:pPr>
            <w:r>
              <w:rPr>
                <w:rFonts w:ascii="Arial" w:cs="Arial" w:eastAsia="Arial" w:hAnsi="Arial"/>
                <w:sz w:val="16"/>
                <w:szCs w:val="16"/>
                <w:color w:val="auto"/>
              </w:rPr>
              <w:t>Other (expense) income, net</w:t>
            </w:r>
          </w:p>
        </w:tc>
        <w:tc>
          <w:tcPr>
            <w:tcW w:w="1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(1)</w:t>
            </w:r>
          </w:p>
        </w:tc>
        <w:tc>
          <w:tcPr>
            <w:tcW w:w="120" w:type="dxa"/>
            <w:vAlign w:val="bottom"/>
          </w:tcPr>
          <w:p>
            <w:pPr>
              <w:spacing w:after="0"/>
              <w:rPr>
                <w:sz w:val="16"/>
                <w:szCs w:val="16"/>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6"/>
                <w:szCs w:val="16"/>
                <w:b w:val="1"/>
                <w:bCs w:val="1"/>
                <w:color w:val="auto"/>
              </w:rPr>
              <w:t>—</w:t>
            </w:r>
          </w:p>
        </w:tc>
        <w:tc>
          <w:tcPr>
            <w:tcW w:w="260" w:type="dxa"/>
            <w:vAlign w:val="bottom"/>
          </w:tcPr>
          <w:p>
            <w:pPr>
              <w:spacing w:after="0"/>
              <w:rPr>
                <w:sz w:val="16"/>
                <w:szCs w:val="16"/>
                <w:color w:val="auto"/>
              </w:rPr>
            </w:pPr>
          </w:p>
        </w:tc>
        <w:tc>
          <w:tcPr>
            <w:tcW w:w="1000" w:type="dxa"/>
            <w:vAlign w:val="bottom"/>
          </w:tcPr>
          <w:p>
            <w:pPr>
              <w:jc w:val="right"/>
              <w:ind w:right="43"/>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16"/>
                <w:szCs w:val="16"/>
                <w:color w:val="auto"/>
              </w:rPr>
            </w:pPr>
          </w:p>
        </w:tc>
        <w:tc>
          <w:tcPr>
            <w:tcW w:w="1300" w:type="dxa"/>
            <w:vAlign w:val="bottom"/>
          </w:tcPr>
          <w:p>
            <w:pPr>
              <w:jc w:val="right"/>
              <w:ind w:right="104"/>
              <w:spacing w:after="0"/>
              <w:rPr>
                <w:sz w:val="20"/>
                <w:szCs w:val="20"/>
                <w:color w:val="auto"/>
              </w:rPr>
            </w:pPr>
            <w:r>
              <w:rPr>
                <w:rFonts w:ascii="Arial" w:cs="Arial" w:eastAsia="Arial" w:hAnsi="Arial"/>
                <w:sz w:val="16"/>
                <w:szCs w:val="16"/>
                <w:color w:val="auto"/>
              </w:rPr>
              <w:t>—</w:t>
            </w:r>
          </w:p>
        </w:tc>
      </w:tr>
      <w:tr>
        <w:trPr>
          <w:trHeight w:val="180"/>
        </w:trPr>
        <w:tc>
          <w:tcPr>
            <w:tcW w:w="4460" w:type="dxa"/>
            <w:vAlign w:val="bottom"/>
            <w:tcBorders>
              <w:top w:val="single" w:sz="8" w:color="CFF0FC"/>
            </w:tcBorders>
            <w:shd w:val="clear" w:color="auto" w:fill="CFF0FC"/>
          </w:tcPr>
          <w:p>
            <w:pPr>
              <w:spacing w:after="0" w:line="180" w:lineRule="exact"/>
              <w:rPr>
                <w:sz w:val="20"/>
                <w:szCs w:val="20"/>
                <w:color w:val="auto"/>
              </w:rPr>
            </w:pPr>
            <w:r>
              <w:rPr>
                <w:rFonts w:ascii="Arial" w:cs="Arial" w:eastAsia="Arial" w:hAnsi="Arial"/>
                <w:sz w:val="16"/>
                <w:szCs w:val="16"/>
                <w:color w:val="auto"/>
              </w:rPr>
              <w:t>Income before income taxes</w:t>
            </w:r>
          </w:p>
        </w:tc>
        <w:tc>
          <w:tcPr>
            <w:tcW w:w="1340" w:type="dxa"/>
            <w:vAlign w:val="bottom"/>
            <w:tcBorders>
              <w:top w:val="single" w:sz="8" w:color="CFF0FC"/>
            </w:tcBorders>
            <w:shd w:val="clear" w:color="auto" w:fill="CFF0FC"/>
          </w:tcPr>
          <w:p>
            <w:pPr>
              <w:spacing w:after="0"/>
              <w:rPr>
                <w:sz w:val="15"/>
                <w:szCs w:val="15"/>
                <w:color w:val="auto"/>
              </w:rPr>
            </w:pPr>
          </w:p>
        </w:tc>
        <w:tc>
          <w:tcPr>
            <w:tcW w:w="240" w:type="dxa"/>
            <w:vAlign w:val="bottom"/>
            <w:tcBorders>
              <w:top w:val="single" w:sz="8" w:color="auto"/>
            </w:tcBorders>
            <w:shd w:val="clear" w:color="auto" w:fill="CFF0FC"/>
          </w:tcPr>
          <w:p>
            <w:pPr>
              <w:spacing w:after="0"/>
              <w:rPr>
                <w:sz w:val="15"/>
                <w:szCs w:val="15"/>
                <w:color w:val="auto"/>
              </w:rPr>
            </w:pPr>
          </w:p>
        </w:tc>
        <w:tc>
          <w:tcPr>
            <w:tcW w:w="1000" w:type="dxa"/>
            <w:vAlign w:val="bottom"/>
            <w:tcBorders>
              <w:top w:val="single" w:sz="8" w:color="auto"/>
            </w:tcBorders>
            <w:shd w:val="clear" w:color="auto" w:fill="CFF0FC"/>
          </w:tcPr>
          <w:p>
            <w:pPr>
              <w:jc w:val="right"/>
              <w:ind w:right="43"/>
              <w:spacing w:after="0" w:line="180" w:lineRule="exact"/>
              <w:rPr>
                <w:sz w:val="20"/>
                <w:szCs w:val="20"/>
                <w:color w:val="auto"/>
              </w:rPr>
            </w:pPr>
            <w:r>
              <w:rPr>
                <w:rFonts w:ascii="Arial" w:cs="Arial" w:eastAsia="Arial" w:hAnsi="Arial"/>
                <w:sz w:val="16"/>
                <w:szCs w:val="16"/>
                <w:b w:val="1"/>
                <w:bCs w:val="1"/>
                <w:color w:val="auto"/>
              </w:rPr>
              <w:t>181</w:t>
            </w:r>
          </w:p>
        </w:tc>
        <w:tc>
          <w:tcPr>
            <w:tcW w:w="120" w:type="dxa"/>
            <w:vAlign w:val="bottom"/>
            <w:tcBorders>
              <w:top w:val="single" w:sz="8" w:color="CFF0FC"/>
            </w:tcBorders>
            <w:shd w:val="clear" w:color="auto" w:fill="CFF0FC"/>
          </w:tcPr>
          <w:p>
            <w:pPr>
              <w:spacing w:after="0"/>
              <w:rPr>
                <w:sz w:val="15"/>
                <w:szCs w:val="15"/>
                <w:color w:val="auto"/>
              </w:rPr>
            </w:pPr>
          </w:p>
        </w:tc>
        <w:tc>
          <w:tcPr>
            <w:tcW w:w="1300" w:type="dxa"/>
            <w:vAlign w:val="bottom"/>
            <w:tcBorders>
              <w:top w:val="single" w:sz="8" w:color="auto"/>
            </w:tcBorders>
            <w:shd w:val="clear" w:color="auto" w:fill="CFF0FC"/>
          </w:tcPr>
          <w:p>
            <w:pPr>
              <w:jc w:val="right"/>
              <w:ind w:right="85"/>
              <w:spacing w:after="0" w:line="180" w:lineRule="exact"/>
              <w:rPr>
                <w:sz w:val="20"/>
                <w:szCs w:val="20"/>
                <w:color w:val="auto"/>
              </w:rPr>
            </w:pPr>
            <w:r>
              <w:rPr>
                <w:rFonts w:ascii="Arial" w:cs="Arial" w:eastAsia="Arial" w:hAnsi="Arial"/>
                <w:sz w:val="16"/>
                <w:szCs w:val="16"/>
                <w:b w:val="1"/>
                <w:bCs w:val="1"/>
                <w:color w:val="auto"/>
              </w:rPr>
              <w:t>28</w:t>
            </w:r>
          </w:p>
        </w:tc>
        <w:tc>
          <w:tcPr>
            <w:tcW w:w="120" w:type="dxa"/>
            <w:vAlign w:val="bottom"/>
            <w:tcBorders>
              <w:top w:val="single" w:sz="8" w:color="CFF0FC"/>
            </w:tcBorders>
            <w:shd w:val="clear" w:color="auto" w:fill="CFF0FC"/>
          </w:tcPr>
          <w:p>
            <w:pPr>
              <w:spacing w:after="0"/>
              <w:rPr>
                <w:sz w:val="15"/>
                <w:szCs w:val="15"/>
                <w:color w:val="auto"/>
              </w:rPr>
            </w:pPr>
          </w:p>
        </w:tc>
        <w:tc>
          <w:tcPr>
            <w:tcW w:w="260" w:type="dxa"/>
            <w:vAlign w:val="bottom"/>
            <w:tcBorders>
              <w:top w:val="single" w:sz="8" w:color="auto"/>
            </w:tcBorders>
            <w:shd w:val="clear" w:color="auto" w:fill="CFF0FC"/>
          </w:tcPr>
          <w:p>
            <w:pPr>
              <w:spacing w:after="0"/>
              <w:rPr>
                <w:sz w:val="15"/>
                <w:szCs w:val="15"/>
                <w:color w:val="auto"/>
              </w:rPr>
            </w:pPr>
          </w:p>
        </w:tc>
        <w:tc>
          <w:tcPr>
            <w:tcW w:w="1000" w:type="dxa"/>
            <w:vAlign w:val="bottom"/>
            <w:tcBorders>
              <w:top w:val="single" w:sz="8" w:color="auto"/>
            </w:tcBorders>
            <w:shd w:val="clear" w:color="auto" w:fill="CFF0FC"/>
          </w:tcPr>
          <w:p>
            <w:pPr>
              <w:jc w:val="right"/>
              <w:ind w:right="43"/>
              <w:spacing w:after="0" w:line="180" w:lineRule="exact"/>
              <w:rPr>
                <w:sz w:val="20"/>
                <w:szCs w:val="20"/>
                <w:color w:val="auto"/>
              </w:rPr>
            </w:pPr>
            <w:r>
              <w:rPr>
                <w:rFonts w:ascii="Arial" w:cs="Arial" w:eastAsia="Arial" w:hAnsi="Arial"/>
                <w:sz w:val="16"/>
                <w:szCs w:val="16"/>
                <w:color w:val="auto"/>
              </w:rPr>
              <w:t>211</w:t>
            </w:r>
          </w:p>
        </w:tc>
        <w:tc>
          <w:tcPr>
            <w:tcW w:w="120" w:type="dxa"/>
            <w:vAlign w:val="bottom"/>
            <w:tcBorders>
              <w:top w:val="single" w:sz="8" w:color="CFF0FC"/>
            </w:tcBorders>
            <w:shd w:val="clear" w:color="auto" w:fill="CFF0FC"/>
          </w:tcPr>
          <w:p>
            <w:pPr>
              <w:spacing w:after="0"/>
              <w:rPr>
                <w:sz w:val="15"/>
                <w:szCs w:val="15"/>
                <w:color w:val="auto"/>
              </w:rPr>
            </w:pPr>
          </w:p>
        </w:tc>
        <w:tc>
          <w:tcPr>
            <w:tcW w:w="1300" w:type="dxa"/>
            <w:vAlign w:val="bottom"/>
            <w:tcBorders>
              <w:top w:val="single" w:sz="8" w:color="auto"/>
            </w:tcBorders>
            <w:shd w:val="clear" w:color="auto" w:fill="CFF0FC"/>
          </w:tcPr>
          <w:p>
            <w:pPr>
              <w:jc w:val="right"/>
              <w:ind w:right="104"/>
              <w:spacing w:after="0" w:line="180" w:lineRule="exact"/>
              <w:rPr>
                <w:sz w:val="20"/>
                <w:szCs w:val="20"/>
                <w:color w:val="auto"/>
              </w:rPr>
            </w:pPr>
            <w:r>
              <w:rPr>
                <w:rFonts w:ascii="Arial" w:cs="Arial" w:eastAsia="Arial" w:hAnsi="Arial"/>
                <w:sz w:val="16"/>
                <w:szCs w:val="16"/>
                <w:color w:val="auto"/>
              </w:rPr>
              <w:t>31</w:t>
            </w:r>
          </w:p>
        </w:tc>
      </w:tr>
      <w:tr>
        <w:trPr>
          <w:trHeight w:val="188"/>
        </w:trPr>
        <w:tc>
          <w:tcPr>
            <w:tcW w:w="446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Income tax expense</w:t>
            </w:r>
          </w:p>
        </w:tc>
        <w:tc>
          <w:tcPr>
            <w:tcW w:w="1340" w:type="dxa"/>
            <w:vAlign w:val="bottom"/>
            <w:tcBorders>
              <w:bottom w:val="single" w:sz="8" w:color="CFF0FC"/>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(42)</w:t>
            </w:r>
          </w:p>
        </w:tc>
        <w:tc>
          <w:tcPr>
            <w:tcW w:w="120" w:type="dxa"/>
            <w:vAlign w:val="bottom"/>
            <w:tcBorders>
              <w:bottom w:val="single" w:sz="8" w:color="CFF0FC"/>
            </w:tcBorders>
          </w:tcPr>
          <w:p>
            <w:pPr>
              <w:spacing w:after="0"/>
              <w:rPr>
                <w:sz w:val="16"/>
                <w:szCs w:val="16"/>
                <w:color w:val="auto"/>
              </w:rPr>
            </w:pPr>
          </w:p>
        </w:tc>
        <w:tc>
          <w:tcPr>
            <w:tcW w:w="1300" w:type="dxa"/>
            <w:vAlign w:val="bottom"/>
            <w:tcBorders>
              <w:bottom w:val="single" w:sz="8" w:color="auto"/>
            </w:tcBorders>
          </w:tcPr>
          <w:p>
            <w:pPr>
              <w:jc w:val="right"/>
              <w:ind w:right="25"/>
              <w:spacing w:after="0"/>
              <w:rPr>
                <w:sz w:val="20"/>
                <w:szCs w:val="20"/>
                <w:color w:val="auto"/>
              </w:rPr>
            </w:pPr>
            <w:r>
              <w:rPr>
                <w:rFonts w:ascii="Arial" w:cs="Arial" w:eastAsia="Arial" w:hAnsi="Arial"/>
                <w:sz w:val="16"/>
                <w:szCs w:val="16"/>
                <w:b w:val="1"/>
                <w:bCs w:val="1"/>
                <w:color w:val="auto"/>
              </w:rPr>
              <w:t>(6)</w:t>
            </w:r>
          </w:p>
        </w:tc>
        <w:tc>
          <w:tcPr>
            <w:tcW w:w="120" w:type="dxa"/>
            <w:vAlign w:val="bottom"/>
            <w:tcBorders>
              <w:bottom w:val="single" w:sz="8" w:color="CFF0FC"/>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w:t>
            </w:r>
          </w:p>
        </w:tc>
        <w:tc>
          <w:tcPr>
            <w:tcW w:w="120" w:type="dxa"/>
            <w:vAlign w:val="bottom"/>
            <w:tcBorders>
              <w:bottom w:val="single" w:sz="8" w:color="CFF0FC"/>
            </w:tcBorders>
          </w:tcPr>
          <w:p>
            <w:pPr>
              <w:spacing w:after="0"/>
              <w:rPr>
                <w:sz w:val="16"/>
                <w:szCs w:val="16"/>
                <w:color w:val="auto"/>
              </w:rPr>
            </w:pPr>
          </w:p>
        </w:tc>
        <w:tc>
          <w:tcPr>
            <w:tcW w:w="1300" w:type="dxa"/>
            <w:vAlign w:val="bottom"/>
            <w:tcBorders>
              <w:bottom w:val="single" w:sz="8" w:color="auto"/>
            </w:tcBorders>
          </w:tcPr>
          <w:p>
            <w:pPr>
              <w:jc w:val="right"/>
              <w:ind w:right="24"/>
              <w:spacing w:after="0"/>
              <w:rPr>
                <w:sz w:val="20"/>
                <w:szCs w:val="20"/>
                <w:color w:val="auto"/>
              </w:rPr>
            </w:pPr>
            <w:r>
              <w:rPr>
                <w:rFonts w:ascii="Arial" w:cs="Arial" w:eastAsia="Arial" w:hAnsi="Arial"/>
                <w:sz w:val="16"/>
                <w:szCs w:val="16"/>
                <w:color w:val="auto"/>
              </w:rPr>
              <w:t>(6)</w:t>
            </w:r>
          </w:p>
        </w:tc>
      </w:tr>
      <w:tr>
        <w:trPr>
          <w:trHeight w:val="180"/>
        </w:trPr>
        <w:tc>
          <w:tcPr>
            <w:tcW w:w="4460" w:type="dxa"/>
            <w:vAlign w:val="bottom"/>
            <w:tcBorders>
              <w:bottom w:val="single" w:sz="8" w:color="CFF0FC"/>
            </w:tcBorders>
            <w:shd w:val="clear" w:color="auto" w:fill="CFF0FC"/>
          </w:tcPr>
          <w:p>
            <w:pPr>
              <w:spacing w:after="0" w:line="180" w:lineRule="exact"/>
              <w:rPr>
                <w:sz w:val="20"/>
                <w:szCs w:val="20"/>
                <w:color w:val="auto"/>
              </w:rPr>
            </w:pPr>
            <w:r>
              <w:rPr>
                <w:rFonts w:ascii="Arial" w:cs="Arial" w:eastAsia="Arial" w:hAnsi="Arial"/>
                <w:sz w:val="16"/>
                <w:szCs w:val="16"/>
                <w:color w:val="auto"/>
              </w:rPr>
              <w:t>Net income</w:t>
            </w:r>
          </w:p>
        </w:tc>
        <w:tc>
          <w:tcPr>
            <w:tcW w:w="1340" w:type="dxa"/>
            <w:vAlign w:val="bottom"/>
            <w:tcBorders>
              <w:bottom w:val="single" w:sz="8" w:color="CFF0FC"/>
            </w:tcBorders>
            <w:shd w:val="clear" w:color="auto" w:fill="CFF0FC"/>
          </w:tcPr>
          <w:p>
            <w:pPr>
              <w:spacing w:after="0"/>
              <w:rPr>
                <w:sz w:val="15"/>
                <w:szCs w:val="15"/>
                <w:color w:val="auto"/>
              </w:rPr>
            </w:pPr>
          </w:p>
        </w:tc>
        <w:tc>
          <w:tcPr>
            <w:tcW w:w="240" w:type="dxa"/>
            <w:vAlign w:val="bottom"/>
            <w:tcBorders>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b w:val="1"/>
                <w:bCs w:val="1"/>
                <w:color w:val="auto"/>
                <w:w w:val="71"/>
              </w:rPr>
              <w:t>$</w:t>
            </w:r>
          </w:p>
        </w:tc>
        <w:tc>
          <w:tcPr>
            <w:tcW w:w="1000" w:type="dxa"/>
            <w:vAlign w:val="bottom"/>
            <w:tcBorders>
              <w:bottom w:val="single" w:sz="8" w:color="auto"/>
            </w:tcBorders>
            <w:shd w:val="clear" w:color="auto" w:fill="CFF0FC"/>
          </w:tcPr>
          <w:p>
            <w:pPr>
              <w:jc w:val="right"/>
              <w:ind w:right="43"/>
              <w:spacing w:after="0" w:line="180" w:lineRule="exact"/>
              <w:rPr>
                <w:sz w:val="20"/>
                <w:szCs w:val="20"/>
                <w:color w:val="auto"/>
              </w:rPr>
            </w:pPr>
            <w:r>
              <w:rPr>
                <w:rFonts w:ascii="Arial" w:cs="Arial" w:eastAsia="Arial" w:hAnsi="Arial"/>
                <w:sz w:val="16"/>
                <w:szCs w:val="16"/>
                <w:b w:val="1"/>
                <w:bCs w:val="1"/>
                <w:color w:val="auto"/>
              </w:rPr>
              <w:t>139</w:t>
            </w:r>
          </w:p>
        </w:tc>
        <w:tc>
          <w:tcPr>
            <w:tcW w:w="120" w:type="dxa"/>
            <w:vAlign w:val="bottom"/>
            <w:tcBorders>
              <w:bottom w:val="single" w:sz="8" w:color="CFF0FC"/>
            </w:tcBorders>
            <w:shd w:val="clear" w:color="auto" w:fill="CFF0FC"/>
          </w:tcPr>
          <w:p>
            <w:pPr>
              <w:spacing w:after="0"/>
              <w:rPr>
                <w:sz w:val="15"/>
                <w:szCs w:val="15"/>
                <w:color w:val="auto"/>
              </w:rPr>
            </w:pPr>
          </w:p>
        </w:tc>
        <w:tc>
          <w:tcPr>
            <w:tcW w:w="1300" w:type="dxa"/>
            <w:vAlign w:val="bottom"/>
            <w:tcBorders>
              <w:bottom w:val="single" w:sz="8" w:color="auto"/>
            </w:tcBorders>
            <w:shd w:val="clear" w:color="auto" w:fill="CFF0FC"/>
          </w:tcPr>
          <w:p>
            <w:pPr>
              <w:jc w:val="right"/>
              <w:spacing w:after="0" w:line="180" w:lineRule="exact"/>
              <w:rPr>
                <w:sz w:val="20"/>
                <w:szCs w:val="20"/>
                <w:color w:val="auto"/>
              </w:rPr>
            </w:pPr>
            <w:r>
              <w:rPr>
                <w:rFonts w:ascii="Arial" w:cs="Arial" w:eastAsia="Arial" w:hAnsi="Arial"/>
                <w:sz w:val="16"/>
                <w:szCs w:val="16"/>
                <w:b w:val="1"/>
                <w:bCs w:val="1"/>
                <w:color w:val="auto"/>
              </w:rPr>
              <w:t>22%</w:t>
            </w:r>
          </w:p>
        </w:tc>
        <w:tc>
          <w:tcPr>
            <w:tcW w:w="120" w:type="dxa"/>
            <w:vAlign w:val="bottom"/>
            <w:tcBorders>
              <w:bottom w:val="single" w:sz="8" w:color="CFF0FC"/>
            </w:tcBorders>
            <w:shd w:val="clear" w:color="auto" w:fill="CFF0FC"/>
          </w:tcPr>
          <w:p>
            <w:pPr>
              <w:spacing w:after="0"/>
              <w:rPr>
                <w:sz w:val="15"/>
                <w:szCs w:val="15"/>
                <w:color w:val="auto"/>
              </w:rPr>
            </w:pPr>
          </w:p>
        </w:tc>
        <w:tc>
          <w:tcPr>
            <w:tcW w:w="260" w:type="dxa"/>
            <w:vAlign w:val="bottom"/>
            <w:tcBorders>
              <w:bottom w:val="single" w:sz="8" w:color="auto"/>
            </w:tcBorders>
            <w:shd w:val="clear" w:color="auto" w:fill="CFF0FC"/>
          </w:tcPr>
          <w:p>
            <w:pPr>
              <w:jc w:val="right"/>
              <w:ind w:right="82"/>
              <w:spacing w:after="0" w:line="180" w:lineRule="exact"/>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FF0FC"/>
          </w:tcPr>
          <w:p>
            <w:pPr>
              <w:jc w:val="right"/>
              <w:ind w:right="43"/>
              <w:spacing w:after="0" w:line="180" w:lineRule="exact"/>
              <w:rPr>
                <w:sz w:val="20"/>
                <w:szCs w:val="20"/>
                <w:color w:val="auto"/>
              </w:rPr>
            </w:pPr>
            <w:r>
              <w:rPr>
                <w:rFonts w:ascii="Arial" w:cs="Arial" w:eastAsia="Arial" w:hAnsi="Arial"/>
                <w:sz w:val="16"/>
                <w:szCs w:val="16"/>
                <w:color w:val="auto"/>
              </w:rPr>
              <w:t>167</w:t>
            </w:r>
          </w:p>
        </w:tc>
        <w:tc>
          <w:tcPr>
            <w:tcW w:w="120" w:type="dxa"/>
            <w:vAlign w:val="bottom"/>
            <w:tcBorders>
              <w:bottom w:val="single" w:sz="8" w:color="CFF0FC"/>
            </w:tcBorders>
            <w:shd w:val="clear" w:color="auto" w:fill="CFF0FC"/>
          </w:tcPr>
          <w:p>
            <w:pPr>
              <w:spacing w:after="0"/>
              <w:rPr>
                <w:sz w:val="15"/>
                <w:szCs w:val="15"/>
                <w:color w:val="auto"/>
              </w:rPr>
            </w:pPr>
          </w:p>
        </w:tc>
        <w:tc>
          <w:tcPr>
            <w:tcW w:w="1300" w:type="dxa"/>
            <w:vAlign w:val="bottom"/>
            <w:tcBorders>
              <w:bottom w:val="single" w:sz="8" w:color="auto"/>
            </w:tcBorders>
            <w:shd w:val="clear" w:color="auto" w:fill="CFF0FC"/>
          </w:tcPr>
          <w:p>
            <w:pPr>
              <w:jc w:val="right"/>
              <w:spacing w:after="0" w:line="180" w:lineRule="exact"/>
              <w:rPr>
                <w:sz w:val="20"/>
                <w:szCs w:val="20"/>
                <w:color w:val="auto"/>
              </w:rPr>
            </w:pPr>
            <w:r>
              <w:rPr>
                <w:rFonts w:ascii="Arial" w:cs="Arial" w:eastAsia="Arial" w:hAnsi="Arial"/>
                <w:sz w:val="16"/>
                <w:szCs w:val="16"/>
                <w:color w:val="auto"/>
              </w:rPr>
              <w:t>25%</w:t>
            </w:r>
          </w:p>
        </w:tc>
      </w:tr>
      <w:tr>
        <w:trPr>
          <w:trHeight w:val="20"/>
        </w:trPr>
        <w:tc>
          <w:tcPr>
            <w:tcW w:w="44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ind w:left="260"/>
        <w:spacing w:after="0"/>
        <w:rPr>
          <w:sz w:val="20"/>
          <w:szCs w:val="20"/>
          <w:color w:val="auto"/>
        </w:rPr>
      </w:pPr>
      <w:r>
        <w:rPr>
          <w:rFonts w:ascii="Arial" w:cs="Arial" w:eastAsia="Arial" w:hAnsi="Arial"/>
          <w:sz w:val="16"/>
          <w:szCs w:val="16"/>
          <w:b w:val="1"/>
          <w:bCs w:val="1"/>
          <w:i w:val="1"/>
          <w:iCs w:val="1"/>
          <w:color w:val="auto"/>
        </w:rPr>
        <w:t>Net sales</w:t>
      </w:r>
    </w:p>
    <w:p>
      <w:pPr>
        <w:spacing w:after="0" w:line="104" w:lineRule="exact"/>
        <w:rPr>
          <w:sz w:val="20"/>
          <w:szCs w:val="20"/>
          <w:color w:val="auto"/>
        </w:rPr>
      </w:pPr>
    </w:p>
    <w:p>
      <w:pPr>
        <w:ind w:right="20" w:firstLine="528"/>
        <w:spacing w:after="0" w:line="248" w:lineRule="auto"/>
        <w:rPr>
          <w:sz w:val="20"/>
          <w:szCs w:val="20"/>
          <w:color w:val="auto"/>
        </w:rPr>
      </w:pPr>
      <w:r>
        <w:rPr>
          <w:rFonts w:ascii="Arial" w:cs="Arial" w:eastAsia="Arial" w:hAnsi="Arial"/>
          <w:sz w:val="15"/>
          <w:szCs w:val="15"/>
          <w:color w:val="auto"/>
        </w:rPr>
        <w:t>Net sales for the quarter ended March 31, 2020 were $637 million compared to $675 million for the quarter ended March 31, 2019, a decrease of 6%. The decrease was principally driven by a $25 million, or 7%, decrease in net sales in the North America On-Highway end market principally driven by lower demand for Rugged Duty Series models, a $ 22 million, or 23%, decrease in net sales in the Outside North America On-Highway end market principally driven by lower demand in Europe and Asia and a $6 million, or 43%, decrease in net sales in the North America Off-Highway end market principally driven by lower demand for hydraulic fracturing applications, partially offset by an $8 million, or 25%, increase in net sales in the Defense end market principally driven by higher Tracked vehicle demand and a $7 million, or 5%, increase in net sales in the Service Parts, Support Equipment and Other end market principally driven by aluminum die casting component volume associated with the Walker Die Casting acquisition partially offset by lower demand for North America Off-Highway service parts.</w:t>
      </w:r>
    </w:p>
    <w:p>
      <w:pPr>
        <w:spacing w:after="0" w:line="108" w:lineRule="exact"/>
        <w:rPr>
          <w:sz w:val="20"/>
          <w:szCs w:val="20"/>
          <w:color w:val="auto"/>
        </w:rPr>
      </w:pPr>
    </w:p>
    <w:p>
      <w:pPr>
        <w:ind w:left="260"/>
        <w:spacing w:after="0"/>
        <w:rPr>
          <w:sz w:val="20"/>
          <w:szCs w:val="20"/>
          <w:color w:val="auto"/>
        </w:rPr>
      </w:pPr>
      <w:r>
        <w:rPr>
          <w:rFonts w:ascii="Arial" w:cs="Arial" w:eastAsia="Arial" w:hAnsi="Arial"/>
          <w:sz w:val="16"/>
          <w:szCs w:val="16"/>
          <w:b w:val="1"/>
          <w:bCs w:val="1"/>
          <w:i w:val="1"/>
          <w:iCs w:val="1"/>
          <w:color w:val="auto"/>
        </w:rPr>
        <w:t>Cost of sales</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5"/>
          <w:szCs w:val="15"/>
          <w:color w:val="auto"/>
        </w:rPr>
        <w:t>Cost of sales for the quarter ended March 31, 2020 was $311 million compared to $316 million for the quarter ended March 31, 2019, a decrease of 2%.</w:t>
      </w:r>
    </w:p>
    <w:p>
      <w:pPr>
        <w:spacing w:after="0" w:line="4" w:lineRule="exact"/>
        <w:rPr>
          <w:sz w:val="20"/>
          <w:szCs w:val="20"/>
          <w:color w:val="auto"/>
        </w:rPr>
      </w:pPr>
    </w:p>
    <w:p>
      <w:pPr>
        <w:spacing w:after="0"/>
        <w:rPr>
          <w:sz w:val="20"/>
          <w:szCs w:val="20"/>
          <w:color w:val="auto"/>
        </w:rPr>
      </w:pPr>
      <w:r>
        <w:rPr>
          <w:rFonts w:ascii="Arial" w:cs="Arial" w:eastAsia="Arial" w:hAnsi="Arial"/>
          <w:sz w:val="16"/>
          <w:szCs w:val="16"/>
          <w:color w:val="auto"/>
        </w:rPr>
        <w:t>The decrease was principally driven by decreased direct material expense commensurate with decreased net sales and favorable material costs.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55245</wp:posOffset>
            </wp:positionV>
            <wp:extent cx="7150100" cy="146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0"/>
          </w:cols>
          <w:pgMar w:left="320" w:top="140" w:right="319" w:bottom="1440" w:gutter="0" w:footer="0" w:header="0"/>
        </w:sectPr>
      </w:pPr>
    </w:p>
    <w:bookmarkStart w:id="28" w:name="page29"/>
    <w:bookmarkEnd w:id="2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26" w:lineRule="exact"/>
        <w:rPr>
          <w:sz w:val="20"/>
          <w:szCs w:val="20"/>
          <w:color w:val="auto"/>
        </w:rPr>
      </w:pPr>
    </w:p>
    <w:p>
      <w:pPr>
        <w:ind w:left="260"/>
        <w:spacing w:after="0"/>
        <w:rPr>
          <w:sz w:val="20"/>
          <w:szCs w:val="20"/>
          <w:color w:val="auto"/>
        </w:rPr>
      </w:pPr>
      <w:r>
        <w:rPr>
          <w:rFonts w:ascii="Arial" w:cs="Arial" w:eastAsia="Arial" w:hAnsi="Arial"/>
          <w:sz w:val="16"/>
          <w:szCs w:val="16"/>
          <w:b w:val="1"/>
          <w:bCs w:val="1"/>
          <w:i w:val="1"/>
          <w:iCs w:val="1"/>
          <w:color w:val="auto"/>
        </w:rPr>
        <w:t>Gross profit</w:t>
      </w:r>
    </w:p>
    <w:p>
      <w:pPr>
        <w:spacing w:after="0" w:line="104" w:lineRule="exact"/>
        <w:rPr>
          <w:sz w:val="20"/>
          <w:szCs w:val="20"/>
          <w:color w:val="auto"/>
        </w:rPr>
      </w:pPr>
    </w:p>
    <w:p>
      <w:pPr>
        <w:ind w:firstLine="528"/>
        <w:spacing w:after="0" w:line="233" w:lineRule="auto"/>
        <w:rPr>
          <w:sz w:val="20"/>
          <w:szCs w:val="20"/>
          <w:color w:val="auto"/>
        </w:rPr>
      </w:pPr>
      <w:r>
        <w:rPr>
          <w:rFonts w:ascii="Arial" w:cs="Arial" w:eastAsia="Arial" w:hAnsi="Arial"/>
          <w:sz w:val="16"/>
          <w:szCs w:val="16"/>
          <w:color w:val="auto"/>
        </w:rPr>
        <w:t>Gross profit for the quarter ended March 31, 2020 was $326 million compared to $359 million for the quarter ended March 31, 2019, a decrease of 9%. The decrease was principally driven by $38 million related to decreased net sales, partially offset by $6 million of lower material costs. Gross profit as a percent of net sales for the three months ended March 31, 2020 decreased 200 basis points compared to the same period in 2019 principally driven by lower net sales and unfavorable mix, partially offset by favorable material costs.</w:t>
      </w:r>
    </w:p>
    <w:p>
      <w:pPr>
        <w:spacing w:after="0" w:line="113" w:lineRule="exact"/>
        <w:rPr>
          <w:sz w:val="20"/>
          <w:szCs w:val="20"/>
          <w:color w:val="auto"/>
        </w:rPr>
      </w:pPr>
    </w:p>
    <w:p>
      <w:pPr>
        <w:ind w:left="260"/>
        <w:spacing w:after="0"/>
        <w:rPr>
          <w:sz w:val="20"/>
          <w:szCs w:val="20"/>
          <w:color w:val="auto"/>
        </w:rPr>
      </w:pPr>
      <w:r>
        <w:rPr>
          <w:rFonts w:ascii="Arial" w:cs="Arial" w:eastAsia="Arial" w:hAnsi="Arial"/>
          <w:sz w:val="16"/>
          <w:szCs w:val="16"/>
          <w:b w:val="1"/>
          <w:bCs w:val="1"/>
          <w:i w:val="1"/>
          <w:iCs w:val="1"/>
          <w:color w:val="auto"/>
        </w:rPr>
        <w:t>Selling, general and administrative</w:t>
      </w:r>
    </w:p>
    <w:p>
      <w:pPr>
        <w:spacing w:after="0" w:line="104" w:lineRule="exact"/>
        <w:rPr>
          <w:sz w:val="20"/>
          <w:szCs w:val="20"/>
          <w:color w:val="auto"/>
        </w:rPr>
      </w:pPr>
    </w:p>
    <w:p>
      <w:pPr>
        <w:ind w:right="40" w:firstLine="528"/>
        <w:spacing w:after="0" w:line="234" w:lineRule="auto"/>
        <w:rPr>
          <w:sz w:val="20"/>
          <w:szCs w:val="20"/>
          <w:color w:val="auto"/>
        </w:rPr>
      </w:pPr>
      <w:r>
        <w:rPr>
          <w:rFonts w:ascii="Arial" w:cs="Arial" w:eastAsia="Arial" w:hAnsi="Arial"/>
          <w:sz w:val="16"/>
          <w:szCs w:val="16"/>
          <w:color w:val="auto"/>
        </w:rPr>
        <w:t>Selling, general and administrative expenses for the quarter ended March 31, 2020 were $ 75 million compared to $84 million for the quarter ended March 31, 2019, a decrease of 11%. The decrease was principally driven by $8 million of lower incentive compensation expense and $6 million of lower intangible amortization expense.</w:t>
      </w:r>
    </w:p>
    <w:p>
      <w:pPr>
        <w:spacing w:after="0" w:line="113" w:lineRule="exact"/>
        <w:rPr>
          <w:sz w:val="20"/>
          <w:szCs w:val="20"/>
          <w:color w:val="auto"/>
        </w:rPr>
      </w:pPr>
    </w:p>
    <w:p>
      <w:pPr>
        <w:ind w:left="260"/>
        <w:spacing w:after="0"/>
        <w:rPr>
          <w:sz w:val="20"/>
          <w:szCs w:val="20"/>
          <w:color w:val="auto"/>
        </w:rPr>
      </w:pPr>
      <w:r>
        <w:rPr>
          <w:rFonts w:ascii="Arial" w:cs="Arial" w:eastAsia="Arial" w:hAnsi="Arial"/>
          <w:sz w:val="16"/>
          <w:szCs w:val="16"/>
          <w:b w:val="1"/>
          <w:bCs w:val="1"/>
          <w:i w:val="1"/>
          <w:iCs w:val="1"/>
          <w:color w:val="auto"/>
        </w:rPr>
        <w:t>Engineering — research and development</w:t>
      </w:r>
    </w:p>
    <w:p>
      <w:pPr>
        <w:spacing w:after="0" w:line="104" w:lineRule="exact"/>
        <w:rPr>
          <w:sz w:val="20"/>
          <w:szCs w:val="20"/>
          <w:color w:val="auto"/>
        </w:rPr>
      </w:pPr>
    </w:p>
    <w:p>
      <w:pPr>
        <w:ind w:right="40" w:firstLine="528"/>
        <w:spacing w:after="0" w:line="237" w:lineRule="auto"/>
        <w:rPr>
          <w:sz w:val="20"/>
          <w:szCs w:val="20"/>
          <w:color w:val="auto"/>
        </w:rPr>
      </w:pPr>
      <w:r>
        <w:rPr>
          <w:rFonts w:ascii="Arial" w:cs="Arial" w:eastAsia="Arial" w:hAnsi="Arial"/>
          <w:sz w:val="16"/>
          <w:szCs w:val="16"/>
          <w:color w:val="auto"/>
        </w:rPr>
        <w:t>Engineering expenses for the quarter ended March 31, 2020 were $36 million compared to $31 million for the quarter ended March 31, 2019, an increase of 16%. The increase was principally driven by the timing of product initiatives spending.</w:t>
      </w:r>
    </w:p>
    <w:p>
      <w:pPr>
        <w:spacing w:after="0" w:line="112" w:lineRule="exact"/>
        <w:rPr>
          <w:sz w:val="20"/>
          <w:szCs w:val="20"/>
          <w:color w:val="auto"/>
        </w:rPr>
      </w:pPr>
    </w:p>
    <w:p>
      <w:pPr>
        <w:ind w:left="260"/>
        <w:spacing w:after="0"/>
        <w:rPr>
          <w:sz w:val="20"/>
          <w:szCs w:val="20"/>
          <w:color w:val="auto"/>
        </w:rPr>
      </w:pPr>
      <w:r>
        <w:rPr>
          <w:rFonts w:ascii="Arial" w:cs="Arial" w:eastAsia="Arial" w:hAnsi="Arial"/>
          <w:sz w:val="16"/>
          <w:szCs w:val="16"/>
          <w:b w:val="1"/>
          <w:bCs w:val="1"/>
          <w:i w:val="1"/>
          <w:iCs w:val="1"/>
          <w:color w:val="auto"/>
        </w:rPr>
        <w:t>Interest expense, net</w:t>
      </w:r>
    </w:p>
    <w:p>
      <w:pPr>
        <w:spacing w:after="0" w:line="104" w:lineRule="exact"/>
        <w:rPr>
          <w:sz w:val="20"/>
          <w:szCs w:val="20"/>
          <w:color w:val="auto"/>
        </w:rPr>
      </w:pPr>
    </w:p>
    <w:p>
      <w:pPr>
        <w:ind w:right="60" w:firstLine="528"/>
        <w:spacing w:after="0" w:line="237" w:lineRule="auto"/>
        <w:rPr>
          <w:sz w:val="20"/>
          <w:szCs w:val="20"/>
          <w:color w:val="auto"/>
        </w:rPr>
      </w:pPr>
      <w:r>
        <w:rPr>
          <w:rFonts w:ascii="Arial" w:cs="Arial" w:eastAsia="Arial" w:hAnsi="Arial"/>
          <w:sz w:val="16"/>
          <w:szCs w:val="16"/>
          <w:color w:val="auto"/>
        </w:rPr>
        <w:t>Interest expense, net for the quarter ended March 31, 2020 was $33 million compared to $36 million for the quarter ended March 31, 2019, a decrease of 8%. The decrease was principally driven by $5 million of expenses related to the long-term debt refinancing in 2019 that did not recur in 2020.</w:t>
      </w:r>
    </w:p>
    <w:p>
      <w:pPr>
        <w:spacing w:after="0" w:line="112" w:lineRule="exact"/>
        <w:rPr>
          <w:sz w:val="20"/>
          <w:szCs w:val="20"/>
          <w:color w:val="auto"/>
        </w:rPr>
      </w:pPr>
    </w:p>
    <w:p>
      <w:pPr>
        <w:ind w:left="260"/>
        <w:spacing w:after="0"/>
        <w:rPr>
          <w:sz w:val="20"/>
          <w:szCs w:val="20"/>
          <w:color w:val="auto"/>
        </w:rPr>
      </w:pPr>
      <w:r>
        <w:rPr>
          <w:rFonts w:ascii="Arial" w:cs="Arial" w:eastAsia="Arial" w:hAnsi="Arial"/>
          <w:sz w:val="16"/>
          <w:szCs w:val="16"/>
          <w:b w:val="1"/>
          <w:bCs w:val="1"/>
          <w:i w:val="1"/>
          <w:iCs w:val="1"/>
          <w:color w:val="auto"/>
        </w:rPr>
        <w:t>Other (expense) income, net</w:t>
      </w:r>
    </w:p>
    <w:p>
      <w:pPr>
        <w:spacing w:after="0" w:line="104" w:lineRule="exact"/>
        <w:rPr>
          <w:sz w:val="20"/>
          <w:szCs w:val="20"/>
          <w:color w:val="auto"/>
        </w:rPr>
      </w:pPr>
    </w:p>
    <w:p>
      <w:pPr>
        <w:jc w:val="both"/>
        <w:ind w:right="280" w:firstLine="528"/>
        <w:spacing w:after="0" w:line="255" w:lineRule="auto"/>
        <w:rPr>
          <w:sz w:val="20"/>
          <w:szCs w:val="20"/>
          <w:color w:val="auto"/>
        </w:rPr>
      </w:pPr>
      <w:r>
        <w:rPr>
          <w:rFonts w:ascii="Arial" w:cs="Arial" w:eastAsia="Arial" w:hAnsi="Arial"/>
          <w:sz w:val="15"/>
          <w:szCs w:val="15"/>
          <w:color w:val="auto"/>
        </w:rPr>
        <w:t>Other (expense) income, net for the quarter ended March 31, 2020 was ($1) million compared to $3 million for the quarter ended March 31, 2019. The change was principally driven by $3 million of unfavorable foreign exchange on intercompany financing and $3 million of unfavorable change associated with assets held in a rabbi trust, partially offset by $1 million of expenses related to long-term debt refinancing in 2019 which did not recur in 2020.</w:t>
      </w:r>
    </w:p>
    <w:p>
      <w:pPr>
        <w:spacing w:after="0" w:line="101" w:lineRule="exact"/>
        <w:rPr>
          <w:sz w:val="20"/>
          <w:szCs w:val="20"/>
          <w:color w:val="auto"/>
        </w:rPr>
      </w:pPr>
    </w:p>
    <w:p>
      <w:pPr>
        <w:ind w:left="260"/>
        <w:spacing w:after="0"/>
        <w:rPr>
          <w:sz w:val="20"/>
          <w:szCs w:val="20"/>
          <w:color w:val="auto"/>
        </w:rPr>
      </w:pPr>
      <w:r>
        <w:rPr>
          <w:rFonts w:ascii="Arial" w:cs="Arial" w:eastAsia="Arial" w:hAnsi="Arial"/>
          <w:sz w:val="16"/>
          <w:szCs w:val="16"/>
          <w:b w:val="1"/>
          <w:bCs w:val="1"/>
          <w:i w:val="1"/>
          <w:iCs w:val="1"/>
          <w:color w:val="auto"/>
        </w:rPr>
        <w:t>Income tax expense</w:t>
      </w:r>
    </w:p>
    <w:p>
      <w:pPr>
        <w:spacing w:after="0" w:line="104" w:lineRule="exact"/>
        <w:rPr>
          <w:sz w:val="20"/>
          <w:szCs w:val="20"/>
          <w:color w:val="auto"/>
        </w:rPr>
      </w:pPr>
    </w:p>
    <w:p>
      <w:pPr>
        <w:ind w:right="100" w:firstLine="528"/>
        <w:spacing w:after="0" w:line="234" w:lineRule="auto"/>
        <w:rPr>
          <w:sz w:val="20"/>
          <w:szCs w:val="20"/>
          <w:color w:val="auto"/>
        </w:rPr>
      </w:pPr>
      <w:r>
        <w:rPr>
          <w:rFonts w:ascii="Arial" w:cs="Arial" w:eastAsia="Arial" w:hAnsi="Arial"/>
          <w:sz w:val="16"/>
          <w:szCs w:val="16"/>
          <w:color w:val="auto"/>
        </w:rPr>
        <w:t>Income tax expense for the three months ended March 31, 2020 was $42 million, resulting in an effective tax rate of 23%, compared to $44 million of income tax expense and an effective tax rate of 21% for the three months ended March 31, 2019. The decrease in income tax expense was principally driven by decreased taxable income.</w:t>
      </w:r>
    </w:p>
    <w:p>
      <w:pPr>
        <w:spacing w:after="0" w:line="389"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55245</wp:posOffset>
            </wp:positionV>
            <wp:extent cx="7150100" cy="146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160"/>
          </w:cols>
          <w:pgMar w:left="320" w:top="140" w:right="419" w:bottom="1440" w:gutter="0" w:footer="0" w:header="0"/>
        </w:sectPr>
      </w:pPr>
    </w:p>
    <w:bookmarkStart w:id="29" w:name="page30"/>
    <w:bookmarkEnd w:id="2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26" w:lineRule="exact"/>
        <w:rPr>
          <w:sz w:val="20"/>
          <w:szCs w:val="20"/>
          <w:color w:val="auto"/>
        </w:rPr>
      </w:pPr>
    </w:p>
    <w:p>
      <w:pPr>
        <w:ind w:left="260"/>
        <w:spacing w:after="0"/>
        <w:rPr>
          <w:sz w:val="20"/>
          <w:szCs w:val="20"/>
          <w:color w:val="auto"/>
        </w:rPr>
      </w:pPr>
      <w:r>
        <w:rPr>
          <w:rFonts w:ascii="Arial" w:cs="Arial" w:eastAsia="Arial" w:hAnsi="Arial"/>
          <w:sz w:val="16"/>
          <w:szCs w:val="16"/>
          <w:b w:val="1"/>
          <w:bCs w:val="1"/>
          <w:i w:val="1"/>
          <w:iCs w:val="1"/>
          <w:color w:val="auto"/>
        </w:rPr>
        <w:t>Liquidity and Capital Resources</w:t>
      </w:r>
    </w:p>
    <w:p>
      <w:pPr>
        <w:spacing w:after="0" w:line="104" w:lineRule="exact"/>
        <w:rPr>
          <w:sz w:val="20"/>
          <w:szCs w:val="20"/>
          <w:color w:val="auto"/>
        </w:rPr>
      </w:pPr>
    </w:p>
    <w:p>
      <w:pPr>
        <w:ind w:firstLine="528"/>
        <w:spacing w:after="0" w:line="231" w:lineRule="auto"/>
        <w:rPr>
          <w:sz w:val="20"/>
          <w:szCs w:val="20"/>
          <w:color w:val="auto"/>
        </w:rPr>
      </w:pPr>
      <w:r>
        <w:rPr>
          <w:rFonts w:ascii="Arial" w:cs="Arial" w:eastAsia="Arial" w:hAnsi="Arial"/>
          <w:sz w:val="16"/>
          <w:szCs w:val="16"/>
          <w:color w:val="auto"/>
        </w:rPr>
        <w:t>We generate cash primarily from our operations to fund our operating, investing and financing activities. Our principal uses of cash are operating expenses, capital expenditures, working capital needs, debt service, dividends on common stock, stock repurchases and strategic growth initiatives, including acquisitions. Our ability to generate cash in the future and our future uses of cash are subject to general economic, financial, competitive, legislative, regulatory and other factors that may be beyond our control, including the impact to our cash flow that has been experienced, and continues to be experienced, related to COVID-19. We had total available cash and cash equivalents of $114 million and $192 million as of March 31, 2020 and December 31, 2019, respectively. Of the available cash and cash equivalents, $114 million and $122 million were deposited in operating accounts as of March 31, 2020 and December 31, 2019, respectively, while zero and $70 million were invested in U.S. government backed securities as of March 31, 2020 and December 31, 2019, respectively.</w:t>
      </w:r>
    </w:p>
    <w:p>
      <w:pPr>
        <w:spacing w:after="0" w:line="87" w:lineRule="exact"/>
        <w:rPr>
          <w:sz w:val="20"/>
          <w:szCs w:val="20"/>
          <w:color w:val="auto"/>
        </w:rPr>
      </w:pPr>
    </w:p>
    <w:p>
      <w:pPr>
        <w:jc w:val="both"/>
        <w:ind w:right="180" w:firstLine="528"/>
        <w:spacing w:after="0" w:line="233" w:lineRule="auto"/>
        <w:rPr>
          <w:sz w:val="20"/>
          <w:szCs w:val="20"/>
          <w:color w:val="auto"/>
        </w:rPr>
      </w:pPr>
      <w:r>
        <w:rPr>
          <w:rFonts w:ascii="Arial" w:cs="Arial" w:eastAsia="Arial" w:hAnsi="Arial"/>
          <w:sz w:val="16"/>
          <w:szCs w:val="16"/>
          <w:color w:val="auto"/>
        </w:rPr>
        <w:t>As of March 31, 2020, the total of cash and cash equivalents held by foreign subsidiaries was $92 million, the majority of which was located in China and Europe. We manage our worldwide cash requirements considering available funds among the subsidiaries through which we conduct our business and the cost effectiveness with which those funds can be accessed. As a result, we do not currently anticipate any local liquidity restrictions will preclude us from funding our targeted initiatives or operating needs with local resources.</w:t>
      </w:r>
    </w:p>
    <w:p>
      <w:pPr>
        <w:spacing w:after="0" w:line="131" w:lineRule="exact"/>
        <w:rPr>
          <w:sz w:val="20"/>
          <w:szCs w:val="20"/>
          <w:color w:val="auto"/>
        </w:rPr>
      </w:pPr>
    </w:p>
    <w:p>
      <w:pPr>
        <w:ind w:right="40" w:firstLine="528"/>
        <w:spacing w:after="0" w:line="231" w:lineRule="auto"/>
        <w:rPr>
          <w:sz w:val="20"/>
          <w:szCs w:val="20"/>
          <w:color w:val="auto"/>
        </w:rPr>
      </w:pPr>
      <w:r>
        <w:rPr>
          <w:rFonts w:ascii="Arial" w:cs="Arial" w:eastAsia="Arial" w:hAnsi="Arial"/>
          <w:sz w:val="16"/>
          <w:szCs w:val="16"/>
          <w:color w:val="auto"/>
        </w:rPr>
        <w:t>We have not recognized any deferred tax liabilities associated with earnings in foreign subsidiaries, except for our subsidiary located in China, as they are intended to be permanently reinvested and used to support foreign operations or have no associated tax requirements. We have recorded a deferred tax liability of $3 million for the tax liability associated with the remittance of previously taxed income and unremitted earnings for our subsidiary located in China. The U.S. Tax Cuts and Jobs Act requirement of a one-time repatriation tax on foreign earnings and profits resulted in us recording a $6 million liability for the deemed repatriation to be paid to the U.S. Government in 2017. In the future, the U.S. Tax Cuts and Jobs Act provides for tax free repatriations of earnings and profits generated by foreign subsidiaries through a 100% dividends received deduction. The remaining deferred tax liabilities, if recorded, related to unremitted earnings that are indefinitely reinvested are not material.</w:t>
      </w:r>
    </w:p>
    <w:p>
      <w:pPr>
        <w:spacing w:after="0" w:line="87" w:lineRule="exact"/>
        <w:rPr>
          <w:sz w:val="20"/>
          <w:szCs w:val="20"/>
          <w:color w:val="auto"/>
        </w:rPr>
      </w:pPr>
    </w:p>
    <w:p>
      <w:pPr>
        <w:ind w:right="120" w:firstLine="528"/>
        <w:spacing w:after="0" w:line="231" w:lineRule="auto"/>
        <w:rPr>
          <w:sz w:val="20"/>
          <w:szCs w:val="20"/>
          <w:color w:val="auto"/>
        </w:rPr>
      </w:pPr>
      <w:r>
        <w:rPr>
          <w:rFonts w:ascii="Arial" w:cs="Arial" w:eastAsia="Arial" w:hAnsi="Arial"/>
          <w:sz w:val="16"/>
          <w:szCs w:val="16"/>
          <w:color w:val="auto"/>
        </w:rPr>
        <w:t>Our liquidity requirements are significant, primarily due to our debt service requirements. As of March 31, 2020, we had $643 million of indebtedness associated with ATI’s New Term Loan, $1,000 million of indebtedness associated with ATI’s 5.0% Senior Notes due September 2024 (“5.0% Senior Notes”), $400 million of indebtedness associated with ATI’s 4.75% Senior Notes due October 2027 (“4.75% Senior Notes”) and $500 million of indebtedness associated with ATI’s 5.875% Senior Notes due June 2029 (“5.875% Senior Notes” and, together with the 5.0% Senior Notes and 4.75% Senior Notes, the “Senior Notes”). The minimum required quarterly principal payment on ATI’s New Term Loan through its maturity date of March 2026 is $2 million. We made $2 million and zero principal payments on the New Senior Secured Credit Facility during the three months ended March 31, 2020 and March 31, 2019, respectively. There are no required quarterly principal payments on ATI’s Senior Notes.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55245</wp:posOffset>
            </wp:positionV>
            <wp:extent cx="7150100" cy="146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0"/>
          </w:cols>
          <w:pgMar w:left="320" w:top="140" w:right="319" w:bottom="1440" w:gutter="0" w:footer="0" w:header="0"/>
        </w:sectPr>
      </w:pPr>
    </w:p>
    <w:bookmarkStart w:id="30" w:name="page31"/>
    <w:bookmarkEnd w:id="3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44" w:lineRule="exact"/>
        <w:rPr>
          <w:sz w:val="20"/>
          <w:szCs w:val="20"/>
          <w:color w:val="auto"/>
        </w:rPr>
      </w:pPr>
    </w:p>
    <w:p>
      <w:pPr>
        <w:ind w:right="40" w:firstLine="522"/>
        <w:spacing w:after="0" w:line="230" w:lineRule="auto"/>
        <w:rPr>
          <w:sz w:val="20"/>
          <w:szCs w:val="20"/>
          <w:color w:val="auto"/>
        </w:rPr>
      </w:pPr>
      <w:r>
        <w:rPr>
          <w:rFonts w:ascii="Arial" w:cs="Arial" w:eastAsia="Arial" w:hAnsi="Arial"/>
          <w:sz w:val="16"/>
          <w:szCs w:val="16"/>
          <w:color w:val="auto"/>
        </w:rPr>
        <w:t>The New Senior Secured Credit Facility provides for a $600 million New Revolving Credit Facility, net of an allowance for up to $75 million in outstanding letter of credit commitments. Throughout the three months ended March 31, 2020, we made periodic withdrawals and payments on the New Revolving Credit Facility as part of our debt management plans. The maximum amount outstanding at any time during the quarter ended March 31, 2020 was $300 million. As of March 31, 2020, we had $595 million available under the New Revolving Credit Facility, net of $5 million in letters of credit. As of March 31, 2020, we had no amounts outstanding under the New Revolving Credit Facility. If we have commitments outstanding on the New Revolving Credit Facility at the end of a fiscal quarter, the New Senior Secured Credit Facility requires us to maintain a specified maximum first lien net leverage ratio of 5.50x. Additionally, within the terms of the New Senior Secured Credit Facility, a first lien net leverage ratio at or below 4.00x results in the elimination of excess cash flow payments on the New Senior Secured Credit Facility for the applicable year. As of March 31, 2020, our first lien net leverage ratio was 0.50x. The New Senior Secured Credit Facility also provides certain financial incentives based on our first lien net leverage ratio. A first lien net leverage ratio at or below 4.00x and above 3.50x results in a 25 basis point reduction to the applicable margin on the New Revolving Credit Facility. A first lien net leverage ratio at or below 3.50x results in an additional 25 basis point reduction to the applicable margin on the New Revolving Credit Facility. These reductions remain in effect as long as we achieve a first lien net leverage ratio at or below the related threshold.</w:t>
      </w:r>
    </w:p>
    <w:p>
      <w:pPr>
        <w:spacing w:after="0" w:line="139" w:lineRule="exact"/>
        <w:rPr>
          <w:sz w:val="20"/>
          <w:szCs w:val="20"/>
          <w:color w:val="auto"/>
        </w:rPr>
      </w:pPr>
    </w:p>
    <w:p>
      <w:pPr>
        <w:ind w:right="20" w:firstLine="522"/>
        <w:spacing w:after="0" w:line="231" w:lineRule="auto"/>
        <w:rPr>
          <w:sz w:val="20"/>
          <w:szCs w:val="20"/>
          <w:color w:val="auto"/>
        </w:rPr>
      </w:pPr>
      <w:r>
        <w:rPr>
          <w:rFonts w:ascii="Arial" w:cs="Arial" w:eastAsia="Arial" w:hAnsi="Arial"/>
          <w:sz w:val="16"/>
          <w:szCs w:val="16"/>
          <w:color w:val="auto"/>
        </w:rPr>
        <w:t>In addition, the Credit Agreement includes, among other things, customary restrictions (subject to certain exceptions) on our ability to incur certain indebtedness, grant certain liens, make certain investments, engage in acquisitions, consolidations and mergers, declare or pay certain dividends, and repurchase shares of our common stock. The indentures governing the Senior Notes contain negative covenants restricting or limiting our ability to, among other things, incur or guarantee additional indebtedness, incur liens, pay dividends on, redeem or repurchase our capital stock, make certain investments, permit payment or dividend restrictions on certain of our subsidiaries, sell assets, engage in certain transactions with affiliates, and consolidate or merge or sell all or substantially all of our assets. As of March 31, 2020, we are in compliance with all covenants under the New Senior Secured Credit Facility and indentures governing the Senior Notes.</w:t>
      </w:r>
    </w:p>
    <w:p>
      <w:pPr>
        <w:spacing w:after="0" w:line="134" w:lineRule="exact"/>
        <w:rPr>
          <w:sz w:val="20"/>
          <w:szCs w:val="20"/>
          <w:color w:val="auto"/>
        </w:rPr>
      </w:pPr>
    </w:p>
    <w:p>
      <w:pPr>
        <w:ind w:firstLine="522"/>
        <w:spacing w:after="0" w:line="234" w:lineRule="auto"/>
        <w:rPr>
          <w:sz w:val="20"/>
          <w:szCs w:val="20"/>
          <w:color w:val="auto"/>
        </w:rPr>
      </w:pPr>
      <w:r>
        <w:rPr>
          <w:rFonts w:ascii="Arial" w:cs="Arial" w:eastAsia="Arial" w:hAnsi="Arial"/>
          <w:sz w:val="16"/>
          <w:szCs w:val="16"/>
          <w:color w:val="auto"/>
        </w:rPr>
        <w:t>Our credit ratings are reviewed by Moody’s Investors Service (“Moody’s”) and Fitch Ratings (“Fitch”). Moody’s rates our corporate credit at ‘Ba2’, New Term Loan at ‘Baa3’, 5.0% Senior Notes at ‘Ba3’, 4.75% Senior Notes at ‘Ba3’ and 5.875% Senior Notes at 'Ba3'. Fitch rates our corporate credit at ‘BB’, New Term Loan at ‘BB+’, 5.0% Senior Notes at ‘BB’, 4.75% Senior Notes at ‘BB’ and 5.875% Senior Notes at 'BB'.</w:t>
      </w:r>
    </w:p>
    <w:p>
      <w:pPr>
        <w:spacing w:after="0" w:line="84" w:lineRule="exact"/>
        <w:rPr>
          <w:sz w:val="20"/>
          <w:szCs w:val="20"/>
          <w:color w:val="auto"/>
        </w:rPr>
      </w:pPr>
    </w:p>
    <w:p>
      <w:pPr>
        <w:ind w:right="140" w:firstLine="528"/>
        <w:spacing w:after="0" w:line="232" w:lineRule="auto"/>
        <w:rPr>
          <w:sz w:val="20"/>
          <w:szCs w:val="20"/>
          <w:color w:val="auto"/>
        </w:rPr>
      </w:pPr>
      <w:r>
        <w:rPr>
          <w:rFonts w:ascii="Arial" w:cs="Arial" w:eastAsia="Arial" w:hAnsi="Arial"/>
          <w:sz w:val="16"/>
          <w:szCs w:val="16"/>
          <w:color w:val="auto"/>
        </w:rPr>
        <w:t>On November 14, 2016, our Board of Directors authorized us to repurchase up to $1,000 million of our common stock pursuant to a stock repurchase program (the "Repurchase Program"). On November 8, 2017, July 30, 2018 and May 9, 2019, our Board of Directors increased the authorization by $500 million, $500 million and $1,000 million, respectively, bringing the total amount authorized under the Repurchase Program to $3,000 million. During the three months ended March 31, 2020, we repurchased approximately $180 million of our common stock under the Repurchase Program. All of the repurchase transactions during the three months ended March 31, 2020 were settled in cash during the same period. As of March 31, 2020, we had approximately $872 million available under the Repurchase Program.</w:t>
      </w: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55245</wp:posOffset>
            </wp:positionV>
            <wp:extent cx="7150100" cy="146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1" w:name="page32"/>
    <w:bookmarkEnd w:id="3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9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following table shows our sources and uses of funds for the three months ended March 31, 2020 and 2019 (in millions):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7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400" w:type="dxa"/>
            <w:vAlign w:val="bottom"/>
            <w:gridSpan w:val="3"/>
          </w:tcPr>
          <w:p>
            <w:pPr>
              <w:jc w:val="right"/>
              <w:ind w:right="80"/>
              <w:spacing w:after="0"/>
              <w:rPr>
                <w:sz w:val="20"/>
                <w:szCs w:val="20"/>
                <w:color w:val="auto"/>
              </w:rPr>
            </w:pPr>
            <w:r>
              <w:rPr>
                <w:rFonts w:ascii="Arial" w:cs="Arial" w:eastAsia="Arial" w:hAnsi="Arial"/>
                <w:sz w:val="13"/>
                <w:szCs w:val="13"/>
                <w:b w:val="1"/>
                <w:bCs w:val="1"/>
                <w:color w:val="auto"/>
              </w:rPr>
              <w:t>Three Months Ended</w:t>
            </w:r>
          </w:p>
        </w:tc>
        <w:tc>
          <w:tcPr>
            <w:tcW w:w="1120" w:type="dxa"/>
            <w:vAlign w:val="bottom"/>
          </w:tcPr>
          <w:p>
            <w:pPr>
              <w:spacing w:after="0"/>
              <w:rPr>
                <w:sz w:val="13"/>
                <w:szCs w:val="13"/>
                <w:color w:val="auto"/>
              </w:rPr>
            </w:pPr>
          </w:p>
        </w:tc>
      </w:tr>
      <w:tr>
        <w:trPr>
          <w:trHeight w:val="153"/>
        </w:trPr>
        <w:tc>
          <w:tcPr>
            <w:tcW w:w="7740" w:type="dxa"/>
            <w:vAlign w:val="bottom"/>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gridSpan w:val="3"/>
          </w:tcPr>
          <w:p>
            <w:pPr>
              <w:jc w:val="right"/>
              <w:ind w:right="420"/>
              <w:spacing w:after="0"/>
              <w:rPr>
                <w:sz w:val="20"/>
                <w:szCs w:val="20"/>
                <w:color w:val="auto"/>
              </w:rPr>
            </w:pPr>
            <w:r>
              <w:rPr>
                <w:rFonts w:ascii="Arial" w:cs="Arial" w:eastAsia="Arial" w:hAnsi="Arial"/>
                <w:sz w:val="13"/>
                <w:szCs w:val="13"/>
                <w:b w:val="1"/>
                <w:bCs w:val="1"/>
                <w:color w:val="auto"/>
              </w:rPr>
              <w:t>March 31,</w:t>
            </w:r>
          </w:p>
        </w:tc>
        <w:tc>
          <w:tcPr>
            <w:tcW w:w="1120" w:type="dxa"/>
            <w:vAlign w:val="bottom"/>
            <w:tcBorders>
              <w:bottom w:val="single" w:sz="8" w:color="auto"/>
            </w:tcBorders>
          </w:tcPr>
          <w:p>
            <w:pPr>
              <w:spacing w:after="0"/>
              <w:rPr>
                <w:sz w:val="13"/>
                <w:szCs w:val="13"/>
                <w:color w:val="auto"/>
              </w:rPr>
            </w:pPr>
          </w:p>
        </w:tc>
      </w:tr>
      <w:tr>
        <w:trPr>
          <w:trHeight w:val="144"/>
        </w:trPr>
        <w:tc>
          <w:tcPr>
            <w:tcW w:w="7740" w:type="dxa"/>
            <w:vAlign w:val="bottom"/>
            <w:tcBorders>
              <w:bottom w:val="single" w:sz="8" w:color="CFF0FC"/>
            </w:tcBorders>
          </w:tcPr>
          <w:p>
            <w:pPr>
              <w:spacing w:after="0" w:line="144" w:lineRule="exact"/>
              <w:rPr>
                <w:sz w:val="20"/>
                <w:szCs w:val="20"/>
                <w:color w:val="auto"/>
              </w:rPr>
            </w:pPr>
            <w:r>
              <w:rPr>
                <w:rFonts w:ascii="Arial" w:cs="Arial" w:eastAsia="Arial" w:hAnsi="Arial"/>
                <w:sz w:val="13"/>
                <w:szCs w:val="13"/>
                <w:b w:val="1"/>
                <w:bCs w:val="1"/>
                <w:i w:val="1"/>
                <w:iCs w:val="1"/>
                <w:color w:val="auto"/>
              </w:rPr>
              <w:t>Statements of Cash Flows Data</w:t>
            </w:r>
          </w:p>
        </w:tc>
        <w:tc>
          <w:tcPr>
            <w:tcW w:w="1000" w:type="dxa"/>
            <w:vAlign w:val="bottom"/>
            <w:tcBorders>
              <w:bottom w:val="single" w:sz="8" w:color="auto"/>
            </w:tcBorders>
          </w:tcPr>
          <w:p>
            <w:pPr>
              <w:jc w:val="right"/>
              <w:ind w:right="6"/>
              <w:spacing w:after="0" w:line="144" w:lineRule="exact"/>
              <w:rPr>
                <w:sz w:val="20"/>
                <w:szCs w:val="20"/>
                <w:color w:val="auto"/>
              </w:rPr>
            </w:pPr>
            <w:r>
              <w:rPr>
                <w:rFonts w:ascii="Arial" w:cs="Arial" w:eastAsia="Arial" w:hAnsi="Arial"/>
                <w:sz w:val="13"/>
                <w:szCs w:val="13"/>
                <w:b w:val="1"/>
                <w:bCs w:val="1"/>
                <w:color w:val="auto"/>
              </w:rPr>
              <w:t>2020</w:t>
            </w:r>
          </w:p>
        </w:tc>
        <w:tc>
          <w:tcPr>
            <w:tcW w:w="660" w:type="dxa"/>
            <w:vAlign w:val="bottom"/>
            <w:tcBorders>
              <w:bottom w:val="single" w:sz="8" w:color="auto"/>
            </w:tcBorders>
          </w:tcPr>
          <w:p>
            <w:pPr>
              <w:spacing w:after="0"/>
              <w:rPr>
                <w:sz w:val="12"/>
                <w:szCs w:val="12"/>
                <w:color w:val="auto"/>
              </w:rPr>
            </w:pPr>
          </w:p>
        </w:tc>
        <w:tc>
          <w:tcPr>
            <w:tcW w:w="180" w:type="dxa"/>
            <w:vAlign w:val="bottom"/>
            <w:tcBorders>
              <w:bottom w:val="single" w:sz="8" w:color="CFF0FC"/>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706"/>
              <w:spacing w:after="0" w:line="144" w:lineRule="exact"/>
              <w:rPr>
                <w:sz w:val="20"/>
                <w:szCs w:val="20"/>
                <w:color w:val="auto"/>
              </w:rPr>
            </w:pPr>
            <w:r>
              <w:rPr>
                <w:rFonts w:ascii="Arial" w:cs="Arial" w:eastAsia="Arial" w:hAnsi="Arial"/>
                <w:sz w:val="13"/>
                <w:szCs w:val="13"/>
                <w:b w:val="1"/>
                <w:bCs w:val="1"/>
                <w:color w:val="auto"/>
              </w:rPr>
              <w:t>2019</w:t>
            </w:r>
          </w:p>
        </w:tc>
      </w:tr>
      <w:tr>
        <w:trPr>
          <w:trHeight w:val="180"/>
        </w:trPr>
        <w:tc>
          <w:tcPr>
            <w:tcW w:w="7740" w:type="dxa"/>
            <w:vAlign w:val="bottom"/>
            <w:shd w:val="clear" w:color="auto" w:fill="CFF0FC"/>
          </w:tcPr>
          <w:p>
            <w:pPr>
              <w:spacing w:after="0" w:line="180" w:lineRule="exact"/>
              <w:rPr>
                <w:sz w:val="20"/>
                <w:szCs w:val="20"/>
                <w:color w:val="auto"/>
              </w:rPr>
            </w:pPr>
            <w:r>
              <w:rPr>
                <w:rFonts w:ascii="Arial" w:cs="Arial" w:eastAsia="Arial" w:hAnsi="Arial"/>
                <w:sz w:val="16"/>
                <w:szCs w:val="16"/>
                <w:color w:val="auto"/>
              </w:rPr>
              <w:t>Cash flows provided by operating activities</w:t>
            </w:r>
          </w:p>
        </w:tc>
        <w:tc>
          <w:tcPr>
            <w:tcW w:w="1000" w:type="dxa"/>
            <w:vAlign w:val="bottom"/>
            <w:shd w:val="clear" w:color="auto" w:fill="CFF0FC"/>
          </w:tcPr>
          <w:p>
            <w:pPr>
              <w:jc w:val="right"/>
              <w:ind w:right="826"/>
              <w:spacing w:after="0" w:line="180" w:lineRule="exact"/>
              <w:rPr>
                <w:sz w:val="20"/>
                <w:szCs w:val="20"/>
                <w:color w:val="auto"/>
              </w:rPr>
            </w:pPr>
            <w:r>
              <w:rPr>
                <w:rFonts w:ascii="Arial" w:cs="Arial" w:eastAsia="Arial" w:hAnsi="Arial"/>
                <w:sz w:val="16"/>
                <w:szCs w:val="16"/>
                <w:b w:val="1"/>
                <w:bCs w:val="1"/>
                <w:color w:val="auto"/>
                <w:w w:val="89"/>
              </w:rPr>
              <w:t>$</w:t>
            </w:r>
          </w:p>
        </w:tc>
        <w:tc>
          <w:tcPr>
            <w:tcW w:w="660" w:type="dxa"/>
            <w:vAlign w:val="bottom"/>
            <w:shd w:val="clear" w:color="auto" w:fill="CFF0FC"/>
          </w:tcPr>
          <w:p>
            <w:pPr>
              <w:jc w:val="right"/>
              <w:ind w:right="48"/>
              <w:spacing w:after="0" w:line="180" w:lineRule="exact"/>
              <w:rPr>
                <w:sz w:val="20"/>
                <w:szCs w:val="20"/>
                <w:color w:val="auto"/>
              </w:rPr>
            </w:pPr>
            <w:r>
              <w:rPr>
                <w:rFonts w:ascii="Arial" w:cs="Arial" w:eastAsia="Arial" w:hAnsi="Arial"/>
                <w:sz w:val="16"/>
                <w:szCs w:val="16"/>
                <w:b w:val="1"/>
                <w:bCs w:val="1"/>
                <w:color w:val="auto"/>
              </w:rPr>
              <w:t>148</w:t>
            </w:r>
          </w:p>
        </w:tc>
        <w:tc>
          <w:tcPr>
            <w:tcW w:w="740" w:type="dxa"/>
            <w:vAlign w:val="bottom"/>
            <w:gridSpan w:val="2"/>
            <w:shd w:val="clear" w:color="auto" w:fill="CFF0FC"/>
          </w:tcPr>
          <w:p>
            <w:pPr>
              <w:jc w:val="right"/>
              <w:ind w:right="480"/>
              <w:spacing w:after="0" w:line="180" w:lineRule="exact"/>
              <w:rPr>
                <w:sz w:val="20"/>
                <w:szCs w:val="20"/>
                <w:color w:val="auto"/>
              </w:rPr>
            </w:pPr>
            <w:r>
              <w:rPr>
                <w:rFonts w:ascii="Arial" w:cs="Arial" w:eastAsia="Arial" w:hAnsi="Arial"/>
                <w:sz w:val="16"/>
                <w:szCs w:val="16"/>
                <w:color w:val="auto"/>
              </w:rPr>
              <w:t>$</w:t>
            </w:r>
          </w:p>
        </w:tc>
        <w:tc>
          <w:tcPr>
            <w:tcW w:w="1120" w:type="dxa"/>
            <w:vAlign w:val="bottom"/>
            <w:shd w:val="clear" w:color="auto" w:fill="CFF0FC"/>
          </w:tcPr>
          <w:p>
            <w:pPr>
              <w:jc w:val="right"/>
              <w:ind w:right="66"/>
              <w:spacing w:after="0" w:line="180" w:lineRule="exact"/>
              <w:rPr>
                <w:sz w:val="20"/>
                <w:szCs w:val="20"/>
                <w:color w:val="auto"/>
              </w:rPr>
            </w:pPr>
            <w:r>
              <w:rPr>
                <w:rFonts w:ascii="Arial" w:cs="Arial" w:eastAsia="Arial" w:hAnsi="Arial"/>
                <w:sz w:val="16"/>
                <w:szCs w:val="16"/>
                <w:color w:val="auto"/>
              </w:rPr>
              <w:t>194</w:t>
            </w:r>
          </w:p>
        </w:tc>
      </w:tr>
      <w:tr>
        <w:trPr>
          <w:trHeight w:val="188"/>
        </w:trPr>
        <w:tc>
          <w:tcPr>
            <w:tcW w:w="7740" w:type="dxa"/>
            <w:vAlign w:val="bottom"/>
          </w:tcPr>
          <w:p>
            <w:pPr>
              <w:spacing w:after="0"/>
              <w:rPr>
                <w:sz w:val="20"/>
                <w:szCs w:val="20"/>
                <w:color w:val="auto"/>
              </w:rPr>
            </w:pPr>
            <w:r>
              <w:rPr>
                <w:rFonts w:ascii="Arial" w:cs="Arial" w:eastAsia="Arial" w:hAnsi="Arial"/>
                <w:sz w:val="16"/>
                <w:szCs w:val="16"/>
                <w:color w:val="auto"/>
              </w:rPr>
              <w:t>Cash flows used for investing activities</w:t>
            </w:r>
          </w:p>
        </w:tc>
        <w:tc>
          <w:tcPr>
            <w:tcW w:w="1000" w:type="dxa"/>
            <w:vAlign w:val="bottom"/>
          </w:tcPr>
          <w:p>
            <w:pPr>
              <w:jc w:val="right"/>
              <w:ind w:right="826"/>
              <w:spacing w:after="0"/>
              <w:rPr>
                <w:sz w:val="20"/>
                <w:szCs w:val="20"/>
                <w:color w:val="auto"/>
              </w:rPr>
            </w:pPr>
            <w:r>
              <w:rPr>
                <w:rFonts w:ascii="Arial" w:cs="Arial" w:eastAsia="Arial" w:hAnsi="Arial"/>
                <w:sz w:val="16"/>
                <w:szCs w:val="16"/>
                <w:b w:val="1"/>
                <w:bCs w:val="1"/>
                <w:color w:val="auto"/>
                <w:w w:val="89"/>
              </w:rPr>
              <w:t>$</w:t>
            </w: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(21)</w:t>
            </w:r>
          </w:p>
        </w:tc>
        <w:tc>
          <w:tcPr>
            <w:tcW w:w="740" w:type="dxa"/>
            <w:vAlign w:val="bottom"/>
            <w:gridSpan w:val="2"/>
          </w:tcPr>
          <w:p>
            <w:pPr>
              <w:jc w:val="right"/>
              <w:ind w:right="480"/>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6"/>
              <w:spacing w:after="0"/>
              <w:rPr>
                <w:sz w:val="20"/>
                <w:szCs w:val="20"/>
                <w:color w:val="auto"/>
              </w:rPr>
            </w:pPr>
            <w:r>
              <w:rPr>
                <w:rFonts w:ascii="Arial" w:cs="Arial" w:eastAsia="Arial" w:hAnsi="Arial"/>
                <w:sz w:val="16"/>
                <w:szCs w:val="16"/>
                <w:color w:val="auto"/>
              </w:rPr>
              <w:t>(19)</w:t>
            </w:r>
          </w:p>
        </w:tc>
      </w:tr>
      <w:tr>
        <w:trPr>
          <w:trHeight w:val="188"/>
        </w:trPr>
        <w:tc>
          <w:tcPr>
            <w:tcW w:w="7740" w:type="dxa"/>
            <w:vAlign w:val="bottom"/>
            <w:shd w:val="clear" w:color="auto" w:fill="CFF0FC"/>
          </w:tcPr>
          <w:p>
            <w:pPr>
              <w:spacing w:after="0"/>
              <w:rPr>
                <w:sz w:val="20"/>
                <w:szCs w:val="20"/>
                <w:color w:val="auto"/>
              </w:rPr>
            </w:pPr>
            <w:r>
              <w:rPr>
                <w:rFonts w:ascii="Arial" w:cs="Arial" w:eastAsia="Arial" w:hAnsi="Arial"/>
                <w:sz w:val="16"/>
                <w:szCs w:val="16"/>
                <w:color w:val="auto"/>
              </w:rPr>
              <w:t>Cash flows used for financing activities</w:t>
            </w:r>
          </w:p>
        </w:tc>
        <w:tc>
          <w:tcPr>
            <w:tcW w:w="1000" w:type="dxa"/>
            <w:vAlign w:val="bottom"/>
            <w:shd w:val="clear" w:color="auto" w:fill="CFF0FC"/>
          </w:tcPr>
          <w:p>
            <w:pPr>
              <w:jc w:val="right"/>
              <w:ind w:right="826"/>
              <w:spacing w:after="0"/>
              <w:rPr>
                <w:sz w:val="20"/>
                <w:szCs w:val="20"/>
                <w:color w:val="auto"/>
              </w:rPr>
            </w:pPr>
            <w:r>
              <w:rPr>
                <w:rFonts w:ascii="Arial" w:cs="Arial" w:eastAsia="Arial" w:hAnsi="Arial"/>
                <w:sz w:val="16"/>
                <w:szCs w:val="16"/>
                <w:b w:val="1"/>
                <w:bCs w:val="1"/>
                <w:color w:val="auto"/>
                <w:w w:val="89"/>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(203)</w:t>
            </w:r>
          </w:p>
        </w:tc>
        <w:tc>
          <w:tcPr>
            <w:tcW w:w="740" w:type="dxa"/>
            <w:vAlign w:val="bottom"/>
            <w:gridSpan w:val="2"/>
            <w:shd w:val="clear" w:color="auto" w:fill="CFF0FC"/>
          </w:tcPr>
          <w:p>
            <w:pPr>
              <w:jc w:val="right"/>
              <w:ind w:right="48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FF0FC"/>
          </w:tcPr>
          <w:p>
            <w:pPr>
              <w:jc w:val="right"/>
              <w:ind w:right="6"/>
              <w:spacing w:after="0"/>
              <w:rPr>
                <w:sz w:val="20"/>
                <w:szCs w:val="20"/>
                <w:color w:val="auto"/>
              </w:rPr>
            </w:pPr>
            <w:r>
              <w:rPr>
                <w:rFonts w:ascii="Arial" w:cs="Arial" w:eastAsia="Arial" w:hAnsi="Arial"/>
                <w:sz w:val="16"/>
                <w:szCs w:val="16"/>
                <w:color w:val="auto"/>
              </w:rPr>
              <w:t>(83)</w:t>
            </w:r>
          </w:p>
        </w:tc>
      </w:tr>
    </w:tbl>
    <w:p>
      <w:pPr>
        <w:spacing w:after="0" w:line="211" w:lineRule="exact"/>
        <w:rPr>
          <w:sz w:val="20"/>
          <w:szCs w:val="20"/>
          <w:color w:val="auto"/>
        </w:rPr>
      </w:pPr>
    </w:p>
    <w:p>
      <w:pPr>
        <w:ind w:firstLine="528"/>
        <w:spacing w:after="0" w:line="232" w:lineRule="auto"/>
        <w:rPr>
          <w:sz w:val="20"/>
          <w:szCs w:val="20"/>
          <w:color w:val="auto"/>
        </w:rPr>
      </w:pPr>
      <w:r>
        <w:rPr>
          <w:rFonts w:ascii="Arial" w:cs="Arial" w:eastAsia="Arial" w:hAnsi="Arial"/>
          <w:sz w:val="16"/>
          <w:szCs w:val="16"/>
          <w:color w:val="auto"/>
        </w:rPr>
        <w:t>Generally, cash provided by operating activities has been adequate to fund our operations. As we cannot predict the duration or scope of the COVID-19 pandemic and its impact on our customers and suppliers, the negative financial impact to our cash provided by operating activities could be material. We are actively managing the business to maintain cash flow, and we have significant liquidity, including $595 million available under the New Revolving Credit Facility as of March 31, 2020. At this time, we believe these actions along with cash provided by operating activities, cash and cash equivalents and borrowing capacity under the New Senior Secured Credit Facility will be sufficient to meet our cash requirements for the next twelve months.</w:t>
      </w:r>
    </w:p>
    <w:p>
      <w:pPr>
        <w:spacing w:after="0" w:line="114" w:lineRule="exact"/>
        <w:rPr>
          <w:sz w:val="20"/>
          <w:szCs w:val="20"/>
          <w:color w:val="auto"/>
        </w:rPr>
      </w:pPr>
    </w:p>
    <w:p>
      <w:pPr>
        <w:ind w:left="260"/>
        <w:spacing w:after="0"/>
        <w:rPr>
          <w:sz w:val="20"/>
          <w:szCs w:val="20"/>
          <w:color w:val="auto"/>
        </w:rPr>
      </w:pPr>
      <w:r>
        <w:rPr>
          <w:rFonts w:ascii="Arial" w:cs="Arial" w:eastAsia="Arial" w:hAnsi="Arial"/>
          <w:sz w:val="16"/>
          <w:szCs w:val="16"/>
          <w:b w:val="1"/>
          <w:bCs w:val="1"/>
          <w:i w:val="1"/>
          <w:iCs w:val="1"/>
          <w:color w:val="auto"/>
        </w:rPr>
        <w:t>Cash provided by operating activities</w:t>
      </w:r>
    </w:p>
    <w:p>
      <w:pPr>
        <w:spacing w:after="0" w:line="104" w:lineRule="exact"/>
        <w:rPr>
          <w:sz w:val="20"/>
          <w:szCs w:val="20"/>
          <w:color w:val="auto"/>
        </w:rPr>
      </w:pPr>
    </w:p>
    <w:p>
      <w:pPr>
        <w:ind w:right="460" w:firstLine="528"/>
        <w:spacing w:after="0" w:line="234" w:lineRule="auto"/>
        <w:rPr>
          <w:sz w:val="20"/>
          <w:szCs w:val="20"/>
          <w:color w:val="auto"/>
        </w:rPr>
      </w:pPr>
      <w:r>
        <w:rPr>
          <w:rFonts w:ascii="Arial" w:cs="Arial" w:eastAsia="Arial" w:hAnsi="Arial"/>
          <w:sz w:val="16"/>
          <w:szCs w:val="16"/>
          <w:color w:val="auto"/>
        </w:rPr>
        <w:t>Operating activities for the three months ended March 31, 2020 generated $148 million of cash compared to $ 194 million for the three months ended March 31, 2019. The decrease was principally driven by lower gross profit and increased product initiatives spending, partially offset by lower cash interest expense.</w:t>
      </w:r>
    </w:p>
    <w:p>
      <w:pPr>
        <w:spacing w:after="0" w:line="113" w:lineRule="exact"/>
        <w:rPr>
          <w:sz w:val="20"/>
          <w:szCs w:val="20"/>
          <w:color w:val="auto"/>
        </w:rPr>
      </w:pPr>
    </w:p>
    <w:p>
      <w:pPr>
        <w:ind w:left="260"/>
        <w:spacing w:after="0"/>
        <w:rPr>
          <w:sz w:val="20"/>
          <w:szCs w:val="20"/>
          <w:color w:val="auto"/>
        </w:rPr>
      </w:pPr>
      <w:r>
        <w:rPr>
          <w:rFonts w:ascii="Arial" w:cs="Arial" w:eastAsia="Arial" w:hAnsi="Arial"/>
          <w:sz w:val="16"/>
          <w:szCs w:val="16"/>
          <w:b w:val="1"/>
          <w:bCs w:val="1"/>
          <w:i w:val="1"/>
          <w:iCs w:val="1"/>
          <w:color w:val="auto"/>
        </w:rPr>
        <w:t>Cash used for investing activities</w:t>
      </w:r>
    </w:p>
    <w:p>
      <w:pPr>
        <w:spacing w:after="0" w:line="104" w:lineRule="exact"/>
        <w:rPr>
          <w:sz w:val="20"/>
          <w:szCs w:val="20"/>
          <w:color w:val="auto"/>
        </w:rPr>
      </w:pPr>
    </w:p>
    <w:p>
      <w:pPr>
        <w:ind w:right="320" w:firstLine="528"/>
        <w:spacing w:after="0" w:line="234" w:lineRule="auto"/>
        <w:rPr>
          <w:sz w:val="20"/>
          <w:szCs w:val="20"/>
          <w:color w:val="auto"/>
        </w:rPr>
      </w:pPr>
      <w:r>
        <w:rPr>
          <w:rFonts w:ascii="Arial" w:cs="Arial" w:eastAsia="Arial" w:hAnsi="Arial"/>
          <w:sz w:val="16"/>
          <w:szCs w:val="16"/>
          <w:color w:val="auto"/>
        </w:rPr>
        <w:t>Investing activities for the three months ended March 31, 2020 used $21 million of cash compared to $19 million for the three months ended March 31, 2019. The increase was principally driven a $2 million increase in capital expenditures principally driven by increased spending related to investments in productivity and replacement programs and engineering and testing capabilities.</w:t>
      </w:r>
    </w:p>
    <w:p>
      <w:pPr>
        <w:spacing w:after="0" w:line="113" w:lineRule="exact"/>
        <w:rPr>
          <w:sz w:val="20"/>
          <w:szCs w:val="20"/>
          <w:color w:val="auto"/>
        </w:rPr>
      </w:pPr>
    </w:p>
    <w:p>
      <w:pPr>
        <w:ind w:left="260"/>
        <w:spacing w:after="0"/>
        <w:rPr>
          <w:sz w:val="20"/>
          <w:szCs w:val="20"/>
          <w:color w:val="auto"/>
        </w:rPr>
      </w:pPr>
      <w:r>
        <w:rPr>
          <w:rFonts w:ascii="Arial" w:cs="Arial" w:eastAsia="Arial" w:hAnsi="Arial"/>
          <w:sz w:val="16"/>
          <w:szCs w:val="16"/>
          <w:b w:val="1"/>
          <w:bCs w:val="1"/>
          <w:i w:val="1"/>
          <w:iCs w:val="1"/>
          <w:color w:val="auto"/>
        </w:rPr>
        <w:t>Cash used for financing activities</w:t>
      </w:r>
    </w:p>
    <w:p>
      <w:pPr>
        <w:spacing w:after="0" w:line="104" w:lineRule="exact"/>
        <w:rPr>
          <w:sz w:val="20"/>
          <w:szCs w:val="20"/>
          <w:color w:val="auto"/>
        </w:rPr>
      </w:pPr>
    </w:p>
    <w:p>
      <w:pPr>
        <w:ind w:right="20" w:firstLine="528"/>
        <w:spacing w:after="0" w:line="234" w:lineRule="auto"/>
        <w:rPr>
          <w:sz w:val="20"/>
          <w:szCs w:val="20"/>
          <w:color w:val="auto"/>
        </w:rPr>
      </w:pPr>
      <w:r>
        <w:rPr>
          <w:rFonts w:ascii="Arial" w:cs="Arial" w:eastAsia="Arial" w:hAnsi="Arial"/>
          <w:sz w:val="16"/>
          <w:szCs w:val="16"/>
          <w:color w:val="auto"/>
        </w:rPr>
        <w:t>Financing activities for the three months ended March 31, 2020 used $203 million of cash compared to $ 83 million for the three months ended March 31, 2019. The increase was principally driven by $130 million of increased stock repurchases, partially offset by $10 million of long-term debt restructuring payments in 2019 that did not recur in 2020.</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Contingencies</w:t>
      </w:r>
    </w:p>
    <w:p>
      <w:pPr>
        <w:spacing w:after="0" w:line="106" w:lineRule="exact"/>
        <w:rPr>
          <w:sz w:val="20"/>
          <w:szCs w:val="20"/>
          <w:color w:val="auto"/>
        </w:rPr>
      </w:pPr>
    </w:p>
    <w:p>
      <w:pPr>
        <w:ind w:right="120" w:firstLine="528"/>
        <w:spacing w:after="0" w:line="233" w:lineRule="auto"/>
        <w:rPr>
          <w:sz w:val="20"/>
          <w:szCs w:val="20"/>
          <w:color w:val="auto"/>
        </w:rPr>
      </w:pPr>
      <w:r>
        <w:rPr>
          <w:rFonts w:ascii="Arial" w:cs="Arial" w:eastAsia="Arial" w:hAnsi="Arial"/>
          <w:sz w:val="16"/>
          <w:szCs w:val="16"/>
          <w:color w:val="auto"/>
        </w:rPr>
        <w:t>We are a party to various legal actions and administrative proceedings and subject to various claims arising in the ordinary course of business, including those relating to commercial transactions, product liability, personal injury and workers’ compensation, safety, health, taxes, environmental and other matters. For more information, see NOTE P, “Commitments and Contingencies” of our condensed consolidated financial statements included in Part I, Item 1 of this Quarterly Report on Form 10-Q.</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55245</wp:posOffset>
            </wp:positionV>
            <wp:extent cx="7150100" cy="146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0"/>
          </w:cols>
          <w:pgMar w:left="320" w:top="140" w:right="319" w:bottom="1440" w:gutter="0" w:footer="0" w:header="0"/>
        </w:sectPr>
      </w:pPr>
    </w:p>
    <w:bookmarkStart w:id="32" w:name="page33"/>
    <w:bookmarkEnd w:id="3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2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Critical Accounting Policies and Significant Accounting Estimates</w:t>
      </w:r>
    </w:p>
    <w:p>
      <w:pPr>
        <w:spacing w:after="0" w:line="106" w:lineRule="exact"/>
        <w:rPr>
          <w:sz w:val="20"/>
          <w:szCs w:val="20"/>
          <w:color w:val="auto"/>
        </w:rPr>
      </w:pPr>
    </w:p>
    <w:p>
      <w:pPr>
        <w:ind w:firstLine="528"/>
        <w:spacing w:after="0" w:line="231" w:lineRule="auto"/>
        <w:rPr>
          <w:sz w:val="20"/>
          <w:szCs w:val="20"/>
          <w:color w:val="auto"/>
        </w:rPr>
      </w:pPr>
      <w:r>
        <w:rPr>
          <w:rFonts w:ascii="Arial" w:cs="Arial" w:eastAsia="Arial" w:hAnsi="Arial"/>
          <w:sz w:val="16"/>
          <w:szCs w:val="16"/>
          <w:color w:val="auto"/>
        </w:rPr>
        <w:t>A discussion of our critical accounting policies and significant accounting estimates is included in Part II, Item 7 “Management’s Discussion and Analysis” in our Annual Report on Form 10-K for the year ended December 31, 2019 as filed with the Securities and Exchange Commission on February 27, 2020. The preparation of the condensed consolidated financial statements in accordance with GAAP requires management to make estimates and assumptions that affect the reported amounts of some assets and liabilities and, in some instances, the reported amounts of revenues and expenses during the applicable reporting period. Actual results could differ materially from these estimates. Changes in estimates are recorded in results of operations in the period that the events or circumstances giving rise to such changes occur. Within the context of these critical accounting estimates, we are not currently aware of any reasonably likely events or circumstances that would result in different policies or estimates being reported for the three months ended March 31, 2020.</w:t>
      </w:r>
    </w:p>
    <w:p>
      <w:pPr>
        <w:spacing w:after="0" w:line="11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Off-Balance Sheet Arrangements</w:t>
      </w:r>
    </w:p>
    <w:p>
      <w:pPr>
        <w:spacing w:after="0" w:line="106" w:lineRule="exact"/>
        <w:rPr>
          <w:sz w:val="20"/>
          <w:szCs w:val="20"/>
          <w:color w:val="auto"/>
        </w:rPr>
      </w:pPr>
    </w:p>
    <w:p>
      <w:pPr>
        <w:ind w:left="520"/>
        <w:spacing w:after="0"/>
        <w:rPr>
          <w:sz w:val="20"/>
          <w:szCs w:val="20"/>
          <w:color w:val="auto"/>
        </w:rPr>
      </w:pPr>
      <w:r>
        <w:rPr>
          <w:rFonts w:ascii="Arial" w:cs="Arial" w:eastAsia="Arial" w:hAnsi="Arial"/>
          <w:sz w:val="16"/>
          <w:szCs w:val="16"/>
          <w:color w:val="auto"/>
        </w:rPr>
        <w:t>We are not a party to any off-balance sheet arrangements.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Recently Issued Accounting Pronouncements</w:t>
      </w:r>
    </w:p>
    <w:p>
      <w:pPr>
        <w:spacing w:after="0" w:line="106" w:lineRule="exact"/>
        <w:rPr>
          <w:sz w:val="20"/>
          <w:szCs w:val="20"/>
          <w:color w:val="auto"/>
        </w:rPr>
      </w:pPr>
    </w:p>
    <w:p>
      <w:pPr>
        <w:ind w:left="520"/>
        <w:spacing w:after="0"/>
        <w:rPr>
          <w:sz w:val="20"/>
          <w:szCs w:val="20"/>
          <w:color w:val="auto"/>
        </w:rPr>
      </w:pPr>
      <w:r>
        <w:rPr>
          <w:rFonts w:ascii="Arial" w:cs="Arial" w:eastAsia="Arial" w:hAnsi="Arial"/>
          <w:sz w:val="16"/>
          <w:szCs w:val="16"/>
          <w:color w:val="auto"/>
        </w:rPr>
        <w:t>See NOTE B, “Summary of Significant Accounting Policies” in Part I, Item 1, of this Quarterly Report on Form 10-Q.</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Cautionary Note Regarding Forward-Looking Statements</w:t>
      </w:r>
    </w:p>
    <w:p>
      <w:pPr>
        <w:spacing w:after="0" w:line="106" w:lineRule="exact"/>
        <w:rPr>
          <w:sz w:val="20"/>
          <w:szCs w:val="20"/>
          <w:color w:val="auto"/>
        </w:rPr>
      </w:pPr>
    </w:p>
    <w:p>
      <w:pPr>
        <w:ind w:right="60" w:firstLine="528"/>
        <w:spacing w:after="0" w:line="231" w:lineRule="auto"/>
        <w:rPr>
          <w:sz w:val="20"/>
          <w:szCs w:val="20"/>
          <w:color w:val="auto"/>
        </w:rPr>
      </w:pPr>
      <w:r>
        <w:rPr>
          <w:rFonts w:ascii="Arial" w:cs="Arial" w:eastAsia="Arial" w:hAnsi="Arial"/>
          <w:sz w:val="16"/>
          <w:szCs w:val="16"/>
          <w:color w:val="auto"/>
        </w:rPr>
        <w:t>This Quarterly Report on Form 10-Q contains forward-looking statements. The words “believe,” “expect,” “anticipate,” “intend,” “estimate” and other expressions that are predictions of or indicate future events and trends and that do not relate to historical matters identify forward-looking statements. You should not place undue reliance on these forward-looking statements. Although forward-looking statements reflect management’s good faith beliefs, reliance should not be placed on forward-looking statements because they involve known and unknown risks, uncertainties and other factors, which may cause actual results, performance or achievements to differ materially from anticipated future results, performance or achievements expressed or implied by such forward-looking statements. Forward-looking statements speak only as of the date the statements are made. We undertake no obligation to publicly update or revise any forward-looking statement, whether as a result of new information, future events, changed circumstances or otherwise. These forward-looking statements are subject to numerous risks and uncertainties, including, but not limited to: the duration and spread of the COVID-19 outbreak, mitigating efforts deployed by government agencies and the public at large, and the overall impact from such outbreak on economic conditions, financial market volatility and our business, including but not limited to the operations of our manufacturing and other facilities, our supply chain, our distribution processes and demand for our products; risks related to our substantial indebtedness; our participation in markets that are competitive; the highly cyclical industries in which certain of our end users operate; uncertainty in the global regulatory and business environments in which we operate; our ability to prepare for, respond to and successfully achieve our objectives relating to technological and market developments, competitive threats and changing customer needs, including with respect to electric hybrid and fully electric commercial vehicles; our ability to identify, consummate and effectively integrate acquisitions; the concentration of our net sales in our top five customers and the loss of any one of these; increases in cost, disruption of supply or shortage of raw materials or components used in our products; the failure of markets outside North America to increase adoption of fully automatic transmissions; the success of our research and development efforts, the outcome of which is uncertain; U.S. and foreign defense spending; risks associated with our international operations, including increased trade protectionism; general economic and industry conditions; the discovery of defects in our products, resulting in delays in new model launches, recall campaigns and/or increased warranty costs and reduction in future sales or damage to our brand and reputation; labor strikes, work stoppages or similar labor disputes, which could significantly disrupt our operations or those of our principal customers; and our intention to pay dividends and repurchase shares of our common stock.</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55245</wp:posOffset>
            </wp:positionV>
            <wp:extent cx="7150100" cy="146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0"/>
          </w:cols>
          <w:pgMar w:left="320" w:top="140" w:right="319" w:bottom="1440" w:gutter="0" w:footer="0" w:header="0"/>
        </w:sectPr>
      </w:pPr>
    </w:p>
    <w:bookmarkStart w:id="33" w:name="page34"/>
    <w:bookmarkEnd w:id="3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97" w:lineRule="exact"/>
        <w:rPr>
          <w:sz w:val="20"/>
          <w:szCs w:val="20"/>
          <w:color w:val="auto"/>
        </w:rPr>
      </w:pPr>
    </w:p>
    <w:p>
      <w:pPr>
        <w:ind w:firstLine="528"/>
        <w:spacing w:after="0" w:line="232" w:lineRule="auto"/>
        <w:rPr>
          <w:sz w:val="20"/>
          <w:szCs w:val="20"/>
          <w:color w:val="auto"/>
        </w:rPr>
      </w:pPr>
      <w:r>
        <w:rPr>
          <w:rFonts w:ascii="Arial" w:cs="Arial" w:eastAsia="Arial" w:hAnsi="Arial"/>
          <w:sz w:val="16"/>
          <w:szCs w:val="16"/>
          <w:color w:val="auto"/>
        </w:rPr>
        <w:t>Important factors that could cause actual results to differ materially from our expectations are disclosed in Part I, Item 1A of our Annual Report on Form 10-K for the year ended December 31, 2019 as filed with the Securities and Exchange Commission on February 27, 2020 and Part II, Item 1A of this Quarterly Report on Form 10-Q. All written and oral forward-looking statements attributable to us, or persons acting on our behalf, are expressly qualified in their entirety by these cautionary statements as well as other cautionary statements that are made from time to time in our public communications. You should evaluate all forward-looking statements made in this Quarterly Report on Form 10-Q in the context of these risks and uncertainties.</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55245</wp:posOffset>
            </wp:positionV>
            <wp:extent cx="7150100" cy="146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34" w:name="page35"/>
    <w:bookmarkEnd w:id="3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136525</wp:posOffset>
            </wp:positionV>
            <wp:extent cx="7150100" cy="762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0100" cy="7620"/>
                    </a:xfrm>
                    <a:prstGeom prst="rect">
                      <a:avLst/>
                    </a:prstGeom>
                    <a:noFill/>
                  </pic:spPr>
                </pic:pic>
              </a:graphicData>
            </a:graphic>
          </wp:anchor>
        </w:drawing>
      </w:r>
    </w:p>
    <w:p>
      <w:pPr>
        <w:spacing w:after="0" w:line="327" w:lineRule="exact"/>
        <w:rPr>
          <w:sz w:val="20"/>
          <w:szCs w:val="20"/>
          <w:color w:val="auto"/>
        </w:rPr>
      </w:pPr>
    </w:p>
    <w:p>
      <w:pPr>
        <w:ind w:left="40"/>
        <w:spacing w:after="0"/>
        <w:tabs>
          <w:tab w:leader="none" w:pos="1460" w:val="left"/>
        </w:tabs>
        <w:rPr>
          <w:sz w:val="20"/>
          <w:szCs w:val="20"/>
          <w:color w:val="auto"/>
        </w:rPr>
      </w:pPr>
      <w:r>
        <w:rPr>
          <w:rFonts w:ascii="Arial" w:cs="Arial" w:eastAsia="Arial" w:hAnsi="Arial"/>
          <w:sz w:val="16"/>
          <w:szCs w:val="16"/>
          <w:b w:val="1"/>
          <w:bCs w:val="1"/>
          <w:color w:val="auto"/>
        </w:rPr>
        <w:t>ITEM 3.</w:t>
      </w:r>
      <w:r>
        <w:rPr>
          <w:sz w:val="20"/>
          <w:szCs w:val="20"/>
          <w:color w:val="auto"/>
        </w:rPr>
        <w:tab/>
      </w:r>
      <w:r>
        <w:rPr>
          <w:rFonts w:ascii="Arial" w:cs="Arial" w:eastAsia="Arial" w:hAnsi="Arial"/>
          <w:sz w:val="15"/>
          <w:szCs w:val="15"/>
          <w:b w:val="1"/>
          <w:bCs w:val="1"/>
          <w:color w:val="auto"/>
        </w:rPr>
        <w:t>Quantitative and Qualitative Disclosures About Market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97790</wp:posOffset>
            </wp:positionV>
            <wp:extent cx="7150100" cy="762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0100" cy="7620"/>
                    </a:xfrm>
                    <a:prstGeom prst="rect">
                      <a:avLst/>
                    </a:prstGeom>
                    <a:noFill/>
                  </pic:spPr>
                </pic:pic>
              </a:graphicData>
            </a:graphic>
          </wp:anchor>
        </w:drawing>
      </w:r>
    </w:p>
    <w:p>
      <w:pPr>
        <w:spacing w:after="0" w:line="239" w:lineRule="exact"/>
        <w:rPr>
          <w:sz w:val="20"/>
          <w:szCs w:val="20"/>
          <w:color w:val="auto"/>
        </w:rPr>
      </w:pPr>
    </w:p>
    <w:p>
      <w:pPr>
        <w:ind w:left="260" w:right="1240" w:firstLine="265"/>
        <w:spacing w:after="0" w:line="382" w:lineRule="auto"/>
        <w:rPr>
          <w:sz w:val="20"/>
          <w:szCs w:val="20"/>
          <w:color w:val="auto"/>
        </w:rPr>
      </w:pPr>
      <w:r>
        <w:rPr>
          <w:rFonts w:ascii="Arial" w:cs="Arial" w:eastAsia="Arial" w:hAnsi="Arial"/>
          <w:sz w:val="16"/>
          <w:szCs w:val="16"/>
          <w:color w:val="auto"/>
        </w:rPr>
        <w:t xml:space="preserve">Our exposure to market risk consists of changes in interest rates, foreign currency rate fluctuations and movements in commodity prices. </w:t>
      </w:r>
      <w:r>
        <w:rPr>
          <w:rFonts w:ascii="Arial" w:cs="Arial" w:eastAsia="Arial" w:hAnsi="Arial"/>
          <w:sz w:val="16"/>
          <w:szCs w:val="16"/>
          <w:b w:val="1"/>
          <w:bCs w:val="1"/>
          <w:i w:val="1"/>
          <w:iCs w:val="1"/>
          <w:color w:val="auto"/>
        </w:rPr>
        <w:t>Interest Rate Risk</w:t>
      </w:r>
    </w:p>
    <w:p>
      <w:pPr>
        <w:spacing w:after="0" w:line="1" w:lineRule="exact"/>
        <w:rPr>
          <w:sz w:val="20"/>
          <w:szCs w:val="20"/>
          <w:color w:val="auto"/>
        </w:rPr>
      </w:pPr>
    </w:p>
    <w:p>
      <w:pPr>
        <w:ind w:right="60" w:firstLine="528"/>
        <w:spacing w:after="0" w:line="232" w:lineRule="auto"/>
        <w:rPr>
          <w:sz w:val="20"/>
          <w:szCs w:val="20"/>
          <w:color w:val="auto"/>
        </w:rPr>
      </w:pPr>
      <w:r>
        <w:rPr>
          <w:rFonts w:ascii="Arial" w:cs="Arial" w:eastAsia="Arial" w:hAnsi="Arial"/>
          <w:sz w:val="16"/>
          <w:szCs w:val="16"/>
          <w:color w:val="auto"/>
        </w:rPr>
        <w:t>We are subject to interest rate market risk in connection with a portion of our long-term debt. Our principal interest rate exposure relates to outstanding amounts under our New Senior Secured Credit Facility. Our New Senior Secured Credit Facility provides for variable rate borrowings of up to $1,238 million, including $595 million under our New Revolving Credit Facility, net of $5 million of letters of credit. A one-eighth percent increase or decrease in assumed interest rates for the New Senior Secured Credit Facility, if fully drawn, as of March 31, 2020 would have an impact of approximately $1 million on interest expense per year. As of March 31, 2020, we had no outstanding borrowings against the New Revolving Credit Facility.</w:t>
      </w:r>
    </w:p>
    <w:p>
      <w:pPr>
        <w:spacing w:after="0" w:line="85" w:lineRule="exact"/>
        <w:rPr>
          <w:sz w:val="20"/>
          <w:szCs w:val="20"/>
          <w:color w:val="auto"/>
        </w:rPr>
      </w:pPr>
    </w:p>
    <w:p>
      <w:pPr>
        <w:ind w:right="80" w:firstLine="528"/>
        <w:spacing w:after="0" w:line="250" w:lineRule="auto"/>
        <w:rPr>
          <w:sz w:val="20"/>
          <w:szCs w:val="20"/>
          <w:color w:val="auto"/>
        </w:rPr>
      </w:pPr>
      <w:r>
        <w:rPr>
          <w:rFonts w:ascii="Arial" w:cs="Arial" w:eastAsia="Arial" w:hAnsi="Arial"/>
          <w:sz w:val="15"/>
          <w:szCs w:val="15"/>
          <w:color w:val="auto"/>
        </w:rPr>
        <w:t>From time to time, we enter into interest rate swap agreements to hedge the risk associated with our variable interest rate debt. During the first quarter of 2019, we entered into $250 million of interest rate swaps and designated them as cash flow hedges under the hypothetical derivative method. As of March 31, 2020, we held interest rate swaps effective from (i) September 2019 to September 2022 with notional values totaling $250 million and a weighted average LIBOR fixed rate of 3.01%, (ii) September 2019 to September 2025 with notional values totaling $250 million and a weighted average LIBOR fixed rate of 3.04% and (iii) September 2022 to September 2025 with notional values totaling $250 million and a weighted average LIBOR fixed rate of 2.82%.</w:t>
      </w:r>
    </w:p>
    <w:p>
      <w:pPr>
        <w:spacing w:after="0" w:line="105" w:lineRule="exact"/>
        <w:rPr>
          <w:sz w:val="20"/>
          <w:szCs w:val="20"/>
          <w:color w:val="auto"/>
        </w:rPr>
      </w:pPr>
    </w:p>
    <w:p>
      <w:pPr>
        <w:ind w:left="260"/>
        <w:spacing w:after="0"/>
        <w:rPr>
          <w:sz w:val="20"/>
          <w:szCs w:val="20"/>
          <w:color w:val="auto"/>
        </w:rPr>
      </w:pPr>
      <w:r>
        <w:rPr>
          <w:rFonts w:ascii="Arial" w:cs="Arial" w:eastAsia="Arial" w:hAnsi="Arial"/>
          <w:sz w:val="16"/>
          <w:szCs w:val="16"/>
          <w:b w:val="1"/>
          <w:bCs w:val="1"/>
          <w:i w:val="1"/>
          <w:iCs w:val="1"/>
          <w:color w:val="auto"/>
        </w:rPr>
        <w:t>Exchange Rate Risk</w:t>
      </w:r>
    </w:p>
    <w:p>
      <w:pPr>
        <w:spacing w:after="0" w:line="104" w:lineRule="exact"/>
        <w:rPr>
          <w:sz w:val="20"/>
          <w:szCs w:val="20"/>
          <w:color w:val="auto"/>
        </w:rPr>
      </w:pPr>
    </w:p>
    <w:p>
      <w:pPr>
        <w:ind w:right="20" w:firstLine="528"/>
        <w:spacing w:after="0" w:line="233" w:lineRule="auto"/>
        <w:rPr>
          <w:sz w:val="20"/>
          <w:szCs w:val="20"/>
          <w:color w:val="auto"/>
        </w:rPr>
      </w:pPr>
      <w:r>
        <w:rPr>
          <w:rFonts w:ascii="Arial" w:cs="Arial" w:eastAsia="Arial" w:hAnsi="Arial"/>
          <w:sz w:val="16"/>
          <w:szCs w:val="16"/>
          <w:color w:val="auto"/>
        </w:rPr>
        <w:t>While our net sales and costs are denominated primarily in U.S. Dollars, net sales, costs, assets and liabilities are generated in other currencies including Brazilian Real, British Pound, Canadian Dollar, Chinese Yuan Renminbi, Euro, Hungarian Forint, Indian Rupee and Japanese Yen. The expansion of our business outside North America may further increase the risk that cash flows resulting from these activities may be adversely affected by changes in currency exchange rates.</w:t>
      </w:r>
    </w:p>
    <w:p>
      <w:pPr>
        <w:spacing w:after="0" w:line="84" w:lineRule="exact"/>
        <w:rPr>
          <w:sz w:val="20"/>
          <w:szCs w:val="20"/>
          <w:color w:val="auto"/>
        </w:rPr>
      </w:pPr>
    </w:p>
    <w:p>
      <w:pPr>
        <w:ind w:firstLine="528"/>
        <w:spacing w:after="0" w:line="234" w:lineRule="auto"/>
        <w:rPr>
          <w:sz w:val="20"/>
          <w:szCs w:val="20"/>
          <w:color w:val="auto"/>
        </w:rPr>
      </w:pPr>
      <w:r>
        <w:rPr>
          <w:rFonts w:ascii="Arial" w:cs="Arial" w:eastAsia="Arial" w:hAnsi="Arial"/>
          <w:sz w:val="16"/>
          <w:szCs w:val="16"/>
          <w:color w:val="auto"/>
        </w:rPr>
        <w:t>Assuming current levels of foreign currency transactions, a 10% aggregate increase or decrease in the Japanese Yen, Euro, Indian Rupee and Chinese Yuan Renminbi would correspondingly change our earnings, net of tax, by an estimated $4 million per year. We believe our other exposure to foreign currencies is immaterial.</w:t>
      </w:r>
    </w:p>
    <w:p>
      <w:pPr>
        <w:spacing w:after="0" w:line="113" w:lineRule="exact"/>
        <w:rPr>
          <w:sz w:val="20"/>
          <w:szCs w:val="20"/>
          <w:color w:val="auto"/>
        </w:rPr>
      </w:pPr>
    </w:p>
    <w:p>
      <w:pPr>
        <w:ind w:left="260"/>
        <w:spacing w:after="0"/>
        <w:rPr>
          <w:sz w:val="20"/>
          <w:szCs w:val="20"/>
          <w:color w:val="auto"/>
        </w:rPr>
      </w:pPr>
      <w:r>
        <w:rPr>
          <w:rFonts w:ascii="Arial" w:cs="Arial" w:eastAsia="Arial" w:hAnsi="Arial"/>
          <w:sz w:val="16"/>
          <w:szCs w:val="16"/>
          <w:b w:val="1"/>
          <w:bCs w:val="1"/>
          <w:i w:val="1"/>
          <w:iCs w:val="1"/>
          <w:color w:val="auto"/>
        </w:rPr>
        <w:t>Commodity Price Risk</w:t>
      </w:r>
    </w:p>
    <w:p>
      <w:pPr>
        <w:spacing w:after="0" w:line="104" w:lineRule="exact"/>
        <w:rPr>
          <w:sz w:val="20"/>
          <w:szCs w:val="20"/>
          <w:color w:val="auto"/>
        </w:rPr>
      </w:pPr>
    </w:p>
    <w:p>
      <w:pPr>
        <w:ind w:right="80" w:firstLine="528"/>
        <w:spacing w:after="0" w:line="232" w:lineRule="auto"/>
        <w:rPr>
          <w:sz w:val="20"/>
          <w:szCs w:val="20"/>
          <w:color w:val="auto"/>
        </w:rPr>
      </w:pPr>
      <w:r>
        <w:rPr>
          <w:rFonts w:ascii="Arial" w:cs="Arial" w:eastAsia="Arial" w:hAnsi="Arial"/>
          <w:sz w:val="16"/>
          <w:szCs w:val="16"/>
          <w:color w:val="auto"/>
        </w:rPr>
        <w:t>We are subject to changes in our cost of sales caused by movements in underlying commodity prices. Approximately 70% of our cost of sales consists of purchased components with significant raw material content. A substantial portion of the purchased parts are made of aluminum and steel. The cost of aluminum parts includes an adjustment factor on future purchases for fluctuations in aluminum prices based on accepted industry indices. In addition, a substantial amount of steel-based contracts also include an index-based component. As our costs change, we are able to pass through a portion of the changes in commodity prices to certain of our customers according to our long-term agreements (“LTAs”). We historically have not entered into long-term purchase contracts related to the purchase of aluminum and steel.</w:t>
      </w:r>
    </w:p>
    <w:p>
      <w:pPr>
        <w:spacing w:after="0" w:line="84" w:lineRule="exact"/>
        <w:rPr>
          <w:sz w:val="20"/>
          <w:szCs w:val="20"/>
          <w:color w:val="auto"/>
        </w:rPr>
      </w:pPr>
    </w:p>
    <w:p>
      <w:pPr>
        <w:ind w:right="440" w:firstLine="528"/>
        <w:spacing w:after="0" w:line="237" w:lineRule="auto"/>
        <w:rPr>
          <w:sz w:val="20"/>
          <w:szCs w:val="20"/>
          <w:color w:val="auto"/>
        </w:rPr>
      </w:pPr>
      <w:r>
        <w:rPr>
          <w:rFonts w:ascii="Arial" w:cs="Arial" w:eastAsia="Arial" w:hAnsi="Arial"/>
          <w:sz w:val="16"/>
          <w:szCs w:val="16"/>
          <w:color w:val="auto"/>
        </w:rPr>
        <w:t>Assuming current levels of commodity purchases, a 10% variation in the price of aluminum and steel would correspondingly change our earnings by approximately $4 million and $6 million per year, respectively.</w:t>
      </w:r>
    </w:p>
    <w:p>
      <w:pPr>
        <w:spacing w:after="0" w:line="83" w:lineRule="exact"/>
        <w:rPr>
          <w:sz w:val="20"/>
          <w:szCs w:val="20"/>
          <w:color w:val="auto"/>
        </w:rPr>
      </w:pPr>
    </w:p>
    <w:p>
      <w:pPr>
        <w:ind w:right="260" w:firstLine="528"/>
        <w:spacing w:after="0" w:line="237" w:lineRule="auto"/>
        <w:rPr>
          <w:sz w:val="20"/>
          <w:szCs w:val="20"/>
          <w:color w:val="auto"/>
        </w:rPr>
      </w:pPr>
      <w:r>
        <w:rPr>
          <w:rFonts w:ascii="Arial" w:cs="Arial" w:eastAsia="Arial" w:hAnsi="Arial"/>
          <w:sz w:val="16"/>
          <w:szCs w:val="16"/>
          <w:color w:val="auto"/>
        </w:rPr>
        <w:t>Many of our LTAs have incorporated a cost-sharing arrangement related to potential future commodity price fluctuations. For purposes of the sensitivity analysis above, the impact of these cost sharing arrangements has not been included.</w:t>
      </w:r>
    </w:p>
    <w:p>
      <w:pPr>
        <w:spacing w:after="0" w:line="177"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55245</wp:posOffset>
            </wp:positionV>
            <wp:extent cx="7150100" cy="146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00"/>
          </w:cols>
          <w:pgMar w:left="320" w:top="140" w:right="379" w:bottom="1440" w:gutter="0" w:footer="0" w:header="0"/>
        </w:sectPr>
      </w:pPr>
    </w:p>
    <w:bookmarkStart w:id="35" w:name="page36"/>
    <w:bookmarkEnd w:id="3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128905</wp:posOffset>
            </wp:positionV>
            <wp:extent cx="7150100" cy="762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0100" cy="7620"/>
                    </a:xfrm>
                    <a:prstGeom prst="rect">
                      <a:avLst/>
                    </a:prstGeom>
                    <a:noFill/>
                  </pic:spPr>
                </pic:pic>
              </a:graphicData>
            </a:graphic>
          </wp:anchor>
        </w:drawing>
      </w:r>
    </w:p>
    <w:p>
      <w:pPr>
        <w:spacing w:after="0" w:line="315" w:lineRule="exact"/>
        <w:rPr>
          <w:sz w:val="20"/>
          <w:szCs w:val="20"/>
          <w:color w:val="auto"/>
        </w:rPr>
      </w:pPr>
    </w:p>
    <w:p>
      <w:pPr>
        <w:ind w:left="40"/>
        <w:spacing w:after="0"/>
        <w:tabs>
          <w:tab w:leader="none" w:pos="1460" w:val="left"/>
        </w:tabs>
        <w:rPr>
          <w:sz w:val="20"/>
          <w:szCs w:val="20"/>
          <w:color w:val="auto"/>
        </w:rPr>
      </w:pPr>
      <w:r>
        <w:rPr>
          <w:rFonts w:ascii="Arial" w:cs="Arial" w:eastAsia="Arial" w:hAnsi="Arial"/>
          <w:sz w:val="16"/>
          <w:szCs w:val="16"/>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97790</wp:posOffset>
            </wp:positionV>
            <wp:extent cx="7150100" cy="762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0100" cy="762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Evaluation of Disclosure Controls and Procedures</w:t>
      </w:r>
    </w:p>
    <w:p>
      <w:pPr>
        <w:spacing w:after="0" w:line="106" w:lineRule="exact"/>
        <w:rPr>
          <w:sz w:val="20"/>
          <w:szCs w:val="20"/>
          <w:color w:val="auto"/>
        </w:rPr>
      </w:pPr>
    </w:p>
    <w:p>
      <w:pPr>
        <w:ind w:right="100" w:firstLine="528"/>
        <w:spacing w:after="0" w:line="232" w:lineRule="auto"/>
        <w:rPr>
          <w:sz w:val="20"/>
          <w:szCs w:val="20"/>
          <w:color w:val="auto"/>
        </w:rPr>
      </w:pPr>
      <w:r>
        <w:rPr>
          <w:rFonts w:ascii="Arial" w:cs="Arial" w:eastAsia="Arial" w:hAnsi="Arial"/>
          <w:sz w:val="16"/>
          <w:szCs w:val="16"/>
          <w:color w:val="auto"/>
        </w:rPr>
        <w:t>Our management, with the participation of our Chief Executive Officer and Chief Financial Officer, evaluated the effectiveness of our disclosure controls and procedures (as defined in Rules 13a-15(e) and 15d-15(e) under the Securities Exchange Act of 1934, as amended (the “Exchange Act”)) as of the end of the period covered by this report. In designing and evaluating the disclosure controls and procedures, management recognized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its judgment in evaluating the benefits of possible controls and procedures relative to their costs.</w:t>
      </w:r>
    </w:p>
    <w:p>
      <w:pPr>
        <w:spacing w:after="0" w:line="84" w:lineRule="exact"/>
        <w:rPr>
          <w:sz w:val="20"/>
          <w:szCs w:val="20"/>
          <w:color w:val="auto"/>
        </w:rPr>
      </w:pPr>
    </w:p>
    <w:p>
      <w:pPr>
        <w:ind w:firstLine="528"/>
        <w:spacing w:after="0" w:line="232" w:lineRule="auto"/>
        <w:rPr>
          <w:sz w:val="20"/>
          <w:szCs w:val="20"/>
          <w:color w:val="auto"/>
        </w:rPr>
      </w:pPr>
      <w:r>
        <w:rPr>
          <w:rFonts w:ascii="Arial" w:cs="Arial" w:eastAsia="Arial" w:hAnsi="Arial"/>
          <w:sz w:val="16"/>
          <w:szCs w:val="16"/>
          <w:color w:val="auto"/>
        </w:rPr>
        <w:t>Based on the evaluation, our Chief Executive Officer and Chief Financial Officer concluded that our disclosure controls and procedures as of the end of the period covered by this Quarterly Report on Form 10-Q were effective to provide reasonable assurance that information we are required to disclose in reports that we file or submit under the Exchange Act is recorded, processed, summarized and reported within the time periods specified in the Securities and Exchange Commission rules and forms, and that such information is accumulated and communicated to our management, including our Chief Executive Officer and Chief Financial Officer, as appropriate, to allow timely decisions regarding required disclosure.</w:t>
      </w:r>
    </w:p>
    <w:p>
      <w:pPr>
        <w:spacing w:after="0" w:line="11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Changes in Internal Control over Financial Reporting</w:t>
      </w:r>
    </w:p>
    <w:p>
      <w:pPr>
        <w:spacing w:after="0" w:line="106" w:lineRule="exact"/>
        <w:rPr>
          <w:sz w:val="20"/>
          <w:szCs w:val="20"/>
          <w:color w:val="auto"/>
        </w:rPr>
      </w:pPr>
    </w:p>
    <w:p>
      <w:pPr>
        <w:ind w:right="120" w:firstLine="528"/>
        <w:spacing w:after="0" w:line="234" w:lineRule="auto"/>
        <w:rPr>
          <w:sz w:val="20"/>
          <w:szCs w:val="20"/>
          <w:color w:val="auto"/>
        </w:rPr>
      </w:pPr>
      <w:r>
        <w:rPr>
          <w:rFonts w:ascii="Arial" w:cs="Arial" w:eastAsia="Arial" w:hAnsi="Arial"/>
          <w:sz w:val="16"/>
          <w:szCs w:val="16"/>
          <w:color w:val="auto"/>
        </w:rPr>
        <w:t>There were no changes in our internal control over financial reporting (as defined in Rules 13a-15(f) and 15d-15(f) under the Exchange Act) during the period covered by this Quarterly Report on Form 10-Q that have materially affected, or are reasonably likely to materially affect, our internal control over financial reporting.</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55245</wp:posOffset>
            </wp:positionV>
            <wp:extent cx="7150100" cy="1460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36" w:name="page37"/>
    <w:bookmarkEnd w:id="3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128905</wp:posOffset>
            </wp:positionV>
            <wp:extent cx="7150100" cy="762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0100" cy="7620"/>
                    </a:xfrm>
                    <a:prstGeom prst="rect">
                      <a:avLst/>
                    </a:prstGeom>
                    <a:noFill/>
                  </pic:spPr>
                </pic:pic>
              </a:graphicData>
            </a:graphic>
          </wp:anchor>
        </w:drawing>
      </w: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PART II. OTHER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97790</wp:posOffset>
            </wp:positionV>
            <wp:extent cx="7150100" cy="762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0100" cy="7620"/>
                    </a:xfrm>
                    <a:prstGeom prst="rect">
                      <a:avLst/>
                    </a:prstGeom>
                    <a:noFill/>
                  </pic:spPr>
                </pic:pic>
              </a:graphicData>
            </a:graphic>
          </wp:anchor>
        </w:drawing>
      </w:r>
    </w:p>
    <w:p>
      <w:pPr>
        <w:spacing w:after="0" w:line="31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 Legal Proceedings</w:t>
      </w:r>
    </w:p>
    <w:p>
      <w:pPr>
        <w:spacing w:after="0" w:line="106" w:lineRule="exact"/>
        <w:rPr>
          <w:sz w:val="20"/>
          <w:szCs w:val="20"/>
          <w:color w:val="auto"/>
        </w:rPr>
      </w:pPr>
    </w:p>
    <w:p>
      <w:pPr>
        <w:jc w:val="both"/>
        <w:ind w:right="40" w:firstLine="528"/>
        <w:spacing w:after="0" w:line="234" w:lineRule="auto"/>
        <w:rPr>
          <w:sz w:val="20"/>
          <w:szCs w:val="20"/>
          <w:color w:val="auto"/>
        </w:rPr>
      </w:pPr>
      <w:r>
        <w:rPr>
          <w:rFonts w:ascii="Arial" w:cs="Arial" w:eastAsia="Arial" w:hAnsi="Arial"/>
          <w:sz w:val="16"/>
          <w:szCs w:val="16"/>
          <w:color w:val="auto"/>
        </w:rPr>
        <w:t>From time to time, we are a party to various legal actions in the normal course of our business, including those related to commercial transactions, product liability, personal injury and workers’ compensation, safety, health, taxes, environmental and other matters. See NOTE P, “Commitments and Contingencies” in the notes to the condensed consolidated financial statements included in Part I, Item 1 of this Quarterly Report on Form 10-Q.</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1A. Risk Factors</w:t>
      </w:r>
    </w:p>
    <w:p>
      <w:pPr>
        <w:spacing w:after="0" w:line="106" w:lineRule="exact"/>
        <w:rPr>
          <w:sz w:val="20"/>
          <w:szCs w:val="20"/>
          <w:color w:val="auto"/>
        </w:rPr>
      </w:pPr>
    </w:p>
    <w:p>
      <w:pPr>
        <w:ind w:right="380" w:firstLine="528"/>
        <w:spacing w:after="0" w:line="237" w:lineRule="auto"/>
        <w:rPr>
          <w:sz w:val="20"/>
          <w:szCs w:val="20"/>
          <w:color w:val="auto"/>
        </w:rPr>
      </w:pPr>
      <w:r>
        <w:rPr>
          <w:rFonts w:ascii="Arial" w:cs="Arial" w:eastAsia="Arial" w:hAnsi="Arial"/>
          <w:sz w:val="16"/>
          <w:szCs w:val="16"/>
          <w:color w:val="auto"/>
        </w:rPr>
        <w:t>Except as set forth below, there have been no material changes from our risk factors as previously reported in Part I, Item 1A of our Annual Report on Form 10-K for the year ended December 31, 2019 as filed with the Securities and Exchange Commission on February 27, 2020.</w:t>
      </w:r>
    </w:p>
    <w:p>
      <w:pPr>
        <w:spacing w:after="0" w:line="83"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following risk factor has been added:</w:t>
      </w:r>
    </w:p>
    <w:p>
      <w:pPr>
        <w:spacing w:after="0" w:line="162" w:lineRule="exact"/>
        <w:rPr>
          <w:sz w:val="20"/>
          <w:szCs w:val="20"/>
          <w:color w:val="auto"/>
        </w:rPr>
      </w:pPr>
    </w:p>
    <w:p>
      <w:pPr>
        <w:ind w:left="400"/>
        <w:spacing w:after="0"/>
        <w:rPr>
          <w:sz w:val="20"/>
          <w:szCs w:val="20"/>
          <w:color w:val="auto"/>
        </w:rPr>
      </w:pPr>
      <w:r>
        <w:rPr>
          <w:rFonts w:ascii="Arial" w:cs="Arial" w:eastAsia="Arial" w:hAnsi="Arial"/>
          <w:sz w:val="16"/>
          <w:szCs w:val="16"/>
          <w:b w:val="1"/>
          <w:bCs w:val="1"/>
          <w:i w:val="1"/>
          <w:iCs w:val="1"/>
          <w:color w:val="auto"/>
        </w:rPr>
        <w:t>Our financial condition and results of operations are expected to be materially adversely affected by the coronavirus pandemic.</w:t>
      </w:r>
    </w:p>
    <w:p>
      <w:pPr>
        <w:spacing w:after="0" w:line="104" w:lineRule="exact"/>
        <w:rPr>
          <w:sz w:val="20"/>
          <w:szCs w:val="20"/>
          <w:color w:val="auto"/>
        </w:rPr>
      </w:pPr>
    </w:p>
    <w:p>
      <w:pPr>
        <w:ind w:firstLine="528"/>
        <w:spacing w:after="0" w:line="231" w:lineRule="auto"/>
        <w:rPr>
          <w:sz w:val="20"/>
          <w:szCs w:val="20"/>
          <w:color w:val="auto"/>
        </w:rPr>
      </w:pPr>
      <w:r>
        <w:rPr>
          <w:rFonts w:ascii="Arial" w:cs="Arial" w:eastAsia="Arial" w:hAnsi="Arial"/>
          <w:sz w:val="16"/>
          <w:szCs w:val="16"/>
          <w:color w:val="auto"/>
        </w:rPr>
        <w:t>The global spread of the novel strain of coronavirus (COVID-19) that has been declared a pandemic by the World Health Organization and the preventative measures taken to contain or mitigate the outbreak have caused, and are continuing to cause, significant volatility and uncertainty and economic disruptions. The outbreak has resulted in governments around the world implementing increasingly stringent measures to contain or mitigate the spread of the virus, including quarantines, “shelter in place” and “stay at home” orders, travel restrictions, business curtailments and other measures. While we continue to operate certain of our plants consistent with applicable government guidelines, we are experiencing, and may continue to experience, production slowdowns and/or shutdowns at our manufacturing facilities in Hungary, India, Indianapolis and Tennessee as a result of government orders, our inability to obtain component parts from suppliers and/or decreased customer demand. In addition, many of our suppliers and customers are also experiencing, and may continue to experience, production slowdowns and/or shutdowns, which may further impact our business, sales and results of operation.</w:t>
      </w:r>
    </w:p>
    <w:p>
      <w:pPr>
        <w:spacing w:after="0" w:line="86" w:lineRule="exact"/>
        <w:rPr>
          <w:sz w:val="20"/>
          <w:szCs w:val="20"/>
          <w:color w:val="auto"/>
        </w:rPr>
      </w:pPr>
    </w:p>
    <w:p>
      <w:pPr>
        <w:ind w:right="60" w:firstLine="528"/>
        <w:spacing w:after="0" w:line="231" w:lineRule="auto"/>
        <w:rPr>
          <w:sz w:val="20"/>
          <w:szCs w:val="20"/>
          <w:color w:val="auto"/>
        </w:rPr>
      </w:pPr>
      <w:r>
        <w:rPr>
          <w:rFonts w:ascii="Arial" w:cs="Arial" w:eastAsia="Arial" w:hAnsi="Arial"/>
          <w:sz w:val="16"/>
          <w:szCs w:val="16"/>
          <w:color w:val="auto"/>
        </w:rPr>
        <w:t>The extent to which COVID-19 may adversely impact our business depends on future developments, which are highly uncertain and unpredictable, depending upon the severity and duration of the outbreak and the effectiveness of actions taken globally to contain or mitigate its effects. Any resulting financial impact cannot be estimated reasonably at this time, but may materially adversely affect our business, supply chain, sales, results of operations, financial condition and cash flows. Even after the COVID-19 pandemic has subsided, we may experience materially adverse impacts to our business due to any resulting economic recession or depression that may continue to impact customer demand and the financial instability or operating viability of our suppliers and customers. Additionally, concerns over the economic impact of COVID-19 have caused extreme volatility in financial and other capital markets which may adversely impact our ability to access capital markets.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55245</wp:posOffset>
            </wp:positionV>
            <wp:extent cx="7150100" cy="1460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7" w:name="page38"/>
    <w:bookmarkEnd w:id="3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9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following risk factors included in our Annual Report on Form 10-K for the year ended December 31, 2019 have been updated:</w:t>
      </w:r>
    </w:p>
    <w:p>
      <w:pPr>
        <w:spacing w:after="0" w:line="162" w:lineRule="exact"/>
        <w:rPr>
          <w:sz w:val="20"/>
          <w:szCs w:val="20"/>
          <w:color w:val="auto"/>
        </w:rPr>
      </w:pPr>
    </w:p>
    <w:p>
      <w:pPr>
        <w:ind w:left="400"/>
        <w:spacing w:after="0" w:line="257" w:lineRule="auto"/>
        <w:rPr>
          <w:sz w:val="20"/>
          <w:szCs w:val="20"/>
          <w:color w:val="auto"/>
        </w:rPr>
      </w:pPr>
      <w:r>
        <w:rPr>
          <w:rFonts w:ascii="Arial" w:cs="Arial" w:eastAsia="Arial" w:hAnsi="Arial"/>
          <w:sz w:val="16"/>
          <w:szCs w:val="16"/>
          <w:b w:val="1"/>
          <w:bCs w:val="1"/>
          <w:i w:val="1"/>
          <w:iCs w:val="1"/>
          <w:color w:val="auto"/>
        </w:rPr>
        <w:t>Volatility in and disruption to the global economic environment and changes in the regulatory and business environments in which we operate may have a material adverse effect on our business, results of operations and financial condition.</w:t>
      </w:r>
    </w:p>
    <w:p>
      <w:pPr>
        <w:spacing w:after="0" w:line="70" w:lineRule="exact"/>
        <w:rPr>
          <w:sz w:val="20"/>
          <w:szCs w:val="20"/>
          <w:color w:val="auto"/>
        </w:rPr>
      </w:pPr>
    </w:p>
    <w:p>
      <w:pPr>
        <w:ind w:right="20" w:firstLine="528"/>
        <w:spacing w:after="0" w:line="230" w:lineRule="auto"/>
        <w:rPr>
          <w:sz w:val="20"/>
          <w:szCs w:val="20"/>
          <w:color w:val="auto"/>
        </w:rPr>
      </w:pPr>
      <w:r>
        <w:rPr>
          <w:rFonts w:ascii="Arial" w:cs="Arial" w:eastAsia="Arial" w:hAnsi="Arial"/>
          <w:sz w:val="16"/>
          <w:szCs w:val="16"/>
          <w:color w:val="auto"/>
        </w:rPr>
        <w:t>The commercial vehicle industry as a whole has been more adversely affected by volatile economic conditions than many other industries, as the purchase or replacement of commercial vehicles, which are durable items, can be deferred for many reasons, including reduced spending by end users. Future changes in the regulatory and business environments in which we operate, including increased trade protectionism and tariffs, may adversely affect our ability to sell our products or source materials needed to manufacture our products. Furthermore, financial instability or bankruptcy at any of our suppliers or customers could disrupt our ability to manufacture our products and impair our ability to collect receivables, any or all of which may have a material adverse effect on our business, results of operations and financial condition. In addition, some of our customers and suppliers may experience serious cash flow problems and, thus, may find it difficult to obtain financing, if financing is available at all. The COVID-19 pandemic is currently causing financial instability and bankruptcy at certain of our suppliers and customers, which may cause our customers’ need for and ability to purchase our products or services to decrease, and our suppliers to increase their prices, reduce their output or change their terms of sale. Any inability of customers to pay us for our products and services, or any demands by suppliers for different payment terms, may materially and adversely affect our results of operations and financial condition. Furthermore, our suppliers may not be successful in generating sufficient sales, restarting or ramping up production or securing alternate financing arrangements, and therefore may no longer be able to supply goods and services to us. In that event, we would need to find alternate sources for these goods and services, and there is no assurance we would be able to find such alternate sources on favorable terms, if at all. Any such disruption in our supply chain could adversely affect our ability to manufacture and deliver our products on a timely basis, and thereby affect our results of operations.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55245</wp:posOffset>
            </wp:positionV>
            <wp:extent cx="7150100" cy="1460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0"/>
          </w:cols>
          <w:pgMar w:left="320" w:top="140" w:right="319" w:bottom="1440" w:gutter="0" w:footer="0" w:header="0"/>
        </w:sectPr>
      </w:pPr>
    </w:p>
    <w:bookmarkStart w:id="38" w:name="page39"/>
    <w:bookmarkEnd w:id="3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73" w:lineRule="exact"/>
        <w:rPr>
          <w:sz w:val="20"/>
          <w:szCs w:val="20"/>
          <w:color w:val="auto"/>
        </w:rPr>
      </w:pPr>
    </w:p>
    <w:p>
      <w:pPr>
        <w:ind w:left="400"/>
        <w:spacing w:after="0" w:line="257" w:lineRule="auto"/>
        <w:rPr>
          <w:sz w:val="20"/>
          <w:szCs w:val="20"/>
          <w:color w:val="auto"/>
        </w:rPr>
      </w:pPr>
      <w:r>
        <w:rPr>
          <w:rFonts w:ascii="Arial" w:cs="Arial" w:eastAsia="Arial" w:hAnsi="Arial"/>
          <w:sz w:val="16"/>
          <w:szCs w:val="16"/>
          <w:b w:val="1"/>
          <w:bCs w:val="1"/>
          <w:i w:val="1"/>
          <w:iCs w:val="1"/>
          <w:color w:val="auto"/>
        </w:rPr>
        <w:t>Increases in cost, disruption of supply or shortage of raw materials or components used in our products could harm our business and profitability.</w:t>
      </w:r>
    </w:p>
    <w:p>
      <w:pPr>
        <w:spacing w:after="0" w:line="70" w:lineRule="exact"/>
        <w:rPr>
          <w:sz w:val="20"/>
          <w:szCs w:val="20"/>
          <w:color w:val="auto"/>
        </w:rPr>
      </w:pPr>
    </w:p>
    <w:p>
      <w:pPr>
        <w:ind w:right="20" w:firstLine="528"/>
        <w:spacing w:after="0" w:line="248" w:lineRule="auto"/>
        <w:rPr>
          <w:sz w:val="20"/>
          <w:szCs w:val="20"/>
          <w:color w:val="auto"/>
        </w:rPr>
      </w:pPr>
      <w:r>
        <w:rPr>
          <w:rFonts w:ascii="Arial" w:cs="Arial" w:eastAsia="Arial" w:hAnsi="Arial"/>
          <w:sz w:val="15"/>
          <w:szCs w:val="15"/>
          <w:color w:val="auto"/>
        </w:rPr>
        <w:t>Our products contain various raw materials, including corrosion-resistant steel, non-ferrous metals such as aluminum and nickel, and precious metals such as platinum and palladium. We use raw materials directly in manufacturing and in components that we purchase from our suppliers. We generally purchase components with significant raw material content on the open market. The prices for these raw materials fluctuate depending on market conditions. Volatility in the prices of raw materials such as steel, aluminum and nickel could increase the cost of manufacturing our products. We may not be able to pass on these costs to our customers, and this could have a material adverse effect on our business, results of operations and financial condition. Even in the event that increased costs can be passed through to customers, our gross margin percentages would decline. Additionally, our suppliers are also subject to fluctuations in the prices of raw materials and may attempt to pass all or a portion of such increases on to us. In the event they are successful in doing so, our margins would decline.</w:t>
      </w:r>
    </w:p>
    <w:p>
      <w:pPr>
        <w:spacing w:after="0" w:line="79" w:lineRule="exact"/>
        <w:rPr>
          <w:sz w:val="20"/>
          <w:szCs w:val="20"/>
          <w:color w:val="auto"/>
        </w:rPr>
      </w:pPr>
    </w:p>
    <w:p>
      <w:pPr>
        <w:ind w:firstLine="528"/>
        <w:spacing w:after="0" w:line="246" w:lineRule="auto"/>
        <w:rPr>
          <w:sz w:val="20"/>
          <w:szCs w:val="20"/>
          <w:color w:val="auto"/>
        </w:rPr>
      </w:pPr>
      <w:r>
        <w:rPr>
          <w:rFonts w:ascii="Arial" w:cs="Arial" w:eastAsia="Arial" w:hAnsi="Arial"/>
          <w:sz w:val="15"/>
          <w:szCs w:val="15"/>
          <w:color w:val="auto"/>
        </w:rPr>
        <w:t>In 2019, approximately 75% of our total spending on components was sourced from approximately 40 suppliers, some of which are the single source for such components. All of the suppliers from which we purchase materials and components used in our business are fully validated suppliers, meaning the suppliers’ manufacturing processes and inputs have been validated under a production part approval process (“PPAP”). Furthermore, there are only a limited number of suppliers for certain of the materials used in our business, such as corrosion-resistant steel. As a result, our business is subject to the risk of additional price fluctuations and periodic delays in the delivery of our materials or components if supplies from a validated supplier are interrupted and a new supplier, if one is available, must be validated or materials and components must be purchased from a supplier without a completed PPAP, which could increase our risk of purchasing non-conforming components. Any such price fluctuations or delays, if significant, could harm our profitability or operations. In addition, the loss of a supplier could result in significant material cost increases or reduce our production capacity. We also cannot guarantee we will be able to maintain favorable arrangements and relationships with these suppliers. An increase in the cost or a sustained interruption in the supply or shortage of some of these raw materials or components that may be caused by a deterioration of our relationships with suppliers or by events such as natural disasters, power outages, labor strikes, public health crisis such as pandemics and epidemics or the like could negatively impact our business, results of operations and financial condition. We are currently experiencing sustained interruption in the supply of certain components due to production slowdowns or shutdowns implemented by many of our suppliers as a result of the COVID-19 pandemic, the duration of which is currently unknown and could have a material adverse effect on our business and results of operations. Although we have agreements with many of our customers that we will pass any price increases through to them, such contracts may be canceled by our customers and/or we may not be able to recoup the costs of such price increases. Additionally, if we are unable to continue to purchase our required quantities of raw materials on commercially reasonable terms, or at all, if we are unable to maintain or enter into purchasing contracts for commodities, or if delivery of materials from suppliers is delayed or non-conforming, our operations could be disrupted or our profitability could be adversely impacted.</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55245</wp:posOffset>
            </wp:positionV>
            <wp:extent cx="7150100" cy="1460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9" w:name="page40"/>
    <w:bookmarkEnd w:id="3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2. Unregistered Sales of Equity Securities and Use of Proceeds</w:t>
      </w:r>
    </w:p>
    <w:p>
      <w:pPr>
        <w:spacing w:after="0" w:line="106" w:lineRule="exact"/>
        <w:rPr>
          <w:sz w:val="20"/>
          <w:szCs w:val="20"/>
          <w:color w:val="auto"/>
        </w:rPr>
      </w:pPr>
    </w:p>
    <w:p>
      <w:pPr>
        <w:ind w:left="520"/>
        <w:spacing w:after="0"/>
        <w:rPr>
          <w:sz w:val="20"/>
          <w:szCs w:val="20"/>
          <w:color w:val="auto"/>
        </w:rPr>
      </w:pPr>
      <w:r>
        <w:rPr>
          <w:rFonts w:ascii="Arial" w:cs="Arial" w:eastAsia="Arial" w:hAnsi="Arial"/>
          <w:sz w:val="15"/>
          <w:szCs w:val="15"/>
          <w:color w:val="auto"/>
        </w:rPr>
        <w:t>The following table sets forth information related to our repurchases of our common stock on a monthly basis in the three months ended March 31, 2020:</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8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tcPr>
          <w:p>
            <w:pPr>
              <w:jc w:val="center"/>
              <w:ind w:right="52"/>
              <w:spacing w:after="0"/>
              <w:rPr>
                <w:sz w:val="20"/>
                <w:szCs w:val="20"/>
                <w:color w:val="auto"/>
              </w:rPr>
            </w:pPr>
            <w:r>
              <w:rPr>
                <w:rFonts w:ascii="Arial" w:cs="Arial" w:eastAsia="Arial" w:hAnsi="Arial"/>
                <w:sz w:val="13"/>
                <w:szCs w:val="13"/>
                <w:b w:val="1"/>
                <w:bCs w:val="1"/>
                <w:color w:val="auto"/>
                <w:w w:val="93"/>
              </w:rPr>
              <w:t>Total Number</w:t>
            </w:r>
          </w:p>
        </w:tc>
        <w:tc>
          <w:tcPr>
            <w:tcW w:w="220" w:type="dxa"/>
            <w:vAlign w:val="bottom"/>
          </w:tcPr>
          <w:p>
            <w:pPr>
              <w:spacing w:after="0"/>
              <w:rPr>
                <w:sz w:val="13"/>
                <w:szCs w:val="13"/>
                <w:color w:val="auto"/>
              </w:rPr>
            </w:pPr>
          </w:p>
        </w:tc>
        <w:tc>
          <w:tcPr>
            <w:tcW w:w="1180" w:type="dxa"/>
            <w:vAlign w:val="bottom"/>
          </w:tcPr>
          <w:p>
            <w:pPr>
              <w:spacing w:after="0"/>
              <w:rPr>
                <w:sz w:val="13"/>
                <w:szCs w:val="13"/>
                <w:color w:val="auto"/>
              </w:rPr>
            </w:pPr>
          </w:p>
        </w:tc>
      </w:tr>
      <w:tr>
        <w:trPr>
          <w:trHeight w:val="141"/>
        </w:trPr>
        <w:tc>
          <w:tcPr>
            <w:tcW w:w="58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jc w:val="center"/>
              <w:ind w:right="52"/>
              <w:spacing w:after="0" w:line="141" w:lineRule="exact"/>
              <w:rPr>
                <w:sz w:val="20"/>
                <w:szCs w:val="20"/>
                <w:color w:val="auto"/>
              </w:rPr>
            </w:pPr>
            <w:r>
              <w:rPr>
                <w:rFonts w:ascii="Arial" w:cs="Arial" w:eastAsia="Arial" w:hAnsi="Arial"/>
                <w:sz w:val="13"/>
                <w:szCs w:val="13"/>
                <w:b w:val="1"/>
                <w:bCs w:val="1"/>
                <w:color w:val="auto"/>
                <w:w w:val="97"/>
              </w:rPr>
              <w:t>of Shares</w:t>
            </w:r>
          </w:p>
        </w:tc>
        <w:tc>
          <w:tcPr>
            <w:tcW w:w="220" w:type="dxa"/>
            <w:vAlign w:val="bottom"/>
          </w:tcPr>
          <w:p>
            <w:pPr>
              <w:spacing w:after="0"/>
              <w:rPr>
                <w:sz w:val="12"/>
                <w:szCs w:val="12"/>
                <w:color w:val="auto"/>
              </w:rPr>
            </w:pPr>
          </w:p>
        </w:tc>
        <w:tc>
          <w:tcPr>
            <w:tcW w:w="1180" w:type="dxa"/>
            <w:vAlign w:val="bottom"/>
          </w:tcPr>
          <w:p>
            <w:pPr>
              <w:spacing w:after="0"/>
              <w:rPr>
                <w:sz w:val="12"/>
                <w:szCs w:val="12"/>
                <w:color w:val="auto"/>
              </w:rPr>
            </w:pPr>
          </w:p>
        </w:tc>
      </w:tr>
      <w:tr>
        <w:trPr>
          <w:trHeight w:val="141"/>
        </w:trPr>
        <w:tc>
          <w:tcPr>
            <w:tcW w:w="58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jc w:val="center"/>
              <w:ind w:right="52"/>
              <w:spacing w:after="0" w:line="141" w:lineRule="exact"/>
              <w:rPr>
                <w:sz w:val="20"/>
                <w:szCs w:val="20"/>
                <w:color w:val="auto"/>
              </w:rPr>
            </w:pPr>
            <w:r>
              <w:rPr>
                <w:rFonts w:ascii="Arial" w:cs="Arial" w:eastAsia="Arial" w:hAnsi="Arial"/>
                <w:sz w:val="13"/>
                <w:szCs w:val="13"/>
                <w:b w:val="1"/>
                <w:bCs w:val="1"/>
                <w:color w:val="auto"/>
                <w:w w:val="93"/>
              </w:rPr>
              <w:t>Purchased</w:t>
            </w:r>
          </w:p>
        </w:tc>
        <w:tc>
          <w:tcPr>
            <w:tcW w:w="220" w:type="dxa"/>
            <w:vAlign w:val="bottom"/>
          </w:tcPr>
          <w:p>
            <w:pPr>
              <w:spacing w:after="0"/>
              <w:rPr>
                <w:sz w:val="12"/>
                <w:szCs w:val="12"/>
                <w:color w:val="auto"/>
              </w:rPr>
            </w:pPr>
          </w:p>
        </w:tc>
        <w:tc>
          <w:tcPr>
            <w:tcW w:w="1180" w:type="dxa"/>
            <w:vAlign w:val="bottom"/>
          </w:tcPr>
          <w:p>
            <w:pPr>
              <w:spacing w:after="0"/>
              <w:rPr>
                <w:sz w:val="12"/>
                <w:szCs w:val="12"/>
                <w:color w:val="auto"/>
              </w:rPr>
            </w:pPr>
          </w:p>
        </w:tc>
      </w:tr>
      <w:tr>
        <w:trPr>
          <w:trHeight w:val="141"/>
        </w:trPr>
        <w:tc>
          <w:tcPr>
            <w:tcW w:w="58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jc w:val="center"/>
              <w:ind w:right="52"/>
              <w:spacing w:after="0" w:line="141" w:lineRule="exact"/>
              <w:rPr>
                <w:sz w:val="20"/>
                <w:szCs w:val="20"/>
                <w:color w:val="auto"/>
              </w:rPr>
            </w:pPr>
            <w:r>
              <w:rPr>
                <w:rFonts w:ascii="Arial" w:cs="Arial" w:eastAsia="Arial" w:hAnsi="Arial"/>
                <w:sz w:val="13"/>
                <w:szCs w:val="13"/>
                <w:b w:val="1"/>
                <w:bCs w:val="1"/>
                <w:color w:val="auto"/>
                <w:w w:val="97"/>
              </w:rPr>
              <w:t>as Part of</w:t>
            </w:r>
          </w:p>
        </w:tc>
        <w:tc>
          <w:tcPr>
            <w:tcW w:w="220" w:type="dxa"/>
            <w:vAlign w:val="bottom"/>
          </w:tcPr>
          <w:p>
            <w:pPr>
              <w:spacing w:after="0"/>
              <w:rPr>
                <w:sz w:val="12"/>
                <w:szCs w:val="12"/>
                <w:color w:val="auto"/>
              </w:rPr>
            </w:pPr>
          </w:p>
        </w:tc>
        <w:tc>
          <w:tcPr>
            <w:tcW w:w="1180" w:type="dxa"/>
            <w:vAlign w:val="bottom"/>
          </w:tcPr>
          <w:p>
            <w:pPr>
              <w:jc w:val="center"/>
              <w:ind w:right="151"/>
              <w:spacing w:after="0" w:line="141" w:lineRule="exact"/>
              <w:rPr>
                <w:sz w:val="20"/>
                <w:szCs w:val="20"/>
                <w:color w:val="auto"/>
              </w:rPr>
            </w:pPr>
            <w:r>
              <w:rPr>
                <w:rFonts w:ascii="Arial" w:cs="Arial" w:eastAsia="Arial" w:hAnsi="Arial"/>
                <w:sz w:val="13"/>
                <w:szCs w:val="13"/>
                <w:b w:val="1"/>
                <w:bCs w:val="1"/>
                <w:color w:val="auto"/>
                <w:w w:val="95"/>
              </w:rPr>
              <w:t>Approximate</w:t>
            </w:r>
          </w:p>
        </w:tc>
      </w:tr>
      <w:tr>
        <w:trPr>
          <w:trHeight w:val="141"/>
        </w:trPr>
        <w:tc>
          <w:tcPr>
            <w:tcW w:w="58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jc w:val="center"/>
              <w:ind w:right="52"/>
              <w:spacing w:after="0" w:line="141" w:lineRule="exact"/>
              <w:rPr>
                <w:sz w:val="20"/>
                <w:szCs w:val="20"/>
                <w:color w:val="auto"/>
              </w:rPr>
            </w:pPr>
            <w:r>
              <w:rPr>
                <w:rFonts w:ascii="Arial" w:cs="Arial" w:eastAsia="Arial" w:hAnsi="Arial"/>
                <w:sz w:val="13"/>
                <w:szCs w:val="13"/>
                <w:b w:val="1"/>
                <w:bCs w:val="1"/>
                <w:color w:val="auto"/>
                <w:w w:val="92"/>
              </w:rPr>
              <w:t>Publicly</w:t>
            </w:r>
          </w:p>
        </w:tc>
        <w:tc>
          <w:tcPr>
            <w:tcW w:w="220" w:type="dxa"/>
            <w:vAlign w:val="bottom"/>
          </w:tcPr>
          <w:p>
            <w:pPr>
              <w:spacing w:after="0"/>
              <w:rPr>
                <w:sz w:val="12"/>
                <w:szCs w:val="12"/>
                <w:color w:val="auto"/>
              </w:rPr>
            </w:pPr>
          </w:p>
        </w:tc>
        <w:tc>
          <w:tcPr>
            <w:tcW w:w="1180" w:type="dxa"/>
            <w:vAlign w:val="bottom"/>
          </w:tcPr>
          <w:p>
            <w:pPr>
              <w:jc w:val="center"/>
              <w:ind w:right="151"/>
              <w:spacing w:after="0" w:line="141" w:lineRule="exact"/>
              <w:rPr>
                <w:sz w:val="20"/>
                <w:szCs w:val="20"/>
                <w:color w:val="auto"/>
              </w:rPr>
            </w:pPr>
            <w:r>
              <w:rPr>
                <w:rFonts w:ascii="Arial" w:cs="Arial" w:eastAsia="Arial" w:hAnsi="Arial"/>
                <w:sz w:val="13"/>
                <w:szCs w:val="13"/>
                <w:b w:val="1"/>
                <w:bCs w:val="1"/>
                <w:color w:val="auto"/>
                <w:w w:val="96"/>
              </w:rPr>
              <w:t>Dollar Value of</w:t>
            </w:r>
          </w:p>
        </w:tc>
      </w:tr>
      <w:tr>
        <w:trPr>
          <w:trHeight w:val="141"/>
        </w:trPr>
        <w:tc>
          <w:tcPr>
            <w:tcW w:w="5840" w:type="dxa"/>
            <w:vAlign w:val="bottom"/>
          </w:tcPr>
          <w:p>
            <w:pPr>
              <w:spacing w:after="0"/>
              <w:rPr>
                <w:sz w:val="12"/>
                <w:szCs w:val="12"/>
                <w:color w:val="auto"/>
              </w:rPr>
            </w:pPr>
          </w:p>
        </w:tc>
        <w:tc>
          <w:tcPr>
            <w:tcW w:w="1240" w:type="dxa"/>
            <w:vAlign w:val="bottom"/>
          </w:tcPr>
          <w:p>
            <w:pPr>
              <w:jc w:val="center"/>
              <w:ind w:right="48"/>
              <w:spacing w:after="0" w:line="141" w:lineRule="exact"/>
              <w:rPr>
                <w:sz w:val="20"/>
                <w:szCs w:val="20"/>
                <w:color w:val="auto"/>
              </w:rPr>
            </w:pPr>
            <w:r>
              <w:rPr>
                <w:rFonts w:ascii="Arial" w:cs="Arial" w:eastAsia="Arial" w:hAnsi="Arial"/>
                <w:sz w:val="13"/>
                <w:szCs w:val="13"/>
                <w:b w:val="1"/>
                <w:bCs w:val="1"/>
                <w:color w:val="auto"/>
                <w:w w:val="95"/>
              </w:rPr>
              <w:t>Total Number</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jc w:val="center"/>
              <w:ind w:right="440"/>
              <w:spacing w:after="0" w:line="141" w:lineRule="exact"/>
              <w:rPr>
                <w:sz w:val="20"/>
                <w:szCs w:val="20"/>
                <w:color w:val="auto"/>
              </w:rPr>
            </w:pPr>
            <w:r>
              <w:rPr>
                <w:rFonts w:ascii="Arial" w:cs="Arial" w:eastAsia="Arial" w:hAnsi="Arial"/>
                <w:sz w:val="13"/>
                <w:szCs w:val="13"/>
                <w:b w:val="1"/>
                <w:bCs w:val="1"/>
                <w:color w:val="auto"/>
                <w:w w:val="93"/>
              </w:rPr>
              <w:t>Average</w:t>
            </w:r>
          </w:p>
        </w:tc>
        <w:tc>
          <w:tcPr>
            <w:tcW w:w="1260" w:type="dxa"/>
            <w:vAlign w:val="bottom"/>
          </w:tcPr>
          <w:p>
            <w:pPr>
              <w:jc w:val="center"/>
              <w:ind w:right="52"/>
              <w:spacing w:after="0" w:line="141" w:lineRule="exact"/>
              <w:rPr>
                <w:sz w:val="20"/>
                <w:szCs w:val="20"/>
                <w:color w:val="auto"/>
              </w:rPr>
            </w:pPr>
            <w:r>
              <w:rPr>
                <w:rFonts w:ascii="Arial" w:cs="Arial" w:eastAsia="Arial" w:hAnsi="Arial"/>
                <w:sz w:val="13"/>
                <w:szCs w:val="13"/>
                <w:b w:val="1"/>
                <w:bCs w:val="1"/>
                <w:color w:val="auto"/>
                <w:w w:val="97"/>
              </w:rPr>
              <w:t>Announced</w:t>
            </w:r>
          </w:p>
        </w:tc>
        <w:tc>
          <w:tcPr>
            <w:tcW w:w="220" w:type="dxa"/>
            <w:vAlign w:val="bottom"/>
          </w:tcPr>
          <w:p>
            <w:pPr>
              <w:spacing w:after="0"/>
              <w:rPr>
                <w:sz w:val="12"/>
                <w:szCs w:val="12"/>
                <w:color w:val="auto"/>
              </w:rPr>
            </w:pPr>
          </w:p>
        </w:tc>
        <w:tc>
          <w:tcPr>
            <w:tcW w:w="1180" w:type="dxa"/>
            <w:vAlign w:val="bottom"/>
          </w:tcPr>
          <w:p>
            <w:pPr>
              <w:jc w:val="center"/>
              <w:ind w:right="151"/>
              <w:spacing w:after="0" w:line="141" w:lineRule="exact"/>
              <w:rPr>
                <w:sz w:val="20"/>
                <w:szCs w:val="20"/>
                <w:color w:val="auto"/>
              </w:rPr>
            </w:pPr>
            <w:r>
              <w:rPr>
                <w:rFonts w:ascii="Arial" w:cs="Arial" w:eastAsia="Arial" w:hAnsi="Arial"/>
                <w:sz w:val="13"/>
                <w:szCs w:val="13"/>
                <w:b w:val="1"/>
                <w:bCs w:val="1"/>
                <w:color w:val="auto"/>
                <w:w w:val="96"/>
              </w:rPr>
              <w:t>Shares that May</w:t>
            </w:r>
          </w:p>
        </w:tc>
      </w:tr>
      <w:tr>
        <w:trPr>
          <w:trHeight w:val="141"/>
        </w:trPr>
        <w:tc>
          <w:tcPr>
            <w:tcW w:w="5840" w:type="dxa"/>
            <w:vAlign w:val="bottom"/>
          </w:tcPr>
          <w:p>
            <w:pPr>
              <w:spacing w:after="0"/>
              <w:rPr>
                <w:sz w:val="12"/>
                <w:szCs w:val="12"/>
                <w:color w:val="auto"/>
              </w:rPr>
            </w:pPr>
          </w:p>
        </w:tc>
        <w:tc>
          <w:tcPr>
            <w:tcW w:w="1240" w:type="dxa"/>
            <w:vAlign w:val="bottom"/>
          </w:tcPr>
          <w:p>
            <w:pPr>
              <w:jc w:val="center"/>
              <w:ind w:right="28"/>
              <w:spacing w:after="0" w:line="141" w:lineRule="exact"/>
              <w:rPr>
                <w:sz w:val="20"/>
                <w:szCs w:val="20"/>
                <w:color w:val="auto"/>
              </w:rPr>
            </w:pPr>
            <w:r>
              <w:rPr>
                <w:rFonts w:ascii="Arial" w:cs="Arial" w:eastAsia="Arial" w:hAnsi="Arial"/>
                <w:sz w:val="13"/>
                <w:szCs w:val="13"/>
                <w:b w:val="1"/>
                <w:bCs w:val="1"/>
                <w:color w:val="auto"/>
                <w:w w:val="97"/>
              </w:rPr>
              <w:t>of Shares</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jc w:val="center"/>
              <w:ind w:right="440"/>
              <w:spacing w:after="0" w:line="141" w:lineRule="exact"/>
              <w:rPr>
                <w:sz w:val="20"/>
                <w:szCs w:val="20"/>
                <w:color w:val="auto"/>
              </w:rPr>
            </w:pPr>
            <w:r>
              <w:rPr>
                <w:rFonts w:ascii="Arial" w:cs="Arial" w:eastAsia="Arial" w:hAnsi="Arial"/>
                <w:sz w:val="13"/>
                <w:szCs w:val="13"/>
                <w:b w:val="1"/>
                <w:bCs w:val="1"/>
                <w:color w:val="auto"/>
                <w:w w:val="95"/>
              </w:rPr>
              <w:t>Price Paid</w:t>
            </w:r>
          </w:p>
        </w:tc>
        <w:tc>
          <w:tcPr>
            <w:tcW w:w="1260" w:type="dxa"/>
            <w:vAlign w:val="bottom"/>
          </w:tcPr>
          <w:p>
            <w:pPr>
              <w:jc w:val="center"/>
              <w:ind w:right="52"/>
              <w:spacing w:after="0" w:line="141" w:lineRule="exact"/>
              <w:rPr>
                <w:sz w:val="20"/>
                <w:szCs w:val="20"/>
                <w:color w:val="auto"/>
              </w:rPr>
            </w:pPr>
            <w:r>
              <w:rPr>
                <w:rFonts w:ascii="Arial" w:cs="Arial" w:eastAsia="Arial" w:hAnsi="Arial"/>
                <w:sz w:val="13"/>
                <w:szCs w:val="13"/>
                <w:b w:val="1"/>
                <w:bCs w:val="1"/>
                <w:color w:val="auto"/>
                <w:w w:val="97"/>
              </w:rPr>
              <w:t>Plans or</w:t>
            </w:r>
          </w:p>
        </w:tc>
        <w:tc>
          <w:tcPr>
            <w:tcW w:w="1400" w:type="dxa"/>
            <w:vAlign w:val="bottom"/>
            <w:gridSpan w:val="2"/>
          </w:tcPr>
          <w:p>
            <w:pPr>
              <w:jc w:val="center"/>
              <w:spacing w:after="0" w:line="141" w:lineRule="exact"/>
              <w:rPr>
                <w:sz w:val="20"/>
                <w:szCs w:val="20"/>
                <w:color w:val="auto"/>
              </w:rPr>
            </w:pPr>
            <w:r>
              <w:rPr>
                <w:rFonts w:ascii="Arial" w:cs="Arial" w:eastAsia="Arial" w:hAnsi="Arial"/>
                <w:sz w:val="13"/>
                <w:szCs w:val="13"/>
                <w:b w:val="1"/>
                <w:bCs w:val="1"/>
                <w:color w:val="auto"/>
                <w:w w:val="94"/>
              </w:rPr>
              <w:t>Yet Be Purchased</w:t>
            </w:r>
          </w:p>
        </w:tc>
      </w:tr>
      <w:tr>
        <w:trPr>
          <w:trHeight w:val="153"/>
        </w:trPr>
        <w:tc>
          <w:tcPr>
            <w:tcW w:w="5840" w:type="dxa"/>
            <w:vAlign w:val="bottom"/>
            <w:tcBorders>
              <w:bottom w:val="single" w:sz="8" w:color="CFF0FC"/>
            </w:tcBorders>
          </w:tcPr>
          <w:p>
            <w:pPr>
              <w:spacing w:after="0"/>
              <w:rPr>
                <w:sz w:val="13"/>
                <w:szCs w:val="13"/>
                <w:color w:val="auto"/>
              </w:rPr>
            </w:pPr>
          </w:p>
        </w:tc>
        <w:tc>
          <w:tcPr>
            <w:tcW w:w="1240" w:type="dxa"/>
            <w:vAlign w:val="bottom"/>
            <w:tcBorders>
              <w:bottom w:val="single" w:sz="8" w:color="auto"/>
            </w:tcBorders>
          </w:tcPr>
          <w:p>
            <w:pPr>
              <w:jc w:val="center"/>
              <w:ind w:right="48"/>
              <w:spacing w:after="0"/>
              <w:rPr>
                <w:sz w:val="20"/>
                <w:szCs w:val="20"/>
                <w:color w:val="auto"/>
              </w:rPr>
            </w:pPr>
            <w:r>
              <w:rPr>
                <w:rFonts w:ascii="Arial" w:cs="Arial" w:eastAsia="Arial" w:hAnsi="Arial"/>
                <w:sz w:val="13"/>
                <w:szCs w:val="13"/>
                <w:b w:val="1"/>
                <w:bCs w:val="1"/>
                <w:color w:val="auto"/>
                <w:w w:val="96"/>
              </w:rPr>
              <w:t>Purchased</w:t>
            </w:r>
          </w:p>
        </w:tc>
        <w:tc>
          <w:tcPr>
            <w:tcW w:w="14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center"/>
              <w:ind w:right="228"/>
              <w:spacing w:after="0"/>
              <w:rPr>
                <w:sz w:val="20"/>
                <w:szCs w:val="20"/>
                <w:color w:val="auto"/>
              </w:rPr>
            </w:pPr>
            <w:r>
              <w:rPr>
                <w:rFonts w:ascii="Arial" w:cs="Arial" w:eastAsia="Arial" w:hAnsi="Arial"/>
                <w:sz w:val="13"/>
                <w:szCs w:val="13"/>
                <w:b w:val="1"/>
                <w:bCs w:val="1"/>
                <w:color w:val="auto"/>
                <w:w w:val="96"/>
              </w:rPr>
              <w:t>per Share</w:t>
            </w:r>
          </w:p>
        </w:tc>
        <w:tc>
          <w:tcPr>
            <w:tcW w:w="120" w:type="dxa"/>
            <w:vAlign w:val="bottom"/>
            <w:tcBorders>
              <w:bottom w:val="single" w:sz="8" w:color="CFF0FC"/>
            </w:tcBorders>
          </w:tcPr>
          <w:p>
            <w:pPr>
              <w:spacing w:after="0"/>
              <w:rPr>
                <w:sz w:val="13"/>
                <w:szCs w:val="13"/>
                <w:color w:val="auto"/>
              </w:rPr>
            </w:pPr>
          </w:p>
        </w:tc>
        <w:tc>
          <w:tcPr>
            <w:tcW w:w="1260" w:type="dxa"/>
            <w:vAlign w:val="bottom"/>
            <w:tcBorders>
              <w:bottom w:val="single" w:sz="8" w:color="auto"/>
            </w:tcBorders>
          </w:tcPr>
          <w:p>
            <w:pPr>
              <w:jc w:val="center"/>
              <w:ind w:right="52"/>
              <w:spacing w:after="0"/>
              <w:rPr>
                <w:sz w:val="20"/>
                <w:szCs w:val="20"/>
                <w:color w:val="auto"/>
              </w:rPr>
            </w:pPr>
            <w:r>
              <w:rPr>
                <w:rFonts w:ascii="Arial" w:cs="Arial" w:eastAsia="Arial" w:hAnsi="Arial"/>
                <w:sz w:val="13"/>
                <w:szCs w:val="13"/>
                <w:b w:val="1"/>
                <w:bCs w:val="1"/>
                <w:color w:val="auto"/>
                <w:w w:val="96"/>
              </w:rPr>
              <w:t>Programs(1)</w:t>
            </w:r>
          </w:p>
        </w:tc>
        <w:tc>
          <w:tcPr>
            <w:tcW w:w="220" w:type="dxa"/>
            <w:vAlign w:val="bottom"/>
            <w:tcBorders>
              <w:bottom w:val="single" w:sz="8" w:color="CFF0FC"/>
            </w:tcBorders>
          </w:tcPr>
          <w:p>
            <w:pPr>
              <w:spacing w:after="0"/>
              <w:rPr>
                <w:sz w:val="13"/>
                <w:szCs w:val="13"/>
                <w:color w:val="auto"/>
              </w:rPr>
            </w:pPr>
          </w:p>
        </w:tc>
        <w:tc>
          <w:tcPr>
            <w:tcW w:w="1180" w:type="dxa"/>
            <w:vAlign w:val="bottom"/>
            <w:tcBorders>
              <w:bottom w:val="single" w:sz="8" w:color="CFF0FC"/>
            </w:tcBorders>
          </w:tcPr>
          <w:p>
            <w:pPr>
              <w:jc w:val="center"/>
              <w:ind w:right="151"/>
              <w:spacing w:after="0"/>
              <w:rPr>
                <w:sz w:val="20"/>
                <w:szCs w:val="20"/>
                <w:color w:val="auto"/>
              </w:rPr>
            </w:pPr>
            <w:r>
              <w:rPr>
                <w:rFonts w:ascii="Arial" w:cs="Arial" w:eastAsia="Arial" w:hAnsi="Arial"/>
                <w:sz w:val="13"/>
                <w:szCs w:val="13"/>
                <w:b w:val="1"/>
                <w:bCs w:val="1"/>
                <w:color w:val="auto"/>
                <w:w w:val="95"/>
              </w:rPr>
              <w:t>Under Plans(1)</w:t>
            </w:r>
          </w:p>
        </w:tc>
      </w:tr>
      <w:tr>
        <w:trPr>
          <w:trHeight w:val="180"/>
        </w:trPr>
        <w:tc>
          <w:tcPr>
            <w:tcW w:w="5840" w:type="dxa"/>
            <w:vAlign w:val="bottom"/>
            <w:shd w:val="clear" w:color="auto" w:fill="CFF0FC"/>
          </w:tcPr>
          <w:p>
            <w:pPr>
              <w:spacing w:after="0" w:line="180" w:lineRule="exact"/>
              <w:rPr>
                <w:sz w:val="20"/>
                <w:szCs w:val="20"/>
                <w:color w:val="auto"/>
              </w:rPr>
            </w:pPr>
            <w:r>
              <w:rPr>
                <w:rFonts w:ascii="Arial" w:cs="Arial" w:eastAsia="Arial" w:hAnsi="Arial"/>
                <w:sz w:val="16"/>
                <w:szCs w:val="16"/>
                <w:color w:val="auto"/>
              </w:rPr>
              <w:t>January 1– January 31, 2020</w:t>
            </w:r>
          </w:p>
        </w:tc>
        <w:tc>
          <w:tcPr>
            <w:tcW w:w="1240" w:type="dxa"/>
            <w:vAlign w:val="bottom"/>
            <w:shd w:val="clear" w:color="auto" w:fill="CFF0FC"/>
          </w:tcPr>
          <w:p>
            <w:pPr>
              <w:jc w:val="right"/>
              <w:ind w:right="48"/>
              <w:spacing w:after="0" w:line="180" w:lineRule="exact"/>
              <w:rPr>
                <w:sz w:val="20"/>
                <w:szCs w:val="20"/>
                <w:color w:val="auto"/>
              </w:rPr>
            </w:pPr>
            <w:r>
              <w:rPr>
                <w:rFonts w:ascii="Arial" w:cs="Arial" w:eastAsia="Arial" w:hAnsi="Arial"/>
                <w:sz w:val="16"/>
                <w:szCs w:val="16"/>
                <w:color w:val="auto"/>
              </w:rPr>
              <w:t>334,548</w:t>
            </w:r>
          </w:p>
        </w:tc>
        <w:tc>
          <w:tcPr>
            <w:tcW w:w="320" w:type="dxa"/>
            <w:vAlign w:val="bottom"/>
            <w:gridSpan w:val="2"/>
            <w:shd w:val="clear" w:color="auto" w:fill="CFF0FC"/>
          </w:tcPr>
          <w:p>
            <w:pPr>
              <w:jc w:val="right"/>
              <w:ind w:right="100"/>
              <w:spacing w:after="0" w:line="180" w:lineRule="exact"/>
              <w:rPr>
                <w:sz w:val="20"/>
                <w:szCs w:val="20"/>
                <w:color w:val="auto"/>
              </w:rPr>
            </w:pPr>
            <w:r>
              <w:rPr>
                <w:rFonts w:ascii="Arial" w:cs="Arial" w:eastAsia="Arial" w:hAnsi="Arial"/>
                <w:sz w:val="16"/>
                <w:szCs w:val="16"/>
                <w:color w:val="auto"/>
              </w:rPr>
              <w:t>$</w:t>
            </w:r>
          </w:p>
        </w:tc>
        <w:tc>
          <w:tcPr>
            <w:tcW w:w="1080" w:type="dxa"/>
            <w:vAlign w:val="bottom"/>
            <w:shd w:val="clear" w:color="auto" w:fill="CFF0FC"/>
          </w:tcPr>
          <w:p>
            <w:pPr>
              <w:jc w:val="right"/>
              <w:ind w:right="48"/>
              <w:spacing w:after="0" w:line="180" w:lineRule="exact"/>
              <w:rPr>
                <w:sz w:val="20"/>
                <w:szCs w:val="20"/>
                <w:color w:val="auto"/>
              </w:rPr>
            </w:pPr>
            <w:r>
              <w:rPr>
                <w:rFonts w:ascii="Arial" w:cs="Arial" w:eastAsia="Arial" w:hAnsi="Arial"/>
                <w:sz w:val="16"/>
                <w:szCs w:val="16"/>
                <w:color w:val="auto"/>
              </w:rPr>
              <w:t>47.15</w:t>
            </w:r>
          </w:p>
        </w:tc>
        <w:tc>
          <w:tcPr>
            <w:tcW w:w="120" w:type="dxa"/>
            <w:vAlign w:val="bottom"/>
            <w:shd w:val="clear" w:color="auto" w:fill="CFF0FC"/>
          </w:tcPr>
          <w:p>
            <w:pPr>
              <w:spacing w:after="0"/>
              <w:rPr>
                <w:sz w:val="15"/>
                <w:szCs w:val="15"/>
                <w:color w:val="auto"/>
              </w:rPr>
            </w:pPr>
          </w:p>
        </w:tc>
        <w:tc>
          <w:tcPr>
            <w:tcW w:w="1260" w:type="dxa"/>
            <w:vAlign w:val="bottom"/>
            <w:shd w:val="clear" w:color="auto" w:fill="CFF0FC"/>
          </w:tcPr>
          <w:p>
            <w:pPr>
              <w:jc w:val="right"/>
              <w:ind w:right="52"/>
              <w:spacing w:after="0" w:line="180" w:lineRule="exact"/>
              <w:rPr>
                <w:sz w:val="20"/>
                <w:szCs w:val="20"/>
                <w:color w:val="auto"/>
              </w:rPr>
            </w:pPr>
            <w:r>
              <w:rPr>
                <w:rFonts w:ascii="Arial" w:cs="Arial" w:eastAsia="Arial" w:hAnsi="Arial"/>
                <w:sz w:val="16"/>
                <w:szCs w:val="16"/>
                <w:color w:val="auto"/>
              </w:rPr>
              <w:t>334,548</w:t>
            </w:r>
          </w:p>
        </w:tc>
        <w:tc>
          <w:tcPr>
            <w:tcW w:w="220" w:type="dxa"/>
            <w:vAlign w:val="bottom"/>
            <w:shd w:val="clear" w:color="auto" w:fill="CFF0FC"/>
          </w:tcPr>
          <w:p>
            <w:pPr>
              <w:jc w:val="right"/>
              <w:spacing w:after="0" w:line="180" w:lineRule="exact"/>
              <w:rPr>
                <w:sz w:val="20"/>
                <w:szCs w:val="20"/>
                <w:color w:val="auto"/>
              </w:rPr>
            </w:pPr>
            <w:r>
              <w:rPr>
                <w:rFonts w:ascii="Arial" w:cs="Arial" w:eastAsia="Arial" w:hAnsi="Arial"/>
                <w:sz w:val="16"/>
                <w:szCs w:val="16"/>
                <w:color w:val="auto"/>
              </w:rPr>
              <w:t>$</w:t>
            </w:r>
          </w:p>
        </w:tc>
        <w:tc>
          <w:tcPr>
            <w:tcW w:w="1180" w:type="dxa"/>
            <w:vAlign w:val="bottom"/>
            <w:shd w:val="clear" w:color="auto" w:fill="CFF0FC"/>
          </w:tcPr>
          <w:p>
            <w:pPr>
              <w:jc w:val="right"/>
              <w:ind w:right="51"/>
              <w:spacing w:after="0" w:line="180" w:lineRule="exact"/>
              <w:rPr>
                <w:sz w:val="20"/>
                <w:szCs w:val="20"/>
                <w:color w:val="auto"/>
              </w:rPr>
            </w:pPr>
            <w:r>
              <w:rPr>
                <w:rFonts w:ascii="Arial" w:cs="Arial" w:eastAsia="Arial" w:hAnsi="Arial"/>
                <w:sz w:val="16"/>
                <w:szCs w:val="16"/>
                <w:color w:val="auto"/>
              </w:rPr>
              <w:t>1,036,242,381</w:t>
            </w:r>
          </w:p>
        </w:tc>
      </w:tr>
      <w:tr>
        <w:trPr>
          <w:trHeight w:val="188"/>
        </w:trPr>
        <w:tc>
          <w:tcPr>
            <w:tcW w:w="5840" w:type="dxa"/>
            <w:vAlign w:val="bottom"/>
          </w:tcPr>
          <w:p>
            <w:pPr>
              <w:spacing w:after="0"/>
              <w:rPr>
                <w:sz w:val="20"/>
                <w:szCs w:val="20"/>
                <w:color w:val="auto"/>
              </w:rPr>
            </w:pPr>
            <w:r>
              <w:rPr>
                <w:rFonts w:ascii="Arial" w:cs="Arial" w:eastAsia="Arial" w:hAnsi="Arial"/>
                <w:sz w:val="16"/>
                <w:szCs w:val="16"/>
                <w:color w:val="auto"/>
              </w:rPr>
              <w:t>February 1 – February 29, 2020</w:t>
            </w:r>
          </w:p>
        </w:tc>
        <w:tc>
          <w:tcPr>
            <w:tcW w:w="1240" w:type="dxa"/>
            <w:vAlign w:val="bottom"/>
          </w:tcPr>
          <w:p>
            <w:pPr>
              <w:jc w:val="right"/>
              <w:ind w:right="48"/>
              <w:spacing w:after="0"/>
              <w:rPr>
                <w:sz w:val="20"/>
                <w:szCs w:val="20"/>
                <w:color w:val="auto"/>
              </w:rPr>
            </w:pPr>
            <w:r>
              <w:rPr>
                <w:rFonts w:ascii="Arial" w:cs="Arial" w:eastAsia="Arial" w:hAnsi="Arial"/>
                <w:sz w:val="16"/>
                <w:szCs w:val="16"/>
                <w:color w:val="auto"/>
              </w:rPr>
              <w:t>318,241</w:t>
            </w:r>
          </w:p>
        </w:tc>
        <w:tc>
          <w:tcPr>
            <w:tcW w:w="3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48"/>
              <w:spacing w:after="0"/>
              <w:rPr>
                <w:sz w:val="20"/>
                <w:szCs w:val="20"/>
                <w:color w:val="auto"/>
              </w:rPr>
            </w:pPr>
            <w:r>
              <w:rPr>
                <w:rFonts w:ascii="Arial" w:cs="Arial" w:eastAsia="Arial" w:hAnsi="Arial"/>
                <w:sz w:val="16"/>
                <w:szCs w:val="16"/>
                <w:color w:val="auto"/>
              </w:rPr>
              <w:t>45.45</w:t>
            </w:r>
          </w:p>
        </w:tc>
        <w:tc>
          <w:tcPr>
            <w:tcW w:w="120" w:type="dxa"/>
            <w:vAlign w:val="bottom"/>
          </w:tcPr>
          <w:p>
            <w:pPr>
              <w:spacing w:after="0"/>
              <w:rPr>
                <w:sz w:val="16"/>
                <w:szCs w:val="16"/>
                <w:color w:val="auto"/>
              </w:rPr>
            </w:pPr>
          </w:p>
        </w:tc>
        <w:tc>
          <w:tcPr>
            <w:tcW w:w="1260" w:type="dxa"/>
            <w:vAlign w:val="bottom"/>
          </w:tcPr>
          <w:p>
            <w:pPr>
              <w:jc w:val="right"/>
              <w:ind w:right="52"/>
              <w:spacing w:after="0"/>
              <w:rPr>
                <w:sz w:val="20"/>
                <w:szCs w:val="20"/>
                <w:color w:val="auto"/>
              </w:rPr>
            </w:pPr>
            <w:r>
              <w:rPr>
                <w:rFonts w:ascii="Arial" w:cs="Arial" w:eastAsia="Arial" w:hAnsi="Arial"/>
                <w:sz w:val="16"/>
                <w:szCs w:val="16"/>
                <w:color w:val="auto"/>
              </w:rPr>
              <w:t>318,241</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51"/>
              <w:spacing w:after="0"/>
              <w:rPr>
                <w:sz w:val="20"/>
                <w:szCs w:val="20"/>
                <w:color w:val="auto"/>
              </w:rPr>
            </w:pPr>
            <w:r>
              <w:rPr>
                <w:rFonts w:ascii="Arial" w:cs="Arial" w:eastAsia="Arial" w:hAnsi="Arial"/>
                <w:sz w:val="16"/>
                <w:szCs w:val="16"/>
                <w:color w:val="auto"/>
              </w:rPr>
              <w:t>1,022,097,944</w:t>
            </w:r>
          </w:p>
        </w:tc>
      </w:tr>
      <w:tr>
        <w:trPr>
          <w:trHeight w:val="188"/>
        </w:trPr>
        <w:tc>
          <w:tcPr>
            <w:tcW w:w="5840" w:type="dxa"/>
            <w:vAlign w:val="bottom"/>
            <w:shd w:val="clear" w:color="auto" w:fill="CFF0FC"/>
          </w:tcPr>
          <w:p>
            <w:pPr>
              <w:spacing w:after="0"/>
              <w:rPr>
                <w:sz w:val="20"/>
                <w:szCs w:val="20"/>
                <w:color w:val="auto"/>
              </w:rPr>
            </w:pPr>
            <w:r>
              <w:rPr>
                <w:rFonts w:ascii="Arial" w:cs="Arial" w:eastAsia="Arial" w:hAnsi="Arial"/>
                <w:sz w:val="16"/>
                <w:szCs w:val="16"/>
                <w:color w:val="auto"/>
              </w:rPr>
              <w:t>March 1 – March 31, 2020</w:t>
            </w:r>
          </w:p>
        </w:tc>
        <w:tc>
          <w:tcPr>
            <w:tcW w:w="124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6"/>
                <w:szCs w:val="16"/>
                <w:color w:val="auto"/>
              </w:rPr>
              <w:t>4,443,061</w:t>
            </w:r>
          </w:p>
        </w:tc>
        <w:tc>
          <w:tcPr>
            <w:tcW w:w="32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FF0FC"/>
          </w:tcPr>
          <w:p>
            <w:pPr>
              <w:jc w:val="right"/>
              <w:ind w:right="48"/>
              <w:spacing w:after="0"/>
              <w:rPr>
                <w:sz w:val="20"/>
                <w:szCs w:val="20"/>
                <w:color w:val="auto"/>
              </w:rPr>
            </w:pPr>
            <w:r>
              <w:rPr>
                <w:rFonts w:ascii="Arial" w:cs="Arial" w:eastAsia="Arial" w:hAnsi="Arial"/>
                <w:sz w:val="16"/>
                <w:szCs w:val="16"/>
                <w:color w:val="auto"/>
              </w:rPr>
              <w:t>33.76</w:t>
            </w:r>
          </w:p>
        </w:tc>
        <w:tc>
          <w:tcPr>
            <w:tcW w:w="120" w:type="dxa"/>
            <w:vAlign w:val="bottom"/>
            <w:shd w:val="clear" w:color="auto" w:fill="CFF0FC"/>
          </w:tcPr>
          <w:p>
            <w:pPr>
              <w:spacing w:after="0"/>
              <w:rPr>
                <w:sz w:val="16"/>
                <w:szCs w:val="16"/>
                <w:color w:val="auto"/>
              </w:rPr>
            </w:pPr>
          </w:p>
        </w:tc>
        <w:tc>
          <w:tcPr>
            <w:tcW w:w="1260" w:type="dxa"/>
            <w:vAlign w:val="bottom"/>
            <w:tcBorders>
              <w:bottom w:val="single" w:sz="8" w:color="auto"/>
            </w:tcBorders>
            <w:shd w:val="clear" w:color="auto" w:fill="CFF0FC"/>
          </w:tcPr>
          <w:p>
            <w:pPr>
              <w:jc w:val="right"/>
              <w:ind w:right="52"/>
              <w:spacing w:after="0"/>
              <w:rPr>
                <w:sz w:val="20"/>
                <w:szCs w:val="20"/>
                <w:color w:val="auto"/>
              </w:rPr>
            </w:pPr>
            <w:r>
              <w:rPr>
                <w:rFonts w:ascii="Arial" w:cs="Arial" w:eastAsia="Arial" w:hAnsi="Arial"/>
                <w:sz w:val="16"/>
                <w:szCs w:val="16"/>
                <w:color w:val="auto"/>
              </w:rPr>
              <w:t>4,443,061</w:t>
            </w:r>
          </w:p>
        </w:tc>
        <w:tc>
          <w:tcPr>
            <w:tcW w:w="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180" w:type="dxa"/>
            <w:vAlign w:val="bottom"/>
            <w:shd w:val="clear" w:color="auto" w:fill="CFF0FC"/>
          </w:tcPr>
          <w:p>
            <w:pPr>
              <w:jc w:val="right"/>
              <w:ind w:right="51"/>
              <w:spacing w:after="0"/>
              <w:rPr>
                <w:sz w:val="20"/>
                <w:szCs w:val="20"/>
                <w:color w:val="auto"/>
              </w:rPr>
            </w:pPr>
            <w:r>
              <w:rPr>
                <w:rFonts w:ascii="Arial" w:cs="Arial" w:eastAsia="Arial" w:hAnsi="Arial"/>
                <w:sz w:val="16"/>
                <w:szCs w:val="16"/>
                <w:color w:val="auto"/>
              </w:rPr>
              <w:t>872,097,961</w:t>
            </w:r>
          </w:p>
        </w:tc>
      </w:tr>
      <w:tr>
        <w:trPr>
          <w:trHeight w:val="180"/>
        </w:trPr>
        <w:tc>
          <w:tcPr>
            <w:tcW w:w="5840" w:type="dxa"/>
            <w:vAlign w:val="bottom"/>
          </w:tcPr>
          <w:p>
            <w:pPr>
              <w:ind w:left="200"/>
              <w:spacing w:after="0" w:line="180" w:lineRule="exact"/>
              <w:rPr>
                <w:sz w:val="20"/>
                <w:szCs w:val="20"/>
                <w:color w:val="auto"/>
              </w:rPr>
            </w:pPr>
            <w:r>
              <w:rPr>
                <w:rFonts w:ascii="Arial" w:cs="Arial" w:eastAsia="Arial" w:hAnsi="Arial"/>
                <w:sz w:val="16"/>
                <w:szCs w:val="16"/>
                <w:color w:val="auto"/>
              </w:rPr>
              <w:t>Total</w:t>
            </w:r>
          </w:p>
        </w:tc>
        <w:tc>
          <w:tcPr>
            <w:tcW w:w="1240" w:type="dxa"/>
            <w:vAlign w:val="bottom"/>
            <w:tcBorders>
              <w:bottom w:val="single" w:sz="8" w:color="auto"/>
            </w:tcBorders>
          </w:tcPr>
          <w:p>
            <w:pPr>
              <w:jc w:val="right"/>
              <w:ind w:right="48"/>
              <w:spacing w:after="0" w:line="180" w:lineRule="exact"/>
              <w:rPr>
                <w:sz w:val="20"/>
                <w:szCs w:val="20"/>
                <w:color w:val="auto"/>
              </w:rPr>
            </w:pPr>
            <w:r>
              <w:rPr>
                <w:rFonts w:ascii="Arial" w:cs="Arial" w:eastAsia="Arial" w:hAnsi="Arial"/>
                <w:sz w:val="16"/>
                <w:szCs w:val="16"/>
                <w:color w:val="auto"/>
              </w:rPr>
              <w:t>5,095,850</w:t>
            </w:r>
          </w:p>
        </w:tc>
        <w:tc>
          <w:tcPr>
            <w:tcW w:w="320" w:type="dxa"/>
            <w:vAlign w:val="bottom"/>
            <w:gridSpan w:val="2"/>
          </w:tcPr>
          <w:p>
            <w:pPr>
              <w:jc w:val="right"/>
              <w:ind w:right="100"/>
              <w:spacing w:after="0" w:line="180" w:lineRule="exact"/>
              <w:rPr>
                <w:sz w:val="20"/>
                <w:szCs w:val="20"/>
                <w:color w:val="auto"/>
              </w:rPr>
            </w:pPr>
            <w:r>
              <w:rPr>
                <w:rFonts w:ascii="Arial" w:cs="Arial" w:eastAsia="Arial" w:hAnsi="Arial"/>
                <w:sz w:val="16"/>
                <w:szCs w:val="16"/>
                <w:color w:val="auto"/>
              </w:rPr>
              <w:t>$</w:t>
            </w:r>
          </w:p>
        </w:tc>
        <w:tc>
          <w:tcPr>
            <w:tcW w:w="1080" w:type="dxa"/>
            <w:vAlign w:val="bottom"/>
          </w:tcPr>
          <w:p>
            <w:pPr>
              <w:jc w:val="right"/>
              <w:ind w:right="48"/>
              <w:spacing w:after="0" w:line="180" w:lineRule="exact"/>
              <w:rPr>
                <w:sz w:val="20"/>
                <w:szCs w:val="20"/>
                <w:color w:val="auto"/>
              </w:rPr>
            </w:pPr>
            <w:r>
              <w:rPr>
                <w:rFonts w:ascii="Arial" w:cs="Arial" w:eastAsia="Arial" w:hAnsi="Arial"/>
                <w:sz w:val="16"/>
                <w:szCs w:val="16"/>
                <w:color w:val="auto"/>
              </w:rPr>
              <w:t>35.31</w:t>
            </w:r>
          </w:p>
        </w:tc>
        <w:tc>
          <w:tcPr>
            <w:tcW w:w="120" w:type="dxa"/>
            <w:vAlign w:val="bottom"/>
          </w:tcPr>
          <w:p>
            <w:pPr>
              <w:spacing w:after="0"/>
              <w:rPr>
                <w:sz w:val="15"/>
                <w:szCs w:val="15"/>
                <w:color w:val="auto"/>
              </w:rPr>
            </w:pPr>
          </w:p>
        </w:tc>
        <w:tc>
          <w:tcPr>
            <w:tcW w:w="1260" w:type="dxa"/>
            <w:vAlign w:val="bottom"/>
            <w:tcBorders>
              <w:bottom w:val="single" w:sz="8" w:color="auto"/>
            </w:tcBorders>
          </w:tcPr>
          <w:p>
            <w:pPr>
              <w:jc w:val="right"/>
              <w:ind w:right="52"/>
              <w:spacing w:after="0" w:line="180" w:lineRule="exact"/>
              <w:rPr>
                <w:sz w:val="20"/>
                <w:szCs w:val="20"/>
                <w:color w:val="auto"/>
              </w:rPr>
            </w:pPr>
            <w:r>
              <w:rPr>
                <w:rFonts w:ascii="Arial" w:cs="Arial" w:eastAsia="Arial" w:hAnsi="Arial"/>
                <w:sz w:val="16"/>
                <w:szCs w:val="16"/>
                <w:color w:val="auto"/>
              </w:rPr>
              <w:t>5,095,850</w:t>
            </w:r>
          </w:p>
        </w:tc>
        <w:tc>
          <w:tcPr>
            <w:tcW w:w="22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20"/>
        </w:trPr>
        <w:tc>
          <w:tcPr>
            <w:tcW w:w="58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bl>
    <w:p>
      <w:pPr>
        <w:spacing w:after="0" w:line="211" w:lineRule="exact"/>
        <w:rPr>
          <w:sz w:val="20"/>
          <w:szCs w:val="20"/>
          <w:color w:val="auto"/>
        </w:rPr>
      </w:pPr>
    </w:p>
    <w:p>
      <w:pPr>
        <w:ind w:left="660" w:right="240" w:hanging="396"/>
        <w:spacing w:after="0" w:line="234" w:lineRule="auto"/>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These values reflect repurchases made under the Repurchase Program approved by the Board of Directors on November 14, 2016 and the increases approved by the Board of Directors on November 8, 2017, July 30, 2018 and May 9, 2019 which, in the aggregate, authorized total repurchases of $3,000 million. The Repurchase Program has no termination date.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55245</wp:posOffset>
            </wp:positionV>
            <wp:extent cx="7150100" cy="1460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0"/>
          </w:cols>
          <w:pgMar w:left="320" w:top="140" w:right="319" w:bottom="1440" w:gutter="0" w:footer="0" w:header="0"/>
        </w:sectPr>
      </w:pPr>
    </w:p>
    <w:bookmarkStart w:id="40" w:name="page41"/>
    <w:bookmarkEnd w:id="4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128905</wp:posOffset>
            </wp:positionV>
            <wp:extent cx="7150100" cy="762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0100" cy="7620"/>
                    </a:xfrm>
                    <a:prstGeom prst="rect">
                      <a:avLst/>
                    </a:prstGeom>
                    <a:noFill/>
                  </pic:spPr>
                </pic:pic>
              </a:graphicData>
            </a:graphic>
          </wp:anchor>
        </w:drawing>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1400" w:type="dxa"/>
            <w:vAlign w:val="bottom"/>
            <w:gridSpan w:val="3"/>
          </w:tcPr>
          <w:p>
            <w:pPr>
              <w:spacing w:after="0"/>
              <w:rPr>
                <w:sz w:val="20"/>
                <w:szCs w:val="20"/>
                <w:color w:val="auto"/>
              </w:rPr>
            </w:pPr>
            <w:r>
              <w:rPr>
                <w:rFonts w:ascii="Arial" w:cs="Arial" w:eastAsia="Arial" w:hAnsi="Arial"/>
                <w:sz w:val="16"/>
                <w:szCs w:val="16"/>
                <w:b w:val="1"/>
                <w:bCs w:val="1"/>
                <w:color w:val="auto"/>
              </w:rPr>
              <w:t>Item 6.</w:t>
            </w:r>
          </w:p>
        </w:tc>
        <w:tc>
          <w:tcPr>
            <w:tcW w:w="7500" w:type="dxa"/>
            <w:vAlign w:val="bottom"/>
            <w:gridSpan w:val="5"/>
          </w:tcPr>
          <w:p>
            <w:pPr>
              <w:ind w:left="20"/>
              <w:spacing w:after="0"/>
              <w:rPr>
                <w:sz w:val="20"/>
                <w:szCs w:val="20"/>
                <w:color w:val="auto"/>
              </w:rPr>
            </w:pPr>
            <w:r>
              <w:rPr>
                <w:rFonts w:ascii="Arial" w:cs="Arial" w:eastAsia="Arial" w:hAnsi="Arial"/>
                <w:sz w:val="16"/>
                <w:szCs w:val="16"/>
                <w:b w:val="1"/>
                <w:bCs w:val="1"/>
                <w:color w:val="auto"/>
              </w:rPr>
              <w:t>Exhibits</w:t>
            </w:r>
          </w:p>
        </w:tc>
        <w:tc>
          <w:tcPr>
            <w:tcW w:w="17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0"/>
        </w:trPr>
        <w:tc>
          <w:tcPr>
            <w:tcW w:w="46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142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296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2300" w:type="dxa"/>
            <w:vAlign w:val="bottom"/>
            <w:tcBorders>
              <w:bottom w:val="single" w:sz="8" w:color="auto"/>
            </w:tcBorders>
          </w:tcPr>
          <w:p>
            <w:pPr>
              <w:spacing w:after="0"/>
              <w:rPr>
                <w:sz w:val="11"/>
                <w:szCs w:val="11"/>
                <w:color w:val="auto"/>
              </w:rPr>
            </w:pPr>
          </w:p>
        </w:tc>
        <w:tc>
          <w:tcPr>
            <w:tcW w:w="172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73"/>
        </w:trPr>
        <w:tc>
          <w:tcPr>
            <w:tcW w:w="1400" w:type="dxa"/>
            <w:vAlign w:val="bottom"/>
            <w:gridSpan w:val="3"/>
          </w:tcPr>
          <w:p>
            <w:pPr>
              <w:spacing w:after="0"/>
              <w:rPr>
                <w:sz w:val="20"/>
                <w:szCs w:val="20"/>
                <w:color w:val="auto"/>
              </w:rPr>
            </w:pPr>
            <w:r>
              <w:rPr>
                <w:rFonts w:ascii="Arial" w:cs="Arial" w:eastAsia="Arial" w:hAnsi="Arial"/>
                <w:sz w:val="16"/>
                <w:szCs w:val="16"/>
                <w:color w:val="auto"/>
              </w:rPr>
              <w:t>(a) Exhibits</w:t>
            </w:r>
          </w:p>
        </w:tc>
        <w:tc>
          <w:tcPr>
            <w:tcW w:w="14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9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300" w:type="dxa"/>
            <w:vAlign w:val="bottom"/>
          </w:tcPr>
          <w:p>
            <w:pPr>
              <w:spacing w:after="0"/>
              <w:rPr>
                <w:sz w:val="23"/>
                <w:szCs w:val="23"/>
                <w:color w:val="auto"/>
              </w:rPr>
            </w:pPr>
          </w:p>
        </w:tc>
        <w:tc>
          <w:tcPr>
            <w:tcW w:w="17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30"/>
        </w:trPr>
        <w:tc>
          <w:tcPr>
            <w:tcW w:w="460" w:type="dxa"/>
            <w:vAlign w:val="bottom"/>
          </w:tcPr>
          <w:p>
            <w:pPr>
              <w:spacing w:after="0"/>
              <w:rPr>
                <w:sz w:val="24"/>
                <w:szCs w:val="24"/>
                <w:color w:val="auto"/>
              </w:rPr>
            </w:pPr>
          </w:p>
        </w:tc>
        <w:tc>
          <w:tcPr>
            <w:tcW w:w="940" w:type="dxa"/>
            <w:vAlign w:val="bottom"/>
            <w:gridSpan w:val="2"/>
          </w:tcPr>
          <w:p>
            <w:pPr>
              <w:spacing w:after="0"/>
              <w:rPr>
                <w:sz w:val="20"/>
                <w:szCs w:val="20"/>
                <w:color w:val="auto"/>
              </w:rPr>
            </w:pPr>
            <w:r>
              <w:rPr>
                <w:rFonts w:ascii="Arial" w:cs="Arial" w:eastAsia="Arial" w:hAnsi="Arial"/>
                <w:sz w:val="13"/>
                <w:szCs w:val="13"/>
                <w:b w:val="1"/>
                <w:bCs w:val="1"/>
                <w:color w:val="auto"/>
              </w:rPr>
              <w:t>Exhibit</w:t>
            </w:r>
          </w:p>
        </w:tc>
        <w:tc>
          <w:tcPr>
            <w:tcW w:w="1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960" w:type="dxa"/>
            <w:vAlign w:val="bottom"/>
            <w:vMerge w:val="restart"/>
          </w:tcPr>
          <w:p>
            <w:pPr>
              <w:spacing w:after="0"/>
              <w:rPr>
                <w:sz w:val="24"/>
                <w:szCs w:val="24"/>
                <w:color w:val="auto"/>
              </w:rPr>
            </w:pPr>
          </w:p>
        </w:tc>
        <w:tc>
          <w:tcPr>
            <w:tcW w:w="294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Description</w:t>
            </w:r>
          </w:p>
        </w:tc>
        <w:tc>
          <w:tcPr>
            <w:tcW w:w="17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1"/>
        </w:trPr>
        <w:tc>
          <w:tcPr>
            <w:tcW w:w="460" w:type="dxa"/>
            <w:vAlign w:val="bottom"/>
          </w:tcPr>
          <w:p>
            <w:pPr>
              <w:spacing w:after="0"/>
              <w:rPr>
                <w:sz w:val="10"/>
                <w:szCs w:val="10"/>
                <w:color w:val="auto"/>
              </w:rPr>
            </w:pPr>
          </w:p>
        </w:tc>
        <w:tc>
          <w:tcPr>
            <w:tcW w:w="460" w:type="dxa"/>
            <w:vAlign w:val="bottom"/>
            <w:tcBorders>
              <w:top w:val="single" w:sz="8" w:color="auto"/>
            </w:tcBorders>
          </w:tcPr>
          <w:p>
            <w:pPr>
              <w:spacing w:after="0" w:line="121" w:lineRule="exact"/>
              <w:rPr>
                <w:sz w:val="20"/>
                <w:szCs w:val="20"/>
                <w:color w:val="auto"/>
              </w:rPr>
            </w:pPr>
            <w:r>
              <w:rPr>
                <w:rFonts w:ascii="Arial" w:cs="Arial" w:eastAsia="Arial" w:hAnsi="Arial"/>
                <w:sz w:val="13"/>
                <w:szCs w:val="13"/>
                <w:b w:val="1"/>
                <w:bCs w:val="1"/>
                <w:color w:val="auto"/>
                <w:w w:val="85"/>
              </w:rPr>
              <w:t>Number</w:t>
            </w:r>
          </w:p>
        </w:tc>
        <w:tc>
          <w:tcPr>
            <w:tcW w:w="48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960" w:type="dxa"/>
            <w:vAlign w:val="bottom"/>
            <w:vMerge w:val="continue"/>
          </w:tcPr>
          <w:p>
            <w:pPr>
              <w:spacing w:after="0"/>
              <w:rPr>
                <w:sz w:val="10"/>
                <w:szCs w:val="10"/>
                <w:color w:val="auto"/>
              </w:rPr>
            </w:pPr>
          </w:p>
        </w:tc>
        <w:tc>
          <w:tcPr>
            <w:tcW w:w="2940" w:type="dxa"/>
            <w:vAlign w:val="bottom"/>
            <w:gridSpan w:val="2"/>
            <w:vMerge w:val="continue"/>
          </w:tcPr>
          <w:p>
            <w:pPr>
              <w:spacing w:after="0"/>
              <w:rPr>
                <w:sz w:val="10"/>
                <w:szCs w:val="10"/>
                <w:color w:val="auto"/>
              </w:rPr>
            </w:pPr>
          </w:p>
        </w:tc>
        <w:tc>
          <w:tcPr>
            <w:tcW w:w="17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460" w:type="dxa"/>
            <w:vAlign w:val="bottom"/>
            <w:tcBorders>
              <w:right w:val="single" w:sz="8" w:color="auto"/>
            </w:tcBorders>
          </w:tcPr>
          <w:p>
            <w:pPr>
              <w:spacing w:after="0" w:line="20" w:lineRule="exact"/>
              <w:rPr>
                <w:sz w:val="1"/>
                <w:szCs w:val="1"/>
                <w:color w:val="auto"/>
              </w:rPr>
            </w:pPr>
          </w:p>
        </w:tc>
        <w:tc>
          <w:tcPr>
            <w:tcW w:w="460" w:type="dxa"/>
            <w:vAlign w:val="bottom"/>
            <w:tcBorders>
              <w:right w:val="single" w:sz="8" w:color="auto"/>
            </w:tcBorders>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300" w:type="dxa"/>
            <w:vAlign w:val="bottom"/>
            <w:tcBorders>
              <w:left w:val="single" w:sz="8" w:color="auto"/>
            </w:tcBorders>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6"/>
        </w:trPr>
        <w:tc>
          <w:tcPr>
            <w:tcW w:w="460" w:type="dxa"/>
            <w:vAlign w:val="bottom"/>
          </w:tcPr>
          <w:p>
            <w:pPr>
              <w:jc w:val="right"/>
              <w:ind w:right="42"/>
              <w:spacing w:after="0"/>
              <w:rPr>
                <w:sz w:val="20"/>
                <w:szCs w:val="20"/>
                <w:color w:val="auto"/>
              </w:rPr>
            </w:pPr>
            <w:r>
              <w:rPr>
                <w:rFonts w:ascii="Arial" w:cs="Arial" w:eastAsia="Arial" w:hAnsi="Arial"/>
                <w:sz w:val="16"/>
                <w:szCs w:val="16"/>
                <w:color w:val="auto"/>
              </w:rPr>
              <w:t>31.1</w:t>
            </w:r>
          </w:p>
        </w:tc>
        <w:tc>
          <w:tcPr>
            <w:tcW w:w="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500" w:type="dxa"/>
            <w:vAlign w:val="bottom"/>
            <w:gridSpan w:val="5"/>
          </w:tcPr>
          <w:p>
            <w:pPr>
              <w:spacing w:after="0"/>
              <w:rPr>
                <w:rFonts w:ascii="Arial" w:cs="Arial" w:eastAsia="Arial" w:hAnsi="Arial"/>
                <w:sz w:val="16"/>
                <w:szCs w:val="16"/>
                <w:color w:val="0000EE"/>
                <w:w w:val="97"/>
              </w:rPr>
            </w:pPr>
            <w:hyperlink w:anchor="page43">
              <w:r>
                <w:rPr>
                  <w:rFonts w:ascii="Arial" w:cs="Arial" w:eastAsia="Arial" w:hAnsi="Arial"/>
                  <w:sz w:val="16"/>
                  <w:szCs w:val="16"/>
                  <w:color w:val="0000EE"/>
                  <w:w w:val="97"/>
                </w:rPr>
                <w:t>Certification of Chief Executive Officer pursuant to Rule 13a-14(a)/15d-14(a) as adopted pursuant to Section</w:t>
              </w:r>
            </w:hyperlink>
          </w:p>
        </w:tc>
        <w:tc>
          <w:tcPr>
            <w:tcW w:w="2360" w:type="dxa"/>
            <w:vAlign w:val="bottom"/>
            <w:gridSpan w:val="4"/>
          </w:tcPr>
          <w:p>
            <w:pPr>
              <w:ind w:left="60"/>
              <w:spacing w:after="0"/>
              <w:rPr>
                <w:rFonts w:ascii="Arial" w:cs="Arial" w:eastAsia="Arial" w:hAnsi="Arial"/>
                <w:sz w:val="16"/>
                <w:szCs w:val="16"/>
                <w:color w:val="0000EE"/>
              </w:rPr>
            </w:pPr>
            <w:hyperlink w:anchor="page43">
              <w:r>
                <w:rPr>
                  <w:rFonts w:ascii="Arial" w:cs="Arial" w:eastAsia="Arial" w:hAnsi="Arial"/>
                  <w:sz w:val="16"/>
                  <w:szCs w:val="16"/>
                  <w:color w:val="0000EE"/>
                </w:rPr>
                <w:t>302 of the Sarbanes-Oxley Act</w:t>
              </w:r>
            </w:hyperlink>
          </w:p>
        </w:tc>
        <w:tc>
          <w:tcPr>
            <w:tcW w:w="0" w:type="dxa"/>
            <w:vAlign w:val="bottom"/>
          </w:tcPr>
          <w:p>
            <w:pPr>
              <w:spacing w:after="0"/>
              <w:rPr>
                <w:sz w:val="1"/>
                <w:szCs w:val="1"/>
                <w:color w:val="auto"/>
              </w:rPr>
            </w:pPr>
          </w:p>
        </w:tc>
      </w:tr>
      <w:tr>
        <w:trPr>
          <w:trHeight w:val="156"/>
        </w:trPr>
        <w:tc>
          <w:tcPr>
            <w:tcW w:w="4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00" w:type="dxa"/>
            <w:vAlign w:val="bottom"/>
            <w:tcBorders>
              <w:top w:val="single" w:sz="8" w:color="0000EE"/>
              <w:bottom w:val="single" w:sz="8" w:color="0000EE"/>
            </w:tcBorders>
            <w:gridSpan w:val="2"/>
          </w:tcPr>
          <w:p>
            <w:pPr>
              <w:spacing w:after="0" w:line="156" w:lineRule="exact"/>
              <w:rPr>
                <w:rFonts w:ascii="Arial" w:cs="Arial" w:eastAsia="Arial" w:hAnsi="Arial"/>
                <w:sz w:val="16"/>
                <w:szCs w:val="16"/>
                <w:color w:val="0000EE"/>
                <w:w w:val="97"/>
              </w:rPr>
            </w:pPr>
            <w:hyperlink w:anchor="page43">
              <w:r>
                <w:rPr>
                  <w:rFonts w:ascii="Arial" w:cs="Arial" w:eastAsia="Arial" w:hAnsi="Arial"/>
                  <w:sz w:val="16"/>
                  <w:szCs w:val="16"/>
                  <w:color w:val="0000EE"/>
                  <w:w w:val="97"/>
                </w:rPr>
                <w:t>of 2002 (filed herewith)</w:t>
              </w:r>
            </w:hyperlink>
          </w:p>
        </w:tc>
        <w:tc>
          <w:tcPr>
            <w:tcW w:w="5900" w:type="dxa"/>
            <w:vAlign w:val="bottom"/>
            <w:tcBorders>
              <w:top w:val="single" w:sz="8" w:color="0000EE"/>
            </w:tcBorders>
            <w:gridSpan w:val="3"/>
          </w:tcPr>
          <w:p>
            <w:pPr>
              <w:spacing w:after="0"/>
              <w:rPr>
                <w:sz w:val="13"/>
                <w:szCs w:val="13"/>
                <w:color w:val="auto"/>
              </w:rPr>
            </w:pPr>
          </w:p>
        </w:tc>
        <w:tc>
          <w:tcPr>
            <w:tcW w:w="1720" w:type="dxa"/>
            <w:vAlign w:val="bottom"/>
            <w:tcBorders>
              <w:top w:val="single" w:sz="8" w:color="0000EE"/>
            </w:tcBorders>
          </w:tcPr>
          <w:p>
            <w:pPr>
              <w:spacing w:after="0"/>
              <w:rPr>
                <w:sz w:val="13"/>
                <w:szCs w:val="13"/>
                <w:color w:val="auto"/>
              </w:rPr>
            </w:pPr>
          </w:p>
        </w:tc>
        <w:tc>
          <w:tcPr>
            <w:tcW w:w="480" w:type="dxa"/>
            <w:vAlign w:val="bottom"/>
            <w:tcBorders>
              <w:top w:val="single" w:sz="8" w:color="0000EE"/>
            </w:tcBorders>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2"/>
        </w:trPr>
        <w:tc>
          <w:tcPr>
            <w:tcW w:w="460" w:type="dxa"/>
            <w:vAlign w:val="bottom"/>
          </w:tcPr>
          <w:p>
            <w:pPr>
              <w:jc w:val="right"/>
              <w:ind w:right="42"/>
              <w:spacing w:after="0"/>
              <w:rPr>
                <w:sz w:val="20"/>
                <w:szCs w:val="20"/>
                <w:color w:val="auto"/>
              </w:rPr>
            </w:pPr>
            <w:r>
              <w:rPr>
                <w:rFonts w:ascii="Arial" w:cs="Arial" w:eastAsia="Arial" w:hAnsi="Arial"/>
                <w:sz w:val="16"/>
                <w:szCs w:val="16"/>
                <w:color w:val="auto"/>
              </w:rPr>
              <w:t>31.2</w:t>
            </w:r>
          </w:p>
        </w:tc>
        <w:tc>
          <w:tcPr>
            <w:tcW w:w="4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500" w:type="dxa"/>
            <w:vAlign w:val="bottom"/>
            <w:gridSpan w:val="5"/>
          </w:tcPr>
          <w:p>
            <w:pPr>
              <w:spacing w:after="0"/>
              <w:rPr>
                <w:rFonts w:ascii="Arial" w:cs="Arial" w:eastAsia="Arial" w:hAnsi="Arial"/>
                <w:sz w:val="16"/>
                <w:szCs w:val="16"/>
                <w:color w:val="0000EE"/>
                <w:w w:val="98"/>
              </w:rPr>
            </w:pPr>
            <w:hyperlink w:anchor="page44">
              <w:r>
                <w:rPr>
                  <w:rFonts w:ascii="Arial" w:cs="Arial" w:eastAsia="Arial" w:hAnsi="Arial"/>
                  <w:sz w:val="16"/>
                  <w:szCs w:val="16"/>
                  <w:color w:val="0000EE"/>
                  <w:w w:val="98"/>
                </w:rPr>
                <w:t>Certification of Chief Financial Officer pursuant to Rule 13a-14(a)/15d-14(a) as adopted pursuant to Section</w:t>
              </w:r>
            </w:hyperlink>
          </w:p>
        </w:tc>
        <w:tc>
          <w:tcPr>
            <w:tcW w:w="2360" w:type="dxa"/>
            <w:vAlign w:val="bottom"/>
            <w:gridSpan w:val="4"/>
          </w:tcPr>
          <w:p>
            <w:pPr>
              <w:ind w:left="20"/>
              <w:spacing w:after="0"/>
              <w:rPr>
                <w:rFonts w:ascii="Arial" w:cs="Arial" w:eastAsia="Arial" w:hAnsi="Arial"/>
                <w:sz w:val="16"/>
                <w:szCs w:val="16"/>
                <w:color w:val="0000EE"/>
                <w:w w:val="98"/>
              </w:rPr>
            </w:pPr>
            <w:hyperlink w:anchor="page44">
              <w:r>
                <w:rPr>
                  <w:rFonts w:ascii="Arial" w:cs="Arial" w:eastAsia="Arial" w:hAnsi="Arial"/>
                  <w:sz w:val="16"/>
                  <w:szCs w:val="16"/>
                  <w:color w:val="0000EE"/>
                  <w:w w:val="98"/>
                </w:rPr>
                <w:t>302 of the Sarbanes-Oxley Act of</w:t>
              </w:r>
            </w:hyperlink>
          </w:p>
        </w:tc>
        <w:tc>
          <w:tcPr>
            <w:tcW w:w="0" w:type="dxa"/>
            <w:vAlign w:val="bottom"/>
          </w:tcPr>
          <w:p>
            <w:pPr>
              <w:spacing w:after="0"/>
              <w:rPr>
                <w:sz w:val="1"/>
                <w:szCs w:val="1"/>
                <w:color w:val="auto"/>
              </w:rPr>
            </w:pPr>
          </w:p>
        </w:tc>
      </w:tr>
      <w:tr>
        <w:trPr>
          <w:trHeight w:val="156"/>
        </w:trPr>
        <w:tc>
          <w:tcPr>
            <w:tcW w:w="4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500" w:type="dxa"/>
            <w:vAlign w:val="bottom"/>
            <w:tcBorders>
              <w:top w:val="single" w:sz="8" w:color="0000EE"/>
            </w:tcBorders>
            <w:gridSpan w:val="5"/>
          </w:tcPr>
          <w:p>
            <w:pPr>
              <w:spacing w:after="0" w:line="156" w:lineRule="exact"/>
              <w:rPr>
                <w:rFonts w:ascii="Arial" w:cs="Arial" w:eastAsia="Arial" w:hAnsi="Arial"/>
                <w:sz w:val="16"/>
                <w:szCs w:val="16"/>
                <w:color w:val="0000EE"/>
              </w:rPr>
            </w:pPr>
            <w:hyperlink w:anchor="page44">
              <w:r>
                <w:rPr>
                  <w:rFonts w:ascii="Arial" w:cs="Arial" w:eastAsia="Arial" w:hAnsi="Arial"/>
                  <w:sz w:val="16"/>
                  <w:szCs w:val="16"/>
                  <w:color w:val="0000EE"/>
                </w:rPr>
                <w:t>2002 (filed herewith)</w:t>
              </w:r>
            </w:hyperlink>
          </w:p>
        </w:tc>
        <w:tc>
          <w:tcPr>
            <w:tcW w:w="1720" w:type="dxa"/>
            <w:vAlign w:val="bottom"/>
            <w:tcBorders>
              <w:top w:val="single" w:sz="8" w:color="0000EE"/>
            </w:tcBorders>
          </w:tcPr>
          <w:p>
            <w:pPr>
              <w:spacing w:after="0"/>
              <w:rPr>
                <w:sz w:val="13"/>
                <w:szCs w:val="13"/>
                <w:color w:val="auto"/>
              </w:rPr>
            </w:pPr>
          </w:p>
        </w:tc>
        <w:tc>
          <w:tcPr>
            <w:tcW w:w="480" w:type="dxa"/>
            <w:vAlign w:val="bottom"/>
            <w:tcBorders>
              <w:top w:val="single" w:sz="8" w:color="0000EE"/>
            </w:tcBorders>
          </w:tcPr>
          <w:p>
            <w:pPr>
              <w:spacing w:after="0"/>
              <w:rPr>
                <w:sz w:val="13"/>
                <w:szCs w:val="13"/>
                <w:color w:val="auto"/>
              </w:rPr>
            </w:pPr>
          </w:p>
        </w:tc>
        <w:tc>
          <w:tcPr>
            <w:tcW w:w="120" w:type="dxa"/>
            <w:vAlign w:val="bottom"/>
            <w:tcBorders>
              <w:top w:val="single" w:sz="8" w:color="0000EE"/>
            </w:tcBorders>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3780" w:type="dxa"/>
            <w:vAlign w:val="bottom"/>
            <w:gridSpan w:val="3"/>
          </w:tcPr>
          <w:p>
            <w:pPr>
              <w:spacing w:after="0" w:line="20" w:lineRule="exact"/>
              <w:rPr>
                <w:sz w:val="1"/>
                <w:szCs w:val="1"/>
                <w:color w:val="auto"/>
              </w:rPr>
            </w:pPr>
          </w:p>
        </w:tc>
        <w:tc>
          <w:tcPr>
            <w:tcW w:w="4020" w:type="dxa"/>
            <w:vAlign w:val="bottom"/>
            <w:gridSpan w:val="2"/>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2"/>
        </w:trPr>
        <w:tc>
          <w:tcPr>
            <w:tcW w:w="460" w:type="dxa"/>
            <w:vAlign w:val="bottom"/>
          </w:tcPr>
          <w:p>
            <w:pPr>
              <w:jc w:val="right"/>
              <w:ind w:right="42"/>
              <w:spacing w:after="0"/>
              <w:rPr>
                <w:sz w:val="20"/>
                <w:szCs w:val="20"/>
                <w:color w:val="auto"/>
              </w:rPr>
            </w:pPr>
            <w:r>
              <w:rPr>
                <w:rFonts w:ascii="Arial" w:cs="Arial" w:eastAsia="Arial" w:hAnsi="Arial"/>
                <w:sz w:val="16"/>
                <w:szCs w:val="16"/>
                <w:color w:val="auto"/>
              </w:rPr>
              <w:t>32.1</w:t>
            </w:r>
          </w:p>
        </w:tc>
        <w:tc>
          <w:tcPr>
            <w:tcW w:w="4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860" w:type="dxa"/>
            <w:vAlign w:val="bottom"/>
            <w:gridSpan w:val="9"/>
          </w:tcPr>
          <w:p>
            <w:pPr>
              <w:spacing w:after="0"/>
              <w:rPr>
                <w:rFonts w:ascii="Arial" w:cs="Arial" w:eastAsia="Arial" w:hAnsi="Arial"/>
                <w:sz w:val="16"/>
                <w:szCs w:val="16"/>
                <w:color w:val="0000EE"/>
              </w:rPr>
            </w:pPr>
            <w:hyperlink w:anchor="page45">
              <w:r>
                <w:rPr>
                  <w:rFonts w:ascii="Arial" w:cs="Arial" w:eastAsia="Arial" w:hAnsi="Arial"/>
                  <w:sz w:val="16"/>
                  <w:szCs w:val="16"/>
                  <w:color w:val="0000EE"/>
                </w:rPr>
                <w:t>Certification of Periodic Report by Chief Executive Officer and Chief Financial Officer pursuant to 18 U.S.C. Section 1350, as adopted</w:t>
              </w:r>
            </w:hyperlink>
          </w:p>
        </w:tc>
        <w:tc>
          <w:tcPr>
            <w:tcW w:w="0" w:type="dxa"/>
            <w:vAlign w:val="bottom"/>
          </w:tcPr>
          <w:p>
            <w:pPr>
              <w:spacing w:after="0"/>
              <w:rPr>
                <w:sz w:val="1"/>
                <w:szCs w:val="1"/>
                <w:color w:val="auto"/>
              </w:rPr>
            </w:pPr>
          </w:p>
        </w:tc>
      </w:tr>
      <w:tr>
        <w:trPr>
          <w:trHeight w:val="156"/>
        </w:trPr>
        <w:tc>
          <w:tcPr>
            <w:tcW w:w="4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500" w:type="dxa"/>
            <w:vAlign w:val="bottom"/>
            <w:tcBorders>
              <w:top w:val="single" w:sz="8" w:color="0000EE"/>
            </w:tcBorders>
            <w:gridSpan w:val="5"/>
          </w:tcPr>
          <w:p>
            <w:pPr>
              <w:spacing w:after="0" w:line="156" w:lineRule="exact"/>
              <w:rPr>
                <w:rFonts w:ascii="Arial" w:cs="Arial" w:eastAsia="Arial" w:hAnsi="Arial"/>
                <w:sz w:val="16"/>
                <w:szCs w:val="16"/>
                <w:color w:val="0000EE"/>
              </w:rPr>
            </w:pPr>
            <w:hyperlink w:anchor="page45">
              <w:r>
                <w:rPr>
                  <w:rFonts w:ascii="Arial" w:cs="Arial" w:eastAsia="Arial" w:hAnsi="Arial"/>
                  <w:sz w:val="16"/>
                  <w:szCs w:val="16"/>
                  <w:color w:val="0000EE"/>
                </w:rPr>
                <w:t>pursuant to Section 906 of the Sarbanes-Oxley Act of 2002 (filed herewith)</w:t>
              </w:r>
            </w:hyperlink>
          </w:p>
        </w:tc>
        <w:tc>
          <w:tcPr>
            <w:tcW w:w="1720" w:type="dxa"/>
            <w:vAlign w:val="bottom"/>
            <w:tcBorders>
              <w:top w:val="single" w:sz="8" w:color="0000EE"/>
            </w:tcBorders>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96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9" w:lineRule="exact"/>
        <w:rPr>
          <w:sz w:val="20"/>
          <w:szCs w:val="20"/>
          <w:color w:val="auto"/>
        </w:rPr>
      </w:pPr>
    </w:p>
    <w:p>
      <w:pPr>
        <w:ind w:left="1400" w:hanging="1359"/>
        <w:spacing w:after="0"/>
        <w:tabs>
          <w:tab w:leader="none" w:pos="140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following financial information from the Registrant’s Quarterly Report on Form 10-Q for the quarter ended March 31, 2020, formatted</w:t>
      </w:r>
    </w:p>
    <w:p>
      <w:pPr>
        <w:ind w:left="1400" w:right="60"/>
        <w:spacing w:after="0" w:line="234" w:lineRule="auto"/>
        <w:rPr>
          <w:rFonts w:ascii="Arial" w:cs="Arial" w:eastAsia="Arial" w:hAnsi="Arial"/>
          <w:sz w:val="16"/>
          <w:szCs w:val="16"/>
          <w:color w:val="auto"/>
        </w:rPr>
      </w:pPr>
      <w:r>
        <w:rPr>
          <w:rFonts w:ascii="Arial" w:cs="Arial" w:eastAsia="Arial" w:hAnsi="Arial"/>
          <w:sz w:val="16"/>
          <w:szCs w:val="16"/>
          <w:color w:val="auto"/>
        </w:rPr>
        <w:t>in Inline XBRL (eXtensible Business Reporting Language): (i) the Condensed Consolidated Balance Sheets; (ii) the Condensed Consolidated Statements of Comprehensive Income; (iii) the Condensed Consolidated Statements of Cash Flows; (iv) the Condensed Consolidated Statements of Stockholders’ Equity; and (v) the Notes to Condensed Consolidated Financial Statements</w:t>
      </w:r>
    </w:p>
    <w:p>
      <w:pPr>
        <w:spacing w:after="0" w:line="96" w:lineRule="exact"/>
        <w:rPr>
          <w:sz w:val="20"/>
          <w:szCs w:val="20"/>
          <w:color w:val="auto"/>
        </w:rPr>
      </w:pPr>
    </w:p>
    <w:p>
      <w:pPr>
        <w:ind w:left="1400" w:right="380" w:hanging="1359"/>
        <w:spacing w:after="0" w:line="237" w:lineRule="auto"/>
        <w:tabs>
          <w:tab w:leader="none" w:pos="1400" w:val="left"/>
        </w:tabs>
        <w:numPr>
          <w:ilvl w:val="0"/>
          <w:numId w:val="6"/>
        </w:numPr>
        <w:rPr>
          <w:rFonts w:ascii="Arial" w:cs="Arial" w:eastAsia="Arial" w:hAnsi="Arial"/>
          <w:sz w:val="16"/>
          <w:szCs w:val="16"/>
          <w:color w:val="auto"/>
        </w:rPr>
      </w:pPr>
      <w:r>
        <w:rPr>
          <w:rFonts w:ascii="Arial" w:cs="Arial" w:eastAsia="Arial" w:hAnsi="Arial"/>
          <w:sz w:val="16"/>
          <w:szCs w:val="16"/>
          <w:color w:val="auto"/>
        </w:rPr>
        <w:t>Cover Page Interactive Data File – The cover page from the Registrant’s Quarterly Report on Form 10-Q for the quarter ended March 31, 2020, formatted in Inline XBRL and contained in Exhibit 101</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55245</wp:posOffset>
            </wp:positionV>
            <wp:extent cx="7150100" cy="1460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0"/>
          </w:cols>
          <w:pgMar w:left="320" w:top="140" w:right="319" w:bottom="1440" w:gutter="0" w:footer="0" w:header="0"/>
        </w:sectPr>
      </w:pPr>
    </w:p>
    <w:bookmarkStart w:id="41" w:name="page42"/>
    <w:bookmarkEnd w:id="4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83" w:lineRule="exact"/>
        <w:rPr>
          <w:sz w:val="20"/>
          <w:szCs w:val="20"/>
          <w:color w:val="auto"/>
        </w:rPr>
      </w:pPr>
    </w:p>
    <w:p>
      <w:pPr>
        <w:jc w:val="center"/>
        <w:ind w:right="-799"/>
        <w:spacing w:after="0"/>
        <w:rPr>
          <w:sz w:val="20"/>
          <w:szCs w:val="20"/>
          <w:color w:val="auto"/>
        </w:rPr>
      </w:pPr>
      <w:r>
        <w:rPr>
          <w:rFonts w:ascii="Arial" w:cs="Arial" w:eastAsia="Arial" w:hAnsi="Arial"/>
          <w:sz w:val="16"/>
          <w:szCs w:val="16"/>
          <w:b w:val="1"/>
          <w:bCs w:val="1"/>
          <w:color w:val="auto"/>
        </w:rPr>
        <w:t>SIGNATURES</w:t>
      </w:r>
    </w:p>
    <w:p>
      <w:pPr>
        <w:spacing w:after="0" w:line="200" w:lineRule="exact"/>
        <w:rPr>
          <w:sz w:val="20"/>
          <w:szCs w:val="20"/>
          <w:color w:val="auto"/>
        </w:rPr>
      </w:pPr>
    </w:p>
    <w:p>
      <w:pPr>
        <w:ind w:firstLine="528"/>
        <w:spacing w:after="0" w:line="237"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thereunto duly authorized.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19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180" w:type="dxa"/>
            <w:vAlign w:val="bottom"/>
            <w:gridSpan w:val="2"/>
          </w:tcPr>
          <w:p>
            <w:pPr>
              <w:spacing w:after="0"/>
              <w:rPr>
                <w:sz w:val="20"/>
                <w:szCs w:val="20"/>
                <w:color w:val="auto"/>
              </w:rPr>
            </w:pPr>
            <w:r>
              <w:rPr>
                <w:rFonts w:ascii="Arial" w:cs="Arial" w:eastAsia="Arial" w:hAnsi="Arial"/>
                <w:sz w:val="16"/>
                <w:szCs w:val="16"/>
                <w:b w:val="1"/>
                <w:bCs w:val="1"/>
                <w:color w:val="auto"/>
              </w:rPr>
              <w:t>ALLISON TRANSMISSION HOLDINGS, INC.</w:t>
            </w:r>
          </w:p>
        </w:tc>
      </w:tr>
      <w:tr>
        <w:trPr>
          <w:trHeight w:val="447"/>
        </w:trPr>
        <w:tc>
          <w:tcPr>
            <w:tcW w:w="1920" w:type="dxa"/>
            <w:vAlign w:val="bottom"/>
          </w:tcPr>
          <w:p>
            <w:pPr>
              <w:spacing w:after="0"/>
              <w:rPr>
                <w:sz w:val="20"/>
                <w:szCs w:val="20"/>
                <w:color w:val="auto"/>
              </w:rPr>
            </w:pPr>
            <w:r>
              <w:rPr>
                <w:rFonts w:ascii="Arial" w:cs="Arial" w:eastAsia="Arial" w:hAnsi="Arial"/>
                <w:sz w:val="16"/>
                <w:szCs w:val="16"/>
                <w:color w:val="auto"/>
              </w:rPr>
              <w:t>Date: May 5, 2020</w:t>
            </w:r>
          </w:p>
        </w:tc>
        <w:tc>
          <w:tcPr>
            <w:tcW w:w="1120" w:type="dxa"/>
            <w:vAlign w:val="bottom"/>
          </w:tcPr>
          <w:p>
            <w:pPr>
              <w:ind w:left="660"/>
              <w:spacing w:after="0"/>
              <w:rPr>
                <w:sz w:val="20"/>
                <w:szCs w:val="20"/>
                <w:color w:val="auto"/>
              </w:rPr>
            </w:pPr>
            <w:r>
              <w:rPr>
                <w:rFonts w:ascii="Arial" w:cs="Arial" w:eastAsia="Arial" w:hAnsi="Arial"/>
                <w:sz w:val="16"/>
                <w:szCs w:val="16"/>
                <w:color w:val="auto"/>
              </w:rPr>
              <w:t>By:</w:t>
            </w:r>
          </w:p>
        </w:tc>
        <w:tc>
          <w:tcPr>
            <w:tcW w:w="618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rPr>
              <w:t>/s/ David S. Graziosi</w:t>
            </w:r>
          </w:p>
        </w:tc>
      </w:tr>
      <w:tr>
        <w:trPr>
          <w:trHeight w:val="367"/>
        </w:trPr>
        <w:tc>
          <w:tcPr>
            <w:tcW w:w="19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20" w:type="dxa"/>
            <w:vAlign w:val="bottom"/>
          </w:tcPr>
          <w:p>
            <w:pPr>
              <w:jc w:val="center"/>
              <w:ind w:left="142"/>
              <w:spacing w:after="0"/>
              <w:rPr>
                <w:sz w:val="20"/>
                <w:szCs w:val="20"/>
                <w:color w:val="auto"/>
              </w:rPr>
            </w:pPr>
            <w:r>
              <w:rPr>
                <w:rFonts w:ascii="Arial" w:cs="Arial" w:eastAsia="Arial" w:hAnsi="Arial"/>
                <w:sz w:val="16"/>
                <w:szCs w:val="16"/>
                <w:color w:val="auto"/>
                <w:w w:val="97"/>
              </w:rPr>
              <w:t>Name:</w:t>
            </w:r>
          </w:p>
        </w:tc>
        <w:tc>
          <w:tcPr>
            <w:tcW w:w="5060" w:type="dxa"/>
            <w:vAlign w:val="bottom"/>
          </w:tcPr>
          <w:p>
            <w:pPr>
              <w:ind w:left="220"/>
              <w:spacing w:after="0"/>
              <w:rPr>
                <w:sz w:val="20"/>
                <w:szCs w:val="20"/>
                <w:color w:val="auto"/>
              </w:rPr>
            </w:pPr>
            <w:r>
              <w:rPr>
                <w:rFonts w:ascii="Arial" w:cs="Arial" w:eastAsia="Arial" w:hAnsi="Arial"/>
                <w:sz w:val="16"/>
                <w:szCs w:val="16"/>
                <w:color w:val="auto"/>
              </w:rPr>
              <w:t>David S. Graziosi</w:t>
            </w:r>
          </w:p>
        </w:tc>
      </w:tr>
      <w:tr>
        <w:trPr>
          <w:trHeight w:val="259"/>
        </w:trPr>
        <w:tc>
          <w:tcPr>
            <w:tcW w:w="19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120" w:type="dxa"/>
            <w:vAlign w:val="bottom"/>
          </w:tcPr>
          <w:p>
            <w:pPr>
              <w:jc w:val="center"/>
              <w:ind w:left="142"/>
              <w:spacing w:after="0"/>
              <w:rPr>
                <w:sz w:val="20"/>
                <w:szCs w:val="20"/>
                <w:color w:val="auto"/>
              </w:rPr>
            </w:pPr>
            <w:r>
              <w:rPr>
                <w:rFonts w:ascii="Arial" w:cs="Arial" w:eastAsia="Arial" w:hAnsi="Arial"/>
                <w:sz w:val="16"/>
                <w:szCs w:val="16"/>
                <w:color w:val="auto"/>
                <w:w w:val="97"/>
              </w:rPr>
              <w:t>Title:</w:t>
            </w:r>
          </w:p>
        </w:tc>
        <w:tc>
          <w:tcPr>
            <w:tcW w:w="5060" w:type="dxa"/>
            <w:vAlign w:val="bottom"/>
          </w:tcPr>
          <w:p>
            <w:pPr>
              <w:ind w:left="220"/>
              <w:spacing w:after="0"/>
              <w:rPr>
                <w:sz w:val="20"/>
                <w:szCs w:val="20"/>
                <w:color w:val="auto"/>
              </w:rPr>
            </w:pPr>
            <w:r>
              <w:rPr>
                <w:rFonts w:ascii="Arial" w:cs="Arial" w:eastAsia="Arial" w:hAnsi="Arial"/>
                <w:sz w:val="16"/>
                <w:szCs w:val="16"/>
                <w:color w:val="auto"/>
              </w:rPr>
              <w:t>President and Chief Executive Officer</w:t>
            </w:r>
          </w:p>
        </w:tc>
      </w:tr>
      <w:tr>
        <w:trPr>
          <w:trHeight w:val="176"/>
        </w:trPr>
        <w:tc>
          <w:tcPr>
            <w:tcW w:w="19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5060" w:type="dxa"/>
            <w:vAlign w:val="bottom"/>
          </w:tcPr>
          <w:p>
            <w:pPr>
              <w:ind w:left="220"/>
              <w:spacing w:after="0" w:line="176" w:lineRule="exact"/>
              <w:rPr>
                <w:sz w:val="20"/>
                <w:szCs w:val="20"/>
                <w:color w:val="auto"/>
              </w:rPr>
            </w:pPr>
            <w:r>
              <w:rPr>
                <w:rFonts w:ascii="Arial" w:cs="Arial" w:eastAsia="Arial" w:hAnsi="Arial"/>
                <w:sz w:val="16"/>
                <w:szCs w:val="16"/>
                <w:color w:val="auto"/>
              </w:rPr>
              <w:t>(Principal Executive Officer)</w:t>
            </w:r>
          </w:p>
        </w:tc>
      </w:tr>
      <w:tr>
        <w:trPr>
          <w:trHeight w:val="188"/>
        </w:trPr>
        <w:tc>
          <w:tcPr>
            <w:tcW w:w="1920" w:type="dxa"/>
            <w:vAlign w:val="bottom"/>
          </w:tcPr>
          <w:p>
            <w:pPr>
              <w:spacing w:after="0"/>
              <w:rPr>
                <w:sz w:val="20"/>
                <w:szCs w:val="20"/>
                <w:color w:val="auto"/>
              </w:rPr>
            </w:pPr>
            <w:r>
              <w:rPr>
                <w:rFonts w:ascii="Arial" w:cs="Arial" w:eastAsia="Arial" w:hAnsi="Arial"/>
                <w:sz w:val="16"/>
                <w:szCs w:val="16"/>
                <w:color w:val="auto"/>
              </w:rPr>
              <w:t>Date: May 5, 2020</w:t>
            </w:r>
          </w:p>
        </w:tc>
        <w:tc>
          <w:tcPr>
            <w:tcW w:w="1120" w:type="dxa"/>
            <w:vAlign w:val="bottom"/>
          </w:tcPr>
          <w:p>
            <w:pPr>
              <w:ind w:left="660"/>
              <w:spacing w:after="0"/>
              <w:rPr>
                <w:sz w:val="20"/>
                <w:szCs w:val="20"/>
                <w:color w:val="auto"/>
              </w:rPr>
            </w:pPr>
            <w:r>
              <w:rPr>
                <w:rFonts w:ascii="Arial" w:cs="Arial" w:eastAsia="Arial" w:hAnsi="Arial"/>
                <w:sz w:val="16"/>
                <w:szCs w:val="16"/>
                <w:color w:val="auto"/>
              </w:rPr>
              <w:t>By:</w:t>
            </w:r>
          </w:p>
        </w:tc>
        <w:tc>
          <w:tcPr>
            <w:tcW w:w="618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rPr>
              <w:t>/s/ G. Frederick Bohley</w:t>
            </w:r>
          </w:p>
        </w:tc>
      </w:tr>
      <w:tr>
        <w:trPr>
          <w:trHeight w:val="367"/>
        </w:trPr>
        <w:tc>
          <w:tcPr>
            <w:tcW w:w="19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20" w:type="dxa"/>
            <w:vAlign w:val="bottom"/>
          </w:tcPr>
          <w:p>
            <w:pPr>
              <w:jc w:val="center"/>
              <w:ind w:left="142"/>
              <w:spacing w:after="0"/>
              <w:rPr>
                <w:sz w:val="20"/>
                <w:szCs w:val="20"/>
                <w:color w:val="auto"/>
              </w:rPr>
            </w:pPr>
            <w:r>
              <w:rPr>
                <w:rFonts w:ascii="Arial" w:cs="Arial" w:eastAsia="Arial" w:hAnsi="Arial"/>
                <w:sz w:val="16"/>
                <w:szCs w:val="16"/>
                <w:color w:val="auto"/>
                <w:w w:val="97"/>
              </w:rPr>
              <w:t>Name:</w:t>
            </w:r>
          </w:p>
        </w:tc>
        <w:tc>
          <w:tcPr>
            <w:tcW w:w="5060" w:type="dxa"/>
            <w:vAlign w:val="bottom"/>
          </w:tcPr>
          <w:p>
            <w:pPr>
              <w:ind w:left="220"/>
              <w:spacing w:after="0"/>
              <w:rPr>
                <w:sz w:val="20"/>
                <w:szCs w:val="20"/>
                <w:color w:val="auto"/>
              </w:rPr>
            </w:pPr>
            <w:r>
              <w:rPr>
                <w:rFonts w:ascii="Arial" w:cs="Arial" w:eastAsia="Arial" w:hAnsi="Arial"/>
                <w:sz w:val="16"/>
                <w:szCs w:val="16"/>
                <w:color w:val="auto"/>
              </w:rPr>
              <w:t>G. Frederick Bohley</w:t>
            </w:r>
          </w:p>
        </w:tc>
      </w:tr>
      <w:tr>
        <w:trPr>
          <w:trHeight w:val="223"/>
        </w:trPr>
        <w:tc>
          <w:tcPr>
            <w:tcW w:w="19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20" w:type="dxa"/>
            <w:vAlign w:val="bottom"/>
          </w:tcPr>
          <w:p>
            <w:pPr>
              <w:jc w:val="center"/>
              <w:ind w:left="142"/>
              <w:spacing w:after="0"/>
              <w:rPr>
                <w:sz w:val="20"/>
                <w:szCs w:val="20"/>
                <w:color w:val="auto"/>
              </w:rPr>
            </w:pPr>
            <w:r>
              <w:rPr>
                <w:rFonts w:ascii="Arial" w:cs="Arial" w:eastAsia="Arial" w:hAnsi="Arial"/>
                <w:sz w:val="16"/>
                <w:szCs w:val="16"/>
                <w:color w:val="auto"/>
                <w:w w:val="97"/>
              </w:rPr>
              <w:t>Title:</w:t>
            </w:r>
          </w:p>
        </w:tc>
        <w:tc>
          <w:tcPr>
            <w:tcW w:w="5060" w:type="dxa"/>
            <w:vAlign w:val="bottom"/>
          </w:tcPr>
          <w:p>
            <w:pPr>
              <w:ind w:left="220"/>
              <w:spacing w:after="0"/>
              <w:rPr>
                <w:sz w:val="20"/>
                <w:szCs w:val="20"/>
                <w:color w:val="auto"/>
              </w:rPr>
            </w:pPr>
            <w:r>
              <w:rPr>
                <w:rFonts w:ascii="Arial" w:cs="Arial" w:eastAsia="Arial" w:hAnsi="Arial"/>
                <w:sz w:val="16"/>
                <w:szCs w:val="16"/>
                <w:color w:val="auto"/>
              </w:rPr>
              <w:t>Senior Vice President, Chief Financial Officer and Treasurer</w:t>
            </w:r>
          </w:p>
        </w:tc>
      </w:tr>
      <w:tr>
        <w:trPr>
          <w:trHeight w:val="188"/>
        </w:trPr>
        <w:tc>
          <w:tcPr>
            <w:tcW w:w="19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5060" w:type="dxa"/>
            <w:vAlign w:val="bottom"/>
          </w:tcPr>
          <w:p>
            <w:pPr>
              <w:ind w:left="220"/>
              <w:spacing w:after="0"/>
              <w:rPr>
                <w:sz w:val="20"/>
                <w:szCs w:val="20"/>
                <w:color w:val="auto"/>
              </w:rPr>
            </w:pPr>
            <w:r>
              <w:rPr>
                <w:rFonts w:ascii="Arial" w:cs="Arial" w:eastAsia="Arial" w:hAnsi="Arial"/>
                <w:sz w:val="16"/>
                <w:szCs w:val="16"/>
                <w:color w:val="auto"/>
              </w:rPr>
              <w:t>(Principal Financial Officer and Principal Accounting Officer)</w:t>
            </w:r>
          </w:p>
        </w:tc>
      </w:tr>
      <w:tr>
        <w:trPr>
          <w:trHeight w:val="775"/>
        </w:trPr>
        <w:tc>
          <w:tcPr>
            <w:tcW w:w="19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060" w:type="dxa"/>
            <w:vAlign w:val="bottom"/>
          </w:tcPr>
          <w:p>
            <w:pPr>
              <w:ind w:left="1380"/>
              <w:spacing w:after="0"/>
              <w:rPr>
                <w:sz w:val="20"/>
                <w:szCs w:val="20"/>
                <w:color w:val="auto"/>
              </w:rPr>
            </w:pPr>
            <w:r>
              <w:rPr>
                <w:rFonts w:ascii="Arial" w:cs="Arial" w:eastAsia="Arial" w:hAnsi="Arial"/>
                <w:sz w:val="16"/>
                <w:szCs w:val="16"/>
                <w:color w:val="auto"/>
              </w:rPr>
              <w:t>42</w:t>
            </w:r>
          </w:p>
        </w:tc>
      </w:tr>
    </w:tbl>
    <w:p>
      <w:pPr>
        <w:sectPr>
          <w:pgSz w:w="11900" w:h="16838" w:orient="portrait"/>
          <w:cols w:equalWidth="0" w:num="1">
            <w:col w:w="10440"/>
          </w:cols>
          <w:pgMar w:left="320" w:top="140" w:right="1139" w:bottom="1440" w:gutter="0" w:footer="0" w:header="0"/>
        </w:sectPr>
      </w:pPr>
    </w:p>
    <w:bookmarkStart w:id="42" w:name="page43"/>
    <w:bookmarkEnd w:id="42"/>
    <w:p>
      <w:pPr>
        <w:jc w:val="center"/>
        <w:ind w:left="340" w:right="2680"/>
        <w:spacing w:after="0" w:line="257" w:lineRule="auto"/>
        <w:rPr>
          <w:sz w:val="20"/>
          <w:szCs w:val="20"/>
          <w:color w:val="auto"/>
        </w:rPr>
      </w:pPr>
      <w:r>
        <w:rPr>
          <w:rFonts w:ascii="Arial" w:cs="Arial" w:eastAsia="Arial" w:hAnsi="Arial"/>
          <w:sz w:val="16"/>
          <w:szCs w:val="16"/>
          <w:b w:val="1"/>
          <w:bCs w:val="1"/>
          <w:color w:val="auto"/>
        </w:rPr>
        <w:t>CERTIFICATION PURSUANT TO RULE 13a-14(a)/15d-14(a) OF THE SECURITIES EXCHANGE ACT OF 1934, AS ADOPTED PURSUANT TO SECTION 302 OF THE SARBANES-OXLEY ACT OF 2002</w:t>
      </w:r>
    </w:p>
    <w:p>
      <w:pPr>
        <w:spacing w:after="0" w:line="176" w:lineRule="exact"/>
        <w:rPr>
          <w:sz w:val="20"/>
          <w:szCs w:val="20"/>
          <w:color w:val="auto"/>
        </w:rPr>
      </w:pPr>
    </w:p>
    <w:p>
      <w:pPr>
        <w:ind w:left="6"/>
        <w:spacing w:after="0"/>
        <w:rPr>
          <w:sz w:val="20"/>
          <w:szCs w:val="20"/>
          <w:color w:val="auto"/>
        </w:rPr>
      </w:pPr>
      <w:r>
        <w:rPr>
          <w:rFonts w:ascii="Arial" w:cs="Arial" w:eastAsia="Arial" w:hAnsi="Arial"/>
          <w:sz w:val="16"/>
          <w:szCs w:val="16"/>
          <w:color w:val="auto"/>
        </w:rPr>
        <w:t>I, David S. Graziosi, certify that:</w:t>
      </w:r>
    </w:p>
    <w:p>
      <w:pPr>
        <w:spacing w:after="0" w:line="192" w:lineRule="exact"/>
        <w:rPr>
          <w:sz w:val="20"/>
          <w:szCs w:val="20"/>
          <w:color w:val="auto"/>
        </w:rPr>
      </w:pPr>
    </w:p>
    <w:p>
      <w:pPr>
        <w:ind w:left="746" w:hanging="746"/>
        <w:spacing w:after="0"/>
        <w:tabs>
          <w:tab w:leader="none" w:pos="746" w:val="left"/>
        </w:tabs>
        <w:numPr>
          <w:ilvl w:val="0"/>
          <w:numId w:val="7"/>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Allison Transmission Holdings, Inc.;</w:t>
      </w:r>
    </w:p>
    <w:p>
      <w:pPr>
        <w:spacing w:after="0" w:line="203" w:lineRule="exact"/>
        <w:rPr>
          <w:rFonts w:ascii="Arial" w:cs="Arial" w:eastAsia="Arial" w:hAnsi="Arial"/>
          <w:sz w:val="16"/>
          <w:szCs w:val="16"/>
          <w:color w:val="auto"/>
        </w:rPr>
      </w:pPr>
    </w:p>
    <w:p>
      <w:pPr>
        <w:ind w:left="746" w:right="100" w:hanging="746"/>
        <w:spacing w:after="0" w:line="298" w:lineRule="auto"/>
        <w:tabs>
          <w:tab w:leader="none" w:pos="746" w:val="left"/>
        </w:tabs>
        <w:numPr>
          <w:ilvl w:val="0"/>
          <w:numId w:val="7"/>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7" w:lineRule="exact"/>
        <w:rPr>
          <w:rFonts w:ascii="Arial" w:cs="Arial" w:eastAsia="Arial" w:hAnsi="Arial"/>
          <w:sz w:val="15"/>
          <w:szCs w:val="15"/>
          <w:color w:val="auto"/>
        </w:rPr>
      </w:pPr>
    </w:p>
    <w:p>
      <w:pPr>
        <w:ind w:left="746" w:right="100" w:hanging="746"/>
        <w:spacing w:after="0" w:line="265" w:lineRule="auto"/>
        <w:tabs>
          <w:tab w:leader="none" w:pos="746" w:val="left"/>
        </w:tabs>
        <w:numPr>
          <w:ilvl w:val="0"/>
          <w:numId w:val="7"/>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9" w:lineRule="exact"/>
        <w:rPr>
          <w:rFonts w:ascii="Arial" w:cs="Arial" w:eastAsia="Arial" w:hAnsi="Arial"/>
          <w:sz w:val="16"/>
          <w:szCs w:val="16"/>
          <w:color w:val="auto"/>
        </w:rPr>
      </w:pPr>
    </w:p>
    <w:p>
      <w:pPr>
        <w:ind w:left="746" w:right="200" w:hanging="746"/>
        <w:spacing w:after="0" w:line="381" w:lineRule="auto"/>
        <w:tabs>
          <w:tab w:leader="none" w:pos="746" w:val="left"/>
        </w:tabs>
        <w:numPr>
          <w:ilvl w:val="0"/>
          <w:numId w:val="7"/>
        </w:numPr>
        <w:rPr>
          <w:rFonts w:ascii="Arial" w:cs="Arial" w:eastAsia="Arial" w:hAnsi="Arial"/>
          <w:sz w:val="13"/>
          <w:szCs w:val="13"/>
          <w:color w:val="auto"/>
        </w:rPr>
      </w:pPr>
      <w:r>
        <w:rPr>
          <w:rFonts w:ascii="Arial" w:cs="Arial" w:eastAsia="Arial" w:hAnsi="Arial"/>
          <w:sz w:val="13"/>
          <w:szCs w:val="13"/>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0" w:lineRule="exact"/>
        <w:rPr>
          <w:rFonts w:ascii="Arial" w:cs="Arial" w:eastAsia="Arial" w:hAnsi="Arial"/>
          <w:sz w:val="13"/>
          <w:szCs w:val="13"/>
          <w:color w:val="auto"/>
        </w:rPr>
      </w:pPr>
    </w:p>
    <w:p>
      <w:pPr>
        <w:ind w:left="1486" w:right="180" w:hanging="746"/>
        <w:spacing w:after="0" w:line="255" w:lineRule="auto"/>
        <w:tabs>
          <w:tab w:leader="none" w:pos="1486" w:val="left"/>
        </w:tabs>
        <w:numPr>
          <w:ilvl w:val="1"/>
          <w:numId w:val="7"/>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Arial" w:cs="Arial" w:eastAsia="Arial" w:hAnsi="Arial"/>
          <w:sz w:val="16"/>
          <w:szCs w:val="16"/>
          <w:color w:val="auto"/>
        </w:rPr>
      </w:pPr>
    </w:p>
    <w:p>
      <w:pPr>
        <w:ind w:left="1486" w:right="60" w:hanging="746"/>
        <w:spacing w:after="0" w:line="255" w:lineRule="auto"/>
        <w:tabs>
          <w:tab w:leader="none" w:pos="1486" w:val="left"/>
        </w:tabs>
        <w:numPr>
          <w:ilvl w:val="1"/>
          <w:numId w:val="7"/>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Arial" w:cs="Arial" w:eastAsia="Arial" w:hAnsi="Arial"/>
          <w:sz w:val="16"/>
          <w:szCs w:val="16"/>
          <w:color w:val="auto"/>
        </w:rPr>
      </w:pPr>
    </w:p>
    <w:p>
      <w:pPr>
        <w:ind w:left="1486" w:right="80" w:hanging="746"/>
        <w:spacing w:after="0" w:line="265" w:lineRule="auto"/>
        <w:tabs>
          <w:tab w:leader="none" w:pos="1486" w:val="left"/>
        </w:tabs>
        <w:numPr>
          <w:ilvl w:val="1"/>
          <w:numId w:val="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9" w:lineRule="exact"/>
        <w:rPr>
          <w:rFonts w:ascii="Arial" w:cs="Arial" w:eastAsia="Arial" w:hAnsi="Arial"/>
          <w:sz w:val="16"/>
          <w:szCs w:val="16"/>
          <w:color w:val="auto"/>
        </w:rPr>
      </w:pPr>
    </w:p>
    <w:p>
      <w:pPr>
        <w:ind w:left="1486" w:right="40" w:hanging="746"/>
        <w:spacing w:after="0" w:line="255" w:lineRule="auto"/>
        <w:tabs>
          <w:tab w:leader="none" w:pos="1486" w:val="left"/>
        </w:tabs>
        <w:numPr>
          <w:ilvl w:val="1"/>
          <w:numId w:val="7"/>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5" w:lineRule="exact"/>
        <w:rPr>
          <w:rFonts w:ascii="Arial" w:cs="Arial" w:eastAsia="Arial" w:hAnsi="Arial"/>
          <w:sz w:val="16"/>
          <w:szCs w:val="16"/>
          <w:color w:val="auto"/>
        </w:rPr>
      </w:pPr>
    </w:p>
    <w:p>
      <w:pPr>
        <w:ind w:left="746" w:hanging="746"/>
        <w:spacing w:after="0" w:line="265" w:lineRule="auto"/>
        <w:tabs>
          <w:tab w:leader="none" w:pos="746"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7" w:lineRule="exact"/>
        <w:rPr>
          <w:rFonts w:ascii="Arial" w:cs="Arial" w:eastAsia="Arial" w:hAnsi="Arial"/>
          <w:sz w:val="16"/>
          <w:szCs w:val="16"/>
          <w:color w:val="auto"/>
        </w:rPr>
      </w:pPr>
    </w:p>
    <w:p>
      <w:pPr>
        <w:ind w:left="1486" w:right="260" w:hanging="746"/>
        <w:spacing w:after="0" w:line="265" w:lineRule="auto"/>
        <w:tabs>
          <w:tab w:leader="none" w:pos="1486" w:val="left"/>
        </w:tabs>
        <w:numPr>
          <w:ilvl w:val="1"/>
          <w:numId w:val="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9" w:lineRule="exact"/>
        <w:rPr>
          <w:rFonts w:ascii="Arial" w:cs="Arial" w:eastAsia="Arial" w:hAnsi="Arial"/>
          <w:sz w:val="16"/>
          <w:szCs w:val="16"/>
          <w:color w:val="auto"/>
        </w:rPr>
      </w:pPr>
    </w:p>
    <w:p>
      <w:pPr>
        <w:ind w:left="1486" w:right="480" w:hanging="746"/>
        <w:spacing w:after="0" w:line="265" w:lineRule="auto"/>
        <w:tabs>
          <w:tab w:leader="none" w:pos="1486" w:val="left"/>
        </w:tabs>
        <w:numPr>
          <w:ilvl w:val="1"/>
          <w:numId w:val="7"/>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345" w:lineRule="exact"/>
        <w:rPr>
          <w:sz w:val="20"/>
          <w:szCs w:val="20"/>
          <w:color w:val="auto"/>
        </w:rPr>
      </w:pPr>
    </w:p>
    <w:p>
      <w:pPr>
        <w:ind w:left="6"/>
        <w:spacing w:after="0"/>
        <w:rPr>
          <w:sz w:val="20"/>
          <w:szCs w:val="20"/>
          <w:color w:val="auto"/>
        </w:rPr>
      </w:pPr>
      <w:r>
        <w:rPr>
          <w:rFonts w:ascii="Arial" w:cs="Arial" w:eastAsia="Arial" w:hAnsi="Arial"/>
          <w:sz w:val="16"/>
          <w:szCs w:val="16"/>
          <w:color w:val="auto"/>
        </w:rPr>
        <w:t>Dated: May 5, 2020</w:t>
      </w:r>
    </w:p>
    <w:p>
      <w:pPr>
        <w:spacing w:after="0" w:line="192" w:lineRule="exact"/>
        <w:rPr>
          <w:sz w:val="20"/>
          <w:szCs w:val="20"/>
          <w:color w:val="auto"/>
        </w:rPr>
      </w:pPr>
    </w:p>
    <w:p>
      <w:pPr>
        <w:ind w:left="6"/>
        <w:spacing w:after="0"/>
        <w:rPr>
          <w:sz w:val="20"/>
          <w:szCs w:val="20"/>
          <w:color w:val="auto"/>
        </w:rPr>
      </w:pPr>
      <w:r>
        <w:rPr>
          <w:rFonts w:ascii="Arial" w:cs="Arial" w:eastAsia="Arial" w:hAnsi="Arial"/>
          <w:sz w:val="16"/>
          <w:szCs w:val="16"/>
          <w:color w:val="auto"/>
        </w:rPr>
        <w:t>/s/ David S. Graziosi</w:t>
      </w:r>
    </w:p>
    <w:p>
      <w:pPr>
        <w:spacing w:after="0" w:line="27" w:lineRule="exact"/>
        <w:rPr>
          <w:sz w:val="20"/>
          <w:szCs w:val="20"/>
          <w:color w:val="auto"/>
        </w:rPr>
      </w:pPr>
    </w:p>
    <w:p>
      <w:pPr>
        <w:ind w:left="6"/>
        <w:spacing w:after="0"/>
        <w:rPr>
          <w:sz w:val="20"/>
          <w:szCs w:val="20"/>
          <w:color w:val="auto"/>
        </w:rPr>
      </w:pPr>
      <w:r>
        <w:rPr>
          <w:rFonts w:ascii="Arial" w:cs="Arial" w:eastAsia="Arial" w:hAnsi="Arial"/>
          <w:sz w:val="16"/>
          <w:szCs w:val="16"/>
          <w:color w:val="auto"/>
        </w:rPr>
        <w:t>Name: David S. Graziosi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-115570</wp:posOffset>
            </wp:positionV>
            <wp:extent cx="3578860" cy="762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578860" cy="7620"/>
                    </a:xfrm>
                    <a:prstGeom prst="rect">
                      <a:avLst/>
                    </a:prstGeom>
                    <a:noFill/>
                  </pic:spPr>
                </pic:pic>
              </a:graphicData>
            </a:graphic>
          </wp:anchor>
        </w:drawing>
      </w:r>
    </w:p>
    <w:p>
      <w:pPr>
        <w:ind w:left="6"/>
        <w:spacing w:after="0"/>
        <w:tabs>
          <w:tab w:leader="none" w:pos="466" w:val="left"/>
        </w:tabs>
        <w:rPr>
          <w:sz w:val="20"/>
          <w:szCs w:val="20"/>
          <w:color w:val="auto"/>
        </w:rPr>
      </w:pPr>
      <w:r>
        <w:rPr>
          <w:rFonts w:ascii="Arial" w:cs="Arial" w:eastAsia="Arial" w:hAnsi="Arial"/>
          <w:sz w:val="16"/>
          <w:szCs w:val="16"/>
          <w:color w:val="auto"/>
        </w:rPr>
        <w:t>Title:</w:t>
        <w:tab/>
        <w:t>President and Chief Executive Officer</w:t>
      </w:r>
    </w:p>
    <w:p>
      <w:pPr>
        <w:spacing w:after="0" w:line="4" w:lineRule="exact"/>
        <w:rPr>
          <w:sz w:val="20"/>
          <w:szCs w:val="20"/>
          <w:color w:val="auto"/>
        </w:rPr>
      </w:pPr>
    </w:p>
    <w:p>
      <w:pPr>
        <w:ind w:left="6"/>
        <w:spacing w:after="0"/>
        <w:rPr>
          <w:sz w:val="20"/>
          <w:szCs w:val="20"/>
          <w:color w:val="auto"/>
        </w:rPr>
      </w:pPr>
      <w:r>
        <w:rPr>
          <w:rFonts w:ascii="Arial" w:cs="Arial" w:eastAsia="Arial" w:hAnsi="Arial"/>
          <w:sz w:val="16"/>
          <w:szCs w:val="16"/>
          <w:color w:val="auto"/>
        </w:rPr>
        <w:t>(Principal Executive Officer)</w:t>
      </w:r>
    </w:p>
    <w:p>
      <w:pPr>
        <w:sectPr>
          <w:pgSz w:w="11900" w:h="16838" w:orient="portrait"/>
          <w:cols w:equalWidth="0" w:num="1">
            <w:col w:w="11226"/>
          </w:cols>
          <w:pgMar w:left="314" w:top="123" w:right="359" w:bottom="1440" w:gutter="0" w:footer="0" w:header="0"/>
        </w:sectPr>
      </w:pPr>
    </w:p>
    <w:bookmarkStart w:id="43" w:name="page44"/>
    <w:bookmarkEnd w:id="43"/>
    <w:p>
      <w:pPr>
        <w:jc w:val="center"/>
        <w:ind w:left="340" w:right="2680"/>
        <w:spacing w:after="0" w:line="257" w:lineRule="auto"/>
        <w:rPr>
          <w:sz w:val="20"/>
          <w:szCs w:val="20"/>
          <w:color w:val="auto"/>
        </w:rPr>
      </w:pPr>
      <w:r>
        <w:rPr>
          <w:rFonts w:ascii="Arial" w:cs="Arial" w:eastAsia="Arial" w:hAnsi="Arial"/>
          <w:sz w:val="16"/>
          <w:szCs w:val="16"/>
          <w:b w:val="1"/>
          <w:bCs w:val="1"/>
          <w:color w:val="auto"/>
        </w:rPr>
        <w:t>CERTIFICATION PURSUANT TO RULE 13a-14(a)/15d-14(a) OF THE SECURITIES EXCHANGE ACT OF 1934, AS ADOPTED PURSUANT TO SECTION 302 OF THE SARBANES-OXLEY ACT OF 2002</w:t>
      </w:r>
    </w:p>
    <w:p>
      <w:pPr>
        <w:spacing w:after="0" w:line="164" w:lineRule="exact"/>
        <w:rPr>
          <w:sz w:val="20"/>
          <w:szCs w:val="20"/>
          <w:color w:val="auto"/>
        </w:rPr>
      </w:pPr>
    </w:p>
    <w:p>
      <w:pPr>
        <w:ind w:left="6"/>
        <w:spacing w:after="0"/>
        <w:rPr>
          <w:sz w:val="20"/>
          <w:szCs w:val="20"/>
          <w:color w:val="auto"/>
        </w:rPr>
      </w:pPr>
      <w:r>
        <w:rPr>
          <w:rFonts w:ascii="Arial" w:cs="Arial" w:eastAsia="Arial" w:hAnsi="Arial"/>
          <w:sz w:val="16"/>
          <w:szCs w:val="16"/>
          <w:color w:val="auto"/>
        </w:rPr>
        <w:t>I, G. Frederick Bohley, certify that:</w:t>
      </w:r>
    </w:p>
    <w:p>
      <w:pPr>
        <w:spacing w:after="0" w:line="192" w:lineRule="exact"/>
        <w:rPr>
          <w:sz w:val="20"/>
          <w:szCs w:val="20"/>
          <w:color w:val="auto"/>
        </w:rPr>
      </w:pPr>
    </w:p>
    <w:p>
      <w:pPr>
        <w:ind w:left="746" w:hanging="746"/>
        <w:spacing w:after="0"/>
        <w:tabs>
          <w:tab w:leader="none" w:pos="746" w:val="left"/>
        </w:tabs>
        <w:numPr>
          <w:ilvl w:val="0"/>
          <w:numId w:val="8"/>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Allison Transmission Holdings, Inc.;</w:t>
      </w:r>
    </w:p>
    <w:p>
      <w:pPr>
        <w:spacing w:after="0" w:line="203" w:lineRule="exact"/>
        <w:rPr>
          <w:rFonts w:ascii="Arial" w:cs="Arial" w:eastAsia="Arial" w:hAnsi="Arial"/>
          <w:sz w:val="16"/>
          <w:szCs w:val="16"/>
          <w:color w:val="auto"/>
        </w:rPr>
      </w:pPr>
    </w:p>
    <w:p>
      <w:pPr>
        <w:ind w:left="746" w:right="100" w:hanging="746"/>
        <w:spacing w:after="0" w:line="298" w:lineRule="auto"/>
        <w:tabs>
          <w:tab w:leader="none" w:pos="746" w:val="left"/>
        </w:tabs>
        <w:numPr>
          <w:ilvl w:val="0"/>
          <w:numId w:val="8"/>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7" w:lineRule="exact"/>
        <w:rPr>
          <w:rFonts w:ascii="Arial" w:cs="Arial" w:eastAsia="Arial" w:hAnsi="Arial"/>
          <w:sz w:val="15"/>
          <w:szCs w:val="15"/>
          <w:color w:val="auto"/>
        </w:rPr>
      </w:pPr>
    </w:p>
    <w:p>
      <w:pPr>
        <w:ind w:left="746" w:right="100" w:hanging="746"/>
        <w:spacing w:after="0" w:line="265" w:lineRule="auto"/>
        <w:tabs>
          <w:tab w:leader="none" w:pos="746" w:val="left"/>
        </w:tabs>
        <w:numPr>
          <w:ilvl w:val="0"/>
          <w:numId w:val="8"/>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9" w:lineRule="exact"/>
        <w:rPr>
          <w:rFonts w:ascii="Arial" w:cs="Arial" w:eastAsia="Arial" w:hAnsi="Arial"/>
          <w:sz w:val="16"/>
          <w:szCs w:val="16"/>
          <w:color w:val="auto"/>
        </w:rPr>
      </w:pPr>
    </w:p>
    <w:p>
      <w:pPr>
        <w:ind w:left="746" w:right="200" w:hanging="746"/>
        <w:spacing w:after="0" w:line="381" w:lineRule="auto"/>
        <w:tabs>
          <w:tab w:leader="none" w:pos="746" w:val="left"/>
        </w:tabs>
        <w:numPr>
          <w:ilvl w:val="0"/>
          <w:numId w:val="8"/>
        </w:numPr>
        <w:rPr>
          <w:rFonts w:ascii="Arial" w:cs="Arial" w:eastAsia="Arial" w:hAnsi="Arial"/>
          <w:sz w:val="13"/>
          <w:szCs w:val="13"/>
          <w:color w:val="auto"/>
        </w:rPr>
      </w:pPr>
      <w:r>
        <w:rPr>
          <w:rFonts w:ascii="Arial" w:cs="Arial" w:eastAsia="Arial" w:hAnsi="Arial"/>
          <w:sz w:val="13"/>
          <w:szCs w:val="13"/>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8" w:lineRule="exact"/>
        <w:rPr>
          <w:rFonts w:ascii="Arial" w:cs="Arial" w:eastAsia="Arial" w:hAnsi="Arial"/>
          <w:sz w:val="13"/>
          <w:szCs w:val="13"/>
          <w:color w:val="auto"/>
        </w:rPr>
      </w:pPr>
    </w:p>
    <w:p>
      <w:pPr>
        <w:ind w:left="1486" w:right="180" w:hanging="746"/>
        <w:spacing w:after="0" w:line="255" w:lineRule="auto"/>
        <w:tabs>
          <w:tab w:leader="none" w:pos="1486" w:val="left"/>
        </w:tabs>
        <w:numPr>
          <w:ilvl w:val="1"/>
          <w:numId w:val="8"/>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Arial" w:cs="Arial" w:eastAsia="Arial" w:hAnsi="Arial"/>
          <w:sz w:val="16"/>
          <w:szCs w:val="16"/>
          <w:color w:val="auto"/>
        </w:rPr>
      </w:pPr>
    </w:p>
    <w:p>
      <w:pPr>
        <w:ind w:left="1486" w:right="60" w:hanging="746"/>
        <w:spacing w:after="0" w:line="255" w:lineRule="auto"/>
        <w:tabs>
          <w:tab w:leader="none" w:pos="1486" w:val="left"/>
        </w:tabs>
        <w:numPr>
          <w:ilvl w:val="1"/>
          <w:numId w:val="8"/>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Arial" w:cs="Arial" w:eastAsia="Arial" w:hAnsi="Arial"/>
          <w:sz w:val="16"/>
          <w:szCs w:val="16"/>
          <w:color w:val="auto"/>
        </w:rPr>
      </w:pPr>
    </w:p>
    <w:p>
      <w:pPr>
        <w:ind w:left="1486" w:right="80" w:hanging="746"/>
        <w:spacing w:after="0" w:line="265" w:lineRule="auto"/>
        <w:tabs>
          <w:tab w:leader="none" w:pos="1486" w:val="left"/>
        </w:tabs>
        <w:numPr>
          <w:ilvl w:val="1"/>
          <w:numId w:val="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9" w:lineRule="exact"/>
        <w:rPr>
          <w:rFonts w:ascii="Arial" w:cs="Arial" w:eastAsia="Arial" w:hAnsi="Arial"/>
          <w:sz w:val="16"/>
          <w:szCs w:val="16"/>
          <w:color w:val="auto"/>
        </w:rPr>
      </w:pPr>
    </w:p>
    <w:p>
      <w:pPr>
        <w:ind w:left="1486" w:right="40" w:hanging="746"/>
        <w:spacing w:after="0" w:line="255" w:lineRule="auto"/>
        <w:tabs>
          <w:tab w:leader="none" w:pos="1486" w:val="left"/>
        </w:tabs>
        <w:numPr>
          <w:ilvl w:val="1"/>
          <w:numId w:val="8"/>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5" w:lineRule="exact"/>
        <w:rPr>
          <w:rFonts w:ascii="Arial" w:cs="Arial" w:eastAsia="Arial" w:hAnsi="Arial"/>
          <w:sz w:val="16"/>
          <w:szCs w:val="16"/>
          <w:color w:val="auto"/>
        </w:rPr>
      </w:pPr>
    </w:p>
    <w:p>
      <w:pPr>
        <w:ind w:left="746" w:hanging="746"/>
        <w:spacing w:after="0" w:line="265" w:lineRule="auto"/>
        <w:tabs>
          <w:tab w:leader="none" w:pos="746"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7" w:lineRule="exact"/>
        <w:rPr>
          <w:rFonts w:ascii="Arial" w:cs="Arial" w:eastAsia="Arial" w:hAnsi="Arial"/>
          <w:sz w:val="16"/>
          <w:szCs w:val="16"/>
          <w:color w:val="auto"/>
        </w:rPr>
      </w:pPr>
    </w:p>
    <w:p>
      <w:pPr>
        <w:ind w:left="1486" w:right="260" w:hanging="746"/>
        <w:spacing w:after="0" w:line="265" w:lineRule="auto"/>
        <w:tabs>
          <w:tab w:leader="none" w:pos="1486" w:val="left"/>
        </w:tabs>
        <w:numPr>
          <w:ilvl w:val="1"/>
          <w:numId w:val="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9" w:lineRule="exact"/>
        <w:rPr>
          <w:rFonts w:ascii="Arial" w:cs="Arial" w:eastAsia="Arial" w:hAnsi="Arial"/>
          <w:sz w:val="16"/>
          <w:szCs w:val="16"/>
          <w:color w:val="auto"/>
        </w:rPr>
      </w:pPr>
    </w:p>
    <w:p>
      <w:pPr>
        <w:ind w:left="1486" w:right="480" w:hanging="746"/>
        <w:spacing w:after="0" w:line="265" w:lineRule="auto"/>
        <w:tabs>
          <w:tab w:leader="none" w:pos="1486" w:val="left"/>
        </w:tabs>
        <w:numPr>
          <w:ilvl w:val="1"/>
          <w:numId w:val="8"/>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369" w:lineRule="exact"/>
        <w:rPr>
          <w:sz w:val="20"/>
          <w:szCs w:val="20"/>
          <w:color w:val="auto"/>
        </w:rPr>
      </w:pPr>
    </w:p>
    <w:p>
      <w:pPr>
        <w:ind w:left="6"/>
        <w:spacing w:after="0"/>
        <w:rPr>
          <w:sz w:val="20"/>
          <w:szCs w:val="20"/>
          <w:color w:val="auto"/>
        </w:rPr>
      </w:pPr>
      <w:r>
        <w:rPr>
          <w:rFonts w:ascii="Arial" w:cs="Arial" w:eastAsia="Arial" w:hAnsi="Arial"/>
          <w:sz w:val="16"/>
          <w:szCs w:val="16"/>
          <w:color w:val="auto"/>
        </w:rPr>
        <w:t>Dated: May 5, 2020</w:t>
      </w:r>
    </w:p>
    <w:p>
      <w:pPr>
        <w:spacing w:after="0" w:line="192" w:lineRule="exact"/>
        <w:rPr>
          <w:sz w:val="20"/>
          <w:szCs w:val="20"/>
          <w:color w:val="auto"/>
        </w:rPr>
      </w:pPr>
    </w:p>
    <w:p>
      <w:pPr>
        <w:ind w:left="6"/>
        <w:spacing w:after="0"/>
        <w:rPr>
          <w:sz w:val="20"/>
          <w:szCs w:val="20"/>
          <w:color w:val="auto"/>
        </w:rPr>
      </w:pPr>
      <w:r>
        <w:rPr>
          <w:rFonts w:ascii="Arial" w:cs="Arial" w:eastAsia="Arial" w:hAnsi="Arial"/>
          <w:sz w:val="16"/>
          <w:szCs w:val="16"/>
          <w:color w:val="auto"/>
        </w:rPr>
        <w:t>/s/ G. Frederick Bohley</w:t>
      </w:r>
    </w:p>
    <w:p>
      <w:pPr>
        <w:spacing w:after="0" w:line="27" w:lineRule="exact"/>
        <w:rPr>
          <w:sz w:val="20"/>
          <w:szCs w:val="20"/>
          <w:color w:val="auto"/>
        </w:rPr>
      </w:pPr>
    </w:p>
    <w:p>
      <w:pPr>
        <w:ind w:left="6"/>
        <w:spacing w:after="0"/>
        <w:rPr>
          <w:sz w:val="20"/>
          <w:szCs w:val="20"/>
          <w:color w:val="auto"/>
        </w:rPr>
      </w:pPr>
      <w:r>
        <w:rPr>
          <w:rFonts w:ascii="Arial" w:cs="Arial" w:eastAsia="Arial" w:hAnsi="Arial"/>
          <w:sz w:val="16"/>
          <w:szCs w:val="16"/>
          <w:color w:val="auto"/>
        </w:rPr>
        <w:t>Name: G. Frederick Bohley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-115570</wp:posOffset>
            </wp:positionV>
            <wp:extent cx="4175125" cy="762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4175125" cy="7620"/>
                    </a:xfrm>
                    <a:prstGeom prst="rect">
                      <a:avLst/>
                    </a:prstGeom>
                    <a:noFill/>
                  </pic:spPr>
                </pic:pic>
              </a:graphicData>
            </a:graphic>
          </wp:anchor>
        </w:drawing>
      </w:r>
    </w:p>
    <w:p>
      <w:pPr>
        <w:ind w:left="6"/>
        <w:spacing w:after="0"/>
        <w:tabs>
          <w:tab w:leader="none" w:pos="426" w:val="left"/>
        </w:tabs>
        <w:rPr>
          <w:sz w:val="20"/>
          <w:szCs w:val="20"/>
          <w:color w:val="auto"/>
        </w:rPr>
      </w:pPr>
      <w:r>
        <w:rPr>
          <w:rFonts w:ascii="Arial" w:cs="Arial" w:eastAsia="Arial" w:hAnsi="Arial"/>
          <w:sz w:val="16"/>
          <w:szCs w:val="16"/>
          <w:color w:val="auto"/>
        </w:rPr>
        <w:t>Title:</w:t>
      </w:r>
      <w:r>
        <w:rPr>
          <w:sz w:val="20"/>
          <w:szCs w:val="20"/>
          <w:color w:val="auto"/>
        </w:rPr>
        <w:tab/>
      </w:r>
      <w:r>
        <w:rPr>
          <w:rFonts w:ascii="Arial" w:cs="Arial" w:eastAsia="Arial" w:hAnsi="Arial"/>
          <w:sz w:val="13"/>
          <w:szCs w:val="13"/>
          <w:color w:val="auto"/>
        </w:rPr>
        <w:t>Senior Vice President, Chief Financial Officer and Treasurer</w:t>
      </w:r>
    </w:p>
    <w:p>
      <w:pPr>
        <w:spacing w:after="0" w:line="4" w:lineRule="exact"/>
        <w:rPr>
          <w:sz w:val="20"/>
          <w:szCs w:val="20"/>
          <w:color w:val="auto"/>
        </w:rPr>
      </w:pPr>
    </w:p>
    <w:p>
      <w:pPr>
        <w:ind w:left="6"/>
        <w:spacing w:after="0"/>
        <w:rPr>
          <w:sz w:val="20"/>
          <w:szCs w:val="20"/>
          <w:color w:val="auto"/>
        </w:rPr>
      </w:pPr>
      <w:r>
        <w:rPr>
          <w:rFonts w:ascii="Arial" w:cs="Arial" w:eastAsia="Arial" w:hAnsi="Arial"/>
          <w:sz w:val="16"/>
          <w:szCs w:val="16"/>
          <w:color w:val="auto"/>
        </w:rPr>
        <w:t>(Principal Financial Officer)</w:t>
      </w:r>
    </w:p>
    <w:p>
      <w:pPr>
        <w:sectPr>
          <w:pgSz w:w="11900" w:h="16838" w:orient="portrait"/>
          <w:cols w:equalWidth="0" w:num="1">
            <w:col w:w="11226"/>
          </w:cols>
          <w:pgMar w:left="314" w:top="123" w:right="359" w:bottom="1440" w:gutter="0" w:footer="0" w:header="0"/>
        </w:sectPr>
      </w:pPr>
    </w:p>
    <w:bookmarkStart w:id="44" w:name="page45"/>
    <w:bookmarkEnd w:id="44"/>
    <w:p>
      <w:pPr>
        <w:jc w:val="center"/>
        <w:ind w:right="-225"/>
        <w:spacing w:after="0"/>
        <w:rPr>
          <w:sz w:val="20"/>
          <w:szCs w:val="20"/>
          <w:color w:val="auto"/>
        </w:rPr>
      </w:pPr>
      <w:r>
        <w:rPr>
          <w:rFonts w:ascii="Arial" w:cs="Arial" w:eastAsia="Arial" w:hAnsi="Arial"/>
          <w:sz w:val="16"/>
          <w:szCs w:val="16"/>
          <w:b w:val="1"/>
          <w:bCs w:val="1"/>
          <w:color w:val="auto"/>
        </w:rPr>
        <w:t>CERTIFICATION PURSUANT TO</w:t>
      </w:r>
    </w:p>
    <w:p>
      <w:pPr>
        <w:spacing w:after="0" w:line="19" w:lineRule="exact"/>
        <w:rPr>
          <w:sz w:val="20"/>
          <w:szCs w:val="20"/>
          <w:color w:val="auto"/>
        </w:rPr>
      </w:pPr>
    </w:p>
    <w:p>
      <w:pPr>
        <w:jc w:val="center"/>
        <w:ind w:right="-225"/>
        <w:spacing w:after="0"/>
        <w:rPr>
          <w:sz w:val="20"/>
          <w:szCs w:val="20"/>
          <w:color w:val="auto"/>
        </w:rPr>
      </w:pPr>
      <w:r>
        <w:rPr>
          <w:rFonts w:ascii="Arial" w:cs="Arial" w:eastAsia="Arial" w:hAnsi="Arial"/>
          <w:sz w:val="16"/>
          <w:szCs w:val="16"/>
          <w:b w:val="1"/>
          <w:bCs w:val="1"/>
          <w:color w:val="auto"/>
        </w:rPr>
        <w:t>18 U.S.C. SECTION 1350,</w:t>
      </w:r>
    </w:p>
    <w:p>
      <w:pPr>
        <w:spacing w:after="0" w:line="4" w:lineRule="exact"/>
        <w:rPr>
          <w:sz w:val="20"/>
          <w:szCs w:val="20"/>
          <w:color w:val="auto"/>
        </w:rPr>
      </w:pPr>
    </w:p>
    <w:p>
      <w:pPr>
        <w:jc w:val="center"/>
        <w:ind w:right="-225"/>
        <w:spacing w:after="0"/>
        <w:rPr>
          <w:sz w:val="20"/>
          <w:szCs w:val="20"/>
          <w:color w:val="auto"/>
        </w:rPr>
      </w:pPr>
      <w:r>
        <w:rPr>
          <w:rFonts w:ascii="Arial" w:cs="Arial" w:eastAsia="Arial" w:hAnsi="Arial"/>
          <w:sz w:val="16"/>
          <w:szCs w:val="16"/>
          <w:b w:val="1"/>
          <w:bCs w:val="1"/>
          <w:color w:val="auto"/>
        </w:rPr>
        <w:t>AS ADOPTED PURSUANT TO</w:t>
      </w:r>
    </w:p>
    <w:p>
      <w:pPr>
        <w:spacing w:after="0" w:line="4" w:lineRule="exact"/>
        <w:rPr>
          <w:sz w:val="20"/>
          <w:szCs w:val="20"/>
          <w:color w:val="auto"/>
        </w:rPr>
      </w:pPr>
    </w:p>
    <w:p>
      <w:pPr>
        <w:jc w:val="center"/>
        <w:ind w:right="-225"/>
        <w:spacing w:after="0"/>
        <w:rPr>
          <w:sz w:val="20"/>
          <w:szCs w:val="20"/>
          <w:color w:val="auto"/>
        </w:rPr>
      </w:pPr>
      <w:r>
        <w:rPr>
          <w:rFonts w:ascii="Arial" w:cs="Arial" w:eastAsia="Arial" w:hAnsi="Arial"/>
          <w:sz w:val="16"/>
          <w:szCs w:val="16"/>
          <w:b w:val="1"/>
          <w:bCs w:val="1"/>
          <w:color w:val="auto"/>
        </w:rPr>
        <w:t>SECTION 906 OF THE SARBANES-OXLEY ACT OF 2002</w:t>
      </w:r>
    </w:p>
    <w:p>
      <w:pPr>
        <w:spacing w:after="0" w:line="180" w:lineRule="exact"/>
        <w:rPr>
          <w:sz w:val="20"/>
          <w:szCs w:val="20"/>
          <w:color w:val="auto"/>
        </w:rPr>
      </w:pPr>
    </w:p>
    <w:p>
      <w:pPr>
        <w:ind w:left="6" w:firstLine="751"/>
        <w:spacing w:after="0" w:line="251" w:lineRule="auto"/>
        <w:rPr>
          <w:sz w:val="20"/>
          <w:szCs w:val="20"/>
          <w:color w:val="auto"/>
        </w:rPr>
      </w:pPr>
      <w:r>
        <w:rPr>
          <w:rFonts w:ascii="Arial" w:cs="Arial" w:eastAsia="Arial" w:hAnsi="Arial"/>
          <w:sz w:val="16"/>
          <w:szCs w:val="16"/>
          <w:color w:val="auto"/>
        </w:rPr>
        <w:t>In connection with the Quarterly Report of Allison Transmission Holdings, Inc. (the “Company”) on Form 10-Q for the quarter ending March 31, 2020 as filed with the Securities and Exchange Commission on the date hereof (the “Report”), we, David S. Graziosi, President and Chief Executive Officer of the Company, and G. Frederick Bohley, Senior Vice President, Chief Financial Officer and Treasurer of the Company, certify, pursuant to 18 U.S.C. § 1350 as adopted pursuant to § 906 of the Sarbanes-Oxley Act of 2002, that:</w:t>
      </w:r>
    </w:p>
    <w:p>
      <w:pPr>
        <w:spacing w:after="0" w:line="170" w:lineRule="exact"/>
        <w:rPr>
          <w:sz w:val="20"/>
          <w:szCs w:val="20"/>
          <w:color w:val="auto"/>
        </w:rPr>
      </w:pPr>
    </w:p>
    <w:p>
      <w:pPr>
        <w:ind w:left="746" w:hanging="746"/>
        <w:spacing w:after="0"/>
        <w:tabs>
          <w:tab w:leader="none" w:pos="746"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and</w:t>
      </w:r>
    </w:p>
    <w:p>
      <w:pPr>
        <w:spacing w:after="0" w:line="203" w:lineRule="exact"/>
        <w:rPr>
          <w:rFonts w:ascii="Arial" w:cs="Arial" w:eastAsia="Arial" w:hAnsi="Arial"/>
          <w:sz w:val="16"/>
          <w:szCs w:val="16"/>
          <w:color w:val="auto"/>
        </w:rPr>
      </w:pPr>
    </w:p>
    <w:p>
      <w:pPr>
        <w:ind w:left="746" w:hanging="746"/>
        <w:spacing w:after="0"/>
        <w:tabs>
          <w:tab w:leader="none" w:pos="746"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80" w:lineRule="exact"/>
        <w:rPr>
          <w:sz w:val="20"/>
          <w:szCs w:val="20"/>
          <w:color w:val="auto"/>
        </w:rPr>
      </w:pPr>
    </w:p>
    <w:p>
      <w:pPr>
        <w:ind w:left="6"/>
        <w:spacing w:after="0"/>
        <w:rPr>
          <w:sz w:val="20"/>
          <w:szCs w:val="20"/>
          <w:color w:val="auto"/>
        </w:rPr>
      </w:pPr>
      <w:r>
        <w:rPr>
          <w:rFonts w:ascii="Arial" w:cs="Arial" w:eastAsia="Arial" w:hAnsi="Arial"/>
          <w:sz w:val="16"/>
          <w:szCs w:val="16"/>
          <w:color w:val="auto"/>
        </w:rPr>
        <w:t>Dated: May 5, 2020</w:t>
      </w:r>
    </w:p>
    <w:p>
      <w:pPr>
        <w:spacing w:after="0" w:line="380" w:lineRule="exact"/>
        <w:rPr>
          <w:sz w:val="20"/>
          <w:szCs w:val="20"/>
          <w:color w:val="auto"/>
        </w:rPr>
      </w:pPr>
    </w:p>
    <w:p>
      <w:pPr>
        <w:ind w:left="6"/>
        <w:spacing w:after="0"/>
        <w:rPr>
          <w:sz w:val="20"/>
          <w:szCs w:val="20"/>
          <w:color w:val="auto"/>
        </w:rPr>
      </w:pPr>
      <w:r>
        <w:rPr>
          <w:rFonts w:ascii="Arial" w:cs="Arial" w:eastAsia="Arial" w:hAnsi="Arial"/>
          <w:sz w:val="16"/>
          <w:szCs w:val="16"/>
          <w:color w:val="auto"/>
        </w:rPr>
        <w:t>/s/ David S. Graziosi</w:t>
      </w:r>
    </w:p>
    <w:p>
      <w:pPr>
        <w:spacing w:after="0" w:line="27" w:lineRule="exact"/>
        <w:rPr>
          <w:sz w:val="20"/>
          <w:szCs w:val="20"/>
          <w:color w:val="auto"/>
        </w:rPr>
      </w:pPr>
    </w:p>
    <w:p>
      <w:pPr>
        <w:ind w:left="6"/>
        <w:spacing w:after="0"/>
        <w:rPr>
          <w:sz w:val="20"/>
          <w:szCs w:val="20"/>
          <w:color w:val="auto"/>
        </w:rPr>
      </w:pPr>
      <w:r>
        <w:rPr>
          <w:rFonts w:ascii="Arial" w:cs="Arial" w:eastAsia="Arial" w:hAnsi="Arial"/>
          <w:sz w:val="16"/>
          <w:szCs w:val="16"/>
          <w:color w:val="auto"/>
        </w:rPr>
        <w:t>David S. Graziosi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-115570</wp:posOffset>
            </wp:positionV>
            <wp:extent cx="3571240" cy="762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571240" cy="7620"/>
                    </a:xfrm>
                    <a:prstGeom prst="rect">
                      <a:avLst/>
                    </a:prstGeom>
                    <a:noFill/>
                  </pic:spPr>
                </pic:pic>
              </a:graphicData>
            </a:graphic>
          </wp:anchor>
        </w:drawing>
      </w:r>
    </w:p>
    <w:p>
      <w:pPr>
        <w:ind w:left="6"/>
        <w:spacing w:after="0"/>
        <w:rPr>
          <w:sz w:val="20"/>
          <w:szCs w:val="20"/>
          <w:color w:val="auto"/>
        </w:rPr>
      </w:pPr>
      <w:r>
        <w:rPr>
          <w:rFonts w:ascii="Arial" w:cs="Arial" w:eastAsia="Arial" w:hAnsi="Arial"/>
          <w:sz w:val="16"/>
          <w:szCs w:val="16"/>
          <w:color w:val="auto"/>
        </w:rPr>
        <w:t>President and Chief Executive Officer</w:t>
      </w:r>
    </w:p>
    <w:p>
      <w:pPr>
        <w:spacing w:after="0" w:line="4" w:lineRule="exact"/>
        <w:rPr>
          <w:sz w:val="20"/>
          <w:szCs w:val="20"/>
          <w:color w:val="auto"/>
        </w:rPr>
      </w:pPr>
    </w:p>
    <w:p>
      <w:pPr>
        <w:ind w:left="6"/>
        <w:spacing w:after="0"/>
        <w:rPr>
          <w:sz w:val="20"/>
          <w:szCs w:val="20"/>
          <w:color w:val="auto"/>
        </w:rPr>
      </w:pPr>
      <w:r>
        <w:rPr>
          <w:rFonts w:ascii="Arial" w:cs="Arial" w:eastAsia="Arial" w:hAnsi="Arial"/>
          <w:sz w:val="16"/>
          <w:szCs w:val="16"/>
          <w:color w:val="auto"/>
        </w:rPr>
        <w:t>(Principal Executive Officer)</w:t>
      </w:r>
    </w:p>
    <w:p>
      <w:pPr>
        <w:spacing w:after="0" w:line="180" w:lineRule="exact"/>
        <w:rPr>
          <w:sz w:val="20"/>
          <w:szCs w:val="20"/>
          <w:color w:val="auto"/>
        </w:rPr>
      </w:pPr>
    </w:p>
    <w:p>
      <w:pPr>
        <w:ind w:left="6"/>
        <w:spacing w:after="0"/>
        <w:rPr>
          <w:sz w:val="20"/>
          <w:szCs w:val="20"/>
          <w:color w:val="auto"/>
        </w:rPr>
      </w:pPr>
      <w:r>
        <w:rPr>
          <w:rFonts w:ascii="Arial" w:cs="Arial" w:eastAsia="Arial" w:hAnsi="Arial"/>
          <w:sz w:val="16"/>
          <w:szCs w:val="16"/>
          <w:color w:val="auto"/>
        </w:rPr>
        <w:t>Dated: May 5, 2020</w:t>
      </w:r>
    </w:p>
    <w:p>
      <w:pPr>
        <w:spacing w:after="0" w:line="391" w:lineRule="exact"/>
        <w:rPr>
          <w:sz w:val="20"/>
          <w:szCs w:val="20"/>
          <w:color w:val="auto"/>
        </w:rPr>
      </w:pPr>
    </w:p>
    <w:p>
      <w:pPr>
        <w:ind w:left="6"/>
        <w:spacing w:after="0"/>
        <w:rPr>
          <w:sz w:val="20"/>
          <w:szCs w:val="20"/>
          <w:color w:val="auto"/>
        </w:rPr>
      </w:pPr>
      <w:r>
        <w:rPr>
          <w:rFonts w:ascii="Arial" w:cs="Arial" w:eastAsia="Arial" w:hAnsi="Arial"/>
          <w:sz w:val="16"/>
          <w:szCs w:val="16"/>
          <w:color w:val="auto"/>
        </w:rPr>
        <w:t>/s/ G. Frederick Bohley</w:t>
      </w:r>
    </w:p>
    <w:p>
      <w:pPr>
        <w:spacing w:after="0" w:line="27" w:lineRule="exact"/>
        <w:rPr>
          <w:sz w:val="20"/>
          <w:szCs w:val="20"/>
          <w:color w:val="auto"/>
        </w:rPr>
      </w:pPr>
    </w:p>
    <w:p>
      <w:pPr>
        <w:ind w:left="6"/>
        <w:spacing w:after="0"/>
        <w:rPr>
          <w:sz w:val="20"/>
          <w:szCs w:val="20"/>
          <w:color w:val="auto"/>
        </w:rPr>
      </w:pPr>
      <w:r>
        <w:rPr>
          <w:rFonts w:ascii="Arial" w:cs="Arial" w:eastAsia="Arial" w:hAnsi="Arial"/>
          <w:sz w:val="16"/>
          <w:szCs w:val="16"/>
          <w:color w:val="auto"/>
        </w:rPr>
        <w:t>G. Frederick Bohley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-115570</wp:posOffset>
            </wp:positionV>
            <wp:extent cx="3571240" cy="762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571240" cy="7620"/>
                    </a:xfrm>
                    <a:prstGeom prst="rect">
                      <a:avLst/>
                    </a:prstGeom>
                    <a:noFill/>
                  </pic:spPr>
                </pic:pic>
              </a:graphicData>
            </a:graphic>
          </wp:anchor>
        </w:drawing>
      </w:r>
    </w:p>
    <w:p>
      <w:pPr>
        <w:ind w:left="6"/>
        <w:spacing w:after="0"/>
        <w:rPr>
          <w:sz w:val="20"/>
          <w:szCs w:val="20"/>
          <w:color w:val="auto"/>
        </w:rPr>
      </w:pPr>
      <w:r>
        <w:rPr>
          <w:rFonts w:ascii="Arial" w:cs="Arial" w:eastAsia="Arial" w:hAnsi="Arial"/>
          <w:sz w:val="16"/>
          <w:szCs w:val="16"/>
          <w:color w:val="auto"/>
        </w:rPr>
        <w:t>Senior Vice President, Chief Financial Officer and Treasurer</w:t>
      </w:r>
    </w:p>
    <w:p>
      <w:pPr>
        <w:spacing w:after="0" w:line="4" w:lineRule="exact"/>
        <w:rPr>
          <w:sz w:val="20"/>
          <w:szCs w:val="20"/>
          <w:color w:val="auto"/>
        </w:rPr>
      </w:pPr>
    </w:p>
    <w:p>
      <w:pPr>
        <w:ind w:left="6"/>
        <w:spacing w:after="0"/>
        <w:rPr>
          <w:sz w:val="20"/>
          <w:szCs w:val="20"/>
          <w:color w:val="auto"/>
        </w:rPr>
      </w:pPr>
      <w:r>
        <w:rPr>
          <w:rFonts w:ascii="Arial" w:cs="Arial" w:eastAsia="Arial" w:hAnsi="Arial"/>
          <w:sz w:val="16"/>
          <w:szCs w:val="16"/>
          <w:color w:val="auto"/>
        </w:rPr>
        <w:t>(Principal Financial Officer)</w:t>
      </w:r>
    </w:p>
    <w:sectPr>
      <w:pgSz w:w="11900" w:h="16838" w:orient="portrait"/>
      <w:cols w:equalWidth="0" w:num="1">
        <w:col w:w="11046"/>
      </w:cols>
      <w:pgMar w:left="314" w:top="123"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1)"/>
      <w:numFmt w:val="lowerLetter"/>
      <w:start w:val="1"/>
    </w:lvl>
  </w:abstractNum>
  <w:abstractNum w:abstractNumId="3">
    <w:nsid w:val="2EB141F2"/>
    <w:multiLevelType w:val="hybridMultilevel"/>
    <w:lvl w:ilvl="0">
      <w:lvlJc w:val="left"/>
      <w:lvlText w:val="(%1)"/>
      <w:numFmt w:val="decimal"/>
      <w:start w:val="1"/>
    </w:lvl>
  </w:abstractNum>
  <w:abstractNum w:abstractNumId="4">
    <w:nsid w:val="41B71EFB"/>
    <w:multiLevelType w:val="hybridMultilevel"/>
    <w:lvl w:ilvl="0">
      <w:lvlJc w:val="left"/>
      <w:lvlText w:val="%1"/>
      <w:numFmt w:val="decimal"/>
      <w:start w:val="101"/>
    </w:lvl>
  </w:abstractNum>
  <w:abstractNum w:abstractNumId="5">
    <w:nsid w:val="79E2A9E3"/>
    <w:multiLevelType w:val="hybridMultilevel"/>
    <w:lvl w:ilvl="0">
      <w:lvlJc w:val="left"/>
      <w:lvlText w:val="%1"/>
      <w:numFmt w:val="decimal"/>
      <w:start w:val="104"/>
    </w:lvl>
  </w:abstractNum>
  <w:abstractNum w:abstractNumId="6">
    <w:nsid w:val="7545E146"/>
    <w:multiLevelType w:val="hybridMultilevel"/>
    <w:lvl w:ilvl="0">
      <w:lvlJc w:val="left"/>
      <w:lvlText w:val="%1."/>
      <w:numFmt w:val="decimal"/>
      <w:start w:val="1"/>
    </w:lvl>
    <w:lvl w:ilvl="1">
      <w:lvlJc w:val="left"/>
      <w:lvlText w:val="%2)"/>
      <w:numFmt w:val="lowerLetter"/>
      <w:start w:val="1"/>
    </w:lvl>
  </w:abstractNum>
  <w:abstractNum w:abstractNumId="7">
    <w:nsid w:val="515F007C"/>
    <w:multiLevelType w:val="hybridMultilevel"/>
    <w:lvl w:ilvl="0">
      <w:lvlJc w:val="left"/>
      <w:lvlText w:val="%1."/>
      <w:numFmt w:val="decimal"/>
      <w:start w:val="1"/>
    </w:lvl>
    <w:lvl w:ilvl="1">
      <w:lvlJc w:val="left"/>
      <w:lvlText w:val="%2)"/>
      <w:numFmt w:val="lowerLetter"/>
      <w:start w:val="1"/>
    </w:lvl>
  </w:abstractNum>
  <w:abstractNum w:abstractNumId="8">
    <w:nsid w:val="5BD062C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2020-05-05T07:14:06Z</dcterms:created>
  <dcterms:modified xsi:type="dcterms:W3CDTF">2020-05-05T07:14:06Z</dcterms:modified>
</cp:coreProperties>
</file>