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ALLISON TRANSMISSION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159385</wp:posOffset>
            </wp:positionV>
            <wp:extent cx="220408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0408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8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26-0414014</w:t>
            </w:r>
          </w:p>
        </w:tc>
      </w:tr>
      <w:tr>
        <w:trPr>
          <w:trHeight w:val="149"/>
        </w:trPr>
        <w:tc>
          <w:tcPr>
            <w:tcW w:w="6020" w:type="dxa"/>
            <w:vAlign w:val="bottom"/>
          </w:tcPr>
          <w:p>
            <w:pPr>
              <w:jc w:val="center"/>
              <w:ind w:right="3478"/>
              <w:spacing w:after="0" w:line="149" w:lineRule="exact"/>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680" w:type="dxa"/>
            <w:vAlign w:val="bottom"/>
          </w:tcPr>
          <w:p>
            <w:pPr>
              <w:jc w:val="center"/>
              <w:ind w:left="2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20" w:type="dxa"/>
            <w:vAlign w:val="bottom"/>
          </w:tcPr>
          <w:p>
            <w:pPr>
              <w:spacing w:after="0"/>
              <w:rPr>
                <w:sz w:val="16"/>
                <w:szCs w:val="16"/>
                <w:color w:val="auto"/>
              </w:rPr>
            </w:pPr>
          </w:p>
        </w:tc>
        <w:tc>
          <w:tcPr>
            <w:tcW w:w="168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8"/>
                <w:szCs w:val="18"/>
                <w:b w:val="1"/>
                <w:bCs w:val="1"/>
                <w:color w:val="auto"/>
                <w:w w:val="99"/>
              </w:rPr>
              <w:t>One Allison Way</w:t>
            </w:r>
          </w:p>
        </w:tc>
        <w:tc>
          <w:tcPr>
            <w:tcW w:w="1680" w:type="dxa"/>
            <w:vAlign w:val="bottom"/>
          </w:tcPr>
          <w:p>
            <w:pPr>
              <w:spacing w:after="0"/>
              <w:rPr>
                <w:sz w:val="24"/>
                <w:szCs w:val="24"/>
                <w:color w:val="auto"/>
              </w:rPr>
            </w:pPr>
          </w:p>
        </w:tc>
      </w:tr>
      <w:tr>
        <w:trPr>
          <w:trHeight w:val="227"/>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8"/>
                <w:szCs w:val="18"/>
                <w:b w:val="1"/>
                <w:bCs w:val="1"/>
                <w:color w:val="auto"/>
              </w:rPr>
              <w:t>Indianapolis, IN</w:t>
            </w:r>
          </w:p>
        </w:tc>
        <w:tc>
          <w:tcPr>
            <w:tcW w:w="168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46222</w:t>
            </w:r>
          </w:p>
        </w:tc>
      </w:tr>
      <w:tr>
        <w:trPr>
          <w:trHeight w:val="190"/>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8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020" w:type="dxa"/>
            <w:vAlign w:val="bottom"/>
          </w:tcPr>
          <w:p>
            <w:pPr>
              <w:jc w:val="right"/>
              <w:ind w:right="1318"/>
              <w:spacing w:after="0"/>
              <w:rPr>
                <w:sz w:val="20"/>
                <w:szCs w:val="20"/>
                <w:color w:val="auto"/>
              </w:rPr>
            </w:pPr>
            <w:r>
              <w:rPr>
                <w:rFonts w:ascii="Times New Roman" w:cs="Times New Roman" w:eastAsia="Times New Roman" w:hAnsi="Times New Roman"/>
                <w:sz w:val="18"/>
                <w:szCs w:val="18"/>
                <w:b w:val="1"/>
                <w:bCs w:val="1"/>
                <w:color w:val="auto"/>
              </w:rPr>
              <w:t>(317) 242-5000</w:t>
            </w:r>
          </w:p>
        </w:tc>
        <w:tc>
          <w:tcPr>
            <w:tcW w:w="1680" w:type="dxa"/>
            <w:vAlign w:val="bottom"/>
          </w:tcPr>
          <w:p>
            <w:pPr>
              <w:spacing w:after="0"/>
              <w:rPr>
                <w:sz w:val="24"/>
                <w:szCs w:val="24"/>
                <w:color w:val="auto"/>
              </w:rPr>
            </w:pPr>
          </w:p>
        </w:tc>
      </w:tr>
      <w:tr>
        <w:trPr>
          <w:trHeight w:val="190"/>
        </w:trPr>
        <w:tc>
          <w:tcPr>
            <w:tcW w:w="6020" w:type="dxa"/>
            <w:vAlign w:val="bottom"/>
          </w:tcPr>
          <w:p>
            <w:pPr>
              <w:jc w:val="center"/>
              <w:ind w:left="201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4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2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July 14, 2017, there were 148,810,561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2" w:right="239" w:bottom="603"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gridSpan w:val="9"/>
            <w:vMerge w:val="restart"/>
          </w:tcPr>
          <w:p>
            <w:pPr>
              <w:jc w:val="center"/>
              <w:ind w:right="20"/>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1780" w:type="dxa"/>
            <w:vAlign w:val="bottom"/>
            <w:vMerge w:val="restart"/>
          </w:tcPr>
          <w:p>
            <w:pPr>
              <w:spacing w:after="0"/>
              <w:rPr>
                <w:sz w:val="14"/>
                <w:szCs w:val="14"/>
                <w:color w:val="auto"/>
              </w:rPr>
            </w:pPr>
          </w:p>
        </w:tc>
        <w:tc>
          <w:tcPr>
            <w:tcW w:w="2200" w:type="dxa"/>
            <w:vAlign w:val="bottom"/>
            <w:gridSpan w:val="3"/>
          </w:tcPr>
          <w:p>
            <w:pPr>
              <w:ind w:left="18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tcBorders>
              <w:bottom w:val="single" w:sz="8" w:color="0000EE"/>
            </w:tcBorders>
            <w:gridSpan w:val="9"/>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380" w:type="dxa"/>
            <w:vAlign w:val="bottom"/>
            <w:gridSpan w:val="2"/>
          </w:tcPr>
          <w:p>
            <w:pPr>
              <w:spacing w:after="0"/>
              <w:rPr>
                <w:sz w:val="24"/>
                <w:szCs w:val="24"/>
                <w:color w:val="auto"/>
              </w:rPr>
            </w:pPr>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2200" w:type="dxa"/>
            <w:vAlign w:val="bottom"/>
            <w:gridSpan w:val="3"/>
          </w:tcPr>
          <w:p>
            <w:pPr>
              <w:jc w:val="center"/>
              <w:ind w:left="1671"/>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5320" w:type="dxa"/>
            <w:vAlign w:val="bottom"/>
            <w:gridSpan w:val="11"/>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w:t>
              </w:r>
            </w:hyperlink>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w:t>
              </w:r>
            </w:hyperlink>
          </w:p>
        </w:tc>
        <w:tc>
          <w:tcPr>
            <w:tcW w:w="860" w:type="dxa"/>
            <w:vAlign w:val="bottom"/>
            <w:tcBorders>
              <w:top w:val="single" w:sz="8" w:color="0000EE"/>
            </w:tcBorders>
            <w:gridSpan w:val="4"/>
          </w:tcPr>
          <w:p>
            <w:pPr>
              <w:spacing w:after="0"/>
              <w:rPr>
                <w:sz w:val="24"/>
                <w:szCs w:val="24"/>
                <w:color w:val="auto"/>
              </w:rPr>
            </w:pPr>
          </w:p>
        </w:tc>
        <w:tc>
          <w:tcPr>
            <w:tcW w:w="3680" w:type="dxa"/>
            <w:vAlign w:val="bottom"/>
            <w:gridSpan w:val="4"/>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w:t>
              </w:r>
            </w:hyperlink>
          </w:p>
        </w:tc>
        <w:tc>
          <w:tcPr>
            <w:tcW w:w="4260" w:type="dxa"/>
            <w:vAlign w:val="bottom"/>
            <w:gridSpan w:val="7"/>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380" w:type="dxa"/>
            <w:vAlign w:val="bottom"/>
            <w:gridSpan w:val="2"/>
          </w:tcPr>
          <w:p>
            <w:pPr>
              <w:spacing w:after="0"/>
              <w:rPr>
                <w:sz w:val="24"/>
                <w:szCs w:val="24"/>
                <w:color w:val="auto"/>
              </w:rPr>
            </w:pP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800" w:type="dxa"/>
            <w:vAlign w:val="bottom"/>
            <w:gridSpan w:val="2"/>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Times New Roman" w:cs="Times New Roman" w:eastAsia="Times New Roman" w:hAnsi="Times New Roman"/>
                <w:sz w:val="18"/>
                <w:szCs w:val="18"/>
                <w:color w:val="auto"/>
                <w:w w:val="99"/>
              </w:rPr>
              <w:t>18-28</w:t>
            </w: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380" w:type="dxa"/>
            <w:vAlign w:val="bottom"/>
            <w:gridSpan w:val="2"/>
          </w:tcPr>
          <w:p>
            <w:pPr>
              <w:spacing w:after="0"/>
              <w:rPr>
                <w:sz w:val="24"/>
                <w:szCs w:val="24"/>
                <w:color w:val="auto"/>
              </w:rPr>
            </w:pP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Quantitative and Qualitative Disclosures About Market Risk</w:t>
              </w:r>
            </w:hyperlink>
          </w:p>
        </w:tc>
        <w:tc>
          <w:tcPr>
            <w:tcW w:w="3900" w:type="dxa"/>
            <w:vAlign w:val="bottom"/>
            <w:gridSpan w:val="5"/>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Times New Roman" w:cs="Times New Roman" w:eastAsia="Times New Roman" w:hAnsi="Times New Roman"/>
                <w:sz w:val="18"/>
                <w:szCs w:val="18"/>
                <w:color w:val="auto"/>
                <w:w w:val="99"/>
              </w:rPr>
              <w:t>29-30</w:t>
            </w: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Controls and Procedures</w:t>
              </w:r>
            </w:hyperlink>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8"/>
              </w:rPr>
            </w:pPr>
            <w:hyperlink w:anchor="page33">
              <w:r>
                <w:rPr>
                  <w:rFonts w:ascii="Times New Roman" w:cs="Times New Roman" w:eastAsia="Times New Roman" w:hAnsi="Times New Roman"/>
                  <w:sz w:val="18"/>
                  <w:szCs w:val="18"/>
                  <w:b w:val="1"/>
                  <w:bCs w:val="1"/>
                  <w:color w:val="0000EE"/>
                  <w:w w:val="98"/>
                </w:rPr>
                <w:t>PART II. OTHER INFORMATION</w:t>
              </w:r>
            </w:hyperlink>
          </w:p>
        </w:tc>
        <w:tc>
          <w:tcPr>
            <w:tcW w:w="194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380" w:type="dxa"/>
            <w:vAlign w:val="bottom"/>
            <w:gridSpan w:val="2"/>
          </w:tcPr>
          <w:p>
            <w:pPr>
              <w:spacing w:after="0"/>
              <w:rPr>
                <w:sz w:val="24"/>
                <w:szCs w:val="24"/>
                <w:color w:val="auto"/>
              </w:rPr>
            </w:pP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Legal Proceedings</w:t>
              </w:r>
            </w:hyperlink>
          </w:p>
        </w:tc>
        <w:tc>
          <w:tcPr>
            <w:tcW w:w="6920" w:type="dxa"/>
            <w:vAlign w:val="bottom"/>
            <w:gridSpan w:val="14"/>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Risk Factors</w:t>
              </w:r>
            </w:hyperlink>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60" w:type="dxa"/>
            <w:vAlign w:val="bottom"/>
            <w:gridSpan w:val="18"/>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Unregistered Sales of Equity Securities and Use of Proceeds</w:t>
              </w:r>
            </w:hyperlink>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3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Exhibits</w:t>
              </w:r>
            </w:hyperlink>
          </w:p>
        </w:tc>
        <w:tc>
          <w:tcPr>
            <w:tcW w:w="3740" w:type="dxa"/>
            <w:vAlign w:val="bottom"/>
            <w:tcBorders>
              <w:top w:val="single" w:sz="8" w:color="0000EE"/>
            </w:tcBorders>
            <w:gridSpan w:val="11"/>
          </w:tcPr>
          <w:p>
            <w:pPr>
              <w:spacing w:after="0"/>
              <w:rPr>
                <w:sz w:val="24"/>
                <w:szCs w:val="24"/>
                <w:color w:val="auto"/>
              </w:rPr>
            </w:pPr>
          </w:p>
        </w:tc>
        <w:tc>
          <w:tcPr>
            <w:tcW w:w="3920" w:type="dxa"/>
            <w:vAlign w:val="bottom"/>
            <w:gridSpan w:val="6"/>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Signatures</w:t>
              </w:r>
            </w:hyperlink>
          </w:p>
        </w:tc>
        <w:tc>
          <w:tcPr>
            <w:tcW w:w="7500" w:type="dxa"/>
            <w:vAlign w:val="bottom"/>
            <w:gridSpan w:val="16"/>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gridSpan w:val="15"/>
          </w:tcPr>
          <w:p>
            <w:pPr>
              <w:ind w:left="47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66"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274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453</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1,941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2"/>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364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235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1,880,000,000 shares authorized, 149,319,380 shares issued and outstanding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3"/>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163,795,604 shares issued and outstanding,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Non-voting common stock, $0.01 par value, 20,000,000 shares authorized, none issued and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none issued and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 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1,745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(993)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540" w:type="dxa"/>
            <w:vAlign w:val="bottom"/>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4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1,079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538</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541</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167</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273</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(95)</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178</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common stockholders</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0.63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common stockholders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5"/>
              </w:rPr>
              <w:t>0.63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0.36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0.15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184</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178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5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(74)</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technology-related initiatives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(539)</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330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on revolving credit facility</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payments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(376)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(120)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paid</w:t>
            </w: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taxes paid</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A.</w:t>
      </w:r>
      <w:r>
        <w:rPr>
          <w:sz w:val="20"/>
          <w:szCs w:val="20"/>
          <w:color w:val="auto"/>
        </w:rPr>
        <w:tab/>
      </w:r>
      <w:r>
        <w:rPr>
          <w:rFonts w:ascii="Times New Roman" w:cs="Times New Roman" w:eastAsia="Times New Roman" w:hAnsi="Times New Roman"/>
          <w:sz w:val="17"/>
          <w:szCs w:val="17"/>
          <w:b w:val="1"/>
          <w:bCs w:val="1"/>
          <w:color w:val="auto"/>
        </w:rPr>
        <w:t>OVERVIEW</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or the “Company”)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Company has approximately 2,600 employees and 13 different transmission product lines. Although approximately 78% of revenues were generated in North America in 2016, the Company has a global presence by serving customers in Europe, Asia, South America and Africa. The Company serves customers through an independent network of approximately 1,400 independent distributor and dealer locations worldwide.</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B.</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8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2016 as filed with the Securities and Exchange Commission (“SEC”) on February 24, 2017. The presentation of certain prior year disclosures has been modified to conform to the current year presentation, as commencing in the first quarter of 2017, the Company elected to report financial data in whole millions of dollars, except as otherwise noted. The interim period financial results for the three and six month periods presented are not necessarily indicative of results to be expected for any other interim period or for the entire year.</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6" w:right="239" w:bottom="1440" w:gutter="0" w:footer="0" w:header="0"/>
        </w:sectPr>
      </w:pPr>
    </w:p>
    <w:bookmarkStart w:id="6" w:name="page7"/>
    <w:bookmarkEnd w:id="6"/>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Recently Adopted Accounting Pronouncements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January 2017, the Financial Accounting Standards Board (“FASB”) issued authoritative accounting guidance on evaluation of goodwill for impairment. The guidance modifies the approach to assessing impairment from testing the implied fair value goodwill to testing the fair value of the reporting unit carrying the goodwill, which eliminates Step 2 of the current evaluation guidance. The intent of this amendment is to reduce the cost and complexity of evaluating goodwill. The guidance was early adopted by the Company effective July 1, 2017. The adoption of this guidance did not have an impact on the Company’s consolidated financial statements.</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authoritative accounting guidance on share-based payment awards to employees. The guidance involves several aspects of the accounting for share-based payment transactions, including the income tax consequences, classification of awards as either equity or liabilities, and classification on the statement of cash flows. The guidance was adopted by the Company effective January 1, 2017. Management recorded an excess tax benefit of $4 million and $11 million to income tax expense and as a component of operating cash flows for the three months and six months ended June 30, 2017, respectively, and made the accounting policy election to account for forfeitures as they occur.</w:t>
      </w:r>
    </w:p>
    <w:p>
      <w:pPr>
        <w:spacing w:after="0" w:line="18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July 2015, the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was adopted by the Company effective January 1, 2017. The adoption of this guidance did not have a material impact on the Company’s consolidated financial statements.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May 2017, the FASB issued authoritative accounting guidance on accounting for modifications to the terms of employee stock compensation. The guidance clarifies which changes to terms or conditions of share-based payment awards require the entity to apply modification accounting. The guidance will be effective for the Company in fiscal year 2018, but early adoption is permitted. Management is currently evaluating the impact of this guidance on the Company’s consolidated financial statements.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March 2017, the FASB issued authoritative accounting guidance on the presentation of net periodic pension costs and net periodic postretirement benefit costs. The guidance clarifies the presentation of component costs within an employer’s financial statements and restricts component costs eligible for capitalization to the service cost component. The guidance will be effective for the Company in fiscal year 2018, but early adoption is permitted. Management is currently evaluating the impact of this guidance on the Company’s consolidated financial statements.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October 2016, the FASB issued authoritative accounting guidance on the income tax consequences of intra-company transfers other than inventory. This guidance addresses the timing of the recognition of current and deferred income taxes. Under this guidance, the recognition of current or deferred income taxes will occur at the time of the transfer of the asset. The Company did not early adopt, therefore the guidance will be effective for the Company in fiscal year 2018. Management is currently evaluating the impact of this guidance on the Company’s consolidated financial statements.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August 2016, the FASB issued authoritative accounting guidance on the presentation and classification of certain cash receipts and cash payments on the statement of cash flows. The guidance specifically addresses cash flow issues with the objective of reducing the diversity in practice. The Company did not early adopt, therefore the guidance will be effective for the Company in fiscal year 2018. Management is currently evaluating the impact of this guidance on the Company’s consolidated financial statements.</w:t>
      </w:r>
    </w:p>
    <w:p>
      <w:pPr>
        <w:spacing w:after="0" w:line="180"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new guidance also introduces new disclosure requirements for leasing arrangements. The guidance will be effective for the Company in fiscal year 2019, and the Company does not plan to early adopt. Management is currently evaluating the impact of this guidance on the Company’s consolidated financial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66" w:right="239" w:bottom="1440" w:gutter="0" w:footer="0" w:header="0"/>
        </w:sectPr>
      </w:pPr>
    </w:p>
    <w:bookmarkStart w:id="7" w:name="page8"/>
    <w:bookmarkEnd w:id="7"/>
    <w:p>
      <w:pPr>
        <w:ind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January 2016, the FASB issued authoritative accounting guidance on the classification of equity securities with readily determinable fair values into different categories (e.g. trading or available-for-sale) and the requirement for equity securities to be measured at fair value with changes in fair value recognized in net income. The Company did not early adopt, therefore the guidance will be effective prospectively for the Company in fiscal year 2018. Upon adoption, a cumulative-effect adjustment to retained earnings in the consolidated balance sheets will be reclassified to beginning retained earnings. Management has evaluated the impact of this guidance and expects the unrealized gains and losses for fair value measurement of the Company’s available-for-sale securities to be recognized in net income upon adoption.</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May 2014, the FASB issued authoritative accounting guidance on a company’s accounting for revenue from contracts with customers, which guidance has subsequently been amended.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allows either full or modified retrospective adoption. The Company did not early adopt, therefore the guidance will be effective for the Company for the annual and interim periods beginning in fiscal year 2018. The Company will implement the guidance using the modified retrospective approach. Management has determined that the revenue streams that could be impacted by the guidance relate to non-standard transmission coverages. Certain contracts are also being reviewed individually for potential impact.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C.</w:t>
            </w:r>
          </w:p>
        </w:tc>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components (dollars in millions):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210"/>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parts and raw materials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J, “Other Current Liabilities” for more information.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0" w:right="259" w:bottom="1440" w:gutter="0" w:footer="0" w:header="0"/>
        </w:sectPr>
      </w:pPr>
    </w:p>
    <w:bookmarkStart w:id="8" w:name="page9"/>
    <w:bookmarkEnd w:id="8"/>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D.</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carrying amount of the Company’s Goodwill was $1,941 million. The following presents a summary of other intangible assets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3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80" w:type="dxa"/>
            <w:vAlign w:val="bottom"/>
          </w:tcPr>
          <w:p>
            <w:pPr>
              <w:spacing w:after="0"/>
              <w:rPr>
                <w:sz w:val="10"/>
                <w:szCs w:val="10"/>
                <w:color w:val="auto"/>
              </w:rPr>
            </w:pPr>
          </w:p>
        </w:tc>
        <w:tc>
          <w:tcPr>
            <w:tcW w:w="12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340" w:type="dxa"/>
            <w:vAlign w:val="bottom"/>
          </w:tcPr>
          <w:p>
            <w:pPr>
              <w:spacing w:after="0"/>
              <w:rPr>
                <w:sz w:val="10"/>
                <w:szCs w:val="10"/>
                <w:color w:val="auto"/>
              </w:rPr>
            </w:pPr>
          </w:p>
        </w:tc>
        <w:tc>
          <w:tcPr>
            <w:tcW w:w="82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280" w:type="dxa"/>
            <w:vAlign w:val="bottom"/>
          </w:tcPr>
          <w:p>
            <w:pPr>
              <w:spacing w:after="0"/>
              <w:rPr>
                <w:sz w:val="10"/>
                <w:szCs w:val="10"/>
                <w:color w:val="auto"/>
              </w:rPr>
            </w:pPr>
          </w:p>
        </w:tc>
        <w:tc>
          <w:tcPr>
            <w:tcW w:w="12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60" w:type="dxa"/>
            <w:vAlign w:val="bottom"/>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gross</w:t>
            </w:r>
          </w:p>
        </w:tc>
        <w:tc>
          <w:tcPr>
            <w:tcW w:w="18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gross</w:t>
            </w:r>
          </w:p>
        </w:tc>
        <w:tc>
          <w:tcPr>
            <w:tcW w:w="28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net</w:t>
            </w: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intangible assets:</w:t>
            </w:r>
          </w:p>
        </w:tc>
        <w:tc>
          <w:tcPr>
            <w:tcW w:w="1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6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790</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790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 defense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 commercial</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(550)</w:t>
            </w: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282</w:t>
            </w:r>
          </w:p>
        </w:tc>
        <w:tc>
          <w:tcPr>
            <w:tcW w:w="2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(377)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Patented technology - defense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Tooling rights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1,197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2,210</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1,242</w:t>
            </w:r>
          </w:p>
        </w:tc>
      </w:tr>
      <w:tr>
        <w:trPr>
          <w:trHeight w:val="20"/>
        </w:trPr>
        <w:tc>
          <w:tcPr>
            <w:tcW w:w="3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60"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net carrying value of our Goodwill and other intangible assets was $3,138 million and $3,183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related to other intangible assets for the next five fiscal years and thereafter is expected to be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$ 87</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$ 86</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$ 50</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$ 45</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$ 43</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E.</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6" w:right="239" w:bottom="1440" w:gutter="0" w:footer="0" w:header="0"/>
        </w:sectPr>
      </w:pPr>
    </w:p>
    <w:bookmarkStart w:id="9" w:name="page10"/>
    <w:bookmarkEnd w:id="9"/>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2017 and December 31, 2016, the Company did not have any Level 3 financial assets or liabilities.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include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0"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Company uses valuations from the issuing financial institution for the fair value measurement of interest rate derivatives.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net in the Condensed Consolidated Statements of Comprehensive Income.</w:t>
      </w:r>
    </w:p>
    <w:p>
      <w:pPr>
        <w:spacing w:after="0" w:line="18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financial assets and (liabilities) as of June 30, 2017 and December 31, 2016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6"/>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00" w:type="dxa"/>
            <w:vAlign w:val="bottom"/>
          </w:tcPr>
          <w:p>
            <w:pPr>
              <w:spacing w:after="0"/>
              <w:rPr>
                <w:sz w:val="10"/>
                <w:szCs w:val="10"/>
                <w:color w:val="auto"/>
              </w:rPr>
            </w:pPr>
          </w:p>
        </w:tc>
        <w:tc>
          <w:tcPr>
            <w:tcW w:w="1580" w:type="dxa"/>
            <w:vAlign w:val="bottom"/>
            <w:gridSpan w:val="4"/>
            <w:vMerge w:val="restart"/>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6"/>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Observable Inputs (Level 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6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0"/>
                <w:szCs w:val="10"/>
                <w:color w:val="auto"/>
              </w:rPr>
            </w:pPr>
          </w:p>
        </w:tc>
        <w:tc>
          <w:tcPr>
            <w:tcW w:w="8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Rabbi trust assets</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obligation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3"/>
              </w:rPr>
              <w:t>(29)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F.</w:t>
            </w: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Long-term debt and maturities are as follows (dollars in millions):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9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8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3"/>
        </w:trPr>
        <w:tc>
          <w:tcPr>
            <w:tcW w:w="920" w:type="dxa"/>
            <w:vAlign w:val="bottom"/>
          </w:tcPr>
          <w:p>
            <w:pPr>
              <w:spacing w:after="0"/>
              <w:rPr>
                <w:sz w:val="15"/>
                <w:szCs w:val="15"/>
                <w:color w:val="auto"/>
              </w:rPr>
            </w:pPr>
          </w:p>
        </w:tc>
        <w:tc>
          <w:tcPr>
            <w:tcW w:w="76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Credit Facility Term B-3 Loan, variable, due 2022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$1,182</w:t>
            </w:r>
          </w:p>
        </w:tc>
        <w:tc>
          <w:tcPr>
            <w:tcW w:w="7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9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Revolving Credit Facility, variable, due 2021</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fixed 5.0%, due 2024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9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$2,387</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2,188</w:t>
            </w:r>
          </w:p>
        </w:tc>
      </w:tr>
      <w:tr>
        <w:trPr>
          <w:trHeight w:val="216"/>
        </w:trPr>
        <w:tc>
          <w:tcPr>
            <w:tcW w:w="9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20" w:type="dxa"/>
            <w:vAlign w:val="bottom"/>
          </w:tcPr>
          <w:p>
            <w:pPr>
              <w:spacing w:after="0"/>
              <w:rPr>
                <w:sz w:val="18"/>
                <w:szCs w:val="18"/>
                <w:color w:val="auto"/>
              </w:rPr>
            </w:pPr>
          </w:p>
        </w:tc>
        <w:tc>
          <w:tcPr>
            <w:tcW w:w="7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920" w:type="dxa"/>
            <w:vAlign w:val="bottom"/>
          </w:tcPr>
          <w:p>
            <w:pPr>
              <w:spacing w:after="0"/>
              <w:rPr>
                <w:sz w:val="19"/>
                <w:szCs w:val="19"/>
                <w:color w:val="auto"/>
              </w:rPr>
            </w:pPr>
          </w:p>
        </w:tc>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 net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2,348</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of June 30, 2017, the Company had $2,387 million of indebtedness associated with Allison Transmission, Inc.’s (“ATI”), the Company’s wholly-owned subsidiary, 5.0% Senior Notes due September 2024 (“5.0% Senior Notes”), and ATI’s Senior Secured Credit Facility (“Senior Secured Credit Facility”), which consists of the Senior Secured Credit Facility Term B-3 Loan due 2022 (“Term B-3 Loan”) and the Senior Secured Credit Facility revolving credit facility due 2021 (“Revolving Credit Facility”).</w:t>
      </w:r>
    </w:p>
    <w:p>
      <w:pPr>
        <w:spacing w:after="0" w:line="180"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obligations as of June 30, 2017 was $2,411 million. The fair value is based on quoted Level 2 market prices of the Company’s debt as of June 30, 2017.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21" w:lineRule="exact"/>
        <w:rPr>
          <w:sz w:val="20"/>
          <w:szCs w:val="20"/>
          <w:color w:val="auto"/>
        </w:rPr>
      </w:pPr>
    </w:p>
    <w:p>
      <w:pPr>
        <w:ind w:right="160" w:firstLine="456"/>
        <w:spacing w:after="0" w:line="276" w:lineRule="auto"/>
        <w:rPr>
          <w:sz w:val="20"/>
          <w:szCs w:val="20"/>
          <w:color w:val="auto"/>
        </w:rPr>
      </w:pPr>
      <w:r>
        <w:rPr>
          <w:rFonts w:ascii="Times New Roman" w:cs="Times New Roman" w:eastAsia="Times New Roman" w:hAnsi="Times New Roman"/>
          <w:sz w:val="17"/>
          <w:szCs w:val="17"/>
          <w:color w:val="auto"/>
        </w:rPr>
        <w:t>In March 2017, ATI entered into an amendment with the term loan lenders under its Senior Secured Credit Facility to lower the applicable margins on the Term B-3 Loan by 0.5%. The amendment also eliminated the minimum LIBOR floor and reduced the minimum floor applicable to the base rate from</w:t>
      </w:r>
    </w:p>
    <w:p>
      <w:pPr>
        <w:spacing w:after="0" w:line="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1.75% to 1.00% on the Term B-3 Loan. The March 2017 amendment was treated as a modification to the Senior Secured Credit Facility under GAAP, and thus the Company recorded $1 million as new deferred financing fees.</w:t>
      </w:r>
    </w:p>
    <w:p>
      <w:pPr>
        <w:spacing w:after="0" w:line="180"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June 30, 2017, is either (a) 2.00% over the LIBOR or (b) 1.00% over the greater of the prime lending rate as quoted by the administrative agent and the federal funds effective rate published by the Federal Reserve Bank of New York plus 0.5%, provided that neither is below</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1.00%. As of June 30, 2017, the Company elected to pay the lowest all-in rate of LIBOR plus the applicable margin, or 3.22%,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through its maturity date of September 2022 is $3 million. As of June 30, 2017, there had been no payments required for certain net cash proceeds of non-ordinary course asset sales and casualty and condemnation events. The remaining principal balance is due upon maturity.</w:t>
      </w:r>
    </w:p>
    <w:p>
      <w:pPr>
        <w:spacing w:after="0" w:line="1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Senior Secured Credit Facility also provides a Revolving Credit Facility. As of June 30, 2017, the Company had $227 million available under the Revolving Credit Facility, net of $205 million of revolving loans outstanding and $18 million in letters of credit. Revolving credit borrowings bear interest at a variable base rate plus an applicable margin based on the Company’s total leverage ratio. Interest on the Revolving Credit Facility, as of June 30, 2017, is either (a) 1.75% over the LIBOR or (b) 0.75% over the greater of the prime lending rate in effect on such day and the federal funds effective rate published by the Federal Reserve Bank of New York plus 0.5%, provided that neither is below 1.75%. As of June 30, 2017 the Company elected to pay the lowest all-in rate of LIBOR plus the applicable margin, or 2.88%, on the Revolving Credit Facility. In addition, there is an annual commitment fee, based on the Company’s total leverage ratio, on the average unused revolving credit borrowings available under the Revolving Credit Facility. Revolving credit borrowings are payable at the option of the Company throughout the term of the Senior Secured Credit Facility with the balance due in September 2021.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66" w:right="239" w:bottom="1440" w:gutter="0" w:footer="0" w:header="0"/>
        </w:sectPr>
      </w:pPr>
    </w:p>
    <w:bookmarkStart w:id="11" w:name="page12"/>
    <w:bookmarkEnd w:id="11"/>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Senior Secured Credit Facility requires the Company to maintain a specified maximum total senior secured leverage ratio of 5.50x when revolving loan commitments remain outstanding on the Revolving Credit Facility at the end of a fiscal quarter. As of June 30, 2017, the Company was in compliance with the maximum total senior secured leverage ratio, achieving a 1.79x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would remain in effect as long as the Company achieves a total leverage ratio at or below the related threshold. As of June 30, 2017, the total leverage ratio was 3.16x.</w:t>
      </w:r>
    </w:p>
    <w:p>
      <w:pPr>
        <w:spacing w:after="0" w:line="189"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June 30, 2017, the Company is in compliance with all covenants under the Senior Secured Credit Facility.</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5.0% Senior Notes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5.0%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2017, the Company is in compliance with all covenants under the indenture governing the 5% Senior Notes.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0" w:right="279" w:bottom="1440" w:gutter="0" w:footer="0" w:header="0"/>
        </w:sectPr>
      </w:pPr>
    </w:p>
    <w:bookmarkStart w:id="12" w:name="page13"/>
    <w:bookmarkEnd w:id="1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G.</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2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when appropriate. The Company’s current derivative instruments are used strictly as an economic hedge and not for speculative purposes. As necessary, the Company adjusts the values of the derivative instruments for counter-party or credit risk.</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net in the Condensed Consolidated Statements of Comprehensive Income.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interest rate derivatives as of June 30, 2017 and December 31, 2016 follows (dollars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6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5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4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40" w:type="dxa"/>
            <w:vAlign w:val="bottom"/>
            <w:vMerge w:val="restart"/>
          </w:tcPr>
          <w:p>
            <w:pPr>
              <w:spacing w:after="0"/>
              <w:rPr>
                <w:sz w:val="10"/>
                <w:szCs w:val="10"/>
                <w:color w:val="auto"/>
              </w:rPr>
            </w:pPr>
          </w:p>
        </w:tc>
        <w:tc>
          <w:tcPr>
            <w:tcW w:w="10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CCEEFF"/>
            </w:tcBorders>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3.44%</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L, Aug 2016 – Aug 2019*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3.43%</w:t>
            </w: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M, Aug 2016 – Aug 2019*</w:t>
            </w:r>
          </w:p>
        </w:tc>
        <w:tc>
          <w:tcPr>
            <w:tcW w:w="1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3.37%</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N, Aug 2016 – Aug 2019*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O, Aug 2016 – Aug 2019*</w:t>
            </w:r>
          </w:p>
        </w:tc>
        <w:tc>
          <w:tcPr>
            <w:tcW w:w="1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3.08%</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P, Aug 2016 – Aug 2019*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2.99%</w:t>
            </w: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Q, Aug 2016 – Aug 2019*</w:t>
            </w:r>
          </w:p>
        </w:tc>
        <w:tc>
          <w:tcPr>
            <w:tcW w:w="1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2.98%</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R, Aug 2016 – Aug 2019*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2.73%</w:t>
            </w: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 Aug 2016 – Aug 2019*</w:t>
            </w:r>
          </w:p>
        </w:tc>
        <w:tc>
          <w:tcPr>
            <w:tcW w:w="1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2.74%</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T, Aug 2016 – Aug 2019*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2.66%</w:t>
            </w: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U, Aug 2016 – Aug 2019*</w:t>
            </w:r>
          </w:p>
        </w:tc>
        <w:tc>
          <w:tcPr>
            <w:tcW w:w="1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2.60%</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V, Aug 2016 – Aug 2019*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2.40%</w:t>
            </w: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W, Aug 2016 – Aug 2019*</w:t>
            </w:r>
          </w:p>
        </w:tc>
        <w:tc>
          <w:tcPr>
            <w:tcW w:w="1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2.25%</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X, Aug 2016 – Aug 2019*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includes LIBOR floor of 1.00%</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54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tabular disclosures further describe the Company’s interest rate derivative instruments and their impact on the financial condition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7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20" w:type="dxa"/>
            <w:vAlign w:val="bottom"/>
          </w:tcPr>
          <w:p>
            <w:pPr>
              <w:spacing w:after="0"/>
              <w:rPr>
                <w:sz w:val="10"/>
                <w:szCs w:val="10"/>
                <w:color w:val="auto"/>
              </w:rPr>
            </w:pPr>
          </w:p>
        </w:tc>
        <w:tc>
          <w:tcPr>
            <w:tcW w:w="174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20" w:type="dxa"/>
            <w:vAlign w:val="bottom"/>
          </w:tcPr>
          <w:p>
            <w:pPr>
              <w:spacing w:after="0"/>
              <w:rPr>
                <w:sz w:val="10"/>
                <w:szCs w:val="10"/>
                <w:color w:val="auto"/>
              </w:rPr>
            </w:pPr>
          </w:p>
        </w:tc>
        <w:tc>
          <w:tcPr>
            <w:tcW w:w="1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36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2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3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Interest rate swaps</w:t>
            </w:r>
          </w:p>
        </w:tc>
        <w:tc>
          <w:tcPr>
            <w:tcW w:w="174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Other current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Other current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liabilities</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6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non-</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2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current liabilities</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tabular disclosure describes the location and impact on the Company’s results of operations related to unrealized gain (loss) on interest rate derivatives (dollars in millions):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9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3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5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Location of impact on results of operations</w:t>
            </w:r>
          </w:p>
        </w:tc>
        <w:tc>
          <w:tcPr>
            <w:tcW w:w="1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5</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(15)</w:t>
            </w:r>
          </w:p>
        </w:tc>
      </w:tr>
      <w:tr>
        <w:trPr>
          <w:trHeight w:val="342"/>
        </w:trPr>
        <w:tc>
          <w:tcPr>
            <w:tcW w:w="3900" w:type="dxa"/>
            <w:vAlign w:val="bottom"/>
          </w:tcPr>
          <w:p>
            <w:pPr>
              <w:spacing w:after="0"/>
              <w:rPr>
                <w:sz w:val="24"/>
                <w:szCs w:val="24"/>
                <w:color w:val="auto"/>
              </w:rPr>
            </w:pPr>
          </w:p>
        </w:tc>
        <w:tc>
          <w:tcPr>
            <w:tcW w:w="19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H.</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WARRANTY LIABILITIES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Product warranty liability activities consist of the following (dollars in millions):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liability (warranty issued during period)</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adjustments to liability</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the current and non-current product warranty liabilities were $21 million and $34 million, respectively. As of June 30, 2016, the current and non-current product warranty liabilities were $28 million and $42 million, respectively.</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I.</w:t>
      </w:r>
      <w:r>
        <w:rPr>
          <w:sz w:val="20"/>
          <w:szCs w:val="20"/>
          <w:color w:val="auto"/>
        </w:rPr>
        <w:tab/>
      </w: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the current and non-current deferred revenue were $28 million and $68 million, respectively. As of June 30, 2016, the current and non-current deferred revenue were $24 million and $60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revenue activity consists of the following (dollars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2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96</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Increases</w:t>
            </w:r>
          </w:p>
        </w:tc>
        <w:tc>
          <w:tcPr>
            <w:tcW w:w="4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earned</w:t>
            </w:r>
          </w:p>
        </w:tc>
        <w:tc>
          <w:tcPr>
            <w:tcW w:w="4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(6)</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96</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84</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Deferred revenue recorded in current and non-current liabilities related to extended transmission coverage (“ETC”) as of June 30, 2017 were $27 million and $68 million, respectively. Deferred revenue recorded in current and non-current liabilities related to ETC as of June 30, 2016 were $24 million and $60 million, respectively.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J.</w:t>
            </w: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5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Other current liabilities consist of the following (dollars in millions):</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900" w:type="dxa"/>
            <w:vAlign w:val="bottom"/>
            <w:gridSpan w:val="3"/>
          </w:tcPr>
          <w:p>
            <w:pPr>
              <w:ind w:left="2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40" w:type="dxa"/>
            <w:vAlign w:val="bottom"/>
            <w:gridSpan w:val="4"/>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buyback obligation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 price reduction reserve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9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80" w:type="dxa"/>
            <w:vAlign w:val="bottom"/>
            <w:vMerge w:val="restart"/>
          </w:tcPr>
          <w:p>
            <w:pPr>
              <w:jc w:val="right"/>
              <w:ind w:right="2016"/>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66" w:right="31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K.</w:t>
            </w: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EMPLOYEE BENEFIT PLANS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640" w:type="dxa"/>
            <w:vAlign w:val="bottom"/>
            <w:gridSpan w:val="9"/>
          </w:tcPr>
          <w:p>
            <w:pPr>
              <w:ind w:left="460"/>
              <w:spacing w:after="0"/>
              <w:rPr>
                <w:sz w:val="20"/>
                <w:szCs w:val="20"/>
                <w:color w:val="auto"/>
              </w:rPr>
            </w:pPr>
            <w:r>
              <w:rPr>
                <w:rFonts w:ascii="Times New Roman" w:cs="Times New Roman" w:eastAsia="Times New Roman" w:hAnsi="Times New Roman"/>
                <w:sz w:val="18"/>
                <w:szCs w:val="18"/>
                <w:color w:val="auto"/>
                <w:w w:val="99"/>
              </w:rPr>
              <w:t>Components of net periodic benefit cost consist of the following (dollars in millions):</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52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6"/>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80" w:type="dxa"/>
            <w:vAlign w:val="bottom"/>
            <w:gridSpan w:val="4"/>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00" w:type="dxa"/>
            <w:vAlign w:val="bottom"/>
          </w:tcPr>
          <w:p>
            <w:pPr>
              <w:spacing w:after="0"/>
              <w:rPr>
                <w:sz w:val="10"/>
                <w:szCs w:val="10"/>
                <w:color w:val="auto"/>
              </w:rPr>
            </w:pPr>
          </w:p>
        </w:tc>
      </w:tr>
      <w:tr>
        <w:trPr>
          <w:trHeight w:val="173"/>
        </w:trPr>
        <w:tc>
          <w:tcPr>
            <w:tcW w:w="460" w:type="dxa"/>
            <w:vAlign w:val="bottom"/>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15"/>
                <w:szCs w:val="15"/>
                <w:color w:val="auto"/>
              </w:rPr>
            </w:pPr>
          </w:p>
        </w:tc>
      </w:tr>
      <w:tr>
        <w:trPr>
          <w:trHeight w:val="196"/>
        </w:trPr>
        <w:tc>
          <w:tcPr>
            <w:tcW w:w="46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periodic benefit cost: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6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72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5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52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6"/>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80" w:type="dxa"/>
            <w:vAlign w:val="bottom"/>
            <w:gridSpan w:val="4"/>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0" w:type="dxa"/>
            <w:vAlign w:val="bottom"/>
          </w:tcPr>
          <w:p>
            <w:pPr>
              <w:spacing w:after="0"/>
              <w:rPr>
                <w:sz w:val="10"/>
                <w:szCs w:val="10"/>
                <w:color w:val="auto"/>
              </w:rPr>
            </w:pPr>
          </w:p>
        </w:tc>
      </w:tr>
      <w:tr>
        <w:trPr>
          <w:trHeight w:val="173"/>
        </w:trPr>
        <w:tc>
          <w:tcPr>
            <w:tcW w:w="460" w:type="dxa"/>
            <w:vAlign w:val="bottom"/>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15"/>
                <w:szCs w:val="15"/>
                <w:color w:val="auto"/>
              </w:rPr>
            </w:pPr>
          </w:p>
        </w:tc>
      </w:tr>
      <w:tr>
        <w:trPr>
          <w:trHeight w:val="196"/>
        </w:trPr>
        <w:tc>
          <w:tcPr>
            <w:tcW w:w="46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periodic benefit cost: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6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72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5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L.</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2017, the Company recorded total tax expense of $51 million and $95 million, respectively. The effective tax rate for the three and six months ended June 30, 2017 was 35%. For the three and six months ended June 30, 2016, the Company recorded total tax expense of $38 million and $67 million, respectively. The effective tax rate for the three and six months ended June 30, 2016 was 38%. The decrease in effective tax rate for the three and six months ended June 30, 2017 was principally driven by increased U.S. income tax deductions and discrete activity related to the excess tax benefit from stock-based compensation.</w:t>
      </w:r>
    </w:p>
    <w:p>
      <w:pPr>
        <w:spacing w:after="0" w:line="18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4"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the FASB’s authoritative guidance on accounting for uncertainty in income taxes, the Company has recorded a liability for unrecognized tax benefits related to a 2010 Research &amp; Development Credit as of June 30, 2017 and December 31, 2016. The accounting guidance prescribes a recognition threshold and measurement attributes for the financial statement recognition and measurement of a tax position taken or expected to be taken in a tax return. All of the Company’s returns will remain subject to examination by the various taxing authorities for the duration of the applicable statute of limitations (generally three years from the later of the date of filing or the due date of the return).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66" w:right="279" w:bottom="1440" w:gutter="0" w:footer="0" w:header="0"/>
        </w:sectPr>
      </w:pPr>
    </w:p>
    <w:bookmarkStart w:id="15" w:name="page16"/>
    <w:bookmarkEnd w:id="15"/>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M.</w:t>
      </w:r>
      <w:r>
        <w:rPr>
          <w:sz w:val="20"/>
          <w:szCs w:val="20"/>
          <w:color w:val="auto"/>
        </w:rPr>
        <w:tab/>
      </w:r>
      <w:r>
        <w:rPr>
          <w:rFonts w:ascii="Times New Roman" w:cs="Times New Roman" w:eastAsia="Times New Roman" w:hAnsi="Times New Roman"/>
          <w:sz w:val="17"/>
          <w:szCs w:val="17"/>
          <w:b w:val="1"/>
          <w:b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reconcile changes in Accumulated other comprehensive loss (“AOCL”) by component (net of tax, dollars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8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Available-for-</w:t>
            </w:r>
          </w:p>
        </w:tc>
        <w:tc>
          <w:tcPr>
            <w:tcW w:w="28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4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280" w:type="dxa"/>
            <w:vAlign w:val="bottom"/>
          </w:tcPr>
          <w:p>
            <w:pPr>
              <w:spacing w:after="0"/>
              <w:rPr>
                <w:sz w:val="15"/>
                <w:szCs w:val="15"/>
                <w:color w:val="auto"/>
              </w:rPr>
            </w:pP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0" w:type="dxa"/>
            <w:vAlign w:val="bottom"/>
          </w:tcPr>
          <w:p>
            <w:pPr>
              <w:spacing w:after="0"/>
              <w:rPr>
                <w:sz w:val="15"/>
                <w:szCs w:val="15"/>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4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March 31, 2016</w:t>
            </w:r>
          </w:p>
        </w:tc>
        <w:tc>
          <w:tcPr>
            <w:tcW w:w="16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w:t>
            </w:r>
          </w:p>
        </w:tc>
        <w:tc>
          <w:tcPr>
            <w:tcW w:w="1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AOCL as of June 30, 2016</w:t>
            </w:r>
          </w:p>
        </w:tc>
        <w:tc>
          <w:tcPr>
            <w:tcW w:w="16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 (57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March 31, 2017</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AOCL as of June 30, 2017</w:t>
            </w:r>
          </w:p>
        </w:tc>
        <w:tc>
          <w:tcPr>
            <w:tcW w:w="16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5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8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Available-for-</w:t>
            </w:r>
          </w:p>
        </w:tc>
        <w:tc>
          <w:tcPr>
            <w:tcW w:w="28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4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280" w:type="dxa"/>
            <w:vAlign w:val="bottom"/>
          </w:tcPr>
          <w:p>
            <w:pPr>
              <w:spacing w:after="0"/>
              <w:rPr>
                <w:sz w:val="15"/>
                <w:szCs w:val="15"/>
                <w:color w:val="auto"/>
              </w:rPr>
            </w:pP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0" w:type="dxa"/>
            <w:vAlign w:val="bottom"/>
          </w:tcPr>
          <w:p>
            <w:pPr>
              <w:spacing w:after="0"/>
              <w:rPr>
                <w:sz w:val="15"/>
                <w:szCs w:val="15"/>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4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December 31, 2015</w:t>
            </w:r>
          </w:p>
        </w:tc>
        <w:tc>
          <w:tcPr>
            <w:tcW w:w="16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w:t>
            </w:r>
          </w:p>
        </w:tc>
        <w:tc>
          <w:tcPr>
            <w:tcW w:w="1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AOCL as of June 30, 2016</w:t>
            </w:r>
          </w:p>
        </w:tc>
        <w:tc>
          <w:tcPr>
            <w:tcW w:w="16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 (57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December 31, 2016</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w:t>
            </w:r>
          </w:p>
        </w:tc>
        <w:tc>
          <w:tcPr>
            <w:tcW w:w="1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AOCL as of June 30, 2017</w:t>
            </w:r>
          </w:p>
        </w:tc>
        <w:tc>
          <w:tcPr>
            <w:tcW w:w="16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5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(57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66" w:right="69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Amounts reclassified from AOCL</w:t>
            </w:r>
          </w:p>
        </w:tc>
        <w:tc>
          <w:tcPr>
            <w:tcW w:w="2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Borders>
              <w:top w:val="single" w:sz="8" w:color="auto"/>
            </w:tcBorders>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 Condensed Consolidated</w:t>
            </w:r>
          </w:p>
        </w:tc>
        <w:tc>
          <w:tcPr>
            <w:tcW w:w="0" w:type="dxa"/>
            <w:vAlign w:val="bottom"/>
          </w:tcPr>
          <w:p>
            <w:pPr>
              <w:spacing w:after="0"/>
              <w:rPr>
                <w:sz w:val="1"/>
                <w:szCs w:val="1"/>
                <w:color w:val="auto"/>
              </w:rPr>
            </w:pPr>
          </w:p>
        </w:tc>
      </w:tr>
      <w:tr>
        <w:trPr>
          <w:trHeight w:val="146"/>
        </w:trPr>
        <w:tc>
          <w:tcPr>
            <w:tcW w:w="31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AOCL Components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15"/>
                <w:szCs w:val="15"/>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Amortization of defined benefit pension</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service cost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Amounts reclassified from AOCL</w:t>
            </w: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 Condensed Consolidated</w:t>
            </w:r>
          </w:p>
        </w:tc>
        <w:tc>
          <w:tcPr>
            <w:tcW w:w="0" w:type="dxa"/>
            <w:vAlign w:val="bottom"/>
          </w:tcPr>
          <w:p>
            <w:pPr>
              <w:spacing w:after="0"/>
              <w:rPr>
                <w:sz w:val="1"/>
                <w:szCs w:val="1"/>
                <w:color w:val="auto"/>
              </w:rPr>
            </w:pPr>
          </w:p>
        </w:tc>
      </w:tr>
      <w:tr>
        <w:trPr>
          <w:trHeight w:val="146"/>
        </w:trPr>
        <w:tc>
          <w:tcPr>
            <w:tcW w:w="31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AOCL Components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15"/>
                <w:szCs w:val="15"/>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Amortization of defined benefit pension</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service cost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Prior service cost and actuarial loss are included in the computation of the Company’s net periodic benefit cost. Please see NOTE K “Employee Benefit Plans” for additional details.</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N.</w:t>
      </w:r>
      <w:r>
        <w:rPr>
          <w:sz w:val="20"/>
          <w:szCs w:val="20"/>
          <w:color w:val="auto"/>
        </w:rPr>
        <w:tab/>
      </w: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Company has an agreement with the Environmental Protection Agency to perform remedial activities at the Company’s Indianapolis, Indiana manufacturing facilities related to historical soil and groundwater contamination. As of June 30, 2017, the Company had a liability recorded in the amount of $13 million.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Claims, Disputes, and Litigation</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63" w:right="259" w:bottom="1440" w:gutter="0" w:footer="0" w:header="0"/>
        </w:sectPr>
      </w:pPr>
    </w:p>
    <w:bookmarkStart w:id="17" w:name="page18"/>
    <w:bookmarkEnd w:id="17"/>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O.</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generated when the award generates a tax deduction. If there would be a shortfall,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For the three months and six months ended June 30, 2017, 0.2 million outstanding stock options were not included in the diluted EPS calculation because they were anti-dilutive. For the three months and six months ended June 30, 2016, 0.6 million outstanding stock options were not included in the diluted EPS calculation because they were anti-dilutive.</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to calculate basic EPS and diluted EPS (in millions, except per share data):</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9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0.63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1.16</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5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P.</w:t>
      </w:r>
      <w:r>
        <w:rPr>
          <w:sz w:val="20"/>
          <w:szCs w:val="20"/>
          <w:color w:val="auto"/>
        </w:rPr>
        <w:tab/>
      </w: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current stock repurchase program was announced on November 14, 2016. The Board of Directors authorized the Company to repurchase up to $1,000 million of its common stock on the open market or through privately negotiated transactions through December 31, 2019. The timing and amount of stock purchases are subject to market conditions and corporate needs. This stock repurchase program may be extended, modified, suspended or discontinued at any time at the Company’s discretion. During the three and six months ended June 30, 2017, the Company repurchased approximately $124 million and $539 million, respectively, of its common stock under the repurchase program.</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Q.</w:t>
      </w:r>
      <w:r>
        <w:rPr>
          <w:sz w:val="20"/>
          <w:szCs w:val="20"/>
          <w:color w:val="auto"/>
        </w:rPr>
        <w:tab/>
      </w:r>
      <w:r>
        <w:rPr>
          <w:rFonts w:ascii="Times New Roman" w:cs="Times New Roman" w:eastAsia="Times New Roman" w:hAnsi="Times New Roman"/>
          <w:sz w:val="17"/>
          <w:szCs w:val="17"/>
          <w:b w:val="1"/>
          <w:bCs w:val="1"/>
          <w:color w:val="auto"/>
        </w:rPr>
        <w:t>CERTAIN RELATIONSHIPS AND RELATED PARTY TRANSACTIONS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Repurchase of Common Stock held by ValueAct Capital Master Fund</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On February 3, 2017, the Company entered into a stock repurchase agreement with ValueAct Capital Master Fund, L.P., a related party, to repurchase 10,525,204 shares of the Company’s common stock for approximately $363 million. The shares were repurchased under the stock repurchase program approved by the Board of Directors in November 2016. The purchase closed on February 8, 2017 and was funded with cash on hand and borrowings under the Revolving Credit Facility. The shares were subsequently retired.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66"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119"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7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have approximately 2,600 employees and 13 different transmission product lines. Although approximately 78% of revenues were generated in North America in 2016, we have a global presence by serving customers in Europe, Asia, South America and Africa. We serve customers through a network of approximately 1,400 independent distributor and dealer locations worldwide.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Our Business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Our net sales are driven by commercial vehicle production, which tends to be correlated to macroeconomic conditions. In 2017, we expect stronger demand for North America Off-Highway service parts, North America On-Highway products and Global Off-Highway products. Our full year 2017 net sales outlook also assumes price increases on certain products.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Second Quarter Net Sales by End Market (in millions)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 Market</w:t>
            </w:r>
          </w:p>
        </w:tc>
        <w:tc>
          <w:tcPr>
            <w:tcW w:w="20" w:type="dxa"/>
            <w:vAlign w:val="bottom"/>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Q2 2017</w:t>
            </w:r>
          </w:p>
        </w:tc>
        <w:tc>
          <w:tcPr>
            <w:tcW w:w="11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Q2 2016</w:t>
            </w: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 Variance</w:t>
            </w:r>
          </w:p>
        </w:tc>
        <w:tc>
          <w:tcPr>
            <w:tcW w:w="0" w:type="dxa"/>
            <w:vAlign w:val="bottom"/>
          </w:tcPr>
          <w:p>
            <w:pPr>
              <w:spacing w:after="0"/>
              <w:rPr>
                <w:sz w:val="1"/>
                <w:szCs w:val="1"/>
                <w:color w:val="auto"/>
              </w:rPr>
            </w:pPr>
          </w:p>
        </w:tc>
      </w:tr>
      <w:tr>
        <w:trPr>
          <w:trHeight w:val="160"/>
        </w:trPr>
        <w:tc>
          <w:tcPr>
            <w:tcW w:w="62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1180" w:type="dxa"/>
            <w:vAlign w:val="bottom"/>
            <w:gridSpan w:val="3"/>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Net Sales</w:t>
            </w: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North America On-Highway</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299</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264</w:t>
            </w:r>
          </w:p>
        </w:tc>
        <w:tc>
          <w:tcPr>
            <w:tcW w:w="6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 Hybrid Propulsion Systems for Transit Bus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Off-Highway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North America On-Highway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North America Off-Highway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 Support Equipment and 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89</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6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North America On-Highway end market net sales were up 13% for the second quarter 2017 compared to the second quarter 2016, principally driven by higher demand for Rugged Duty Series, Highway Series and Transit/Other Bus models, partially offset by lower demand in Pupil Transport/Shuttle models.</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North America Hybrid-Propulsion Systems for Transit Bus end market net sales were down $1 million for the second quarter 2017 compared to the second quarter 2016, principally driven by the timing of certain transit property orders.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66" w:right="279" w:bottom="1440" w:gutter="0" w:footer="0" w:header="0"/>
        </w:sectPr>
      </w:pPr>
    </w:p>
    <w:bookmarkStart w:id="19" w:name="page20"/>
    <w:bookmarkEnd w:id="19"/>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North America Off-Highway end market net sales were up $4 million for the second quarter 2017 compared to the second quarter of 2016, principally driven by higher demand from hydraulic fracturing applications.</w:t>
      </w:r>
    </w:p>
    <w:p>
      <w:pPr>
        <w:spacing w:after="0" w:line="162"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Defense end market net sales were up $2 million for the second quarter 2017 compared to the second quarter 2016, principally driven by higher demand for Tracked Defense.</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On-Highway end market net sales were up 15% for the second quarter 2017 compared to the second quarter 2016, principally driven by higher demand in Asia and Europe.</w:t>
      </w:r>
    </w:p>
    <w:p>
      <w:pPr>
        <w:spacing w:after="0" w:line="162"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Off-Highway end market net sales were up $7 million for the second quarter 2017 compared to the second quarter 2016, principally driven by improved demand in the China energy sector.</w:t>
      </w:r>
    </w:p>
    <w:p>
      <w:pPr>
        <w:spacing w:after="0" w:line="162" w:lineRule="exact"/>
        <w:rPr>
          <w:sz w:val="20"/>
          <w:szCs w:val="20"/>
          <w:color w:val="auto"/>
        </w:rPr>
      </w:pPr>
    </w:p>
    <w:p>
      <w:pPr>
        <w:ind w:right="540" w:firstLine="456"/>
        <w:spacing w:after="0" w:line="266" w:lineRule="auto"/>
        <w:rPr>
          <w:sz w:val="20"/>
          <w:szCs w:val="20"/>
          <w:color w:val="auto"/>
        </w:rPr>
      </w:pPr>
      <w:r>
        <w:rPr>
          <w:rFonts w:ascii="Times New Roman" w:cs="Times New Roman" w:eastAsia="Times New Roman" w:hAnsi="Times New Roman"/>
          <w:sz w:val="18"/>
          <w:szCs w:val="18"/>
          <w:color w:val="auto"/>
        </w:rPr>
        <w:t>Service parts, support equipment and other end market net sales were up 53% for the second quarter 2017 compared to the second quarter 2016, principally driven by higher demand for North America Off-Highway service parts, North America On-Highway service parts and Global Support Equipment.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primary components of cost of sales are purchased parts, the overhead expense related to our manufacturing operations and direct labor associated with the manufacture and assembly of transmissions and parts. For the six months ended June 30, 2017, direct material costs were approximately 69%, overhead costs were approximately 24%, and direct labor costs were approximately 7%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We incur costs in connection with research and development programs that are expected to contribute to future earnings. Such costs are expensed as incurred.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270" w:right="279" w:bottom="1440" w:gutter="0" w:footer="0" w:header="0"/>
        </w:sectPr>
      </w:pPr>
    </w:p>
    <w:bookmarkStart w:id="20" w:name="page21"/>
    <w:bookmarkEnd w:id="20"/>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use Adjusted Earnings before Interest, Taxes, Depreciation, and Amortization (“EBITDA”) and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and comparability with other companies. Adjusted EBITDA margin is also used in the calculation of management’s incentive compensation program. The most directly comparable U.S. generally accepted accounting principles (“GAAP”) measure to Adjusted EBITDA is Net income. Adjusted EBITDA is calculated as the earnings before interest expense, income tax expense, amortization of intangible assets, depreciation of property, plant and equipment and other adjustments as defined by Allison Transmission, Inc.’s (“ATI”) Term B-3 Loan due 2022 (“Term B-3 Loan”, and together with the revolving portion of ATI’s senior secured credit facility (“Revolving Credit Facility”), defined as the “Senior Secured Credit Facility”). Adjusted EBITDA margin is calculated as Adjusted EBITDA divided by net sales.</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and strengthening our balance sheet.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w:t>
      </w:r>
    </w:p>
    <w:p>
      <w:pPr>
        <w:spacing w:after="0" w:line="184"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to Adjusted EBITDA and Adjusted EBITDA margin, and a reconciliation of Net cash provided by operating activities to Adjusted free cash flow:</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 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95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Technology-related investment expense (b)</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foreign exchange (c)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(gain) on commodity hedge contracts (d)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 activism expenses (e)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Dual power inverter module units extended coverage (f)</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225</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 (GAAP)</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1,079</w:t>
            </w: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(Non-GAAP)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38.6%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(GAAP)</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166</w:t>
            </w:r>
          </w:p>
        </w:tc>
        <w:tc>
          <w:tcPr>
            <w:tcW w:w="4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or additions to reconcile to Adjusted free cash flow:</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 activism expenses (e)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(Non-GAAP)</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500" w:hanging="452"/>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employee stock compensation expense (recorded in Cost of sales, Selling, general and administrative, and Engineering – research and development).</w:t>
      </w:r>
    </w:p>
    <w:p>
      <w:pPr>
        <w:ind w:left="460" w:right="940" w:hanging="452"/>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(recorded in Other expense, net) for investments in co-development agreements to expand our position in transmission technologies.</w:t>
      </w:r>
    </w:p>
    <w:p>
      <w:pPr>
        <w:ind w:left="460" w:right="260" w:hanging="452"/>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 (gains) (recorded in Other expense, net) on intercompany financing transactions related to investments in plant assets for our India facility.</w:t>
      </w: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losses (gains) (recorded in Other expense, net) on the mark-to-market of our commodity hedge contracts.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66" w:right="239" w:bottom="1440" w:gutter="0" w:footer="0" w:header="0"/>
        </w:sectPr>
      </w:pPr>
    </w:p>
    <w:bookmarkStart w:id="21" w:name="page22"/>
    <w:bookmarkEnd w:id="21"/>
    <w:p>
      <w:pPr>
        <w:ind w:left="452" w:hanging="452"/>
        <w:spacing w:after="0" w:line="257" w:lineRule="auto"/>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expenses of $4 million (recorded in Selling, general and administrative) for the six months ended June 30, 2016, and payments of $3 million and $4 million for the three months and six months ended June 30, 2016, respectively, directly associated with stockholder activism activity including the notice, and subsequent withdrawal, of director nomination and governance proposals by Ashe Capital Management, LP.</w:t>
      </w:r>
    </w:p>
    <w:p>
      <w:pPr>
        <w:spacing w:after="0" w:line="1" w:lineRule="exact"/>
        <w:rPr>
          <w:rFonts w:ascii="Times New Roman" w:cs="Times New Roman" w:eastAsia="Times New Roman" w:hAnsi="Times New Roman"/>
          <w:sz w:val="18"/>
          <w:szCs w:val="18"/>
          <w:color w:val="auto"/>
        </w:rPr>
      </w:pPr>
    </w:p>
    <w:p>
      <w:pPr>
        <w:ind w:left="452" w:hanging="452"/>
        <w:spacing w:after="0" w:line="255" w:lineRule="auto"/>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(recorded in Selling, general and administrative) associated with the Dual Power Inverter Module (“DPIM”) extended coverage program liability. The DPIM liability will continue to be reviewed for any changes in estimates as additional claims data and field information become available.</w:t>
      </w:r>
    </w:p>
    <w:p>
      <w:pPr>
        <w:spacing w:after="0" w:line="1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92"/>
          </w:cols>
          <w:pgMar w:left="248" w:top="270"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2017 and 2016</w:t>
      </w:r>
    </w:p>
    <w:p>
      <w:pPr>
        <w:spacing w:after="0" w:line="121"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the three months ended June 30, 2017 and 2016. The following table and discussion should be read in conjunction with the information contained in our condensed consolidated financial statements and the notes thereto included in Part I, Item 1 of this Quarterly Report on Form 10-Q.</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 dollars in millions)</w:t>
            </w:r>
          </w:p>
        </w:tc>
        <w:tc>
          <w:tcPr>
            <w:tcW w:w="1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10"/>
                <w:szCs w:val="10"/>
                <w:color w:val="auto"/>
              </w:rPr>
            </w:pPr>
          </w:p>
        </w:tc>
        <w:tc>
          <w:tcPr>
            <w:tcW w:w="660" w:type="dxa"/>
            <w:vAlign w:val="bottom"/>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Pr>
          <w:p>
            <w:pPr>
              <w:spacing w:after="0"/>
              <w:rPr>
                <w:sz w:val="10"/>
                <w:szCs w:val="10"/>
                <w:color w:val="auto"/>
              </w:rPr>
            </w:pPr>
          </w:p>
        </w:tc>
        <w:tc>
          <w:tcPr>
            <w:tcW w:w="680" w:type="dxa"/>
            <w:vAlign w:val="bottom"/>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4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60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580</w:t>
            </w:r>
          </w:p>
        </w:tc>
        <w:tc>
          <w:tcPr>
            <w:tcW w:w="54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475</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88"/>
              </w:rPr>
              <w:t>290</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50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88"/>
              </w:rPr>
              <w:t>248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88"/>
              </w:rPr>
              <w:t>290</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50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88"/>
              </w:rPr>
              <w:t>227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5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88"/>
              </w:rPr>
              <w:t>113</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19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88"/>
              </w:rPr>
              <w:t>100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177</w:t>
            </w:r>
          </w:p>
        </w:tc>
        <w:tc>
          <w:tcPr>
            <w:tcW w:w="540" w:type="dxa"/>
            <w:vAlign w:val="bottom"/>
          </w:tcPr>
          <w:p>
            <w:pPr>
              <w:spacing w:after="0"/>
              <w:rPr>
                <w:sz w:val="19"/>
                <w:szCs w:val="19"/>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127</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9"/>
              </w:rPr>
              <w:t>(28)</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(4)</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88"/>
              </w:rPr>
              <w:t>146</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25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(51)</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9"/>
              </w:rPr>
              <w:t>(38)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Net sales for the quarter ended June 30, 2017 were $580 million compared to $475 million for the quarter ended June 30, 2016, an increase of 22%. The increase was principally driven by a $47 million, or 53%, increase in net sales in the Service Parts, Support Equipment and Other end market principally driven by higher demand for North America Off-Highway service parts, North America On-Highway service parts and Global Support Equipment, a $35 million, or 13%, increase in net sales in the North America On-Highway end market principally driven by higher demand for Rugged Duty Series, Highway Series and Transit/Other Bus models, partially offset by lower demand in Pupil Transport/Shuttle models, an $11 million, or 15%, increase in net sales in the Outside North America On-Highway end market principally driven by higher demand in Asia and Europe, a $7 million, or 233%, increase in net sales in the Outside North America Off-Highway end market principally driven by improved demand in the China energy sector, a $4 million, or 400%, increase in net sales in the North America Off-Highway end market principally driven by higher demand from hydraulic fracturing applications, and a $2 million, or 7%, increase in net sales in the Defense end market principally driven by higher demand for Tracked Defense, partially offset by a $1 million, or 6%, decrease in net sales in the North America Hybrid Propulsion Systems for Transit Bus end market principally driven by the timing of certain transit property orders.</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Cost of sales for the quarter ended June 30, 2017 was $290 million compared to $248 million for the quarter ended June 30, 2016, an increase of 17%. The increase was principally driven by increased direct material costs commensurate with increased net sales, $4 million of higher incentive compensation expense and increased manufacturing expenses commensurate with increased net sales.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Gross profit for the quarter ended June 30, 2017 was $290 million compared to $227 million for the quarter ended June 30, 2016, an increase of 28%. The increase was principally driven by $61 million related to increased net sales and $10 million of price increases on certain products, partially offset by $4 million of higher incentive compensation expense and $3 million of increased manufacturing expense commensurate with increased net sales. Gross profit as a percent of net sales for the quarter was 2% higher than for the same period in 2016 principally driven by increased sales volume and price increases on certain products, partially offset by higher incentive compensation expense.</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quarter ended June 30, 2017 were $88 million compared to $78 million for the quarter ended June 30, 2016, an increase of 13%. The increase was principally driven by $6 million of higher incentive compensation expense, $2 million of increased commercial activities spending and $2 million of higher stock-based compensation expense.</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20"/>
          </w:cols>
          <w:pgMar w:left="240" w:top="266" w:right="339" w:bottom="1440" w:gutter="0" w:footer="0" w:header="0"/>
        </w:sectPr>
      </w:pPr>
    </w:p>
    <w:bookmarkStart w:id="23" w:name="page24"/>
    <w:bookmarkEnd w:id="23"/>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Engineering — research and development</w:t>
      </w:r>
    </w:p>
    <w:p>
      <w:pPr>
        <w:spacing w:after="0" w:line="121" w:lineRule="exact"/>
        <w:rPr>
          <w:sz w:val="20"/>
          <w:szCs w:val="20"/>
          <w:color w:val="auto"/>
        </w:rPr>
      </w:pPr>
    </w:p>
    <w:p>
      <w:pPr>
        <w:jc w:val="both"/>
        <w:ind w:right="160" w:firstLine="456"/>
        <w:spacing w:after="0" w:line="282" w:lineRule="auto"/>
        <w:rPr>
          <w:sz w:val="20"/>
          <w:szCs w:val="20"/>
          <w:color w:val="auto"/>
        </w:rPr>
      </w:pPr>
      <w:r>
        <w:rPr>
          <w:rFonts w:ascii="Times New Roman" w:cs="Times New Roman" w:eastAsia="Times New Roman" w:hAnsi="Times New Roman"/>
          <w:sz w:val="18"/>
          <w:szCs w:val="18"/>
          <w:color w:val="auto"/>
        </w:rPr>
        <w:t>Engineering expenses for the quarter ended June 30, 2017 were $25 million compared to $22 million for the quarter ended June 30, 2016, an increase of 14%. The increase was principally driven by $1 million of higher incentive compensation expense and increased product initiatives spending.</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right="140" w:firstLine="456"/>
        <w:spacing w:after="0" w:line="277" w:lineRule="auto"/>
        <w:rPr>
          <w:sz w:val="20"/>
          <w:szCs w:val="20"/>
          <w:color w:val="auto"/>
        </w:rPr>
      </w:pPr>
      <w:r>
        <w:rPr>
          <w:rFonts w:ascii="Times New Roman" w:cs="Times New Roman" w:eastAsia="Times New Roman" w:hAnsi="Times New Roman"/>
          <w:sz w:val="17"/>
          <w:szCs w:val="17"/>
          <w:color w:val="auto"/>
        </w:rPr>
        <w:t>Interest expense, net for the quarter ended June 30, 2017 was $27 million compared to $28 million for the quarter ended June 30, 2016, a decrease of 4%. The decrease was principally driven by $13 million of lower interest expense as a result of debt repayments related to ATI’s Term B-3 Loan, $5 million of favorable mark-to-market adjustments for our interest rate derivatives and $1 million of lower amortization of deferred financing fees, partially offset by $12 million of interest expense for ATI’s 5.0% Senior Notes due September 2024 (“5.0% Senior Notes”), $4 million of interest expense for our interest rate derivatives that became effective in August 2016 and $2 million of interest expense related to revolving loans outstanding on our Revolving Credit Facility.</w:t>
      </w:r>
    </w:p>
    <w:p>
      <w:pPr>
        <w:spacing w:after="0" w:line="2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Other expense, net for the quarter ended June 30, 2017 was $4 million compared to $0 for the quarter ended June 30, 2016. The change in Other expense, net was principally driven by $3 million of technology-related investment expense for investments in co-development agreements to expand our position in transmission technologies and $1 million of 2016 gains on commodity derivative contracts.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Income tax expense for the quarter ended June 30, 2017 was $51 million resulting in an effective tax rate of 35% versus an effective tax rate of 38% for the quarter ended June 30, 2016. The decrease was principally driven by increased U.S. income tax deductions and discrete activity related to the excess tax benefit from stock-based compensation.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266"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Comparison of six months ended June 30, 2017 and 2016</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the six months ended June 30, 2017 and 2016. The following table and discussion should be read in conjunction with the information contained in our condensed consolidated financial statements and the notes thereto included in Part I, Item 1 of this Quarterly Report on Form 10-Q.</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 dollars in millions)</w:t>
            </w: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520" w:type="dxa"/>
            <w:vAlign w:val="bottom"/>
          </w:tcPr>
          <w:p>
            <w:pPr>
              <w:spacing w:after="0"/>
              <w:rPr>
                <w:sz w:val="10"/>
                <w:szCs w:val="10"/>
                <w:color w:val="auto"/>
              </w:rPr>
            </w:pPr>
          </w:p>
        </w:tc>
        <w:tc>
          <w:tcPr>
            <w:tcW w:w="680" w:type="dxa"/>
            <w:vAlign w:val="bottom"/>
          </w:tcPr>
          <w:p>
            <w:pPr>
              <w:jc w:val="right"/>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Pr>
          <w:p>
            <w:pPr>
              <w:spacing w:after="0"/>
              <w:rPr>
                <w:sz w:val="10"/>
                <w:szCs w:val="10"/>
                <w:color w:val="auto"/>
              </w:rPr>
            </w:pPr>
          </w:p>
        </w:tc>
        <w:tc>
          <w:tcPr>
            <w:tcW w:w="680" w:type="dxa"/>
            <w:vAlign w:val="bottom"/>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continue"/>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3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1,079</w:t>
            </w:r>
          </w:p>
        </w:tc>
        <w:tc>
          <w:tcPr>
            <w:tcW w:w="5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100%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$937</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538</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50</w:t>
            </w: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495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541</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50</w:t>
            </w: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167</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16</w:t>
            </w: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48</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215</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20</w:t>
            </w: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6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(52)</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w:t>
            </w: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w:t>
            </w: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273</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25</w:t>
            </w: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(95)</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(9)</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178</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16%</w:t>
            </w: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109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Net sales for the six months ended June 30, 2017 were $1,079 million compared to $937 million for the six months ended June 30, 2016, an increase of 15%. The increase was principally driven by an $80 million, or 46%, increase in net sales in the Service Parts, Support Equipment and Other end market principally driven by higher demand for North America service parts and Global Support Equipment, a $33 million, or 6%, increase in net sales in the North America On-Highway end market principally driven by higher demand for Rugged Duty Series and Transit/Other Bus models, a $13 million, or 9%, increase in net sales in the Outside North America On-Highway end market principally driven by higher demand in Asia and Europe, a $10 million, or 167%, increase in net sales in the Outside North America Off-Highway end market principally driven by higher demand in the energy and mining sectors, a $4 million, or 8%, increase in net sales in the Defense end market principally driven by Wheeled and Tracked Defense, and a $2 million, or 6%, increase in net sales in the North America Hybrid Propulsion Systems for Transit Bus end market principally driven by the timing of certain transit property orders.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Cost of sales for the six months ended June 30, 2017 was $538 million compared to $495 million for the six months ended June 30, 2016, an increase of 9%. The increase was principally driven by increased direct material costs commensurate with increased net sales and $7 million of higher incentive compensation expense.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Gross profit for the six months ended June 30, 2017 was $541 million compared to $442 million for the six months ended June 30, 2016, an increase of 22%. The increase was principally driven by $83 million related to increased net sales and $22 million of price increases on certain products, partially offset by $7 million of higher incentive compensation expense. Gross profit as a percent of net sales for the six months ended June 30, 2017 was 3% higher than for the same period in 2016 principally driven by increased sales volume and price increases on certain products, partially offset by higher incentive compensation expense.</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2017 were $167 million compared to $161 million for the six months ended June 30, 2016, an increase of 4%. The increase was principally driven by $11 million of higher incentive compensation expense, $2 million of higher stock-based compensation expense and $2 million of increased commercial activities spending, partially offset by $4 million of stockholder activism expenses in 2016 that did not recur in 2017, $4 million of favorable product warranty adjustments and a $1 million unfavorable 2016 DPIM adjustment.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66" w:right="239" w:bottom="1440" w:gutter="0" w:footer="0" w:header="0"/>
        </w:sectPr>
      </w:pPr>
    </w:p>
    <w:bookmarkStart w:id="25" w:name="page26"/>
    <w:bookmarkEnd w:id="25"/>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Engineering — research and development</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Engineering expenses for the six months ended June 30, 2017 were $48 million compared to $43 million for the six months ended June 30, 2016, an increase of 12%. The increase was principally driven by $3 million of higher incentive compensation expense and $2 million of increased product initiatives spending.</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Interest expense, net for the six months ended June 30, 2017 was $52 million compared to $62 million for the six months ended June 30, 2016, a decrease of 16%. The decrease was principally driven by $20 million of favorable mark-to-market adjustments for our interest rate derivatives, $25 million of lower interest expense as a result of debt repayments related to ATI’s Term B-3 Loan and $1 million of lower amortization of deferred financing fees, partially offset by $25 million of interest expense for ATI’s 5.0% Senior Notes, $8 million of interest expense for our interest rate derivatives that became effective in August 2016 and $3 million of interest expense related to revolving loans outstanding on our Revolving Credit Facility.</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Other expense, net for the six months ended June 30, 2017 was $1 million compared to $0 for the six months ended June 30, 2016. The change in Other expense, net was principally driven by $3 million of technology-related investment expense for investments in co-development agreements to expand our position in transmission technologies, partially offset by $2 million of 2016 losses on intercompany financing.</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Income tax expense for the six months ended June 30, 2017 was $95 million resulting in an effective tax rate of 35% versus an effective tax rate of 38% for the six months ended June 30, 2016. The decrease was principally driven by increased U.S. income tax deductions and discrete activity related to the excess tax benefit from stock-based compensation.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266"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$85 million and $205 million as of June 30, 2017 and December 31, 2016, respectively. Of the available cash and cash equivalents, approximately $85 million and $124 million were deposited in operating accounts while $0 and approximately $81 million were invested in U.S. government backed securities as of June 30, 2017 and December 31, 2016, respectively.</w:t>
      </w:r>
    </w:p>
    <w:p>
      <w:pPr>
        <w:spacing w:after="0" w:line="184" w:lineRule="exact"/>
        <w:rPr>
          <w:sz w:val="20"/>
          <w:szCs w:val="20"/>
          <w:color w:val="auto"/>
        </w:rPr>
      </w:pPr>
    </w:p>
    <w:p>
      <w:pPr>
        <w:ind w:right="100" w:firstLine="456"/>
        <w:spacing w:after="0" w:line="281" w:lineRule="auto"/>
        <w:rPr>
          <w:sz w:val="20"/>
          <w:szCs w:val="20"/>
          <w:color w:val="auto"/>
        </w:rPr>
      </w:pPr>
      <w:r>
        <w:rPr>
          <w:rFonts w:ascii="Times New Roman" w:cs="Times New Roman" w:eastAsia="Times New Roman" w:hAnsi="Times New Roman"/>
          <w:sz w:val="17"/>
          <w:szCs w:val="17"/>
          <w:color w:val="auto"/>
        </w:rPr>
        <w:t>As of June 30, 2017, the total of cash and cash equivalents held by foreign subsidiaries was $57 million, the majority of which was located in Europe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currently anticipate any local liquidity restrictions to preclude us from funding our targeted expectations or operating needs with local resources.</w:t>
      </w:r>
    </w:p>
    <w:p>
      <w:pPr>
        <w:spacing w:after="0" w:line="16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we distribute our foreign cash balance to the U.S. or to other foreign subsidiaries, we could be required to accrue and pay U.S. taxes. For example, we would be required to accrue and pay additional U.S. taxes if we repatriate earnings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any earnings from these subsidiaries for which we have asserted permanent reinvestment.</w:t>
      </w:r>
    </w:p>
    <w:p>
      <w:pPr>
        <w:spacing w:after="0" w:line="18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liquidity requirements are significant, primarily due to our debt service requirements. As of June 30, 2017, we had $1,387 million of indebtedness associated with ATI’s Senior Secured Credit Facility, of which $1,182 million is associated with the Term B-3 Loan and $205 million is associated with the Revolving Credit Facility, and $1,000 million of indebtedness associated with ATI’s 5.0% Senior Notes. The minimum required quarterly principal payment on ATI’s Term B-3 Loan through its maturity date of September 2022 is $3 million. There are no required quarterly principal payments on ATI’s Revolving Credit Facility or 5.0% Senior Notes.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$73 million and $131 million on the Senior Secured Credit Facility during the three and six months ended June 30, 2017, respectively. We made principal payments of $6 million and $12 million on the Senior Secured Credit Facility during the three months and six months ended June 30, 2016, respectively.</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provides for a $450 million Revolving Credit Facility, net of an allowance for up to $75 million in outstanding letters of credit commitments. As of June 30, 2017, we had $227 million available under the Revolving Credit Facility, net of $205 million of revolving loans outstanding and $18 million in letters of credit. Additionally, within the terms of the Senior Secured Credit Facility, a senior secured leverage ratio at or below 4.00x results in the elimination of excess cash flow payments on the Senior Secured Credit Facility for the applicable year. As of June 30, 2017, our senior secured leverage ratio was 1.79x.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would remain in effect as long as we achieve a total leverage ratio at or below the related threshold. As of June 30, 2017, our total leverage ratio was 3.16x.</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the Senior Secured Credit Facility includes, among other things, customary restrictions (subject to certain exceptions) on our ability to incur certain indebtedness, grant certain liens, make certain investments, declare or pay certain dividends, or repurchase shares of our common stock. The indenture governing the 5.0% Senior Notes contains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2017, we are in compliance with all covenants under the Senior Secured Credit Facility and indenture governing the 5.0% Senior Notes.</w:t>
      </w:r>
    </w:p>
    <w:p>
      <w:pPr>
        <w:spacing w:after="0" w:line="188"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Our credit ratings are reviewed by Moody’s Investors Service (“Moody’s”) and Fitch Ratings (“Fitch”). In September 2016, our credit ratings were reviewed by Moody’s and Fitch. Moody’s held our corporate rating at ‘Ba2’ and assigned ‘Ba1’ to the Term B-3 Loan and ‘Ba3’ to the 5.0% Senior Notes. Fitch held our corporate rating at ‘BB’ and assigned ‘BB+’ to the Term B-3 Loan and ‘BB’ to the 5.0% Senior Notes.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66" w:right="239" w:bottom="1440" w:gutter="0" w:footer="0" w:header="0"/>
        </w:sectPr>
      </w:pPr>
    </w:p>
    <w:bookmarkStart w:id="27" w:name="page28"/>
    <w:bookmarkEnd w:id="27"/>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14, 2016, our Board of Directors authorized us to purchase up to $1,000 million of our common stock under a stock repurchase program. During the three and six months ended June 30, 2017, we repurchased approximately $124 million and $539 million, respectively, of our common stock under the repurchase program.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sources and uses of funds for the six months ended June 30, 2017 and 2016 (in millions):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Statements of Cash Flows Data</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vMerge w:val="continue"/>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for financing activities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activities for the six months ended June 30, 2017 generated $277 million of cash compared to $288 million for the six months ended June 30,</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2016. The decrease was principally driven by higher accounts receivable commensurate with increased net sales, increased cash income taxes, higher inventories, increased cash interest expense and increased incentive compensation payments, partially offset by increased gross profit and higher accounts payable.</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investing activities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Investing activities for the six months ended June 30, 2017 used $23 million of cash compared to $22 million for the six months ended June 30, 2016. The increase was principally driven by $3 million of investments in technology-related initiatives, partially offset by $2 million of lower additions of long-lived assets. The decrease in capital expenditures was principally driven by intra-year movement in the timing of spending related to investments in productivity and replacement programs.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financing activities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Financing activities for the six months ended June 30, 2017 used $376 million of cash compared to $153 million for the six months ended June 30, 2016. The increase was principally driven by $447 million of increased stock repurchases, partially offset by $205 million of net borrowings under our Revolving Credit Facility, $9 million of increased proceeds from the exercise of stock options, $6 million of decreased principal payments on long-term debt and $5 million of decreased dividend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N, “Commitments and Contingencies” of our condensed consolidated financial statements included in Part I, Item 1 of this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273" w:lineRule="auto"/>
        <w:rPr>
          <w:sz w:val="20"/>
          <w:szCs w:val="20"/>
          <w:color w:val="auto"/>
        </w:rPr>
      </w:pPr>
      <w:r>
        <w:rPr>
          <w:rFonts w:ascii="Times New Roman" w:cs="Times New Roman" w:eastAsia="Times New Roman" w:hAnsi="Times New Roman"/>
          <w:sz w:val="17"/>
          <w:szCs w:val="17"/>
          <w:color w:val="auto"/>
        </w:rPr>
        <w:t>A discussion of our critical accounting policies and significant accounting estimates are described in Part II, Item 7 “Management’s Discussion and Analysis” section in our Annual Report on Form 10-K for the year ended December 31, 2016 as filed with the Securities and Exchange Commission on February 24, 2017.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six months ended June 30, 2017.</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0"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uncertainty in the global regulatory and business environments in which we operate;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and other external factors impacting demand;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competitive threats and changing customer needs; risks associated with our international operations; labor strikes, work stoppages or similar labor disputes, which could significantly disrupt our operations or those of our principal customers; and our intention to pay dividends and repurchase shares of our common stock.</w:t>
      </w:r>
    </w:p>
    <w:p>
      <w:pPr>
        <w:spacing w:after="0" w:line="19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our expectations are disclosed in Part I, Item 1A of our Annual Report on Form 10-K for the year ended December 31, 2016 as filed with the Securities and Exchange Commission on February 24, 2017.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66"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 to market risk consists of changes in interest rates, foreign currency rate fluctuations and movements in commodity prices.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$1,614 million including $432 million under our Revolving Credit Facility, net of $18 million of letters of credit. A one-eighth percent increase or decrease in assumed interest rates for the Senior Secured Credit Facility, if fully drawn, as of June 30, 2017 would have an impact of approximately $1 million on interest expense. As of June 30, 2017, we had $205 million under our Revolving Credit Facility outstanding.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 to time, we enter into interest rate swap agreements to hedge our variable interest rate debt. Below is a list of our interest rate swaps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46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w:t>
            </w:r>
          </w:p>
        </w:tc>
        <w:tc>
          <w:tcPr>
            <w:tcW w:w="12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Barclays</w:t>
            </w:r>
          </w:p>
        </w:tc>
        <w:tc>
          <w:tcPr>
            <w:tcW w:w="46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M*</w:t>
            </w: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JP Morgan</w:t>
            </w: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N*</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Bank of America</w:t>
            </w:r>
          </w:p>
        </w:tc>
        <w:tc>
          <w:tcPr>
            <w:tcW w:w="19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O*</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Deutsche Bank</w:t>
            </w: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P*</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rPr>
              <w:t>Barclays</w:t>
            </w:r>
          </w:p>
        </w:tc>
        <w:tc>
          <w:tcPr>
            <w:tcW w:w="19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Q*</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Barclays</w:t>
            </w: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R*</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8"/>
              </w:rPr>
              <w:t>Deutsche Bank</w:t>
            </w:r>
          </w:p>
        </w:tc>
        <w:tc>
          <w:tcPr>
            <w:tcW w:w="19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S*</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Deutsche Bank</w:t>
            </w: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T*</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Bank of America</w:t>
            </w:r>
          </w:p>
        </w:tc>
        <w:tc>
          <w:tcPr>
            <w:tcW w:w="19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U*</w:t>
            </w: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V*</w:t>
            </w:r>
          </w:p>
        </w:tc>
        <w:tc>
          <w:tcPr>
            <w:tcW w:w="17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19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W*</w:t>
            </w: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X*</w:t>
            </w: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Huntington Bank</w:t>
            </w:r>
          </w:p>
        </w:tc>
        <w:tc>
          <w:tcPr>
            <w:tcW w:w="19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includes LIBOR floor of 1.00%</w:t>
      </w:r>
    </w:p>
    <w:p>
      <w:pPr>
        <w:spacing w:after="0" w:line="225" w:lineRule="exact"/>
        <w:rPr>
          <w:sz w:val="20"/>
          <w:szCs w:val="20"/>
          <w:color w:val="auto"/>
        </w:rPr>
      </w:pPr>
    </w:p>
    <w:p>
      <w:pPr>
        <w:jc w:val="both"/>
        <w:ind w:right="420" w:firstLine="456"/>
        <w:spacing w:after="0" w:line="282" w:lineRule="auto"/>
        <w:rPr>
          <w:sz w:val="20"/>
          <w:szCs w:val="20"/>
          <w:color w:val="auto"/>
        </w:rPr>
      </w:pPr>
      <w:r>
        <w:rPr>
          <w:rFonts w:ascii="Times New Roman" w:cs="Times New Roman" w:eastAsia="Times New Roman" w:hAnsi="Times New Roman"/>
          <w:sz w:val="18"/>
          <w:szCs w:val="18"/>
          <w:color w:val="auto"/>
        </w:rPr>
        <w:t>We are exposed to increased interest expense if a counterparty defaults. Refer to NOTE F, “Debt” and NOTE G, “Derivatives” of the notes to our condensed consolidated financial statements included in Part I, Item 1 of this Quarterly Report on Form 10-Q.</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Assuming current levels of foreign currency transactions, a 10% aggregate increase or decrease in the Japanese Yen, Euro, Indian Rupee and Chinese Yuan Renminbi would correspondingly change our earnings, net of tax, by an estimated $4 million per year. All other exposure to foreign currencies is considered immaterial.</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240" w:top="266" w:right="319" w:bottom="1440" w:gutter="0" w:footer="0" w:header="0"/>
        </w:sectPr>
      </w:pPr>
    </w:p>
    <w:bookmarkStart w:id="30" w:name="page31"/>
    <w:bookmarkEnd w:id="30"/>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Commodity Price Risk</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commodity swaps that are intended to hedge forecasted aluminum purchases. Based on our forecasted demand for 2017 and 2018, as of June 30, 2017, the hedge contracts cover approximately 23% and 0% of our aluminum requirements, respectively. We do not hold financial instruments for trading or speculative purposes.</w:t>
      </w:r>
    </w:p>
    <w:p>
      <w:pPr>
        <w:spacing w:after="0" w:line="185"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Assuming current levels of commodity purchases, a 10% increase or decrease in the price of aluminum and steel would correspondingly change our earnings, net of tax, by approximately $2 million and $5 million per year, respectively. This includes the partial offset of our hedging contracts described above.</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66"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66" w:right="25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N, “Commitments and Contingencies” in the notes to the condensed consolidated financial statements included in Part I, Item 1 of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our risk factors as previously reported in Part I, Item 1A of our Annual Report on Form 10-K for the year ended December 31, 2016 as filed with the Securities and Exchange Commission on February 24,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related to our repurchases of our common stock on a monthly basis in the three months ended June 30, 2017:</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500" w:type="dxa"/>
            <w:vAlign w:val="bottom"/>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Under Plans</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April 30,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523,556,847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2017</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632,892</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38.30</w:t>
            </w: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632,892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499,310,652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2017</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2,666,587</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37.60</w:t>
            </w:r>
          </w:p>
        </w:tc>
        <w:tc>
          <w:tcPr>
            <w:tcW w:w="15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2,666,587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399,019,729</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3,299,479</w:t>
            </w:r>
          </w:p>
        </w:tc>
        <w:tc>
          <w:tcPr>
            <w:tcW w:w="20" w:type="dxa"/>
            <w:vAlign w:val="bottom"/>
            <w:tcBorders>
              <w:bottom w:val="single" w:sz="8" w:color="auto"/>
            </w:tcBorders>
          </w:tcPr>
          <w:p>
            <w:pPr>
              <w:spacing w:after="0"/>
              <w:rPr>
                <w:sz w:val="19"/>
                <w:szCs w:val="19"/>
                <w:color w:val="auto"/>
              </w:rPr>
            </w:pP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$37.73</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3,299,479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360" w:hanging="452"/>
        <w:spacing w:after="0" w:line="282"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values reflect repurchases made under the stock repurchase program approved by the Board of Directors on November 14, 2016 authorizing $1,000 million of repurchases through December 31, 2019.</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509"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60" w:type="dxa"/>
            <w:vAlign w:val="bottom"/>
            <w:gridSpan w:val="3"/>
            <w:vMerge w:val="restart"/>
          </w:tcPr>
          <w:p>
            <w:pPr>
              <w:ind w:left="5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5"/>
                <w:szCs w:val="15"/>
                <w:color w:val="auto"/>
              </w:rPr>
            </w:pPr>
          </w:p>
        </w:tc>
        <w:tc>
          <w:tcPr>
            <w:tcW w:w="10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13a-14(a)/15d-14(a) as adopted pursuant to Section 302 of the Sarbanes-Oxley Act</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of 2002 (filed herewith)</w:t>
            </w:r>
          </w:p>
        </w:tc>
        <w:tc>
          <w:tcPr>
            <w:tcW w:w="0" w:type="dxa"/>
            <w:vAlign w:val="bottom"/>
          </w:tcPr>
          <w:p>
            <w:pPr>
              <w:spacing w:after="0"/>
              <w:rPr>
                <w:sz w:val="1"/>
                <w:szCs w:val="1"/>
                <w:color w:val="auto"/>
              </w:rPr>
            </w:pPr>
          </w:p>
        </w:tc>
      </w:tr>
      <w:tr>
        <w:trPr>
          <w:trHeight w:val="306"/>
        </w:trPr>
        <w:tc>
          <w:tcPr>
            <w:tcW w:w="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 as adopted pursuant to Section 302 of the Sarbanes-Oxley Act</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of 2002 (filed herewith)</w:t>
            </w:r>
          </w:p>
        </w:tc>
        <w:tc>
          <w:tcPr>
            <w:tcW w:w="0" w:type="dxa"/>
            <w:vAlign w:val="bottom"/>
          </w:tcPr>
          <w:p>
            <w:pPr>
              <w:spacing w:after="0"/>
              <w:rPr>
                <w:sz w:val="1"/>
                <w:szCs w:val="1"/>
                <w:color w:val="auto"/>
              </w:rPr>
            </w:pPr>
          </w:p>
        </w:tc>
      </w:tr>
      <w:tr>
        <w:trPr>
          <w:trHeight w:val="306"/>
        </w:trPr>
        <w:tc>
          <w:tcPr>
            <w:tcW w:w="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and Chief Financial Officer pursuant to 18 U.S.C. Section 1350, as adopted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(filed herewith)</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101.SCH</w:t>
            </w: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101.LAB</w:t>
            </w: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101.PRE</w:t>
            </w: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33</w:t>
            </w:r>
          </w:p>
        </w:tc>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66" w:right="379" w:bottom="1440" w:gutter="0" w:footer="0" w:header="0"/>
        </w:sectPr>
      </w:pPr>
    </w:p>
    <w:bookmarkStart w:id="34" w:name="page35"/>
    <w:bookmarkEnd w:id="34"/>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229"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8"/>
          <w:szCs w:val="18"/>
          <w:color w:val="auto"/>
        </w:rPr>
        <w:t>Date: August 1, 2017</w:t>
      </w:r>
      <w:r>
        <w:rPr>
          <w:sz w:val="20"/>
          <w:szCs w:val="20"/>
          <w:color w:val="auto"/>
        </w:rPr>
        <w:tab/>
      </w:r>
      <w:r>
        <w:rPr>
          <w:rFonts w:ascii="Times New Roman" w:cs="Times New Roman" w:eastAsia="Times New Roman" w:hAnsi="Times New Roman"/>
          <w:sz w:val="18"/>
          <w:szCs w:val="18"/>
          <w:color w:val="auto"/>
        </w:rPr>
        <w:t>By: /s/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34905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Lawrence E. Dewey</w:t>
      </w:r>
    </w:p>
    <w:p>
      <w:pPr>
        <w:spacing w:after="0" w:line="27" w:lineRule="exact"/>
        <w:rPr>
          <w:sz w:val="20"/>
          <w:szCs w:val="20"/>
          <w:color w:val="auto"/>
        </w:rPr>
      </w:pPr>
    </w:p>
    <w:p>
      <w:pPr>
        <w:ind w:left="592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of the Board and Chief Executive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8"/>
          <w:szCs w:val="18"/>
          <w:color w:val="auto"/>
        </w:rPr>
        <w:t>Date: August 1, 2017</w:t>
      </w:r>
      <w:r>
        <w:rPr>
          <w:sz w:val="20"/>
          <w:szCs w:val="20"/>
          <w:color w:val="auto"/>
        </w:rPr>
        <w:tab/>
      </w:r>
      <w:r>
        <w:rPr>
          <w:rFonts w:ascii="Times New Roman" w:cs="Times New Roman" w:eastAsia="Times New Roman" w:hAnsi="Times New Roman"/>
          <w:sz w:val="18"/>
          <w:szCs w:val="18"/>
          <w:color w:val="auto"/>
        </w:rPr>
        <w:t>By: /s/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34905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7" w:lineRule="exact"/>
        <w:rPr>
          <w:sz w:val="20"/>
          <w:szCs w:val="20"/>
          <w:color w:val="auto"/>
        </w:rPr>
      </w:pPr>
    </w:p>
    <w:p>
      <w:pPr>
        <w:ind w:left="592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Financial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40"/>
          </w:cols>
          <w:pgMar w:left="240" w:top="266" w:right="9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900" w:right="34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Lawrence E. Dewey</w:t>
      </w:r>
    </w:p>
    <w:p>
      <w:pPr>
        <w:spacing w:after="0" w:line="27" w:lineRule="exact"/>
        <w:rPr>
          <w:sz w:val="20"/>
          <w:szCs w:val="20"/>
          <w:color w:val="auto"/>
        </w:rPr>
      </w:pPr>
    </w:p>
    <w:p>
      <w:pPr>
        <w:jc w:val="center"/>
        <w:ind w:right="7980"/>
        <w:spacing w:after="0"/>
        <w:tabs>
          <w:tab w:leader="none" w:pos="24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9" w:lineRule="exact"/>
        <w:rPr>
          <w:sz w:val="20"/>
          <w:szCs w:val="20"/>
          <w:color w:val="auto"/>
        </w:rPr>
      </w:pPr>
    </w:p>
    <w:p>
      <w:pPr>
        <w:jc w:val="center"/>
        <w:ind w:right="8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900" w:right="34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David S. Graziosi</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Financial Officer (Principal</w:t>
            </w:r>
          </w:p>
        </w:tc>
      </w:tr>
      <w:tr>
        <w:trPr>
          <w:trHeight w:val="234"/>
        </w:trPr>
        <w:tc>
          <w:tcPr>
            <w:tcW w:w="58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Officer)</w:t>
            </w:r>
          </w:p>
        </w:tc>
      </w:tr>
    </w:tbl>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June 30, 2017 as filed with the Securities and Exchange Commission on the date hereof (the “Report”), we, Lawrence E. Dewey, Chairman and Chief Executive Officer of the Company, and David S. Graziosi, President and Chief Financial Officer of the Company, certify, pursuant to 18 U.S.C. § 1350 as adopted pursuant to § 906 of the Sarbanes-Oxley Act of 2002, that:</w:t>
      </w:r>
    </w:p>
    <w:p>
      <w:pPr>
        <w:spacing w:after="0" w:line="86"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Dewey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2019-12-29T06:07:17Z</dcterms:created>
  <dcterms:modified xsi:type="dcterms:W3CDTF">2019-12-29T06:07:17Z</dcterms:modified>
</cp:coreProperties>
</file>