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230"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26-0414014</w:t>
      </w:r>
    </w:p>
    <w:p>
      <w:pPr>
        <w:spacing w:after="0" w:line="31" w:lineRule="exact"/>
        <w:rPr>
          <w:sz w:val="24"/>
          <w:szCs w:val="24"/>
          <w:color w:val="auto"/>
        </w:rPr>
      </w:pPr>
    </w:p>
    <w:p>
      <w:pPr>
        <w:sectPr>
          <w:pgSz w:w="11900" w:h="16838" w:orient="portrait"/>
          <w:cols w:equalWidth="0" w:num="2">
            <w:col w:w="7500" w:space="720"/>
            <w:col w:w="3180"/>
          </w:cols>
          <w:pgMar w:left="240" w:top="230" w:right="259" w:bottom="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2500630</wp:posOffset>
            </wp:positionH>
            <wp:positionV relativeFrom="paragraph">
              <wp:posOffset>410845</wp:posOffset>
            </wp:positionV>
            <wp:extent cx="225552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5520" cy="5657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jc w:val="center"/>
        <w:ind w:right="20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60"/>
          </w:cols>
          <w:pgMar w:left="240" w:top="230"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Allison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Indianapolis, IN 46222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242-5000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46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4980" w:type="dxa"/>
            <w:vAlign w:val="bottom"/>
            <w:gridSpan w:val="4"/>
          </w:tcPr>
          <w:p>
            <w:pPr>
              <w:jc w:val="center"/>
              <w:ind w:right="3860"/>
              <w:spacing w:after="0"/>
              <w:rPr>
                <w:sz w:val="20"/>
                <w:szCs w:val="20"/>
                <w:color w:val="auto"/>
              </w:rPr>
            </w:pPr>
            <w:r>
              <w:rPr>
                <w:rFonts w:ascii="Arial" w:cs="Arial" w:eastAsia="Arial" w:hAnsi="Arial"/>
                <w:sz w:val="14"/>
                <w:szCs w:val="14"/>
                <w:b w:val="1"/>
                <w:bCs w:val="1"/>
                <w:color w:val="auto"/>
                <w:w w:val="89"/>
              </w:rPr>
              <w:t>Title of each class</w:t>
            </w:r>
          </w:p>
        </w:tc>
        <w:tc>
          <w:tcPr>
            <w:tcW w:w="3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1880" w:type="dxa"/>
            <w:vAlign w:val="bottom"/>
          </w:tcPr>
          <w:p>
            <w:pPr>
              <w:ind w:left="1200"/>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$0.01</w:t>
            </w:r>
          </w:p>
        </w:tc>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par value</w:t>
            </w:r>
          </w:p>
        </w:tc>
        <w:tc>
          <w:tcPr>
            <w:tcW w:w="2440" w:type="dxa"/>
            <w:vAlign w:val="bottom"/>
            <w:tcBorders>
              <w:top w:val="single" w:sz="8" w:color="auto"/>
            </w:tcBorders>
            <w:gridSpan w:val="2"/>
          </w:tcPr>
          <w:p>
            <w:pPr>
              <w:jc w:val="center"/>
              <w:ind w:left="139"/>
              <w:spacing w:after="0"/>
              <w:rPr>
                <w:sz w:val="20"/>
                <w:szCs w:val="20"/>
                <w:color w:val="auto"/>
              </w:rPr>
            </w:pPr>
            <w:r>
              <w:rPr>
                <w:rFonts w:ascii="Arial" w:cs="Arial" w:eastAsia="Arial" w:hAnsi="Arial"/>
                <w:sz w:val="18"/>
                <w:szCs w:val="18"/>
                <w:b w:val="1"/>
                <w:bCs w:val="1"/>
                <w:color w:val="auto"/>
                <w:w w:val="89"/>
              </w:rPr>
              <w:t>New York Stock Exchange</w:t>
            </w:r>
          </w:p>
        </w:tc>
        <w:tc>
          <w:tcPr>
            <w:tcW w:w="2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880" w:type="dxa"/>
            <w:vAlign w:val="bottom"/>
          </w:tcPr>
          <w:p>
            <w:pPr>
              <w:spacing w:after="0"/>
              <w:rPr>
                <w:sz w:val="24"/>
                <w:szCs w:val="24"/>
                <w:color w:val="auto"/>
              </w:rPr>
            </w:pPr>
          </w:p>
        </w:tc>
        <w:tc>
          <w:tcPr>
            <w:tcW w:w="6740" w:type="dxa"/>
            <w:vAlign w:val="bottom"/>
            <w:gridSpan w:val="5"/>
          </w:tcPr>
          <w:p>
            <w:pPr>
              <w:ind w:left="9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180" w:type="dxa"/>
            <w:vAlign w:val="bottom"/>
            <w:gridSpan w:val="2"/>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3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640" w:space="180"/>
            <w:col w:w="260" w:space="80"/>
            <w:col w:w="160" w:space="180"/>
            <w:col w:w="220" w:space="100"/>
            <w:col w:w="1600"/>
          </w:cols>
          <w:pgMar w:left="240" w:top="125"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market value of the voting and non-voting stock held by non-affiliates was approximately $5,148.6 million as of June 30, 2014.</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5, 2015, there were 180,053,650 shares of Common Stock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Portions of the Registrant’s definitive Proxy Statement for its 2015 annual meeting of stockholders will be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760" w:type="dxa"/>
            <w:vAlign w:val="bottom"/>
            <w:gridSpan w:val="10"/>
          </w:tcPr>
          <w:p>
            <w:pPr>
              <w:jc w:val="center"/>
              <w:ind w:right="3700"/>
              <w:spacing w:after="0"/>
              <w:rPr>
                <w:sz w:val="20"/>
                <w:szCs w:val="20"/>
                <w:color w:val="auto"/>
              </w:rPr>
            </w:pPr>
            <w:r>
              <w:rPr>
                <w:rFonts w:ascii="Arial" w:cs="Arial" w:eastAsia="Arial" w:hAnsi="Arial"/>
                <w:sz w:val="18"/>
                <w:szCs w:val="18"/>
                <w:b w:val="1"/>
                <w:bCs w:val="1"/>
                <w:color w:val="auto"/>
              </w:rPr>
              <w:t>INDEX</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PART I.</w:t>
            </w:r>
          </w:p>
        </w:tc>
        <w:tc>
          <w:tcPr>
            <w:tcW w:w="4180" w:type="dxa"/>
            <w:vAlign w:val="bottom"/>
            <w:gridSpan w:val="9"/>
            <w:vMerge w:val="restart"/>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bottom w:val="single" w:sz="8" w:color="auto"/>
            </w:tcBorders>
            <w:gridSpan w:val="2"/>
            <w:vMerge w:val="continue"/>
          </w:tcPr>
          <w:p>
            <w:pPr>
              <w:spacing w:after="0"/>
              <w:rPr>
                <w:sz w:val="13"/>
                <w:szCs w:val="13"/>
                <w:color w:val="auto"/>
              </w:rPr>
            </w:pPr>
          </w:p>
        </w:tc>
        <w:tc>
          <w:tcPr>
            <w:tcW w:w="4180" w:type="dxa"/>
            <w:vAlign w:val="bottom"/>
            <w:gridSpan w:val="9"/>
            <w:vMerge w:val="continue"/>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300" w:type="dxa"/>
            <w:vAlign w:val="bottom"/>
            <w:gridSpan w:val="3"/>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480" w:type="dxa"/>
            <w:vAlign w:val="bottom"/>
            <w:gridSpan w:val="26"/>
          </w:tcPr>
          <w:p>
            <w:pPr>
              <w:spacing w:after="0"/>
              <w:rPr>
                <w:sz w:val="24"/>
                <w:szCs w:val="24"/>
                <w:color w:val="auto"/>
              </w:rPr>
            </w:pPr>
          </w:p>
        </w:tc>
        <w:tc>
          <w:tcPr>
            <w:tcW w:w="1460" w:type="dxa"/>
            <w:vAlign w:val="bottom"/>
            <w:gridSpan w:val="3"/>
          </w:tcPr>
          <w:p>
            <w:pPr>
              <w:jc w:val="center"/>
              <w:ind w:left="970"/>
              <w:spacing w:after="0"/>
              <w:rPr>
                <w:sz w:val="20"/>
                <w:szCs w:val="20"/>
                <w:color w:val="auto"/>
              </w:rPr>
            </w:pPr>
            <w:r>
              <w:rPr>
                <w:rFonts w:ascii="Arial" w:cs="Arial" w:eastAsia="Arial" w:hAnsi="Arial"/>
                <w:sz w:val="18"/>
                <w:szCs w:val="18"/>
                <w:color w:val="auto"/>
                <w:w w:val="88"/>
              </w:rPr>
              <w:t>3-14</w:t>
            </w:r>
          </w:p>
        </w:tc>
        <w:tc>
          <w:tcPr>
            <w:tcW w:w="0" w:type="dxa"/>
            <w:vAlign w:val="bottom"/>
          </w:tcPr>
          <w:p>
            <w:pPr>
              <w:spacing w:after="0"/>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1A.</w:t>
            </w:r>
          </w:p>
        </w:tc>
        <w:tc>
          <w:tcPr>
            <w:tcW w:w="160" w:type="dxa"/>
            <w:vAlign w:val="bottom"/>
          </w:tcPr>
          <w:p>
            <w:pPr>
              <w:spacing w:after="0"/>
              <w:rPr>
                <w:sz w:val="24"/>
                <w:szCs w:val="24"/>
                <w:color w:val="auto"/>
              </w:rPr>
            </w:pPr>
          </w:p>
        </w:tc>
        <w:tc>
          <w:tcPr>
            <w:tcW w:w="912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46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15-26</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1B.</w:t>
            </w:r>
          </w:p>
        </w:tc>
        <w:tc>
          <w:tcPr>
            <w:tcW w:w="160" w:type="dxa"/>
            <w:vAlign w:val="bottom"/>
          </w:tcPr>
          <w:p>
            <w:pPr>
              <w:spacing w:after="0"/>
              <w:rPr>
                <w:sz w:val="24"/>
                <w:szCs w:val="24"/>
                <w:color w:val="auto"/>
              </w:rPr>
            </w:pPr>
          </w:p>
        </w:tc>
        <w:tc>
          <w:tcPr>
            <w:tcW w:w="912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140" w:type="dxa"/>
            <w:vAlign w:val="bottom"/>
            <w:tcBorders>
              <w:top w:val="single" w:sz="8" w:color="auto"/>
            </w:tcBorders>
            <w:gridSpan w:val="2"/>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7080" w:type="dxa"/>
            <w:vAlign w:val="bottom"/>
            <w:gridSpan w:val="18"/>
          </w:tcPr>
          <w:p>
            <w:pPr>
              <w:spacing w:after="0"/>
              <w:rPr>
                <w:sz w:val="24"/>
                <w:szCs w:val="24"/>
                <w:color w:val="auto"/>
              </w:rPr>
            </w:pPr>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300" w:type="dxa"/>
            <w:vAlign w:val="bottom"/>
            <w:gridSpan w:val="3"/>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Legal Proceedings</w:t>
              </w:r>
            </w:hyperlink>
          </w:p>
        </w:tc>
        <w:tc>
          <w:tcPr>
            <w:tcW w:w="7780" w:type="dxa"/>
            <w:vAlign w:val="bottom"/>
            <w:gridSpan w:val="22"/>
          </w:tcPr>
          <w:p>
            <w:pPr>
              <w:spacing w:after="0"/>
              <w:rPr>
                <w:sz w:val="24"/>
                <w:szCs w:val="24"/>
                <w:color w:val="auto"/>
              </w:rPr>
            </w:pPr>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9120" w:type="dxa"/>
            <w:vAlign w:val="bottom"/>
            <w:gridSpan w:val="2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2"/>
          </w:tcPr>
          <w:p>
            <w:pPr>
              <w:jc w:val="center"/>
              <w:ind w:right="4160"/>
              <w:spacing w:after="0"/>
              <w:rPr>
                <w:sz w:val="20"/>
                <w:szCs w:val="20"/>
                <w:color w:val="auto"/>
              </w:rPr>
            </w:pPr>
            <w:r>
              <w:rPr>
                <w:rFonts w:ascii="Arial" w:cs="Arial" w:eastAsia="Arial" w:hAnsi="Arial"/>
                <w:sz w:val="18"/>
                <w:szCs w:val="18"/>
                <w:b w:val="1"/>
                <w:bCs w:val="1"/>
                <w:color w:val="auto"/>
              </w:rPr>
              <w:t>PART II.</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5.</w:t>
            </w:r>
          </w:p>
        </w:tc>
        <w:tc>
          <w:tcPr>
            <w:tcW w:w="300" w:type="dxa"/>
            <w:vAlign w:val="bottom"/>
            <w:gridSpan w:val="3"/>
          </w:tcPr>
          <w:p>
            <w:pPr>
              <w:spacing w:after="0"/>
              <w:rPr>
                <w:sz w:val="24"/>
                <w:szCs w:val="24"/>
                <w:color w:val="auto"/>
              </w:rPr>
            </w:pPr>
          </w:p>
        </w:tc>
        <w:tc>
          <w:tcPr>
            <w:tcW w:w="80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Market for Registrant’s Common Equity, Related Stockholder Matters and Issuer Purchases of Equity Securities</w:t>
              </w:r>
            </w:hyperlink>
          </w:p>
        </w:tc>
        <w:tc>
          <w:tcPr>
            <w:tcW w:w="1040" w:type="dxa"/>
            <w:vAlign w:val="bottom"/>
          </w:tcPr>
          <w:p>
            <w:pPr>
              <w:spacing w:after="0"/>
              <w:rPr>
                <w:sz w:val="24"/>
                <w:szCs w:val="24"/>
                <w:color w:val="auto"/>
              </w:rPr>
            </w:pPr>
          </w:p>
        </w:tc>
        <w:tc>
          <w:tcPr>
            <w:tcW w:w="146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28-29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6.</w:t>
            </w:r>
          </w:p>
        </w:tc>
        <w:tc>
          <w:tcPr>
            <w:tcW w:w="300" w:type="dxa"/>
            <w:vAlign w:val="bottom"/>
            <w:gridSpan w:val="3"/>
          </w:tcPr>
          <w:p>
            <w:pPr>
              <w:spacing w:after="0"/>
              <w:rPr>
                <w:sz w:val="24"/>
                <w:szCs w:val="24"/>
                <w:color w:val="auto"/>
              </w:rPr>
            </w:pPr>
          </w:p>
        </w:tc>
        <w:tc>
          <w:tcPr>
            <w:tcW w:w="912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Selected Financial Data</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7.</w:t>
            </w:r>
          </w:p>
        </w:tc>
        <w:tc>
          <w:tcPr>
            <w:tcW w:w="300" w:type="dxa"/>
            <w:vAlign w:val="bottom"/>
            <w:gridSpan w:val="3"/>
          </w:tcPr>
          <w:p>
            <w:pPr>
              <w:spacing w:after="0"/>
              <w:rPr>
                <w:sz w:val="24"/>
                <w:szCs w:val="24"/>
                <w:color w:val="auto"/>
              </w:rPr>
            </w:pPr>
          </w:p>
        </w:tc>
        <w:tc>
          <w:tcPr>
            <w:tcW w:w="646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24"/>
                <w:szCs w:val="24"/>
                <w:color w:val="auto"/>
              </w:rPr>
            </w:pPr>
          </w:p>
        </w:tc>
        <w:tc>
          <w:tcPr>
            <w:tcW w:w="146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31-41</w:t>
            </w:r>
          </w:p>
        </w:tc>
        <w:tc>
          <w:tcPr>
            <w:tcW w:w="0" w:type="dxa"/>
            <w:vAlign w:val="bottom"/>
          </w:tcPr>
          <w:p>
            <w:pPr>
              <w:spacing w:after="0"/>
              <w:rPr>
                <w:sz w:val="1"/>
                <w:szCs w:val="1"/>
                <w:color w:val="auto"/>
              </w:rPr>
            </w:pPr>
          </w:p>
        </w:tc>
      </w:tr>
      <w:tr>
        <w:trPr>
          <w:trHeight w:val="304"/>
        </w:trPr>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Item 7A.</w:t>
            </w:r>
          </w:p>
        </w:tc>
        <w:tc>
          <w:tcPr>
            <w:tcW w:w="16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4760" w:type="dxa"/>
            <w:vAlign w:val="bottom"/>
            <w:gridSpan w:val="10"/>
          </w:tcPr>
          <w:p>
            <w:pPr>
              <w:spacing w:after="0"/>
              <w:rPr>
                <w:sz w:val="24"/>
                <w:szCs w:val="24"/>
                <w:color w:val="auto"/>
              </w:rPr>
            </w:pPr>
          </w:p>
        </w:tc>
        <w:tc>
          <w:tcPr>
            <w:tcW w:w="146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42-43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8.</w:t>
            </w:r>
          </w:p>
        </w:tc>
        <w:tc>
          <w:tcPr>
            <w:tcW w:w="300" w:type="dxa"/>
            <w:vAlign w:val="bottom"/>
            <w:gridSpan w:val="3"/>
          </w:tcPr>
          <w:p>
            <w:pPr>
              <w:spacing w:after="0"/>
              <w:rPr>
                <w:sz w:val="24"/>
                <w:szCs w:val="24"/>
                <w:color w:val="auto"/>
              </w:rPr>
            </w:pPr>
          </w:p>
        </w:tc>
        <w:tc>
          <w:tcPr>
            <w:tcW w:w="9120" w:type="dxa"/>
            <w:vAlign w:val="bottom"/>
            <w:gridSpan w:val="2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146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44-84</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9.</w:t>
            </w:r>
          </w:p>
        </w:tc>
        <w:tc>
          <w:tcPr>
            <w:tcW w:w="300" w:type="dxa"/>
            <w:vAlign w:val="bottom"/>
            <w:gridSpan w:val="3"/>
          </w:tcPr>
          <w:p>
            <w:pPr>
              <w:spacing w:after="0"/>
              <w:rPr>
                <w:sz w:val="24"/>
                <w:szCs w:val="24"/>
                <w:color w:val="auto"/>
              </w:rPr>
            </w:pPr>
          </w:p>
        </w:tc>
        <w:tc>
          <w:tcPr>
            <w:tcW w:w="912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3"/>
          </w:tcPr>
          <w:p>
            <w:pPr>
              <w:spacing w:after="0"/>
              <w:rPr>
                <w:sz w:val="20"/>
                <w:szCs w:val="20"/>
                <w:color w:val="auto"/>
              </w:rPr>
            </w:pPr>
            <w:r>
              <w:rPr>
                <w:rFonts w:ascii="Arial" w:cs="Arial" w:eastAsia="Arial" w:hAnsi="Arial"/>
                <w:sz w:val="18"/>
                <w:szCs w:val="18"/>
                <w:color w:val="auto"/>
                <w:w w:val="92"/>
              </w:rPr>
              <w:t>Item 9A.</w:t>
            </w:r>
          </w:p>
        </w:tc>
        <w:tc>
          <w:tcPr>
            <w:tcW w:w="160" w:type="dxa"/>
            <w:vAlign w:val="bottom"/>
          </w:tcPr>
          <w:p>
            <w:pPr>
              <w:spacing w:after="0"/>
              <w:rPr>
                <w:sz w:val="24"/>
                <w:szCs w:val="24"/>
                <w:color w:val="auto"/>
              </w:rPr>
            </w:pPr>
          </w:p>
        </w:tc>
        <w:tc>
          <w:tcPr>
            <w:tcW w:w="9120" w:type="dxa"/>
            <w:vAlign w:val="bottom"/>
            <w:gridSpan w:val="2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Controls and Procedures</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2"/>
              </w:rPr>
              <w:t>Item 9B.</w:t>
            </w:r>
          </w:p>
        </w:tc>
        <w:tc>
          <w:tcPr>
            <w:tcW w:w="16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7360" w:type="dxa"/>
            <w:vAlign w:val="bottom"/>
            <w:gridSpan w:val="20"/>
          </w:tcPr>
          <w:p>
            <w:pPr>
              <w:spacing w:after="0"/>
              <w:rPr>
                <w:sz w:val="24"/>
                <w:szCs w:val="24"/>
                <w:color w:val="auto"/>
              </w:rPr>
            </w:pPr>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3"/>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4240" w:type="dxa"/>
            <w:vAlign w:val="bottom"/>
            <w:gridSpan w:val="14"/>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Directors, Executive Officers and Corporate Governance</w:t>
              </w:r>
            </w:hyperlink>
          </w:p>
        </w:tc>
        <w:tc>
          <w:tcPr>
            <w:tcW w:w="760" w:type="dxa"/>
            <w:vAlign w:val="bottom"/>
            <w:tcBorders>
              <w:top w:val="single" w:sz="8" w:color="auto"/>
            </w:tcBorders>
            <w:gridSpan w:val="7"/>
          </w:tcPr>
          <w:p>
            <w:pPr>
              <w:spacing w:after="0"/>
              <w:rPr>
                <w:sz w:val="24"/>
                <w:szCs w:val="24"/>
                <w:color w:val="auto"/>
              </w:rPr>
            </w:pPr>
          </w:p>
        </w:tc>
        <w:tc>
          <w:tcPr>
            <w:tcW w:w="4120" w:type="dxa"/>
            <w:vAlign w:val="bottom"/>
            <w:gridSpan w:val="6"/>
          </w:tcPr>
          <w:p>
            <w:pPr>
              <w:spacing w:after="0"/>
              <w:rPr>
                <w:sz w:val="24"/>
                <w:szCs w:val="24"/>
                <w:color w:val="auto"/>
              </w:rPr>
            </w:pPr>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912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Executive Compensation</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912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Security Ownership of Certain Beneficial Owners and Management and Related Stockholder Matters</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912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Certain Relationships and Related Transactions, and Director Independence</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14.</w:t>
            </w:r>
          </w:p>
        </w:tc>
        <w:tc>
          <w:tcPr>
            <w:tcW w:w="9120" w:type="dxa"/>
            <w:vAlign w:val="bottom"/>
            <w:gridSpan w:val="27"/>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Principal Accounting Fees and Services</w:t>
              </w:r>
            </w:hyperlink>
          </w:p>
        </w:tc>
        <w:tc>
          <w:tcPr>
            <w:tcW w:w="140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12"/>
          </w:tcPr>
          <w:p>
            <w:pPr>
              <w:jc w:val="center"/>
              <w:ind w:right="4140"/>
              <w:spacing w:after="0"/>
              <w:rPr>
                <w:sz w:val="20"/>
                <w:szCs w:val="20"/>
                <w:color w:val="auto"/>
              </w:rPr>
            </w:pPr>
            <w:r>
              <w:rPr>
                <w:rFonts w:ascii="Arial" w:cs="Arial" w:eastAsia="Arial" w:hAnsi="Arial"/>
                <w:sz w:val="18"/>
                <w:szCs w:val="18"/>
                <w:b w:val="1"/>
                <w:bCs w:val="1"/>
                <w:color w:val="auto"/>
                <w:w w:val="94"/>
              </w:rPr>
              <w:t>PART IV.</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gridSpan w:val="4"/>
          </w:tcPr>
          <w:p>
            <w:pPr>
              <w:spacing w:after="0"/>
              <w:rPr>
                <w:sz w:val="20"/>
                <w:szCs w:val="20"/>
                <w:color w:val="auto"/>
              </w:rPr>
            </w:pPr>
            <w:r>
              <w:rPr>
                <w:rFonts w:ascii="Arial" w:cs="Arial" w:eastAsia="Arial" w:hAnsi="Arial"/>
                <w:sz w:val="18"/>
                <w:szCs w:val="18"/>
                <w:color w:val="auto"/>
              </w:rPr>
              <w:t>Item 15.</w:t>
            </w:r>
          </w:p>
        </w:tc>
        <w:tc>
          <w:tcPr>
            <w:tcW w:w="4260" w:type="dxa"/>
            <w:vAlign w:val="bottom"/>
            <w:gridSpan w:val="1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Exhibits, Financial Statement Schedules</w:t>
              </w:r>
            </w:hyperlink>
          </w:p>
        </w:tc>
        <w:tc>
          <w:tcPr>
            <w:tcW w:w="720" w:type="dxa"/>
            <w:vAlign w:val="bottom"/>
            <w:tcBorders>
              <w:top w:val="single" w:sz="8" w:color="auto"/>
            </w:tcBorders>
            <w:gridSpan w:val="5"/>
          </w:tcPr>
          <w:p>
            <w:pPr>
              <w:spacing w:after="0"/>
              <w:rPr>
                <w:sz w:val="24"/>
                <w:szCs w:val="24"/>
                <w:color w:val="auto"/>
              </w:rPr>
            </w:pPr>
          </w:p>
        </w:tc>
        <w:tc>
          <w:tcPr>
            <w:tcW w:w="4140" w:type="dxa"/>
            <w:vAlign w:val="bottom"/>
            <w:gridSpan w:val="7"/>
          </w:tcPr>
          <w:p>
            <w:pPr>
              <w:spacing w:after="0"/>
              <w:rPr>
                <w:sz w:val="24"/>
                <w:szCs w:val="24"/>
                <w:color w:val="auto"/>
              </w:rPr>
            </w:pPr>
          </w:p>
        </w:tc>
        <w:tc>
          <w:tcPr>
            <w:tcW w:w="1460" w:type="dxa"/>
            <w:vAlign w:val="bottom"/>
            <w:gridSpan w:val="3"/>
          </w:tcPr>
          <w:p>
            <w:pPr>
              <w:jc w:val="center"/>
              <w:ind w:left="950"/>
              <w:spacing w:after="0"/>
              <w:rPr>
                <w:sz w:val="20"/>
                <w:szCs w:val="20"/>
                <w:color w:val="auto"/>
              </w:rPr>
            </w:pPr>
            <w:r>
              <w:rPr>
                <w:rFonts w:ascii="Arial" w:cs="Arial" w:eastAsia="Arial" w:hAnsi="Arial"/>
                <w:sz w:val="18"/>
                <w:szCs w:val="18"/>
                <w:color w:val="auto"/>
                <w:w w:val="91"/>
              </w:rPr>
              <w:t>87-90</w:t>
            </w:r>
          </w:p>
        </w:tc>
        <w:tc>
          <w:tcPr>
            <w:tcW w:w="0" w:type="dxa"/>
            <w:vAlign w:val="bottom"/>
          </w:tcPr>
          <w:p>
            <w:pPr>
              <w:spacing w:after="0"/>
              <w:rPr>
                <w:sz w:val="1"/>
                <w:szCs w:val="1"/>
                <w:color w:val="auto"/>
              </w:rPr>
            </w:pPr>
          </w:p>
        </w:tc>
      </w:tr>
      <w:tr>
        <w:trPr>
          <w:trHeight w:val="385"/>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sz w:val="24"/>
                <w:szCs w:val="24"/>
                <w:color w:val="auto"/>
              </w:rPr>
            </w:pPr>
          </w:p>
        </w:tc>
        <w:tc>
          <w:tcPr>
            <w:tcW w:w="2060" w:type="dxa"/>
            <w:vAlign w:val="bottom"/>
            <w:gridSpan w:val="8"/>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risks related to our substantial indebtedness;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repurchase shares of our common stock; and labor strikes, work stoppages or similar labor disputes, which could significantly disrupt our operations or those of our principal customers.</w:t>
      </w:r>
    </w:p>
    <w:p>
      <w:pPr>
        <w:spacing w:after="0" w:line="17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Trademarks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This Annual Report on Form 10-K includes trademarks, such as Allison Transmission and ReTran,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w:t>
      </w:r>
      <w:r>
        <w:rPr>
          <w:rFonts w:ascii="Arial" w:cs="Arial" w:eastAsia="Arial" w:hAnsi="Arial"/>
          <w:sz w:val="13"/>
          <w:szCs w:val="13"/>
          <w:color w:val="auto"/>
        </w:rPr>
        <w:t>®</w:t>
      </w:r>
      <w:r>
        <w:rPr>
          <w:rFonts w:ascii="Arial" w:cs="Arial" w:eastAsia="Arial" w:hAnsi="Arial"/>
          <w:sz w:val="16"/>
          <w:szCs w:val="16"/>
          <w:color w:val="auto"/>
        </w:rPr>
        <w:t xml:space="preserve"> or ™ symbols, but such references are not intended to indicate, in any way, that we will not assert, to the fullest extent under applicable law, our rights or the right of the applicable licensor to these trademarks and trade names.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80% percent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the world’s largest manufacturer of fully-automatic transmissions for medium- and heavy-duty commercial vehicles and medium- and heavy-tactical U.S. defense vehicles. Allison transmissions are used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We estimate that globally, in 2014, we sold approximately 63% of all fully-automatic transmissions for medium- and heavy-duty on-highway commercial vehicle applications. We believe the Allison brand is one of the most recognized in our industry as a result of the performance, reliability and fuel efficiency of our transmissions and is associated with high quality, durability, vocational value, technological leadership and superior customer service.</w:t>
      </w:r>
    </w:p>
    <w:p>
      <w:pPr>
        <w:spacing w:after="0" w:line="18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introduced the world’s first fully-automatic transmission for commercial vehicles over 60 years ago. Since that time, we have driven the trend in North America and Western Europe towards increasing automaticity by targeting a diverse range of commercial vehicle vocations. Allison transmissions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In 2014, over 7,500 unique Allison-developed calibrations were used with our transmission control modules.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Commercial vehicles typically employ one of three transmission types: manual, automated manual transmissions (“AMT”) or fully-automatic. Manual transmissions are the most prevalent transmission type used in Class 8 tractors in North America and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Fuel efficiency, reduction in fuel consumption and greenhouse gas emissions are important considerations for commercial vehicles everywhere and they tend to go together. 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and/or over a shorter period of time, then we believe the vehicle is more fuel efficient. Since fuel economy and its MPG metric only accounts for distance traveled and fuel consumed, ignoring time and work performed, it is therefore an inferior metric to fuel efficiency when it comes to assessing commercial vehicles. Markets, regulations, policies and technology continue to evaluate these topics.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sell our transmissions globally for use in medium- and heavy-duty on-highway commercial vehicles, off-highway vehicles and equipment and defense vehicles. In addition to the sale of transmissions, we also sell branded replacement parts, support equipment and other products necessary to service the installed base of vehicles utilizing our transmissions. The following table provides a summary of our business by end market, for the fiscal year ended December 31, 2014.</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440" w:type="dxa"/>
            <w:vAlign w:val="bottom"/>
            <w:tcBorders>
              <w:top w:val="single" w:sz="8" w:color="auto"/>
              <w:left w:val="single" w:sz="8" w:color="auto"/>
              <w:right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spacing w:after="0" w:line="139" w:lineRule="exact"/>
              <w:rPr>
                <w:sz w:val="20"/>
                <w:szCs w:val="20"/>
                <w:color w:val="auto"/>
              </w:rPr>
            </w:pPr>
            <w:r>
              <w:rPr>
                <w:rFonts w:ascii="Arial" w:cs="Arial" w:eastAsia="Arial" w:hAnsi="Arial"/>
                <w:sz w:val="14"/>
                <w:szCs w:val="14"/>
                <w:b w:val="1"/>
                <w:bCs w:val="1"/>
                <w:color w:val="auto"/>
              </w:rPr>
              <w:t>NORTH AMERICA</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80" w:type="dxa"/>
            <w:vAlign w:val="bottom"/>
            <w:tcBorders>
              <w:top w:val="single" w:sz="8" w:color="auto"/>
              <w:right w:val="single" w:sz="8" w:color="auto"/>
            </w:tcBorders>
            <w:gridSpan w:val="3"/>
          </w:tcPr>
          <w:p>
            <w:pPr>
              <w:jc w:val="right"/>
              <w:ind w:right="128"/>
              <w:spacing w:after="0" w:line="139" w:lineRule="exact"/>
              <w:rPr>
                <w:sz w:val="20"/>
                <w:szCs w:val="20"/>
                <w:color w:val="auto"/>
              </w:rPr>
            </w:pPr>
            <w:r>
              <w:rPr>
                <w:rFonts w:ascii="Arial" w:cs="Arial" w:eastAsia="Arial" w:hAnsi="Arial"/>
                <w:sz w:val="14"/>
                <w:szCs w:val="14"/>
                <w:b w:val="1"/>
                <w:bCs w:val="1"/>
                <w:color w:val="auto"/>
              </w:rPr>
              <w:t>OUTSIDE NORTH AMERICA</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jc w:val="center"/>
              <w:ind w:right="208"/>
              <w:spacing w:after="0" w:line="139" w:lineRule="exact"/>
              <w:rPr>
                <w:sz w:val="20"/>
                <w:szCs w:val="20"/>
                <w:color w:val="auto"/>
              </w:rPr>
            </w:pPr>
            <w:r>
              <w:rPr>
                <w:rFonts w:ascii="Arial" w:cs="Arial" w:eastAsia="Arial" w:hAnsi="Arial"/>
                <w:sz w:val="14"/>
                <w:szCs w:val="14"/>
                <w:b w:val="1"/>
                <w:bCs w:val="1"/>
                <w:color w:val="auto"/>
              </w:rPr>
              <w:t>SERVICE</w:t>
            </w:r>
          </w:p>
        </w:tc>
        <w:tc>
          <w:tcPr>
            <w:tcW w:w="0" w:type="dxa"/>
            <w:vAlign w:val="bottom"/>
          </w:tcPr>
          <w:p>
            <w:pPr>
              <w:spacing w:after="0"/>
              <w:rPr>
                <w:sz w:val="1"/>
                <w:szCs w:val="1"/>
                <w:color w:val="auto"/>
              </w:rPr>
            </w:pPr>
          </w:p>
        </w:tc>
      </w:tr>
      <w:tr>
        <w:trPr>
          <w:trHeight w:val="23"/>
        </w:trPr>
        <w:tc>
          <w:tcPr>
            <w:tcW w:w="2440" w:type="dxa"/>
            <w:vAlign w:val="bottom"/>
            <w:tcBorders>
              <w:left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Borders>
              <w:right w:val="single" w:sz="8" w:color="auto"/>
            </w:tcBorders>
            <w:vMerge w:val="restart"/>
          </w:tcPr>
          <w:p>
            <w:pPr>
              <w:jc w:val="center"/>
              <w:ind w:right="188"/>
              <w:spacing w:after="0" w:line="149" w:lineRule="exact"/>
              <w:rPr>
                <w:sz w:val="20"/>
                <w:szCs w:val="20"/>
                <w:color w:val="auto"/>
              </w:rPr>
            </w:pPr>
            <w:r>
              <w:rPr>
                <w:rFonts w:ascii="Arial" w:cs="Arial" w:eastAsia="Arial" w:hAnsi="Arial"/>
                <w:sz w:val="14"/>
                <w:szCs w:val="14"/>
                <w:b w:val="1"/>
                <w:bCs w:val="1"/>
                <w:color w:val="auto"/>
                <w:w w:val="97"/>
              </w:rPr>
              <w:t>PARTS,</w:t>
            </w:r>
          </w:p>
        </w:tc>
        <w:tc>
          <w:tcPr>
            <w:tcW w:w="0" w:type="dxa"/>
            <w:vAlign w:val="bottom"/>
          </w:tcPr>
          <w:p>
            <w:pPr>
              <w:spacing w:after="0"/>
              <w:rPr>
                <w:sz w:val="1"/>
                <w:szCs w:val="1"/>
                <w:color w:val="auto"/>
              </w:rPr>
            </w:pPr>
          </w:p>
        </w:tc>
      </w:tr>
      <w:tr>
        <w:trPr>
          <w:trHeight w:val="106"/>
        </w:trPr>
        <w:tc>
          <w:tcPr>
            <w:tcW w:w="2440" w:type="dxa"/>
            <w:vAlign w:val="bottom"/>
            <w:tcBorders>
              <w:left w:val="single" w:sz="8" w:color="auto"/>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auto"/>
            </w:tcBorders>
          </w:tcPr>
          <w:p>
            <w:pPr>
              <w:jc w:val="center"/>
              <w:ind w:right="188"/>
              <w:spacing w:after="0" w:line="149" w:lineRule="exact"/>
              <w:rPr>
                <w:sz w:val="20"/>
                <w:szCs w:val="20"/>
                <w:color w:val="auto"/>
              </w:rPr>
            </w:pPr>
            <w:r>
              <w:rPr>
                <w:rFonts w:ascii="Arial" w:cs="Arial" w:eastAsia="Arial" w:hAnsi="Arial"/>
                <w:sz w:val="14"/>
                <w:szCs w:val="14"/>
                <w:b w:val="1"/>
                <w:bCs w:val="1"/>
                <w:color w:val="auto"/>
                <w:w w:val="97"/>
              </w:rPr>
              <w:t>SUPPORT</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ON-</w:t>
            </w:r>
          </w:p>
        </w:tc>
        <w:tc>
          <w:tcPr>
            <w:tcW w:w="140" w:type="dxa"/>
            <w:vAlign w:val="bottom"/>
          </w:tcPr>
          <w:p>
            <w:pPr>
              <w:spacing w:after="0"/>
              <w:rPr>
                <w:sz w:val="12"/>
                <w:szCs w:val="12"/>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HYBRID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OFF-</w:t>
            </w:r>
          </w:p>
        </w:tc>
        <w:tc>
          <w:tcPr>
            <w:tcW w:w="16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OFF-</w:t>
            </w: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auto"/>
            </w:tcBorders>
          </w:tcPr>
          <w:p>
            <w:pPr>
              <w:jc w:val="center"/>
              <w:ind w:right="208"/>
              <w:spacing w:after="0" w:line="149" w:lineRule="exact"/>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144"/>
        </w:trPr>
        <w:tc>
          <w:tcPr>
            <w:tcW w:w="24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END MARKET</w:t>
            </w:r>
          </w:p>
        </w:tc>
        <w:tc>
          <w:tcPr>
            <w:tcW w:w="20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b w:val="1"/>
                <w:bCs w:val="1"/>
                <w:color w:val="auto"/>
              </w:rPr>
              <w:t>ON-HIGHWAY</w:t>
            </w:r>
          </w:p>
        </w:tc>
        <w:tc>
          <w:tcPr>
            <w:tcW w:w="18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DEFENSE</w:t>
            </w:r>
          </w:p>
        </w:tc>
        <w:tc>
          <w:tcPr>
            <w:tcW w:w="380" w:type="dxa"/>
            <w:vAlign w:val="bottom"/>
          </w:tcPr>
          <w:p>
            <w:pPr>
              <w:spacing w:after="0"/>
              <w:rPr>
                <w:sz w:val="12"/>
                <w:szCs w:val="12"/>
                <w:color w:val="auto"/>
              </w:rPr>
            </w:pPr>
          </w:p>
        </w:tc>
        <w:tc>
          <w:tcPr>
            <w:tcW w:w="1320" w:type="dxa"/>
            <w:vAlign w:val="bottom"/>
            <w:tcBorders>
              <w:right w:val="single" w:sz="8" w:color="auto"/>
            </w:tcBorders>
          </w:tcPr>
          <w:p>
            <w:pPr>
              <w:jc w:val="center"/>
              <w:ind w:right="208"/>
              <w:spacing w:after="0" w:line="145" w:lineRule="exact"/>
              <w:rPr>
                <w:sz w:val="20"/>
                <w:szCs w:val="20"/>
                <w:color w:val="auto"/>
              </w:rPr>
            </w:pPr>
            <w:r>
              <w:rPr>
                <w:rFonts w:ascii="Arial" w:cs="Arial" w:eastAsia="Arial" w:hAnsi="Arial"/>
                <w:sz w:val="14"/>
                <w:szCs w:val="14"/>
                <w:b w:val="1"/>
                <w:bCs w:val="1"/>
                <w:color w:val="auto"/>
              </w:rPr>
              <w:t>&amp;</w:t>
            </w:r>
          </w:p>
        </w:tc>
        <w:tc>
          <w:tcPr>
            <w:tcW w:w="0" w:type="dxa"/>
            <w:vAlign w:val="bottom"/>
          </w:tcPr>
          <w:p>
            <w:pPr>
              <w:spacing w:after="0"/>
              <w:rPr>
                <w:sz w:val="1"/>
                <w:szCs w:val="1"/>
                <w:color w:val="auto"/>
              </w:rPr>
            </w:pPr>
          </w:p>
        </w:tc>
      </w:tr>
      <w:tr>
        <w:trPr>
          <w:trHeight w:val="176"/>
        </w:trPr>
        <w:tc>
          <w:tcPr>
            <w:tcW w:w="244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HIGHWAY</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TRANSIT BUS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HIGHWAY</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HIGHWAY</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2014 N</w:t>
            </w:r>
            <w:r>
              <w:rPr>
                <w:rFonts w:ascii="Arial" w:cs="Arial" w:eastAsia="Arial" w:hAnsi="Arial"/>
                <w:sz w:val="11"/>
                <w:szCs w:val="11"/>
                <w:b w:val="1"/>
                <w:bCs w:val="1"/>
                <w:color w:val="auto"/>
              </w:rPr>
              <w:t>ET</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ALES</w:t>
            </w: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IN</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ILLIONS</w:t>
            </w: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$988</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$93</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$264</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$81</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$157</w:t>
            </w: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208"/>
              <w:spacing w:after="0" w:line="142" w:lineRule="exact"/>
              <w:rPr>
                <w:sz w:val="20"/>
                <w:szCs w:val="20"/>
                <w:color w:val="auto"/>
              </w:rPr>
            </w:pPr>
            <w:r>
              <w:rPr>
                <w:rFonts w:ascii="Arial" w:cs="Arial" w:eastAsia="Arial" w:hAnsi="Arial"/>
                <w:sz w:val="14"/>
                <w:szCs w:val="14"/>
                <w:color w:val="auto"/>
                <w:w w:val="89"/>
              </w:rPr>
              <w:t>$444</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 O</w:t>
            </w:r>
            <w:r>
              <w:rPr>
                <w:rFonts w:ascii="Arial" w:cs="Arial" w:eastAsia="Arial" w:hAnsi="Arial"/>
                <w:sz w:val="11"/>
                <w:szCs w:val="11"/>
                <w:b w:val="1"/>
                <w:bCs w:val="1"/>
                <w:color w:val="auto"/>
              </w:rPr>
              <w:t>F</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OTAL</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47%</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4%</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5%</w:t>
            </w: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4%</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7%</w:t>
            </w: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jc w:val="center"/>
              <w:ind w:right="188"/>
              <w:spacing w:after="0" w:line="142" w:lineRule="exact"/>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123"/>
        </w:trPr>
        <w:tc>
          <w:tcPr>
            <w:tcW w:w="24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ARKET</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OSITION</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 supplier of</w:t>
            </w:r>
          </w:p>
        </w:tc>
        <w:tc>
          <w:tcPr>
            <w:tcW w:w="140" w:type="dxa"/>
            <w:vAlign w:val="bottom"/>
          </w:tcPr>
          <w:p>
            <w:pPr>
              <w:ind w:left="80"/>
              <w:spacing w:after="0" w:line="123" w:lineRule="exact"/>
              <w:rPr>
                <w:sz w:val="20"/>
                <w:szCs w:val="20"/>
                <w:color w:val="auto"/>
              </w:rPr>
            </w:pPr>
            <w:r>
              <w:rPr>
                <w:rFonts w:ascii="Arial" w:cs="Arial" w:eastAsia="Arial" w:hAnsi="Arial"/>
                <w:sz w:val="14"/>
                <w:szCs w:val="14"/>
                <w:color w:val="auto"/>
                <w:w w:val="80"/>
              </w:rPr>
              <w:t>•</w:t>
            </w:r>
          </w:p>
        </w:tc>
        <w:tc>
          <w:tcPr>
            <w:tcW w:w="10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A leading</w:t>
            </w:r>
          </w:p>
        </w:tc>
        <w:tc>
          <w:tcPr>
            <w:tcW w:w="80" w:type="dxa"/>
            <w:vAlign w:val="bottom"/>
          </w:tcPr>
          <w:p>
            <w:pPr>
              <w:spacing w:after="0"/>
              <w:rPr>
                <w:sz w:val="10"/>
                <w:szCs w:val="10"/>
                <w:color w:val="auto"/>
              </w:rPr>
            </w:pPr>
          </w:p>
        </w:tc>
        <w:tc>
          <w:tcPr>
            <w:tcW w:w="120" w:type="dxa"/>
            <w:vAlign w:val="bottom"/>
          </w:tcPr>
          <w:p>
            <w:pPr>
              <w:ind w:left="20"/>
              <w:spacing w:after="0" w:line="123"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A leading</w:t>
            </w:r>
          </w:p>
        </w:tc>
        <w:tc>
          <w:tcPr>
            <w:tcW w:w="160" w:type="dxa"/>
            <w:vAlign w:val="bottom"/>
          </w:tcPr>
          <w:p>
            <w:pPr>
              <w:ind w:left="100"/>
              <w:spacing w:after="0" w:line="123" w:lineRule="exact"/>
              <w:rPr>
                <w:sz w:val="20"/>
                <w:szCs w:val="20"/>
                <w:color w:val="auto"/>
              </w:rPr>
            </w:pPr>
            <w:r>
              <w:rPr>
                <w:rFonts w:ascii="Arial" w:cs="Arial" w:eastAsia="Arial" w:hAnsi="Arial"/>
                <w:sz w:val="14"/>
                <w:szCs w:val="14"/>
                <w:color w:val="auto"/>
                <w:w w:val="80"/>
              </w:rPr>
              <w:t>•</w:t>
            </w:r>
          </w:p>
        </w:tc>
        <w:tc>
          <w:tcPr>
            <w:tcW w:w="108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#1 supplier of</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 leading</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 supplier of</w:t>
            </w:r>
          </w:p>
        </w:tc>
        <w:tc>
          <w:tcPr>
            <w:tcW w:w="380" w:type="dxa"/>
            <w:vAlign w:val="bottom"/>
          </w:tcPr>
          <w:p>
            <w:pPr>
              <w:ind w:left="280"/>
              <w:spacing w:after="0" w:line="123" w:lineRule="exact"/>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Approximately</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fully-automatic</w:t>
            </w:r>
          </w:p>
        </w:tc>
        <w:tc>
          <w:tcPr>
            <w:tcW w:w="140" w:type="dxa"/>
            <w:vAlign w:val="bottom"/>
          </w:tcPr>
          <w:p>
            <w:pPr>
              <w:spacing w:after="0"/>
              <w:rPr>
                <w:sz w:val="12"/>
                <w:szCs w:val="12"/>
                <w:color w:val="auto"/>
              </w:rPr>
            </w:pPr>
          </w:p>
        </w:tc>
        <w:tc>
          <w:tcPr>
            <w:tcW w:w="10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supplier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independent</w:t>
            </w:r>
          </w:p>
        </w:tc>
        <w:tc>
          <w:tcPr>
            <w:tcW w:w="160" w:type="dxa"/>
            <w:vAlign w:val="bottom"/>
          </w:tcPr>
          <w:p>
            <w:pPr>
              <w:spacing w:after="0"/>
              <w:rPr>
                <w:sz w:val="12"/>
                <w:szCs w:val="12"/>
                <w:color w:val="auto"/>
              </w:rPr>
            </w:pPr>
          </w:p>
        </w:tc>
        <w:tc>
          <w:tcPr>
            <w:tcW w:w="10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fully-automatic</w:t>
            </w:r>
          </w:p>
        </w:tc>
        <w:tc>
          <w:tcPr>
            <w:tcW w:w="18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independent</w:t>
            </w: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transmissions</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1,400 dealers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transmissions</w:t>
            </w:r>
          </w:p>
        </w:tc>
        <w:tc>
          <w:tcPr>
            <w:tcW w:w="140" w:type="dxa"/>
            <w:vAlign w:val="bottom"/>
          </w:tcPr>
          <w:p>
            <w:pPr>
              <w:spacing w:after="0"/>
              <w:rPr>
                <w:sz w:val="12"/>
                <w:szCs w:val="12"/>
                <w:color w:val="auto"/>
              </w:rPr>
            </w:pPr>
          </w:p>
        </w:tc>
        <w:tc>
          <w:tcPr>
            <w:tcW w:w="10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hybrid-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supplier</w:t>
            </w:r>
          </w:p>
        </w:tc>
        <w:tc>
          <w:tcPr>
            <w:tcW w:w="160" w:type="dxa"/>
            <w:vAlign w:val="bottom"/>
          </w:tcPr>
          <w:p>
            <w:pPr>
              <w:spacing w:after="0"/>
              <w:rPr>
                <w:sz w:val="12"/>
                <w:szCs w:val="12"/>
                <w:color w:val="auto"/>
              </w:rPr>
            </w:pPr>
          </w:p>
        </w:tc>
        <w:tc>
          <w:tcPr>
            <w:tcW w:w="10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5"/>
              </w:rPr>
              <w:t>transmissions in</w:t>
            </w:r>
          </w:p>
        </w:tc>
        <w:tc>
          <w:tcPr>
            <w:tcW w:w="18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supplier</w:t>
            </w: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for the U.S.</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and distributors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propulsion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7"/>
              </w:rPr>
              <w:t>China and India</w:t>
            </w: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Department of</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worldwide</w:t>
            </w:r>
          </w:p>
        </w:tc>
        <w:tc>
          <w:tcPr>
            <w:tcW w:w="0" w:type="dxa"/>
            <w:vAlign w:val="bottom"/>
          </w:tcPr>
          <w:p>
            <w:pPr>
              <w:spacing w:after="0"/>
              <w:rPr>
                <w:sz w:val="1"/>
                <w:szCs w:val="1"/>
                <w:color w:val="auto"/>
              </w:rPr>
            </w:pPr>
          </w:p>
        </w:tc>
      </w:tr>
      <w:tr>
        <w:trPr>
          <w:trHeight w:val="182"/>
        </w:trPr>
        <w:tc>
          <w:tcPr>
            <w:tcW w:w="24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systems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0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Established</w:t>
            </w:r>
          </w:p>
        </w:tc>
        <w:tc>
          <w:tcPr>
            <w:tcW w:w="18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Defense</w:t>
            </w:r>
          </w:p>
        </w:tc>
        <w:tc>
          <w:tcPr>
            <w:tcW w:w="3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auto"/>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160" w:type="dxa"/>
            <w:vAlign w:val="bottom"/>
            <w:vMerge w:val="continue"/>
          </w:tcPr>
          <w:p>
            <w:pPr>
              <w:spacing w:after="0"/>
              <w:rPr>
                <w:sz w:val="7"/>
                <w:szCs w:val="7"/>
                <w:color w:val="auto"/>
              </w:rPr>
            </w:pPr>
          </w:p>
        </w:tc>
        <w:tc>
          <w:tcPr>
            <w:tcW w:w="108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presence in</w:t>
            </w: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4"/>
              </w:rPr>
              <w:t>Western Europe</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4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OCATIONS</w:t>
            </w:r>
            <w:r>
              <w:rPr>
                <w:rFonts w:ascii="Arial" w:cs="Arial" w:eastAsia="Arial" w:hAnsi="Arial"/>
                <w:sz w:val="14"/>
                <w:szCs w:val="14"/>
                <w:b w:val="1"/>
                <w:bCs w:val="1"/>
                <w:color w:val="auto"/>
              </w:rPr>
              <w:t xml:space="preserve"> O</w:t>
            </w:r>
            <w:r>
              <w:rPr>
                <w:rFonts w:ascii="Arial" w:cs="Arial" w:eastAsia="Arial" w:hAnsi="Arial"/>
                <w:sz w:val="11"/>
                <w:szCs w:val="11"/>
                <w:b w:val="1"/>
                <w:bCs w:val="1"/>
                <w:color w:val="auto"/>
              </w:rPr>
              <w:t>R</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ND</w:t>
            </w:r>
            <w:r>
              <w:rPr>
                <w:rFonts w:ascii="Arial" w:cs="Arial" w:eastAsia="Arial" w:hAnsi="Arial"/>
                <w:sz w:val="14"/>
                <w:szCs w:val="14"/>
                <w:b w:val="1"/>
                <w:bCs w:val="1"/>
                <w:color w:val="auto"/>
              </w:rPr>
              <w:t xml:space="preserve"> U</w:t>
            </w:r>
            <w:r>
              <w:rPr>
                <w:rFonts w:ascii="Arial" w:cs="Arial" w:eastAsia="Arial" w:hAnsi="Arial"/>
                <w:sz w:val="11"/>
                <w:szCs w:val="11"/>
                <w:b w:val="1"/>
                <w:bCs w:val="1"/>
                <w:color w:val="auto"/>
              </w:rPr>
              <w:t>SE</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Distribution</w:t>
            </w:r>
          </w:p>
        </w:tc>
        <w:tc>
          <w:tcPr>
            <w:tcW w:w="140" w:type="dxa"/>
            <w:vAlign w:val="bottom"/>
          </w:tcPr>
          <w:p>
            <w:pPr>
              <w:ind w:left="80"/>
              <w:spacing w:after="0" w:line="123" w:lineRule="exact"/>
              <w:rPr>
                <w:sz w:val="20"/>
                <w:szCs w:val="20"/>
                <w:color w:val="auto"/>
              </w:rPr>
            </w:pPr>
            <w:r>
              <w:rPr>
                <w:rFonts w:ascii="Arial" w:cs="Arial" w:eastAsia="Arial" w:hAnsi="Arial"/>
                <w:sz w:val="14"/>
                <w:szCs w:val="14"/>
                <w:color w:val="auto"/>
                <w:w w:val="80"/>
              </w:rPr>
              <w:t>•</w:t>
            </w:r>
          </w:p>
        </w:tc>
        <w:tc>
          <w:tcPr>
            <w:tcW w:w="104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Hybrid transit</w:t>
            </w:r>
          </w:p>
        </w:tc>
        <w:tc>
          <w:tcPr>
            <w:tcW w:w="80" w:type="dxa"/>
            <w:vAlign w:val="bottom"/>
          </w:tcPr>
          <w:p>
            <w:pPr>
              <w:spacing w:after="0"/>
              <w:rPr>
                <w:sz w:val="10"/>
                <w:szCs w:val="10"/>
                <w:color w:val="auto"/>
              </w:rPr>
            </w:pPr>
          </w:p>
        </w:tc>
        <w:tc>
          <w:tcPr>
            <w:tcW w:w="120" w:type="dxa"/>
            <w:vAlign w:val="bottom"/>
          </w:tcPr>
          <w:p>
            <w:pPr>
              <w:ind w:left="20"/>
              <w:spacing w:after="0" w:line="123"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Energy</w:t>
            </w:r>
          </w:p>
        </w:tc>
        <w:tc>
          <w:tcPr>
            <w:tcW w:w="160" w:type="dxa"/>
            <w:vAlign w:val="bottom"/>
          </w:tcPr>
          <w:p>
            <w:pPr>
              <w:ind w:left="100"/>
              <w:spacing w:after="0" w:line="123" w:lineRule="exact"/>
              <w:rPr>
                <w:sz w:val="20"/>
                <w:szCs w:val="20"/>
                <w:color w:val="auto"/>
              </w:rPr>
            </w:pPr>
            <w:r>
              <w:rPr>
                <w:rFonts w:ascii="Arial" w:cs="Arial" w:eastAsia="Arial" w:hAnsi="Arial"/>
                <w:sz w:val="14"/>
                <w:szCs w:val="14"/>
                <w:color w:val="auto"/>
                <w:w w:val="80"/>
              </w:rPr>
              <w:t>•</w:t>
            </w:r>
          </w:p>
        </w:tc>
        <w:tc>
          <w:tcPr>
            <w:tcW w:w="1080" w:type="dxa"/>
            <w:vAlign w:val="bottom"/>
            <w:tcBorders>
              <w:right w:val="single" w:sz="8" w:color="auto"/>
            </w:tcBorders>
          </w:tcPr>
          <w:p>
            <w:pPr>
              <w:ind w:left="100"/>
              <w:spacing w:after="0" w:line="123" w:lineRule="exact"/>
              <w:rPr>
                <w:sz w:val="20"/>
                <w:szCs w:val="20"/>
                <w:color w:val="auto"/>
              </w:rPr>
            </w:pPr>
            <w:r>
              <w:rPr>
                <w:rFonts w:ascii="Arial" w:cs="Arial" w:eastAsia="Arial" w:hAnsi="Arial"/>
                <w:sz w:val="14"/>
                <w:szCs w:val="14"/>
                <w:color w:val="auto"/>
              </w:rPr>
              <w:t>Distribution</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Energy</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Medium- and</w:t>
            </w:r>
          </w:p>
        </w:tc>
        <w:tc>
          <w:tcPr>
            <w:tcW w:w="380" w:type="dxa"/>
            <w:vAlign w:val="bottom"/>
          </w:tcPr>
          <w:p>
            <w:pPr>
              <w:ind w:left="280"/>
              <w:spacing w:after="0" w:line="123" w:lineRule="exact"/>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Parts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Emergency</w:t>
            </w:r>
          </w:p>
        </w:tc>
        <w:tc>
          <w:tcPr>
            <w:tcW w:w="140" w:type="dxa"/>
            <w:vAlign w:val="bottom"/>
          </w:tcPr>
          <w:p>
            <w:pPr>
              <w:spacing w:after="0"/>
              <w:rPr>
                <w:sz w:val="12"/>
                <w:szCs w:val="12"/>
                <w:color w:val="auto"/>
              </w:rPr>
            </w:pPr>
          </w:p>
        </w:tc>
        <w:tc>
          <w:tcPr>
            <w:tcW w:w="10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bus</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Mining</w:t>
            </w: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Emergency</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Mining</w:t>
            </w: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heavy-tactical</w:t>
            </w:r>
          </w:p>
        </w:tc>
        <w:tc>
          <w:tcPr>
            <w:tcW w:w="3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Support</w:t>
            </w:r>
          </w:p>
        </w:tc>
        <w:tc>
          <w:tcPr>
            <w:tcW w:w="0" w:type="dxa"/>
            <w:vAlign w:val="bottom"/>
          </w:tcPr>
          <w:p>
            <w:pPr>
              <w:spacing w:after="0"/>
              <w:rPr>
                <w:sz w:val="1"/>
                <w:szCs w:val="1"/>
                <w:color w:val="auto"/>
              </w:rPr>
            </w:pPr>
          </w:p>
        </w:tc>
      </w:tr>
      <w:tr>
        <w:trPr>
          <w:trHeight w:val="140"/>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1" w:lineRule="exact"/>
              <w:rPr>
                <w:sz w:val="20"/>
                <w:szCs w:val="20"/>
                <w:color w:val="auto"/>
              </w:rPr>
            </w:pPr>
            <w:r>
              <w:rPr>
                <w:rFonts w:ascii="Arial" w:cs="Arial" w:eastAsia="Arial" w:hAnsi="Arial"/>
                <w:sz w:val="14"/>
                <w:szCs w:val="14"/>
                <w:color w:val="auto"/>
              </w:rPr>
              <w:t>wheeled</w:t>
            </w:r>
          </w:p>
        </w:tc>
        <w:tc>
          <w:tcPr>
            <w:tcW w:w="380" w:type="dxa"/>
            <w:vAlign w:val="bottom"/>
            <w:vMerge w:val="continue"/>
          </w:tcPr>
          <w:p>
            <w:pPr>
              <w:spacing w:after="0"/>
              <w:rPr>
                <w:sz w:val="12"/>
                <w:szCs w:val="12"/>
                <w:color w:val="auto"/>
              </w:rPr>
            </w:pPr>
          </w:p>
        </w:tc>
        <w:tc>
          <w:tcPr>
            <w:tcW w:w="1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Refuse</w:t>
            </w:r>
          </w:p>
        </w:tc>
        <w:tc>
          <w:tcPr>
            <w:tcW w:w="140" w:type="dxa"/>
            <w:vAlign w:val="bottom"/>
          </w:tcPr>
          <w:p>
            <w:pPr>
              <w:ind w:left="80"/>
              <w:spacing w:after="0" w:line="149" w:lineRule="exact"/>
              <w:rPr>
                <w:sz w:val="20"/>
                <w:szCs w:val="20"/>
                <w:color w:val="auto"/>
              </w:rPr>
            </w:pPr>
            <w:r>
              <w:rPr>
                <w:rFonts w:ascii="Arial" w:cs="Arial" w:eastAsia="Arial" w:hAnsi="Arial"/>
                <w:sz w:val="14"/>
                <w:szCs w:val="14"/>
                <w:color w:val="auto"/>
                <w:w w:val="80"/>
              </w:rPr>
              <w:t>•</w:t>
            </w:r>
          </w:p>
        </w:tc>
        <w:tc>
          <w:tcPr>
            <w:tcW w:w="10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Hybrid shuttle</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Refuse</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platforms</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equipment</w:t>
            </w:r>
          </w:p>
        </w:tc>
        <w:tc>
          <w:tcPr>
            <w:tcW w:w="0" w:type="dxa"/>
            <w:vAlign w:val="bottom"/>
          </w:tcPr>
          <w:p>
            <w:pPr>
              <w:spacing w:after="0"/>
              <w:rPr>
                <w:sz w:val="1"/>
                <w:szCs w:val="1"/>
                <w:color w:val="auto"/>
              </w:rPr>
            </w:pPr>
          </w:p>
        </w:tc>
      </w:tr>
      <w:tr>
        <w:trPr>
          <w:trHeight w:val="182"/>
        </w:trPr>
        <w:tc>
          <w:tcPr>
            <w:tcW w:w="2440" w:type="dxa"/>
            <w:vAlign w:val="bottom"/>
            <w:tcBorders>
              <w:left w:val="single" w:sz="8" w:color="auto"/>
              <w:right w:val="single" w:sz="8" w:color="auto"/>
            </w:tcBorders>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bus</w:t>
            </w: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3"/>
              </w:rPr>
              <w:t>Tracked combat</w:t>
            </w:r>
          </w:p>
        </w:tc>
        <w:tc>
          <w:tcPr>
            <w:tcW w:w="3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Remanufactured</w:t>
            </w:r>
          </w:p>
        </w:tc>
        <w:tc>
          <w:tcPr>
            <w:tcW w:w="0" w:type="dxa"/>
            <w:vAlign w:val="bottom"/>
          </w:tcPr>
          <w:p>
            <w:pPr>
              <w:spacing w:after="0"/>
              <w:rPr>
                <w:sz w:val="1"/>
                <w:szCs w:val="1"/>
                <w:color w:val="auto"/>
              </w:rPr>
            </w:pPr>
          </w:p>
        </w:tc>
      </w:tr>
      <w:tr>
        <w:trPr>
          <w:trHeight w:val="88"/>
        </w:trPr>
        <w:tc>
          <w:tcPr>
            <w:tcW w:w="2440" w:type="dxa"/>
            <w:vAlign w:val="bottom"/>
            <w:tcBorders>
              <w:left w:val="single" w:sz="8" w:color="auto"/>
              <w:right w:val="single" w:sz="8" w:color="auto"/>
            </w:tcBorders>
          </w:tcPr>
          <w:p>
            <w:pPr>
              <w:spacing w:after="0"/>
              <w:rPr>
                <w:sz w:val="7"/>
                <w:szCs w:val="7"/>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4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Specialty</w:t>
            </w: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Construction</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Specialty</w:t>
            </w:r>
          </w:p>
        </w:tc>
        <w:tc>
          <w:tcPr>
            <w:tcW w:w="200" w:type="dxa"/>
            <w:vAlign w:val="bottom"/>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platforms</w:t>
            </w:r>
          </w:p>
        </w:tc>
        <w:tc>
          <w:tcPr>
            <w:tcW w:w="380" w:type="dxa"/>
            <w:vAlign w:val="bottom"/>
          </w:tcPr>
          <w:p>
            <w:pPr>
              <w:spacing w:after="0"/>
              <w:rPr>
                <w:sz w:val="12"/>
                <w:szCs w:val="12"/>
                <w:color w:val="auto"/>
              </w:rPr>
            </w:pPr>
          </w:p>
        </w:tc>
        <w:tc>
          <w:tcPr>
            <w:tcW w:w="132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transmissions</w:t>
            </w:r>
          </w:p>
        </w:tc>
        <w:tc>
          <w:tcPr>
            <w:tcW w:w="0" w:type="dxa"/>
            <w:vAlign w:val="bottom"/>
          </w:tcPr>
          <w:p>
            <w:pPr>
              <w:spacing w:after="0"/>
              <w:rPr>
                <w:sz w:val="1"/>
                <w:szCs w:val="1"/>
                <w:color w:val="auto"/>
              </w:rPr>
            </w:pPr>
          </w:p>
        </w:tc>
      </w:tr>
      <w:tr>
        <w:trPr>
          <w:trHeight w:val="182"/>
        </w:trPr>
        <w:tc>
          <w:tcPr>
            <w:tcW w:w="2440" w:type="dxa"/>
            <w:vAlign w:val="bottom"/>
            <w:tcBorders>
              <w:left w:val="single" w:sz="8" w:color="auto"/>
              <w:right w:val="single" w:sz="8" w:color="auto"/>
            </w:tcBorders>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Utility</w:t>
            </w:r>
          </w:p>
        </w:tc>
        <w:tc>
          <w:tcPr>
            <w:tcW w:w="1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vehicle</w:t>
            </w:r>
          </w:p>
        </w:tc>
        <w:tc>
          <w:tcPr>
            <w:tcW w:w="160" w:type="dxa"/>
            <w:vAlign w:val="bottom"/>
            <w:vMerge w:val="restart"/>
          </w:tcPr>
          <w:p>
            <w:pPr>
              <w:ind w:left="100"/>
              <w:spacing w:after="0"/>
              <w:rPr>
                <w:sz w:val="20"/>
                <w:szCs w:val="20"/>
                <w:color w:val="auto"/>
              </w:rPr>
            </w:pPr>
            <w:r>
              <w:rPr>
                <w:rFonts w:ascii="Arial" w:cs="Arial" w:eastAsia="Arial" w:hAnsi="Arial"/>
                <w:sz w:val="14"/>
                <w:szCs w:val="14"/>
                <w:color w:val="auto"/>
                <w:w w:val="80"/>
              </w:rPr>
              <w:t>•</w:t>
            </w:r>
          </w:p>
        </w:tc>
        <w:tc>
          <w:tcPr>
            <w:tcW w:w="1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color w:val="auto"/>
              </w:rPr>
              <w:t>Utility</w:t>
            </w:r>
          </w:p>
        </w:tc>
        <w:tc>
          <w:tcPr>
            <w:tcW w:w="180" w:type="dxa"/>
            <w:vAlign w:val="bottom"/>
          </w:tcPr>
          <w:p>
            <w:pPr>
              <w:spacing w:after="0"/>
              <w:rPr>
                <w:sz w:val="15"/>
                <w:szCs w:val="15"/>
                <w:color w:val="auto"/>
              </w:rPr>
            </w:pPr>
          </w:p>
        </w:tc>
        <w:tc>
          <w:tcPr>
            <w:tcW w:w="10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vehicle</w:t>
            </w:r>
          </w:p>
        </w:tc>
        <w:tc>
          <w:tcPr>
            <w:tcW w:w="2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3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Fluids</w:t>
            </w:r>
          </w:p>
        </w:tc>
        <w:tc>
          <w:tcPr>
            <w:tcW w:w="0" w:type="dxa"/>
            <w:vAlign w:val="bottom"/>
          </w:tcPr>
          <w:p>
            <w:pPr>
              <w:spacing w:after="0"/>
              <w:rPr>
                <w:sz w:val="1"/>
                <w:szCs w:val="1"/>
                <w:color w:val="auto"/>
              </w:rPr>
            </w:pPr>
          </w:p>
        </w:tc>
      </w:tr>
      <w:tr>
        <w:trPr>
          <w:trHeight w:val="103"/>
        </w:trPr>
        <w:tc>
          <w:tcPr>
            <w:tcW w:w="2440" w:type="dxa"/>
            <w:vAlign w:val="bottom"/>
            <w:tcBorders>
              <w:left w:val="single" w:sz="8" w:color="auto"/>
              <w:right w:val="single" w:sz="8" w:color="auto"/>
            </w:tcBorders>
          </w:tcPr>
          <w:p>
            <w:pPr>
              <w:spacing w:after="0"/>
              <w:rPr>
                <w:sz w:val="8"/>
                <w:szCs w:val="8"/>
                <w:color w:val="auto"/>
              </w:rPr>
            </w:pPr>
          </w:p>
        </w:tc>
        <w:tc>
          <w:tcPr>
            <w:tcW w:w="200" w:type="dxa"/>
            <w:vAlign w:val="bottom"/>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60" w:type="dxa"/>
            <w:vAlign w:val="bottom"/>
            <w:vMerge w:val="continue"/>
          </w:tcPr>
          <w:p>
            <w:pPr>
              <w:spacing w:after="0"/>
              <w:rPr>
                <w:sz w:val="8"/>
                <w:szCs w:val="8"/>
                <w:color w:val="auto"/>
              </w:rPr>
            </w:pPr>
          </w:p>
        </w:tc>
        <w:tc>
          <w:tcPr>
            <w:tcW w:w="108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440" w:type="dxa"/>
            <w:vAlign w:val="bottom"/>
            <w:tcBorders>
              <w:left w:val="single" w:sz="8" w:color="auto"/>
              <w:right w:val="single" w:sz="8" w:color="auto"/>
            </w:tcBorders>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9"/>
              </w:rPr>
              <w:t>School, transit,</w:t>
            </w:r>
          </w:p>
        </w:tc>
        <w:tc>
          <w:tcPr>
            <w:tcW w:w="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60" w:type="dxa"/>
            <w:vAlign w:val="bottom"/>
          </w:tcPr>
          <w:p>
            <w:pPr>
              <w:ind w:left="100"/>
              <w:spacing w:after="0"/>
              <w:rPr>
                <w:sz w:val="20"/>
                <w:szCs w:val="20"/>
                <w:color w:val="auto"/>
              </w:rPr>
            </w:pPr>
            <w:r>
              <w:rPr>
                <w:rFonts w:ascii="Arial" w:cs="Arial" w:eastAsia="Arial" w:hAnsi="Arial"/>
                <w:sz w:val="14"/>
                <w:szCs w:val="14"/>
                <w:color w:val="auto"/>
                <w:w w:val="80"/>
              </w:rPr>
              <w:t>•</w:t>
            </w:r>
          </w:p>
        </w:tc>
        <w:tc>
          <w:tcPr>
            <w:tcW w:w="10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Transit, shuttle</w:t>
            </w:r>
          </w:p>
        </w:tc>
        <w:tc>
          <w:tcPr>
            <w:tcW w:w="18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shuttle and</w:t>
            </w:r>
          </w:p>
        </w:tc>
        <w:tc>
          <w:tcPr>
            <w:tcW w:w="14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w w:val="90"/>
              </w:rPr>
              <w:t>and coach buses</w:t>
            </w:r>
          </w:p>
        </w:tc>
        <w:tc>
          <w:tcPr>
            <w:tcW w:w="18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40" w:type="dxa"/>
            <w:vAlign w:val="bottom"/>
            <w:tcBorders>
              <w:left w:val="single" w:sz="8" w:color="auto"/>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coach buses</w:t>
            </w:r>
          </w:p>
        </w:tc>
        <w:tc>
          <w:tcPr>
            <w:tcW w:w="1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40" w:type="dxa"/>
            <w:vAlign w:val="bottom"/>
            <w:tcBorders>
              <w:left w:val="single" w:sz="8" w:color="auto"/>
              <w:right w:val="single" w:sz="8" w:color="auto"/>
            </w:tcBorders>
          </w:tcPr>
          <w:p>
            <w:pPr>
              <w:spacing w:after="0"/>
              <w:rPr>
                <w:sz w:val="23"/>
                <w:szCs w:val="23"/>
                <w:color w:val="auto"/>
              </w:rPr>
            </w:pP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Motorhome</w:t>
            </w:r>
          </w:p>
        </w:tc>
        <w:tc>
          <w:tcPr>
            <w:tcW w:w="14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440" w:type="dxa"/>
            <w:vAlign w:val="bottom"/>
            <w:tcBorders>
              <w:left w:val="single" w:sz="8" w:color="auto"/>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Metro tractors</w:t>
            </w: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right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Refer to NOTE 18, “Concentration of Risk” and NOTE 22, “Geographic Information” in Part II, Item 8, of this Annual Report on Form 10-K for additional information on our significant original equipment manufacturer (“OEM”) customers and net sales by geographical areas.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On-Highway.</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are the largest manufacturer of fully-automatic transmissions for the on-highway medium- and heavy-duty commercial vehicle market in 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288925</wp:posOffset>
            </wp:positionV>
            <wp:extent cx="2872740" cy="2204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7274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Today, we have very limited exposure to the Class 8 tractor market because lower priced manual transmissions generally meet the needs of these vehicles which are primarily used in long distance hauling. However, we have identified a portion of the Class 8 tractor market that we call metro tractors that are used in urban environments the majority of the time. During 2013, we began production of a fully-automatic transmission (the “TC10”) that meets the unique duty cycle requirements of the Class 8 metro tractor market. Combining the startability and continuous, uninterrupted power qualities of a fully-automatic transmission with the cruising aspects of a manual transmission, the TC10 offers an alternative to traditional manual and automated manual transmissions in tractor applications.</w:t>
      </w:r>
    </w:p>
    <w:p>
      <w:pPr>
        <w:spacing w:after="0" w:line="16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sell substantially all of our transmissions in the North American on-highway market to OEMs. These OEMs, in turn, install our transmissions in vehicles in which our transmission is either the exclusive transmission available or is specifically requested by end users who are choosing between a manual transmission, an AMT or a fully-automatic transmission. OEM customers representing approximately 90% of our 2014 North American on-highway unit volume participate in long-term supply agreements (“LTSA”) with us. Generally, these supply agreements offer the OEM customer defined levels of mutual commitment with respect to growing Allison’s presence in the OEMs’ products and promotional efforts, pricing and sharing of commodity cost risk. The length of our customer agreements is typically between four and five years. We often compete in this market against independent manufacturers of manual transmissions, AMTs, fully-automatic transmissions manufactured by Ford Motor Company (“Ford”), ZF Friedrichshafen AG (“ZF”) and Voith GmbH (“Voith”), and against OEMs in certain weight classes that use their own internally manufactured transmissions in certain vehicles.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competitive position by vehicle class in the North America on-highway end market.</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6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jc w:val="center"/>
              <w:ind w:right="428"/>
              <w:spacing w:after="0" w:line="149" w:lineRule="exact"/>
              <w:rPr>
                <w:sz w:val="20"/>
                <w:szCs w:val="20"/>
                <w:color w:val="auto"/>
              </w:rPr>
            </w:pPr>
            <w:r>
              <w:rPr>
                <w:rFonts w:ascii="Arial" w:cs="Arial" w:eastAsia="Arial" w:hAnsi="Arial"/>
                <w:sz w:val="14"/>
                <w:szCs w:val="14"/>
                <w:b w:val="1"/>
                <w:bCs w:val="1"/>
                <w:color w:val="auto"/>
                <w:w w:val="97"/>
              </w:rPr>
              <w:t>CLASS 4-5</w:t>
            </w:r>
          </w:p>
        </w:tc>
        <w:tc>
          <w:tcPr>
            <w:tcW w:w="200" w:type="dxa"/>
            <w:vAlign w:val="bottom"/>
            <w:tcBorders>
              <w:top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CLASS 6-7</w:t>
            </w:r>
          </w:p>
        </w:tc>
        <w:tc>
          <w:tcPr>
            <w:tcW w:w="220" w:type="dxa"/>
            <w:vAlign w:val="bottom"/>
            <w:tcBorders>
              <w:top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rPr>
              <w:t>CLASS 8 STRAIGHT</w:t>
            </w:r>
          </w:p>
        </w:tc>
        <w:tc>
          <w:tcPr>
            <w:tcW w:w="200" w:type="dxa"/>
            <w:vAlign w:val="bottom"/>
            <w:tcBorders>
              <w:top w:val="single" w:sz="8" w:color="auto"/>
            </w:tcBorders>
          </w:tcPr>
          <w:p>
            <w:pPr>
              <w:spacing w:after="0"/>
              <w:rPr>
                <w:sz w:val="12"/>
                <w:szCs w:val="12"/>
                <w:color w:val="auto"/>
              </w:rPr>
            </w:pPr>
          </w:p>
        </w:tc>
        <w:tc>
          <w:tcPr>
            <w:tcW w:w="1740" w:type="dxa"/>
            <w:vAlign w:val="bottom"/>
            <w:tcBorders>
              <w:top w:val="single" w:sz="8" w:color="auto"/>
              <w:right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w w:val="98"/>
              </w:rPr>
              <w:t>SCHOOL BUSES</w:t>
            </w:r>
          </w:p>
        </w:tc>
        <w:tc>
          <w:tcPr>
            <w:tcW w:w="1800" w:type="dxa"/>
            <w:vAlign w:val="bottom"/>
            <w:tcBorders>
              <w:top w:val="single" w:sz="8" w:color="auto"/>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rPr>
              <w:t>MOTORHOMES</w:t>
            </w:r>
          </w:p>
        </w:tc>
        <w:tc>
          <w:tcPr>
            <w:tcW w:w="0" w:type="dxa"/>
            <w:vAlign w:val="bottom"/>
          </w:tcPr>
          <w:p>
            <w:pPr>
              <w:spacing w:after="0"/>
              <w:rPr>
                <w:sz w:val="1"/>
                <w:szCs w:val="1"/>
                <w:color w:val="auto"/>
              </w:rPr>
            </w:pPr>
          </w:p>
        </w:tc>
      </w:tr>
      <w:tr>
        <w:trPr>
          <w:trHeight w:val="176"/>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TRUCKS</w:t>
            </w: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TRUCKS</w:t>
            </w: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TRUCKS</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vMerge w:val="continue"/>
          </w:tcPr>
          <w:p>
            <w:pPr>
              <w:spacing w:after="0"/>
              <w:rPr>
                <w:sz w:val="15"/>
                <w:szCs w:val="15"/>
                <w:color w:val="auto"/>
              </w:rPr>
            </w:pPr>
          </w:p>
        </w:tc>
        <w:tc>
          <w:tcPr>
            <w:tcW w:w="18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2014 S</w:t>
            </w:r>
            <w:r>
              <w:rPr>
                <w:rFonts w:ascii="Arial" w:cs="Arial" w:eastAsia="Arial" w:hAnsi="Arial"/>
                <w:sz w:val="11"/>
                <w:szCs w:val="11"/>
                <w:b w:val="1"/>
                <w:bCs w:val="1"/>
                <w:color w:val="auto"/>
              </w:rPr>
              <w:t>HARE</w:t>
            </w: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jc w:val="center"/>
              <w:ind w:right="448"/>
              <w:spacing w:after="0" w:line="142" w:lineRule="exact"/>
              <w:rPr>
                <w:sz w:val="20"/>
                <w:szCs w:val="20"/>
                <w:color w:val="auto"/>
              </w:rPr>
            </w:pPr>
            <w:r>
              <w:rPr>
                <w:rFonts w:ascii="Arial" w:cs="Arial" w:eastAsia="Arial" w:hAnsi="Arial"/>
                <w:sz w:val="14"/>
                <w:szCs w:val="14"/>
                <w:color w:val="auto"/>
                <w:w w:val="98"/>
              </w:rPr>
              <w:t>5%</w:t>
            </w:r>
          </w:p>
        </w:tc>
        <w:tc>
          <w:tcPr>
            <w:tcW w:w="20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jc w:val="center"/>
              <w:ind w:right="68"/>
              <w:spacing w:after="0" w:line="142" w:lineRule="exact"/>
              <w:rPr>
                <w:sz w:val="20"/>
                <w:szCs w:val="20"/>
                <w:color w:val="auto"/>
              </w:rPr>
            </w:pPr>
            <w:r>
              <w:rPr>
                <w:rFonts w:ascii="Arial" w:cs="Arial" w:eastAsia="Arial" w:hAnsi="Arial"/>
                <w:sz w:val="14"/>
                <w:szCs w:val="14"/>
                <w:color w:val="auto"/>
                <w:w w:val="92"/>
              </w:rPr>
              <w:t>74%</w:t>
            </w:r>
          </w:p>
        </w:tc>
        <w:tc>
          <w:tcPr>
            <w:tcW w:w="220" w:type="dxa"/>
            <w:vAlign w:val="bottom"/>
            <w:tcBorders>
              <w:bottom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jc w:val="center"/>
              <w:ind w:right="68"/>
              <w:spacing w:after="0" w:line="142" w:lineRule="exact"/>
              <w:rPr>
                <w:sz w:val="20"/>
                <w:szCs w:val="20"/>
                <w:color w:val="auto"/>
              </w:rPr>
            </w:pPr>
            <w:r>
              <w:rPr>
                <w:rFonts w:ascii="Arial" w:cs="Arial" w:eastAsia="Arial" w:hAnsi="Arial"/>
                <w:sz w:val="14"/>
                <w:szCs w:val="14"/>
                <w:color w:val="auto"/>
                <w:w w:val="92"/>
              </w:rPr>
              <w:t>57%</w:t>
            </w: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right"/>
              <w:ind w:right="728"/>
              <w:spacing w:after="0" w:line="142" w:lineRule="exact"/>
              <w:rPr>
                <w:sz w:val="20"/>
                <w:szCs w:val="20"/>
                <w:color w:val="auto"/>
              </w:rPr>
            </w:pPr>
            <w:r>
              <w:rPr>
                <w:rFonts w:ascii="Arial" w:cs="Arial" w:eastAsia="Arial" w:hAnsi="Arial"/>
                <w:sz w:val="14"/>
                <w:szCs w:val="14"/>
                <w:color w:val="auto"/>
              </w:rPr>
              <w:t>95%</w:t>
            </w:r>
          </w:p>
        </w:tc>
        <w:tc>
          <w:tcPr>
            <w:tcW w:w="1800" w:type="dxa"/>
            <w:vAlign w:val="bottom"/>
            <w:tcBorders>
              <w:bottom w:val="single" w:sz="8" w:color="auto"/>
              <w:right w:val="single" w:sz="8" w:color="auto"/>
            </w:tcBorders>
          </w:tcPr>
          <w:p>
            <w:pPr>
              <w:jc w:val="right"/>
              <w:ind w:right="748"/>
              <w:spacing w:after="0" w:line="142"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23"/>
        </w:trPr>
        <w:tc>
          <w:tcPr>
            <w:tcW w:w="19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RIMARY</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OMPETITION</w:t>
            </w:r>
          </w:p>
        </w:tc>
        <w:tc>
          <w:tcPr>
            <w:tcW w:w="640" w:type="dxa"/>
            <w:vAlign w:val="bottom"/>
          </w:tcPr>
          <w:p>
            <w:pPr>
              <w:ind w:left="160"/>
              <w:spacing w:after="0" w:line="123" w:lineRule="exact"/>
              <w:rPr>
                <w:sz w:val="20"/>
                <w:szCs w:val="20"/>
                <w:color w:val="auto"/>
              </w:rPr>
            </w:pPr>
            <w:r>
              <w:rPr>
                <w:rFonts w:ascii="Arial" w:cs="Arial" w:eastAsia="Arial" w:hAnsi="Arial"/>
                <w:sz w:val="14"/>
                <w:szCs w:val="14"/>
                <w:color w:val="auto"/>
              </w:rPr>
              <w:t>•  Ford</w:t>
            </w:r>
          </w:p>
        </w:tc>
        <w:tc>
          <w:tcPr>
            <w:tcW w:w="1240" w:type="dxa"/>
            <w:vAlign w:val="bottom"/>
            <w:tcBorders>
              <w:right w:val="single" w:sz="8" w:color="auto"/>
            </w:tcBorders>
          </w:tcPr>
          <w:p>
            <w:pPr>
              <w:spacing w:after="0"/>
              <w:rPr>
                <w:sz w:val="10"/>
                <w:szCs w:val="10"/>
                <w:color w:val="auto"/>
              </w:rPr>
            </w:pPr>
          </w:p>
        </w:tc>
        <w:tc>
          <w:tcPr>
            <w:tcW w:w="20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7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Manual Transmissions</w:t>
            </w:r>
          </w:p>
        </w:tc>
        <w:tc>
          <w:tcPr>
            <w:tcW w:w="22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72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Manual Transmissions</w:t>
            </w:r>
          </w:p>
        </w:tc>
        <w:tc>
          <w:tcPr>
            <w:tcW w:w="20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Ford</w:t>
            </w:r>
          </w:p>
        </w:tc>
        <w:tc>
          <w:tcPr>
            <w:tcW w:w="180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  Ford</w:t>
            </w: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72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AMTs</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72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AMTs</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Voith</w:t>
            </w: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Ford</w:t>
            </w: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ZF</w:t>
            </w:r>
          </w:p>
        </w:tc>
        <w:tc>
          <w:tcPr>
            <w:tcW w:w="1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459" w:right="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Hybrid Transit Buses.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interest in conserving fuel and reducing greenhouse gas emissions is driving demand for more fuel efficient commercial vehicles. In North America, we sold approximately 73% of all units for the hybrid transit bus market in 2014. Our customers in this North American end market are typically city, state and federal governmental entities, which utilize government funds to subsidize a portion of the purchase price for the transit buses containing our hybrid-propulsion system. In this market, we compete primarily with BAE Systems plc (“BAE”).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Off-Highway.</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provided products used in vehicles and equipment that serve energy, mining and construction applications in North America for over 50 years. Off-highway energy applications include hydraulic fracturing equipment, well-stimulation equipment, pumping equipment, and well-servicing rigs, which often use a fully-automatic transmission to propel the vehicle and drive auxiliary equipment. We maintain a leadership position in this end market, with nearly all producers of well-stimulation and well-servicing equipment utilizing our heavy duty off-highway transmissions. Additionally, we sell kits that can increase the horsepower of existing off-highway products. Competition includes Caterpillar, Inc. (“Caterpillar”) and Twin Disc, Inc. (“Twin Disc”).</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fully-automatic transmissions for their own vehicles. Specialty vehicles using our heavy-duty transmissions include airport rescue and firefighting vehicles and heavy-equipment transporters. Construction applications include articulated dump trucks with Caterpillar, Volvo and ZF as competitors.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Outside North America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Outside North America we serve several different markets, including: Europe, Middle East, Africa (“EMEA”), Asia-Pacific, South America and India.</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On-Highway.</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are the largest manufacturer of fully-automatic transmissions for the commercial vehicle market outside of North America. While the use of fully-automatic transmissions in the medium- and heavy-duty commercial vehicle market has been widely accepted in North America, the markets outside North America continue to be dominated by manual transmissions. In 2014, fully-automatic transmission-equipped medium- and heavy-duty commercial vehicles represented less than 5% of the vehicles in markets outside North America and are concentrated in certain vocational end markets.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300355</wp:posOffset>
            </wp:positionV>
            <wp:extent cx="2872740" cy="2015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7274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i w:val="1"/>
          <w:iCs w:val="1"/>
          <w:color w:val="auto"/>
        </w:rPr>
        <w:t>Europe, Middle East, Africa</w:t>
      </w:r>
      <w:r>
        <w:rPr>
          <w:rFonts w:ascii="Arial" w:cs="Arial" w:eastAsia="Arial" w:hAnsi="Arial"/>
          <w:sz w:val="16"/>
          <w:szCs w:val="16"/>
          <w:color w:val="auto"/>
        </w:rPr>
        <w:t>. EMEA is composed of several different markets, each of which differs significantly from our core North American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by the degree of market maturity, sophistication and acceptance of fully-automatic transmission technology. Within Europe, we serve Western European developed markets, as well as Russian and Eastern European emerging markets, principally in the refuse, emergency, bus, coach, distribution and utility markets. Competition in Western Europe is most notably characterized by a high level of vertical powertrain integration with OEMs often utilizing their own manual transmissions and AMTs in their vehicles. The Middle East and Africa regions are generally characterized by very limited local vehicle production, with imports from the U.S., South America, Turkey, China, India and Europe accounting for the majority of vehicles.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China, Japan, Australia, and South Korea; however, we actively participate in several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important Asia-Pacific countries including Taiwan, Indonesia, Malaysia and Thailand, which are primarily importers of commercial vehicles. Within Asia-Pacific, our sales efforts are principally focused on the transit bus and vocational truck markets. Currently, manual transmissions are the predominant transmissions used in commercial vehicles in the Asia-Pacific region.</w:t>
      </w:r>
    </w:p>
    <w:p>
      <w:pPr>
        <w:spacing w:after="0" w:line="187"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b w:val="1"/>
          <w:bCs w:val="1"/>
          <w:i w:val="1"/>
          <w:iCs w:val="1"/>
          <w:color w:val="auto"/>
        </w:rPr>
        <w:t>South America</w:t>
      </w:r>
      <w:r>
        <w:rPr>
          <w:rFonts w:ascii="Arial" w:cs="Arial" w:eastAsia="Arial" w:hAnsi="Arial"/>
          <w:sz w:val="17"/>
          <w:szCs w:val="17"/>
          <w:color w:val="auto"/>
        </w:rPr>
        <w:t>. The South American region is characterized by a high level of OEM integration, with captive manual transmission and AMT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Currently, manual transmissions are the predominant transmissions used in commercial vehicles in South America.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India</w:t>
      </w:r>
      <w:r>
        <w:rPr>
          <w:rFonts w:ascii="Arial" w:cs="Arial" w:eastAsia="Arial" w:hAnsi="Arial"/>
          <w:sz w:val="18"/>
          <w:szCs w:val="18"/>
          <w:color w:val="auto"/>
        </w:rPr>
        <w:t>. Currently, manual transmissions are the predominant transmission used in commercial vehicles in India.</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Off-Highway.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323850</wp:posOffset>
            </wp:positionV>
            <wp:extent cx="2872740" cy="2238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7274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Europe, Middle East, Africa. </w:t>
      </w:r>
      <w:r>
        <w:rPr>
          <w:rFonts w:ascii="Arial" w:cs="Arial" w:eastAsia="Arial" w:hAnsi="Arial"/>
          <w:sz w:val="16"/>
          <w:szCs w:val="16"/>
          <w:color w:val="auto"/>
        </w:rPr>
        <w:t>Our off-highway markets in EMEA are mining and construction. Our major off-highway competitors are Caterpillar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Komatsu, both of which are vertically integrated manufacturers of off-highway mining vehicles, including the specific fully-automatic transmission used in their mining trucks. A typical construction application is the articulated dump truck, with competition from Caterpillar, Volvo and ZF transmissions.</w:t>
      </w:r>
    </w:p>
    <w:p>
      <w:pPr>
        <w:spacing w:after="0" w:line="14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b w:val="1"/>
          <w:bCs w:val="1"/>
          <w:i w:val="1"/>
          <w:iCs w:val="1"/>
          <w:color w:val="auto"/>
        </w:rPr>
        <w:t>Asia-Pacific</w:t>
      </w:r>
      <w:r>
        <w:rPr>
          <w:rFonts w:ascii="Arial" w:cs="Arial" w:eastAsia="Arial" w:hAnsi="Arial"/>
          <w:sz w:val="18"/>
          <w:szCs w:val="18"/>
          <w:color w:val="auto"/>
        </w:rPr>
        <w:t>. Off-highway markets in Asia are shared by energy, mining and construction applications. Our primary competitors are Caterpillar,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Danyang Winstar Auto Parts Co. and Twin Disc in energy applications, Caterpillar and Komatsu in mining applications and Caterpillar, Volvo and ZF in construction applications.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Defense</w:t>
      </w:r>
    </w:p>
    <w:p>
      <w:pPr>
        <w:spacing w:after="0" w:line="121" w:lineRule="exact"/>
        <w:rPr>
          <w:sz w:val="20"/>
          <w:szCs w:val="20"/>
          <w:color w:val="auto"/>
        </w:rPr>
      </w:pPr>
    </w:p>
    <w:p>
      <w:pPr>
        <w:ind w:right="260" w:firstLine="456"/>
        <w:spacing w:after="0" w:line="293" w:lineRule="auto"/>
        <w:rPr>
          <w:sz w:val="20"/>
          <w:szCs w:val="20"/>
          <w:color w:val="auto"/>
        </w:rPr>
      </w:pPr>
      <w:r>
        <w:rPr>
          <w:rFonts w:ascii="Arial" w:cs="Arial" w:eastAsia="Arial" w:hAnsi="Arial"/>
          <w:sz w:val="16"/>
          <w:szCs w:val="16"/>
          <w:color w:val="auto"/>
        </w:rPr>
        <w:t>We have a long-standing relationship with the U.S. Department of Defense (“DOD”), dating back to 1946, when we began developing our first-generation tank transmission. Today, we sell substantially all of the transmissions for medium- and heavy-tactical wheeled vehicle platforms including the Family of Medium Tactical Vehicles, Armored Security Vehicles, Heavy Expanded Mobility Tactical Trucks, Heavy Equipment Transporters, Palletized Loading Systems, M915 Series Trucks, Medium Tactical Vehicle Replacements and the Logistic Vehicle System Replacement. Additionally, we supplied transmissions for the majority of Mine-Resistant Ambush Protected (“MRAP”) Vehicles and the MRAP All-Terrain Vehicle and for all three potential manufacturers of the Joint Light Tactical Vehicles. Transmissions for our wheeled vehicle platforms are typically sold to OEMs.</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also the supplier on two of the three key tracked vehicle platforms, the Abrams tank and the M113 family of vehicles, which are sold directly to the DOD. Additionally, we sell parts kits to licensees for the production of transmissions for tracked vehicles manufactured outside North America. Overall, we have seen the demand for U.S. defense vehicles decrease as the funding for defense vehicles declines. Additionally, the DOD budgets and supplemental spending have allowed them to recapitalize and reset many vehicle systems, which has reduced the average age of the fleet and the need to procure new vehicles.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Globally, we face competition for the supply of our transmissions in tracked defense vehicles primarily from L-3 Communications Corporation, Renk AG and ZF. Additionally, we face limited competition from Caterpillar in certain defense wheeled vehicle platforms.</w:t>
      </w:r>
    </w:p>
    <w:p>
      <w:pPr>
        <w:sectPr>
          <w:pgSz w:w="11900" w:h="16838" w:orient="portrait"/>
          <w:cols w:equalWidth="0" w:num="1">
            <w:col w:w="11360"/>
          </w:cols>
          <w:pgMar w:left="240" w:top="459" w:right="299" w:bottom="1440" w:gutter="0" w:footer="0" w:header="0"/>
        </w:sectPr>
      </w:pP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459" w:right="2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aftermarket provides us with a relatively stable source of revenues as the installed base of vehicles and equipment utilizing our transmissions continues to grow. The need for replacement parts is driven by normal vehicle and equipment maintenance requirements and is not significantly impacted by economic cycles. Uninterrupted operation is generally critical for end users’ profitability. End users focus on getting the vehicle back in service, which in some cases results in the aftermarket purchase decision being less price-sensitive.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sale of Allison-branded parts and fluids, remanufactured transmissions and support equipment is fundamental to our brand promise. We have assembled a worldwide network of approximately 1,400 independent distributor and dealer locations to sell, service and support our transmissions.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transmissions into vehicles, and, therefore, sales of support equipment are dependent upon sales of new transmissions.</w:t>
      </w:r>
    </w:p>
    <w:p>
      <w:pPr>
        <w:spacing w:after="0" w:line="19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Over the last few years, traditional aftermarket sales have been tempered by improvements in product quality and durability. While traditional aftermarket sales are expected to grow, support equipment sales fluctuate with the introduction of new transmissions.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Product Offerings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Allison transmissions are sold under the Allison Transmission brand name and remanufactured transmissions are sold under the ReTran brand 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13 transmission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160020</wp:posOffset>
            </wp:positionV>
            <wp:extent cx="6011545" cy="6543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11545" cy="654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497205</wp:posOffset>
            </wp:positionV>
            <wp:extent cx="6003290" cy="6251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3290" cy="625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our current product offerings, we have other products and technologies under development, including hybrid-propulsion systems designed for use in medium- and heavy-duty commercial trucks and buses, higher horsepower fracturing transmissions for use in off-highway applications and fuel efficiency options for our on-highway products. During 2014, we recorded an impairment loss related to certain long-lived assets associated with the production of the H3000 and H4000 hybrid-propulsion systems. See NOTE 2 of Notes to Consolidated Financial Statements included in Part II, Item 8 of this Annual Report on Form 10-K for additional details.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Product Development and Engineering</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maintain product development and engineering capability dedicated to the design, development, refinement and support of our fully-automatic transmissions and hybrid-propulsion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transmission control software and mechanical components to optimize fuel economy while delivering desired vehicle performance. Further, we are developing new technology and products to improve fuel efficiency and fuel economy by allowing engines to operate more efficiently and at lower speeds to avoid consuming fuel without compromising performance. Building on our engineering capabilities, we pioneered hybrid-propulsion in commercial vehicles and are developing new hybrid variants and alternative technologies for use in our global commercial vehicle markets. For the years ended December 31, 2014, 2013 and 2012, we have incurred $103.8 million, $97.1 million and $115.1 million of engineering – research and development expense, respectively.</w:t>
      </w:r>
    </w:p>
    <w:p>
      <w:pPr>
        <w:spacing w:after="0" w:line="19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From time to time, we acquire certain licenses to provide us with technology to complement our portfolio of products and product initiatives, such as our engineering development agreement with Torotrak plc and our development agreement with Fallbrook Technologies, Inc. For the years ended December 31, 2014, 2013 and 2012, we have incurred $6.1 million, $6.0 million and $12.0 million, respectively, of engineering – research and development expense related to technology-related licenses.</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maintain test tracks on our Indianapolis, Indiana campus and at our location in Szentgotthard, Hungary for vehicle drive, testing and calibration activities in addition to being a demonstration venue for customers. We also use test track facilities in New Carlisle, Indiana and Apache Junction, Arizona.</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Sales and Marketing Organization</w:t>
      </w:r>
    </w:p>
    <w:p>
      <w:pPr>
        <w:spacing w:after="0" w:line="121"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national accounts, for our large end users.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service and application engineering through professionals based in Indianapolis, Indiana and Detroit, Michigan.</w:t>
      </w:r>
    </w:p>
    <w:p>
      <w:pPr>
        <w:spacing w:after="0" w:line="19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We have developed a marketing strategy to reach OEM customers as well as end users. We target our end users primarily through marketing activities by our sales staff, who directly call end users and attend local trade shows, targeting specific vocations globally and through our plant tour programs, where end users may test our products on the Indianapolis test track and our enhanced customer experience demonstration track at our Hungary facility.</w:t>
      </w:r>
    </w:p>
    <w:p>
      <w:pPr>
        <w:spacing w:after="0" w:line="147" w:lineRule="exact"/>
        <w:rPr>
          <w:sz w:val="20"/>
          <w:szCs w:val="20"/>
          <w:color w:val="auto"/>
        </w:rPr>
      </w:pPr>
    </w:p>
    <w:p>
      <w:pPr>
        <w:jc w:val="both"/>
        <w:ind w:right="120" w:firstLine="456"/>
        <w:spacing w:after="0" w:line="277"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fully-automatic transmissions through:</w:t>
      </w:r>
    </w:p>
    <w:p>
      <w:pPr>
        <w:spacing w:after="0" w:line="76" w:lineRule="exact"/>
        <w:rPr>
          <w:sz w:val="20"/>
          <w:szCs w:val="20"/>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OEM promotion of our products and incorporation of fully-automatic transmissions in their commercial vehicle product offerings;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network of independent dealers who contact other end users.</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process is interactive, as Allison representatives, Allison distributors and OEM dealers educate customers and respond to the specific applications, requirements and needs of numerous specialty markets.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marketing group follows a defined plan that identifies country, vehicle and specific OEMs and then approaches the ultimate end user through a variety of channels.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six plants. We also have established customization and parts distribution in the United States, The Netherlands, Brazil, China, Hungary, India and Japan, and plants in Chennai, India and Szentgotthard, Hungary. Our high volume on-highway products are produced in multiple global locations while off-highway, hybrid-propulsion and defense tracked products are produced in Indianapolis.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Suppliers and Raw Materials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significant amount of the part numbers that make up our transmissions are purchased from outside suppliers, and during 2014, we purchased approximately $750.0 million of direct materials and components from outside suppliers. The largest elements of our direct spending are aluminum and steel castings and forgings that are formed by our suppliers into our larger components and assemblies for use in our transmissions. However, our spending on aluminum and steel raw materials directly and indirectly through our purchase of these components constituted approximately 10% of our direct material and component costs in 2014.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industry-leading quality.</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Patents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proprietary information. We own 79 issued patents, and we have licensing arrangements with respect to more than 600 additional issued patents. We have more than 200 pending patent applications throughout the world that relate to aspects of the technology incorporated in many of our products.</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addition, in conjunction with the sale of Allison (the “Acquisition Transaction”) by Old GM, we acquired an irrevocable, royalty-free, worldwide license of more than 400 U.S. and foreign patents and patent applications, as well as certain unpatented technology and know-how, to manufacture, use and sell fully-automatic transmissions and certain hybrid-propulsion systems for use in vocational and defense vehicles and off-highway products. Such licenses are subject to certain limitations. See Part I, Item 1A, “Risk Factors” of this Annual Report on Form 10-K for a complete discussion of these risks and limitations. In addition, we acquired from Old GM an irrevocable, royalty-free, worldwide license under computer software programs that we use to run our business, including product design. Allison also acquired ownership of trademarks and copyrights relating to our business, subject in some cases to a non-exclusive license back to Old GM for use in connection with its existing six-speed A1000 transmission products, but only up to the termination of production of the A1000 transmission product by General Motors Company (“GM”), the successor to Old GM. GM has assumed Old GM’s obligations under these agreements pursuant to an agreement between us and GM in which GM assumed certain contracts and agreements between us and Old GM (the “Cure Agreement”).</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Working capital levels do not fluctuate significantly in the normal course for our business.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December 31, 2014, we had approximately 2,700 employees, with more than 90% of those employees in the U.S. Approximately 60% of our U.S. employees are represented by the International Union, United Automobile, Aerospace and Agricultural Implement Workers of America (“UAW”) and are subject to a collective bargaining agreement. In November 2012, we entered into a five year agreement with the UAW Local 933 that expires in November 2017. As approximately 50% of our represented employees are currently retirement eligible, we anticipate a shift toward increasing the number of second tier employees over the coming years. There have been no strikes or work stoppages due to Allison-specific issues in over 30 years.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a variety of federal, state, local and foreign environmental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costs of achieving and maintaining compliance with environmental, health and safety requirements have not been material to our results.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Increasing global efforts to control emissions of carbon dioxide, methane, ozone, nitrogen oxide (“NOx”)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the U.S. Congress is considering proposals to limit greenhouse gas emissions, and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results.</w:t>
      </w:r>
    </w:p>
    <w:p>
      <w:pPr>
        <w:spacing w:after="0" w:line="193"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Also, under the Asset Purchase Agreement, Old GM agreed to indemnify us against certain environmental liabilities, including pre-Acquisition Transaction offsite waste disposal from our facilities, former facilities associated with our business and any properties or facilities relating to our business that Old GM retained. While we are presently responsible for environmental liabilities that arise due to our post-Acquisition Transaction activities, GM, as successor to Old GM’s obligations pursuant to the Cure Agreement, continues to perform remedial activities at our Indianapolis, Indiana manufacturing facilities relating to historical soil and groundwater contamination at the facilities. GM is performing such activities, which we refer to as the “Corrective Action”, pursuant to the Asset Purchase Agreement, whereby it retained responsibility for completing all obligations covered by a voluntary Corrective Action Agreement that Old GM entered with the EPA. Once the EPA determines that GM’s remedial activities are complete and that the migration of any contamination is under control, we will assume responsibility for operating, monitoring and maintaining the ongoing Corrective Action activities and it is likely this will be performed under an agreed order of consent (“AOC”) with the EPA. It is likely that the AOC will require us to provide financial assurances to complete the operation, monitoring and maintenance activities in the event we fail to do so. This financial assurance can take a variety of forms including, but not limited to meeting certain financial metrics, providing a letter of credit, or securing a bond or an insurance policy. We have not yet established accruals for our expected future liability with respect to this activity, as we do not yet know the estimated cost. Once the EPA determines that GM’s remedial activities are complete as described above, and we assume responsibility for operating, monitoring and maintaining the ongoing Corrective Action activities previously managed by GM, we will be responsible for all environmental liabilities that may arise at any of our properties, including with respect to contamination that may have occurred at our properties prior to the Acquisition Transaction. Additionally, there can be no assurances that GM will comply with its indemnity obligations or with its remedial obligations at the Indianapolis, Indiana manufacturing facilities, or that future environmental remediation obligations will not have a material adverse impact on our results.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compete on the basis of product performance, quality, price, distribution capability and service in addition to other factors. We face competition from numerous manufacturers of various types of transmissions for commercial vehicles, such as manual transmissions, AMTs and fully-automatic transmissions. We also face competition from manufacturers in our international operations and from international manufacturers entering our domestic market. Furthermore, some of our customers are OEMs that manufacture transmissions for their own products. Despite their transmission manufacturing abilities, our existing OEM customers have chosen to purchase certain transmissions from us due to the quality, reliability and strong brand of our transmissions and in order to limit fixed costs, minimize production risks and maintain company focus on commercial vehicle design, production and marketing.</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(the “Exchange Act”). These periodic and current reports and all amendments to those reports are available free of charge on the investor relations page of our website at http://ir.allisontransmission.com.We have included our website address throughout this filing as textual references only. The information contained on our website is not incorporated into this Annual Report on Form 10-K. The public may read and copy any materials we file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electronically with the SEC at http://www.sec.gov.</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The following is a cautionary discussion of risks, uncertainties and assumptions that we believe are significant to our business. In addition to the factors discussed elsewhere in this Annual Report on Form 10-K, the following are some of the important factors that, individually or in the aggregate, we believe could make our actual results differ materially from those described in any forward-looking statements. It is impossible to predict or identify all such factors and, as a result, you should not consider the following factors to be a complete discussion of risks, uncertainties and assumptions.</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62"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Our business operates in competitive markets. We compete against other global manufacturers on the basis of product performance, quality, price, distribution capability and service in addition to other factors. Actions by our competitors could lead to downward pressure on prices and/or a decline in our market share, either or both of which could adversely affect our results. We face competition from domestic manufacturers of manual transmissions, AMTs and fully-automatic transmissions for commercial vehicles. In particular, we could face competition from well-capitalized entrants into the transmission market, as well as from aggressive pricing tactics by other transmission manufacturers trying to gain market share. We also face competition from international manufacturers in our international markets and from international manufacturers entering our domestic market.</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some of our customers or future customers are OEMs that manufacture or could in the future manufacture transmissions for their own products. Despite their transmission manufacturing abilities, our existing OEM customers have chosen to purchase certain transmissions from us due to customer demand, resulting from the quality of our transmission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manufacturer, the inability of third-party suppliers to meet specifications and the emergence of low-cost production opportunities in foreign countries. As a result, these OEMs may use transmissions produced internally or by another manufacturer and no longer choose to purchase transmissions from us. A significant reduction in the level of external sourcing of transmission production by our OEM customers could significantly impact our net sales and cash flows and, accordingly, have a material adverse effect on our business, results of operations and financial condition.</w:t>
      </w:r>
    </w:p>
    <w:p>
      <w:pPr>
        <w:spacing w:after="0" w:line="290" w:lineRule="exact"/>
        <w:rPr>
          <w:sz w:val="20"/>
          <w:szCs w:val="20"/>
          <w:color w:val="auto"/>
        </w:rPr>
      </w:pPr>
    </w:p>
    <w:p>
      <w:pPr>
        <w:ind w:left="240" w:right="220"/>
        <w:spacing w:after="0" w:line="308" w:lineRule="auto"/>
        <w:rPr>
          <w:sz w:val="20"/>
          <w:szCs w:val="20"/>
          <w:color w:val="auto"/>
        </w:rPr>
      </w:pPr>
      <w:r>
        <w:rPr>
          <w:rFonts w:ascii="Arial" w:cs="Arial" w:eastAsia="Arial" w:hAnsi="Arial"/>
          <w:sz w:val="17"/>
          <w:szCs w:val="17"/>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3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274"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fully-automatic transmissions in commercial vehicles outside North America does not increase.</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may include the large existing installed base of manual transmissions, customer preferences for manual transmissions, commercial vehicle OEM integration into manual transmission and AMT manufacturing, and failure to further develop the Allison brand. If the rate of adoption of fully-automatic transmissions does not increase as we have anticipated, our long-term growth prospects and results of operations may be impaired.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materially adverse effect on our results of operations.</w:t>
      </w:r>
    </w:p>
    <w:p>
      <w:pPr>
        <w:spacing w:after="0" w:line="7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have in the past and may in the future derive a significant portion of our net sales from a relatively limited number of OEM customers. For the years ended December 31, 2014, 2013 and 2012, our top five customers accounted for approximately 45%, 48% and 45% of our net sales, respectively. Our top two customers, Daimler and Navistar, accounted for approximately 17% and 10%, respectively, of our net sales during 2014. The commercial vehicle industry, including our customers and suppliers, continues to experience volatility and uncertainty.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273"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Sales of our hybrid-propulsion systems have been, and may continue to be, negatively impacted by governmental entities electing not to subsidize the purchase of such products by end users and other external factors.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sales of our hybrid-propulsion systems for use in transit buses have been, and may continue to be, negatively impacted by governmental entities electing not to subsidize the purchase of such products by end users. In 2014, we derived approximately 4% of our net sales from the sale of hybrid-propulsion systems for use in transit buses to city, state and federal governmental end users. Such end users may be eligible to receive certain subsidies as a result of their purchase of vehicles using hybrid-propulsion systems. For example, the Federal Transit Authority and the DOE provide funds for end users to pursue alternative fuel propulsion systems. While we do not directly receive these subsidies, if any of the subsidizing entities elect to curtail such subsidies to end users for any reason including governmental budget reductions and related fiscal matters, failure of our hybrid technology to qualify for such subsidies or redundancy by alternative technologies created by our competitors, our sales from our hybrid-propulsion systems may be negatively impacted. In addition, other external factors, including diesel and natural gas fuel price trends, emissions and on-board diagnostics regulatory requirements, availability of compatible engine calibrations from engine manufacturers and alternative emerging green technologies, have, and may continue to, negatively impact sales of our hybrid-propulsion systems. For the years ended December 31, 2014, 2013 and 2012, we experienced decreases in revenue generated from hybrid-propulsion systems for use in transit buses of 11%, 9% and 14%, respectively.</w:t>
      </w:r>
    </w:p>
    <w:p>
      <w:pPr>
        <w:spacing w:after="0" w:line="291"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A majority of our sales to the defense end market are to U.S. government entities, and the loss of a significant number of our contracts, budgetary declines or future reductions or changes in U.S. government spending would have a material adverse effect on our results of operations and financial condition.</w:t>
      </w:r>
    </w:p>
    <w:p>
      <w:pPr>
        <w:spacing w:after="0" w:line="73"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Our net sales to the defense end market are predominantly derived from contracts (revenue arrangements) with agencies of, and prime system contractors to, the U.S. government. If a significant number of our DOD contracts and subcontracts are simultaneously delayed or cancelled for budgetary, performance or other reasons, it would have a material adverse effect on our results of operations and financial condition. Approximately 7%, or $157 million, of our net sales for the year ended December 31, 2014 were made directly or indirectly to U.S. government agencies, including the DOD.</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Sales in our defense end market have been, and we expect will continue to be, negatively impacted by declining DOD spending on wheeled and tracked vehicles. In addition to declines in defense budgets, our future financial results may be adversely affected by:</w:t>
      </w:r>
    </w:p>
    <w:p>
      <w:pPr>
        <w:spacing w:after="0" w:line="76" w:lineRule="exact"/>
        <w:rPr>
          <w:sz w:val="20"/>
          <w:szCs w:val="20"/>
          <w:color w:val="auto"/>
        </w:rPr>
      </w:pPr>
    </w:p>
    <w:p>
      <w:pPr>
        <w:ind w:left="900" w:right="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curtailment of the U.S. government’s use of technology or other services and product providers, including curtailment due to government budget reductions, future government shutdowns and related fiscal matters;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geopolitical developments that affect demand for our products and services;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developments that impact purchasing decisions or our competitive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Continued volatility in and disruption to the global economic environment could adversely affect the ability of customers and suppliers to obtain credit and may have a material adverse effect on our business, results of operations and financial condition.</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288"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such as our H 40/50 EP hybrid-propulsion transit bus system, where certain units were falling short of their expected service life and we offered repair and replacement for an extended period. See NOTE 9 of Notes to Consolidated Financial Statements included in Part II, Item 8 of this Annual Report on Form 10-K for additional details regarding this warranty issue. We cannot give assurance similar product defects will not occur in the future.</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Furthermore, our business depends on the strong brand reputation we have developed. In addition to the risk of defective products we face with our new product installations, we also face significant risks in our efforts to penetrate new markets, where we have limited brand recognition. We also rely on our reputation with end users of our transmissions to specify our transmissions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brand and reputation are dependent on the continued participation and level of service of our numerous independent distributors and dealers.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work with a network of approximately 1,400 independent distributors and dealers that provide post-sale service and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successful in introducing our new products and responding to customer needs.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recently began production of the TC10 and currently have additional new products and technologies under development. The development of new products and technologies is difficult and the timetable for commercial release is uncertain, and we may not be successful in introducing our new products and responding to customer needs. In addition, it often takes significant time, in some cases multiple fleet buy cycles, before customers gain experience with new products and technologies and those new products and technologies become widely-accepted by the market. If we do not adequately anticipate the changing needs of our customers by developing and introducing new and effective products and technologies on a timely basis, our competitive position and prospects could be harmed. If our competitors are able to respond to changing market demands and adopt new technologies more quickly than we do, demand for our products could decline, our competitive position could be harmed, and we will not be able to recoup a return on our development investments. Moreover, changing customer demands as well as evolving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in production, our net sales and results of operations may be materially adversely affected.</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depends on continued research and development efforts, the outcome of which is uncertain.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success depends on our ability to improve the efficiency and performance of our transmissions, and we invest significant resources in research and development in order to do so. Nevertheless, the research and development process is time-consuming and costly, and offers uncertain results. We may not be able through our research and development efforts to keep pace with improvements in transmission-related technology of our competitors, and licenses for technologies that would enable us to keep pace with our competitors may not be available on commercially reasonable terms if at all. Finally, our research and development efforts, and generally our ability to introduce improved products in the marketplace, may be constrained by the patents and other intellectual property rights of competitors and others.</w:t>
      </w:r>
    </w:p>
    <w:p>
      <w:pPr>
        <w:spacing w:after="0" w:line="301" w:lineRule="exact"/>
        <w:rPr>
          <w:sz w:val="20"/>
          <w:szCs w:val="20"/>
          <w:color w:val="auto"/>
        </w:rPr>
      </w:pPr>
    </w:p>
    <w:p>
      <w:pPr>
        <w:ind w:left="240" w:right="520"/>
        <w:spacing w:after="0" w:line="277"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20% of our net sales for 2014. Most of our operations are in the U.S., but we also have manufacturing and customization facilities in India and Hungary with a services agreement with Opel Szentgotthard Automotive Manufacturing Ltd., formerly GM-PTH,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9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controls, import and export restrictions and tariffs, including restrictions promulgated by the Office of Foreign Assets Control of the U.S. Department of the Treasury, and other trade protection regulations and measures;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risks, including risks of loss due to civil disturbances, acts of terrorism, acts of war, guerilla activities and insurrection;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unstable economic, financial and market conditions and increased expenses as a result of inflation, or higher interest rates;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620"/>
        <w:spacing w:after="0" w:line="277" w:lineRule="auto"/>
        <w:rPr>
          <w:sz w:val="20"/>
          <w:szCs w:val="20"/>
          <w:color w:val="auto"/>
        </w:rPr>
      </w:pPr>
      <w:r>
        <w:rPr>
          <w:rFonts w:ascii="Arial" w:cs="Arial" w:eastAsia="Arial" w:hAnsi="Arial"/>
          <w:sz w:val="18"/>
          <w:szCs w:val="18"/>
          <w:b w:val="1"/>
          <w:bCs w:val="1"/>
          <w:i w:val="1"/>
          <w:iCs w:val="1"/>
          <w:color w:val="auto"/>
        </w:rPr>
        <w:t>Our international operations require us to comply with anti-corruption laws and regulations of the U.S. government and various international jurisdictions.</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Doing business on a worldwide basis requires us and our subsidiaries to comply with the laws and regulations of the U.S. government and various international jurisdictions, and our failure to comply with these rules and regulations may expose us to liabilities. These laws and regulations may apply to companies, individual directors, officers, employees and agents, and may restrict our operations, trade practices investment decisions and partnering activities. In particular, our international operations are subject to U.S. and foreign anti-corruption laws and regulations, such as the FCPA. The FCPA prohibits U.S. companies and their officers, directors, employees and agents acting on their behalf from corruptly offering, promising, authorizing or providing anything of value to foreign officials for the purposes of influencing official decisions or obtaining or retaining business or otherwise obtaining favorable treatment. The FCPA also requires companies to make and keep books, records and accounts that accurately and fairly reflect transactions and dispositions of assets and to maintain a system of adequate internal accounting controls. As part of our business, we deal with state-owned business enterprises, the employees and representatives of which may be considered foreign officials for purposes of the FCPA. In addition, some of the international locations in which we operate lack a developed legal system and have elevated levels of corruption. As a result of the above activities, we are exposed to the risk of violating anti-corruption laws. Violations of these legal requirements are punishable by criminal fines and imprisonment, civil penalties, disgorgement of profits, injunctions, debarment from government contracts as well as other remedial measures. We have established policies and procedures designed to assist us and our personnel in complying with applicable U.S. and international laws and regulations. However, our employees, subcontractors and agents could take actions that violate these requirements, which could adversely affect our reputation, business, financial condition and results of operations.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Labor unrest could have a material adverse effect on our business, results of operations and financial condition.</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As of December 31, 2014, approximately 60% of our U.S. employees, representing over 50% of our total employees, were represented by the UAW and are subject to a collective bargaining agreement. In November 2012, we reached an agreement on a new five-year collective bargaining agreement with the UAW Local 933, which is effective through November 2017.</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The inability to reach a new agreement could delay or disrupt our operations in the affected regions, including the acquisition of raw materials and components, the manufacture, sales and distribution of products and the provision of services.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the event of a catastrophic loss of our key manufacturing facility, our business would be adversely affected.</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in both Szentgotthard, Hungary and Chennai, India. In the event of a disruption at the Indianapolis facilities, they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Increases in cost, disruption of supply or shortage of raw materials or components used in our products could harm our business and profitability.</w:t>
      </w:r>
    </w:p>
    <w:p>
      <w:pPr>
        <w:spacing w:after="0" w:line="15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Our products contain various raw materials, including corrosion-resistant steel, non-ferrous metals such as aluminum and nickel, and precious metals such as platinum and palladium. We use raw materials directly in manufacturing and in transmission components that we purchase from our suppliers. We generally purchase components with significant raw material content on the open market. The prices for these raw materials fluctuate depending on market conditions. Volatility in the prices of raw materials such as steel, aluminum and nickel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7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2014, approximately 75% of our total spending on components was sourced from approximately 40 suppliers.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must be validated or materials and components must be purchased from a supplier without a completed PPAP.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or the like could negatively impact our business, results of operations and financial condition. Although we have agreements with many of our customers that we will pass such price increases through to them, such contracts may be cancelled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government contracting risks.</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 suits and other enforcement actions. The laws and regulations to which we are subject include, but are not limited to, Export Administration Regulations, Federal Acquisition Regulation, International Traffic in Arms Regulations, Foreign Assets Control documentation and regulations from the Bureau of Alcohol, Tobacco and Firearms and the FCPA.</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Protecting our intellectual property rights is critical to our ability to compete and succeed as a company. In connection with the Acquisition Transaction, under the patent and technology license agreement (the “Patent and Technology License Agreement”), which was assumed by GM pursuant to the Cure Agreement, we were granted an irrevocable, perpetual, royalty-free, worldwide license under a large number of U.S. and foreign patents and patent applications, as well as certain unpatented technology and know-how, to design, develop, manufacture, use and sell fully-automatic transmissions and H 40/50 EP hybrid-propulsion transit bus systems for use in certain vocational vehicles, defense vehicles and off-road products. With respect to the bulk of the intellectual property licensed to us under such license agreement, our license is exclusive with respect to the design, development, manufacture, use and sale of fully-automatic transmissions and H 40/50 EP hybrid-propulsion transit bus systems in vocational vehicles above certain weight rating thresholds, certain defense vehicles and certain off-road products. It is non-exclusive with respect to certain other products that are within the scope of the licensed patents or to which the licensed technology can be applied. We consider the patents and technology licensed under such license agreement, as a whole, to be critical to preserving our competitive position in the market. However, GM continues to own such patents and technology, and pursuant to the terms of such license agreement, GM has the right, in the first instance, to control the maintenance, enforcement and defense of such patents and the prosecution of the licensed patent applications. In addition, the license agreement limits our ability to sublicense our rights. The Patent and Technology License Agreement permits us to utilize the bulk of the intellectual property rights on an exclusive basis in non-defense vehicles with gross vehicle weights above 5900 kilograms (typically Class 4 and higher) with some limited exceptions for GM light-duty pickup truck and van platforms. It also permits us to utilize the bulk of the intellectual property rights on an exclusive basis in defense vehicles that exceed 4250 kilograms (generally Class 3 to Class 4 and higher). GM continues to have the right under such patents and technology to utilize the licensed intellectual property for use in vehicles below the above mentioned rating thresholds, as well as in some light-duty van and pickup truck platforms.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Although we believe the loss or expiration of any single patent would not have a material effect on our business, results of operations or financial position, there can be no assurance that any one, or more, of the patents licensed from GM, or any other intellectual property owned by or licensed to us, will not be challenged, invalidated or circumvented by third parties. In fact, a number of the patents licensed to us by GM have expired since the date of the Acquisition Transaction, and others are set to expire in the next few years. When a patent expires, the inventions it discloses can be used freely by others. Thus, the competitive advantage that we gain from the patents licensed to us from GM pursuant to the Acquisition Transaction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pension funding obligations could increase significantly due to a reduction in funded status as a result of a variety of factors.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requires that income or expense for defined benefit pension plans be calculated at the annual measurement date using actuarial assumptions and calculations. These calculations reflect certain assumptions, the most significant of which relate to the capital markets, interest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2014 defined benefit pension plans obligation of approximately $20.0 million. Likewise, a one percentage point decrease in the effective interest rate for determining defined benefit pension plans contributions would result in an increase in the minimum required contributions for 2015 of approximately $4.0 million. Similarly, a one percentage point decrease in the assumed discount rate would result in an increase in the December 31, 2014 OPEB obligation of approximately $23.7 million. As of December 31, 2014 the funded (unfunded) status of our defined benefit pension plans and OPEB plan was $1.8 million and ($136.0) million, respectively.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or expand to include a larger portion of our products or our customer’s products in the future, we could incur additional costs in order to ensure that our business and products comply with such regulations. In addition, we may not be successful in complying with or the vehicle or customer OEMs to which we sell our products may choose not to comply with such laws and regulations, which could impact our ability to sell our products in certain locations. Furthermore, if our products that are already placed in service are found to be non-compliant with certain laws, regulations and certifications, we may incur additional costs and fines. We cannot assure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8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w:t>
      </w:r>
    </w:p>
    <w:p>
      <w:pPr>
        <w:spacing w:after="0" w:line="173"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GM continues to perform the Corrective Action post-Acquisition Transaction pursuant to the Asset Purchase Agreement, whereby it retained responsibility for completing all obligations covered by a voluntary Corrective Action Agreement that Old GM entered with the EPA. GM retained responsibility for completing the Corrective Action and agreed to indemnify us against certain environmental liabilities as successor to Old GM’s obligations pursuant to the Cure Agreement. Once GM has received notification from EPA that the Corrective Action obligations are complete, subject to controls, we will assume responsibility for maintaining the ongoing operating, monitoring and maintenance activities required by the EPA. It is likely this will be performed under an AOC with the EPA. The costs for these activities may be material. See Part I, Item 1, “Business — Environmental Compliance” of this Annual Report on Form 10-K. There can be no assurances that GM will comply with its indemnity obligations or with its remedial obligations at the Indianapolis, Indiana facilities, or that future environmental remediation obligations will not have a material adverse effect on our results of operations. In addition, we occasionally evaluate various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materially adversely affected by any failure to maintain cost controls.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rely on our cost structure and operating discipline to achieve strong operating margins. There are many factors that could affect our ability to realize expected cost savings or achieve future cost savings that we are not able to control, including the inability to meet demand through our low-cost country sourcing initiatives; the need for unexpected significant capital expenditures; unexpected changes in commodity or component pricing that we are unable to pass on to our suppliers or customers; our inability to maintain efficiencies gained from our workforce optimization initiatives; and our failure to achieve and maintain expected cost savings from our multi-tier wage and benefit structure. Additionally, we have substantial indebtedness of approximately $2,520.5 million as of December 31, 2014. Our inability to maintain our cost controls could adversely impact our operating margins.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fluctuations could adversely affect our results of operations and financial position.</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a result of the expansion of our international operations, currency exchange rate fluctuations could affect our results of operations and financial position. We expect to generate an increasing portion of our net sales and expenses in such foreign currencies as the Japanese Yen, Euro, Indian Rupee, Brazilian Real, Chinese Yuan Renminbi, Canadian Dollar, British Pound, and Hungarian Forint. Although we may enter into foreign exchange agreements with financial institutions in order to reduce our exposure to fluctuations in the value of these and other foreign currencies, these transactions, if entered into, will not eliminate that risk entirely. To the extent that we are unable to match net sales received in foreign currencies with expenses paid in the same currency, exchange rate fluctuations could have a negative impact on our results of operations and financial condition. Additionally, because our consolidated financial results are reported in U.S. Dollars, if we generate net sales or earnings in other currencies, the conversion of such amounts into U.S. Dollars can result in an increase or decrease in the amount of our net sales or earnings. Furthermore, we sell certain of our products in our non-North American markets denominated in the U.S. Dollar. To the extent that certain of the local currencies in our non-North American markets are relatively weaker than the U.S. Dollar, whether as a result of foreign governments’ influence or otherwise, we could become less price competitive, which could have a material adverse effect on the results of our operations.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 actions may materially affect our business and operating results.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we are an independent company as a result of the Acquisition Transaction, GM’s future actions may still have a material impact on our business and results of operations. Pursuant to the Cure Agreement after GM’s emergence from bankruptcy in 2009, GM has assumed certain agreements from its predecessor, including the Asset Purchase Agreement, intellectual property and software license agreements and a hybrid co-branding agreement. GM’s failure to comply with any portion of these agreements for any reason, including the indemnities therein, could inhibit us from operating and expanding our business in the future.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Additionally, GM has received a non-exclusive, royalty-free, worldwide license to use the “Allison Transmission” name and certain related trademarks on GM’s line of A1000 transmissions for use primarily in Class 2 and 3 pick-up trucks. If GM, or any of its subsidiaries or affiliated entities, or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Acquisition Transaction, we entered into a mutual non-compete agreement with GM that restricts GM from competing with us in non-defense vehicles in North America with gross vehicle weights above 5900 kilograms (typically Class 4 and higher) with some limited exceptions for certain GM light-duty pickup truck and van platforms. It also restricts GM from competing with us in defense vehicles globally and in non-defense vehicles outside North America that exceed 4250 kilograms (generally Class 3 to Class 4 and higher) with some limited exceptions. The non-compete periods extend until August 2017 globally, except in Europe, where they expired in 2012. Similarly, we are restricted from competing with GM in weight classes below the above mentioned thresholds for similar periods of time. Upon expiration of the non-competition periods, both Allison and GM will be permitted to compete with each other but such expiration will generally not affect Allison’s rights under the Patent and Technology License Agreement to use on an exclusive basis within its respective weight classes (subject to previously mentioned exceptions) the intellectual property that is licensed to Allison on an exclusive basis.</w:t>
      </w:r>
    </w:p>
    <w:p>
      <w:pPr>
        <w:spacing w:after="0" w:line="166"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In addition, because of our current manufacturing services agreement with Opel Szentgotthard Automotive Manufacturing Ltd., a GM subsidiary, we may be materially adversely affected by the failure of GM to perform as expected. This non-performance may consist of delays or failures caused by production issues. The risk of non-performance may also result from the insolvency or bankruptcy of GM. GM’s ability to provide personnel and technical resources to us is also subject to a number of risks, including destruction of our equipment or work stoppages. In addition, our failure to provide an adequate facility, or order sufficient quantities of inventory, may increase the cost of production or may lead to GM refusing to provide resources to us at all. Our efforts to protect against and to minimize these risks may not always be effective.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780"/>
        <w:spacing w:after="0" w:line="277" w:lineRule="auto"/>
        <w:rPr>
          <w:sz w:val="20"/>
          <w:szCs w:val="20"/>
          <w:color w:val="auto"/>
        </w:rPr>
      </w:pPr>
      <w:r>
        <w:rPr>
          <w:rFonts w:ascii="Arial" w:cs="Arial" w:eastAsia="Arial" w:hAnsi="Arial"/>
          <w:sz w:val="18"/>
          <w:szCs w:val="18"/>
          <w:b w:val="1"/>
          <w:bCs w:val="1"/>
          <w:i w:val="1"/>
          <w:iCs w:val="1"/>
          <w:color w:val="auto"/>
        </w:rPr>
        <w:t>An impairment in the carrying value of goodwill or other indefinite-lived intangible assets could negatively affect our consolidated results of operations and net worth.</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and unexpected significant declines in operating results may result in charges for goodwill and other asset impairments.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annual goodwill and trade name impairment test for the year ended December 31, 2014 resulted in no impairment. Although our analysis regarding the fair values of our goodwill and trade name indicates that they exceed their carrying values, materially different assumptions regarding the future performance of our business could result in impairment losses. See NOTE 2 and NOTE 5 of Notes to Consolidated Financial Statements included in Part II, Item 8 of this Annual Report on Form 10-K for additional details.</w:t>
      </w:r>
    </w:p>
    <w:p>
      <w:pPr>
        <w:spacing w:after="0" w:line="295" w:lineRule="exact"/>
        <w:rPr>
          <w:sz w:val="20"/>
          <w:szCs w:val="20"/>
          <w:color w:val="auto"/>
        </w:rPr>
      </w:pPr>
    </w:p>
    <w:p>
      <w:pPr>
        <w:ind w:left="240" w:right="240"/>
        <w:spacing w:after="0" w:line="375" w:lineRule="auto"/>
        <w:rPr>
          <w:sz w:val="20"/>
          <w:szCs w:val="20"/>
          <w:color w:val="auto"/>
        </w:rPr>
      </w:pPr>
      <w:r>
        <w:rPr>
          <w:rFonts w:ascii="Arial" w:cs="Arial" w:eastAsia="Arial" w:hAnsi="Arial"/>
          <w:sz w:val="15"/>
          <w:szCs w:val="15"/>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29" w:lineRule="exact"/>
        <w:rPr>
          <w:sz w:val="20"/>
          <w:szCs w:val="20"/>
          <w:color w:val="auto"/>
        </w:rPr>
      </w:pPr>
    </w:p>
    <w:p>
      <w:pPr>
        <w:ind w:left="900" w:right="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 classified Board of Directors, with three staggered terms;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These provisions could also discourage proxy contests and make it more difficult for our stockholders to elect directors of their choosing and cause us to take corporate actions other than those they desire.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restrict our activities and affect our ability to meet our obligations.</w:t>
      </w:r>
    </w:p>
    <w:p>
      <w:pPr>
        <w:spacing w:after="0" w:line="140"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We have a significant amount of indebtedness. As of December 31, 2014, we had total indebtedness of $2,520.5 million and we would have been able to borrow an additional $455.1 million under the revolving portion of our credit facility, less $9.9 million of letters of credit. As of December 31, 2014, we had no outstanding borrowings against the revolving credit facility. Of our total indebtedness at December 31, 2014, $2,049.2 million consists of the term loans under ATI’s credit facility, including $283.6 million of indebtedness associated with ATI’s Senior Secured Credit Facility Term B-2 Loan due 2017 (“Term B-2 Loan”), $1,765.6 million of indebtedness associated with ATI’s Senior Secured Credit Facility Term B-3 Loan due 2019 (“Term B-3 Loan,” and together with the Term B-2 Loan and revolving credit facility, the “Senior Secured Credit Facility”). We also had indebtedness of $471.3 million of ATI’s 7.125% senior cash pay notes due May 2019 (“7.125% Senior Notes”). For a complete description of the terms of the Senior Secured Credit Facility and the</w:t>
      </w:r>
    </w:p>
    <w:p>
      <w:pPr>
        <w:spacing w:after="0" w:line="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7.125% Senior Notes, please see Part II, Item 7, “Management’s Discussion and Analysis of Financial Condition and Results of Operations – Recent Developments,” “– Description of the Senior Secured Credit Facility” and “– Description of the Senior Notes.”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30" w:lineRule="exact"/>
        <w:rPr>
          <w:rFonts w:ascii="Arial" w:cs="Arial" w:eastAsia="Arial" w:hAnsi="Arial"/>
          <w:sz w:val="18"/>
          <w:szCs w:val="18"/>
          <w:color w:val="auto"/>
        </w:rPr>
      </w:pPr>
    </w:p>
    <w:p>
      <w:pPr>
        <w:jc w:val="both"/>
        <w:ind w:left="900" w:right="28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as borrowings under the Senior Secured Credit Facility are subject to variable rates of interest;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revolving portion of our Senior Secured Credit Facility contains a maximum total senior secured leverage ratio. The Senior Secured Credit Facility and the indenture governing the 7.125%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295" w:lineRule="exact"/>
        <w:rPr>
          <w:sz w:val="20"/>
          <w:szCs w:val="20"/>
          <w:color w:val="auto"/>
        </w:rPr>
      </w:pPr>
    </w:p>
    <w:p>
      <w:pPr>
        <w:ind w:left="240" w:right="100"/>
        <w:spacing w:after="0" w:line="264" w:lineRule="auto"/>
        <w:rPr>
          <w:sz w:val="20"/>
          <w:szCs w:val="20"/>
          <w:color w:val="auto"/>
        </w:rPr>
      </w:pPr>
      <w:r>
        <w:rPr>
          <w:rFonts w:ascii="Arial" w:cs="Arial" w:eastAsia="Arial" w:hAnsi="Arial"/>
          <w:sz w:val="18"/>
          <w:szCs w:val="18"/>
          <w:b w:val="1"/>
          <w:bCs w:val="1"/>
          <w:i w:val="1"/>
          <w:iCs w:val="1"/>
          <w:color w:val="auto"/>
        </w:rPr>
        <w:t>Our ability to pay regular dividends on our common stock is subject to the discretion of our Board of Directors and may be limited by our structure and statutory restrictions and restrictions imposed by the Senior Secured Credit Facility and the indenture governing the 7.125% Senior Notes as well as any future agreements.</w:t>
      </w:r>
    </w:p>
    <w:p>
      <w:pPr>
        <w:spacing w:after="0" w:line="7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Board of Directors declared a quarterly dividend of $0.06 per share of common stock beginning in the second quarter of 2012, increased the quarterly dividend to $0.12 per share of common stock beginning in the second quarter of 2013 and increased the quarterly dividend again to $0.15 per share of common stock beginning in the fourth quarter of 2014.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Senior Secured Credit Facility and the indenture governing the 7.125% Senior Notes also effectively limit our ability to pay dividends. As a consequence of these limitations and restrictions, we may not be able to make, or may have to reduce or eliminate, the payment of dividends on our common stock. Accordingly, you may have to sell some or all of your common stock after price appreciation in order to generate cash flow from your investment. You may not receive a gain on your investment when you sell your common stock and you may lose the entire amount of the investment. Additionally, any change in the level of our dividends or the suspension of the payment thereof could adversely affect the market price of our common stock.</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To service our indebtedness, we will require a significant amount of cash and our ability to generate cash depends on many factors beyond our control.</w:t>
      </w:r>
    </w:p>
    <w:p>
      <w:pPr>
        <w:spacing w:after="0" w:line="15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Senior Secured Credit Facility to avoid being in default. If we or any of our subsidiaries breach the covenants under the Senior Secured Credit Facility and seek a waiver, we may not be able to obtain a waiver from the required lenders. If this occurs, we would be in default under the Senior Secured Credit Facility, the lenders could exercise their rights, as described above, and we could be forced into bankruptcy or liquidation.</w:t>
      </w:r>
    </w:p>
    <w:p>
      <w:pPr>
        <w:spacing w:after="0" w:line="275" w:lineRule="exact"/>
        <w:rPr>
          <w:sz w:val="20"/>
          <w:szCs w:val="20"/>
          <w:color w:val="auto"/>
        </w:rPr>
      </w:pPr>
    </w:p>
    <w:p>
      <w:pPr>
        <w:ind w:left="240" w:right="400"/>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$455.1 million under the revolving portion of the Senior Secured Credit Facility. If new debt is added to our current debt levels and our subsidiaries’ current debt levels, the related risks that we and they now face could intensify.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world headquarters, which we own, is located at One Allison Way, Indianapolis, Indiana 46222. As of December 31, 2014, we have a total of 17 manufacturing and certain other facilities in seven countries. The following table sets forth certain information regarding these facilities.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Plant</w:t>
            </w:r>
          </w:p>
        </w:tc>
        <w:tc>
          <w:tcPr>
            <w:tcW w:w="820" w:type="dxa"/>
            <w:vAlign w:val="bottom"/>
          </w:tcPr>
          <w:p>
            <w:pPr>
              <w:spacing w:after="0"/>
              <w:rPr>
                <w:sz w:val="14"/>
                <w:szCs w:val="14"/>
                <w:color w:val="auto"/>
              </w:rPr>
            </w:pPr>
          </w:p>
        </w:tc>
        <w:tc>
          <w:tcPr>
            <w:tcW w:w="18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Location</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Approximate</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Owned /</w:t>
            </w:r>
          </w:p>
        </w:tc>
        <w:tc>
          <w:tcPr>
            <w:tcW w:w="31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Size (ft</w:t>
            </w:r>
            <w:r>
              <w:rPr>
                <w:rFonts w:ascii="Arial" w:cs="Arial" w:eastAsia="Arial" w:hAnsi="Arial"/>
                <w:sz w:val="12"/>
                <w:szCs w:val="12"/>
                <w:b w:val="1"/>
                <w:bCs w:val="1"/>
                <w:color w:val="auto"/>
              </w:rPr>
              <w:t>2</w:t>
            </w:r>
            <w:r>
              <w:rPr>
                <w:rFonts w:ascii="Arial" w:cs="Arial" w:eastAsia="Arial" w:hAnsi="Arial"/>
                <w:sz w:val="14"/>
                <w:szCs w:val="14"/>
                <w:b w:val="1"/>
                <w:bCs w:val="1"/>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Leased</w:t>
            </w:r>
          </w:p>
        </w:tc>
        <w:tc>
          <w:tcPr>
            <w:tcW w:w="3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Plant</w:t>
            </w:r>
          </w:p>
        </w:tc>
        <w:tc>
          <w:tcPr>
            <w:tcW w:w="2180" w:type="dxa"/>
            <w:vAlign w:val="bottom"/>
            <w:tcBorders>
              <w:top w:val="single" w:sz="8" w:color="CCEEFF"/>
            </w:tcBorders>
            <w:shd w:val="clear" w:color="auto" w:fill="CCEEFF"/>
          </w:tcPr>
          <w:p>
            <w:pPr>
              <w:jc w:val="right"/>
              <w:ind w:right="1830"/>
              <w:spacing w:after="0"/>
              <w:rPr>
                <w:sz w:val="20"/>
                <w:szCs w:val="20"/>
                <w:color w:val="auto"/>
              </w:rPr>
            </w:pPr>
            <w:r>
              <w:rPr>
                <w:rFonts w:ascii="Arial" w:cs="Arial" w:eastAsia="Arial" w:hAnsi="Arial"/>
                <w:sz w:val="18"/>
                <w:szCs w:val="18"/>
                <w:color w:val="auto"/>
              </w:rPr>
              <w:t>#3</w:t>
            </w:r>
          </w:p>
        </w:tc>
        <w:tc>
          <w:tcPr>
            <w:tcW w:w="8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Indianapolis</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927,000</w:t>
            </w:r>
          </w:p>
        </w:tc>
        <w:tc>
          <w:tcPr>
            <w:tcW w:w="4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Own</w:t>
            </w:r>
          </w:p>
        </w:tc>
        <w:tc>
          <w:tcPr>
            <w:tcW w:w="4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Engineering, Operational Support</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#4</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425,900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#6</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431,500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#16</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391,700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#12</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534,900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#14</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481,100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#15</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126,400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Lease</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#17</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389,000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Parts Distribution Center</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#20 Tech. Center</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Plant #21 Tech. Center</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Indianapolis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Szentgotthard</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Hungary</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149,000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&amp; Customization</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Szentgotthard</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Hungary</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3,900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Sales &amp; Marketing Support</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China</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38,000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Lease</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Santo Amaro/Sorocabo</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Brazil</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31,400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tcPr>
          <w:p>
            <w:pPr>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Chennai</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India</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258,500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Own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Dubai</w:t>
            </w:r>
          </w:p>
        </w:tc>
        <w:tc>
          <w:tcPr>
            <w:tcW w:w="2700" w:type="dxa"/>
            <w:vAlign w:val="bottom"/>
            <w:gridSpan w:val="3"/>
          </w:tcPr>
          <w:p>
            <w:pPr>
              <w:ind w:left="820"/>
              <w:spacing w:after="0"/>
              <w:rPr>
                <w:sz w:val="20"/>
                <w:szCs w:val="20"/>
                <w:color w:val="auto"/>
              </w:rPr>
            </w:pPr>
            <w:r>
              <w:rPr>
                <w:rFonts w:ascii="Arial" w:cs="Arial" w:eastAsia="Arial" w:hAnsi="Arial"/>
                <w:sz w:val="18"/>
                <w:szCs w:val="18"/>
                <w:color w:val="auto"/>
              </w:rPr>
              <w:t>United Arab Emirates</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16,500</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Lease</w:t>
            </w:r>
          </w:p>
        </w:tc>
        <w:tc>
          <w:tcPr>
            <w:tcW w:w="3140" w:type="dxa"/>
            <w:vAlign w:val="bottom"/>
          </w:tcPr>
          <w:p>
            <w:pPr>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Sliedrecht</w:t>
            </w:r>
          </w:p>
        </w:tc>
        <w:tc>
          <w:tcPr>
            <w:tcW w:w="270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The Netherlands</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37,000</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Lease</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9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440" w:firstLine="456"/>
        <w:spacing w:after="0" w:line="277" w:lineRule="auto"/>
        <w:rPr>
          <w:sz w:val="20"/>
          <w:szCs w:val="20"/>
          <w:color w:val="auto"/>
        </w:rPr>
      </w:pPr>
      <w:r>
        <w:rPr>
          <w:rFonts w:ascii="Arial" w:cs="Arial" w:eastAsia="Arial" w:hAnsi="Arial"/>
          <w:sz w:val="18"/>
          <w:szCs w:val="18"/>
          <w:color w:val="auto"/>
        </w:rPr>
        <w:t>Our common stock is listed on the NYSE under the symbol “ALSN.” The following table sets forth the high and low sale prices per share for our common stock on the NYSE and the dividends declared per share for each quarter for the periods indicated: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14"/>
                <w:szCs w:val="14"/>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Low</w:t>
            </w:r>
          </w:p>
        </w:tc>
        <w:tc>
          <w:tcPr>
            <w:tcW w:w="2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7"/>
              </w:rPr>
              <w:t>Declared</w:t>
            </w: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2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First Quarter</w:t>
            </w:r>
          </w:p>
        </w:tc>
        <w:tc>
          <w:tcPr>
            <w:tcW w:w="2940" w:type="dxa"/>
            <w:vAlign w:val="bottom"/>
            <w:gridSpan w:val="3"/>
          </w:tcPr>
          <w:p>
            <w:pPr>
              <w:jc w:val="center"/>
              <w:ind w:left="1830"/>
              <w:spacing w:after="0"/>
              <w:rPr>
                <w:sz w:val="20"/>
                <w:szCs w:val="20"/>
                <w:color w:val="auto"/>
              </w:rPr>
            </w:pPr>
            <w:r>
              <w:rPr>
                <w:rFonts w:ascii="Arial" w:cs="Arial" w:eastAsia="Arial" w:hAnsi="Arial"/>
                <w:sz w:val="18"/>
                <w:szCs w:val="18"/>
                <w:b w:val="1"/>
                <w:bCs w:val="1"/>
                <w:color w:val="auto"/>
                <w:w w:val="90"/>
              </w:rPr>
              <w:t>$31.27</w:t>
            </w: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$26.41</w:t>
            </w:r>
          </w:p>
        </w:tc>
        <w:tc>
          <w:tcPr>
            <w:tcW w:w="46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940" w:type="dxa"/>
            <w:vAlign w:val="bottom"/>
            <w:gridSpan w:val="3"/>
            <w:shd w:val="clear" w:color="auto" w:fill="CCEEFF"/>
          </w:tcPr>
          <w:p>
            <w:pPr>
              <w:jc w:val="center"/>
              <w:ind w:left="1830"/>
              <w:spacing w:after="0"/>
              <w:rPr>
                <w:sz w:val="20"/>
                <w:szCs w:val="20"/>
                <w:color w:val="auto"/>
              </w:rPr>
            </w:pPr>
            <w:r>
              <w:rPr>
                <w:rFonts w:ascii="Arial" w:cs="Arial" w:eastAsia="Arial" w:hAnsi="Arial"/>
                <w:sz w:val="18"/>
                <w:szCs w:val="18"/>
                <w:b w:val="1"/>
                <w:bCs w:val="1"/>
                <w:color w:val="auto"/>
                <w:w w:val="90"/>
              </w:rPr>
              <w:t>$31.42</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$28.56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Third Quarter</w:t>
            </w:r>
          </w:p>
        </w:tc>
        <w:tc>
          <w:tcPr>
            <w:tcW w:w="2940" w:type="dxa"/>
            <w:vAlign w:val="bottom"/>
            <w:gridSpan w:val="3"/>
          </w:tcPr>
          <w:p>
            <w:pPr>
              <w:jc w:val="center"/>
              <w:ind w:left="1830"/>
              <w:spacing w:after="0"/>
              <w:rPr>
                <w:sz w:val="20"/>
                <w:szCs w:val="20"/>
                <w:color w:val="auto"/>
              </w:rPr>
            </w:pPr>
            <w:r>
              <w:rPr>
                <w:rFonts w:ascii="Arial" w:cs="Arial" w:eastAsia="Arial" w:hAnsi="Arial"/>
                <w:sz w:val="18"/>
                <w:szCs w:val="18"/>
                <w:b w:val="1"/>
                <w:bCs w:val="1"/>
                <w:color w:val="auto"/>
                <w:w w:val="90"/>
              </w:rPr>
              <w:t>$32.21</w:t>
            </w:r>
          </w:p>
        </w:tc>
        <w:tc>
          <w:tcPr>
            <w:tcW w:w="1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$28.34</w:t>
            </w:r>
          </w:p>
        </w:tc>
        <w:tc>
          <w:tcPr>
            <w:tcW w:w="46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0.12</w:t>
            </w: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940" w:type="dxa"/>
            <w:vAlign w:val="bottom"/>
            <w:gridSpan w:val="3"/>
            <w:shd w:val="clear" w:color="auto" w:fill="CCEEFF"/>
          </w:tcPr>
          <w:p>
            <w:pPr>
              <w:jc w:val="center"/>
              <w:ind w:left="1830"/>
              <w:spacing w:after="0"/>
              <w:rPr>
                <w:sz w:val="20"/>
                <w:szCs w:val="20"/>
                <w:color w:val="auto"/>
              </w:rPr>
            </w:pPr>
            <w:r>
              <w:rPr>
                <w:rFonts w:ascii="Arial" w:cs="Arial" w:eastAsia="Arial" w:hAnsi="Arial"/>
                <w:sz w:val="18"/>
                <w:szCs w:val="18"/>
                <w:b w:val="1"/>
                <w:bCs w:val="1"/>
                <w:color w:val="auto"/>
                <w:w w:val="90"/>
              </w:rPr>
              <w:t>$34.62</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$26.15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b w:val="1"/>
                <w:bCs w:val="1"/>
                <w:color w:val="auto"/>
              </w:rPr>
              <w:t>Year Ended December 31, 2013:</w:t>
            </w:r>
          </w:p>
        </w:tc>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40" w:type="dxa"/>
            <w:vAlign w:val="bottom"/>
            <w:gridSpan w:val="3"/>
            <w:shd w:val="clear" w:color="auto" w:fill="CCEEFF"/>
          </w:tcPr>
          <w:p>
            <w:pPr>
              <w:jc w:val="center"/>
              <w:ind w:left="1830"/>
              <w:spacing w:after="0"/>
              <w:rPr>
                <w:sz w:val="20"/>
                <w:szCs w:val="20"/>
                <w:color w:val="auto"/>
              </w:rPr>
            </w:pPr>
            <w:r>
              <w:rPr>
                <w:rFonts w:ascii="Arial" w:cs="Arial" w:eastAsia="Arial" w:hAnsi="Arial"/>
                <w:sz w:val="18"/>
                <w:szCs w:val="18"/>
                <w:color w:val="auto"/>
                <w:w w:val="90"/>
              </w:rPr>
              <w:t>$24.14</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$20.13</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Second Quarter</w:t>
            </w:r>
          </w:p>
        </w:tc>
        <w:tc>
          <w:tcPr>
            <w:tcW w:w="2940" w:type="dxa"/>
            <w:vAlign w:val="bottom"/>
            <w:gridSpan w:val="3"/>
          </w:tcPr>
          <w:p>
            <w:pPr>
              <w:jc w:val="center"/>
              <w:ind w:left="1830"/>
              <w:spacing w:after="0"/>
              <w:rPr>
                <w:sz w:val="20"/>
                <w:szCs w:val="20"/>
                <w:color w:val="auto"/>
              </w:rPr>
            </w:pPr>
            <w:r>
              <w:rPr>
                <w:rFonts w:ascii="Arial" w:cs="Arial" w:eastAsia="Arial" w:hAnsi="Arial"/>
                <w:sz w:val="18"/>
                <w:szCs w:val="18"/>
                <w:color w:val="auto"/>
                <w:w w:val="90"/>
              </w:rPr>
              <w:t>$24.50</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0"/>
              </w:rPr>
              <w:t>$20.67</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08"/>
        </w:trPr>
        <w:tc>
          <w:tcPr>
            <w:tcW w:w="4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40" w:type="dxa"/>
            <w:vAlign w:val="bottom"/>
            <w:gridSpan w:val="3"/>
            <w:shd w:val="clear" w:color="auto" w:fill="CCEEFF"/>
          </w:tcPr>
          <w:p>
            <w:pPr>
              <w:jc w:val="center"/>
              <w:ind w:left="1830"/>
              <w:spacing w:after="0"/>
              <w:rPr>
                <w:sz w:val="20"/>
                <w:szCs w:val="20"/>
                <w:color w:val="auto"/>
              </w:rPr>
            </w:pPr>
            <w:r>
              <w:rPr>
                <w:rFonts w:ascii="Arial" w:cs="Arial" w:eastAsia="Arial" w:hAnsi="Arial"/>
                <w:sz w:val="18"/>
                <w:szCs w:val="18"/>
                <w:color w:val="auto"/>
                <w:w w:val="90"/>
              </w:rPr>
              <w:t>$27.48</w:t>
            </w: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$22.08</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Fourth Quarter</w:t>
            </w:r>
          </w:p>
        </w:tc>
        <w:tc>
          <w:tcPr>
            <w:tcW w:w="2940" w:type="dxa"/>
            <w:vAlign w:val="bottom"/>
            <w:gridSpan w:val="3"/>
          </w:tcPr>
          <w:p>
            <w:pPr>
              <w:jc w:val="center"/>
              <w:ind w:left="1830"/>
              <w:spacing w:after="0"/>
              <w:rPr>
                <w:sz w:val="20"/>
                <w:szCs w:val="20"/>
                <w:color w:val="auto"/>
              </w:rPr>
            </w:pPr>
            <w:r>
              <w:rPr>
                <w:rFonts w:ascii="Arial" w:cs="Arial" w:eastAsia="Arial" w:hAnsi="Arial"/>
                <w:sz w:val="18"/>
                <w:szCs w:val="18"/>
                <w:color w:val="auto"/>
                <w:w w:val="90"/>
              </w:rPr>
              <w:t>$28.15</w:t>
            </w:r>
          </w:p>
        </w:tc>
        <w:tc>
          <w:tcPr>
            <w:tcW w:w="1020" w:type="dxa"/>
            <w:vAlign w:val="bottom"/>
            <w:gridSpan w:val="3"/>
          </w:tcPr>
          <w:p>
            <w:pPr>
              <w:jc w:val="center"/>
              <w:spacing w:after="0"/>
              <w:rPr>
                <w:sz w:val="20"/>
                <w:szCs w:val="20"/>
                <w:color w:val="auto"/>
              </w:rPr>
            </w:pPr>
            <w:r>
              <w:rPr>
                <w:rFonts w:ascii="Arial" w:cs="Arial" w:eastAsia="Arial" w:hAnsi="Arial"/>
                <w:sz w:val="18"/>
                <w:szCs w:val="18"/>
                <w:color w:val="auto"/>
                <w:w w:val="90"/>
              </w:rPr>
              <w:t>$23.62</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February 5, 2015, there were approximately 63,600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of Directors declared a quarterly dividend of $0.06 per share in the first quarter of 2013, increased the quarterly dividend to $0.12 per share beginning in the second quarter of 2013 and further increased the quarterly dividend to $0.15 per share beginning in the fourth quarter of 2014. We expect to continue paying cash dividends on a quarterly basis; however, future dividends are subject to approval of the Board of Directors and may be adjusted as business needs or market conditions change.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period covered by this Annual Report on Form 10-K, we did not offer or sell any securities that were not registered under the Securities Act of 1933, as amended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On October 30, 2014, our Board of Directors authorized us to repurchase up to $500,000,000 of our common stock pursuant to a stock repurchase program (“Repurchase Program”). The terms of the Repurchase Program provide that we may repurchase shares of our common stock, from time to time depending on market conditions and corporate needs, in the open market or through privately negotiated transactions in accordance with Rule 10b-18 of the Exchange Act. Unless earlier terminated by our Board of Directors, the Repurchase Program will expire on December 31, 2016. As of December 31, 2014, $500,000,000 remained available for stock repurchases under the Repurchase Program.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ectPr>
          <w:pgSz w:w="11900" w:h="16838" w:orient="portrait"/>
          <w:cols w:equalWidth="0" w:num="1">
            <w:col w:w="11360"/>
          </w:cols>
          <w:pgMar w:left="240" w:top="459" w:right="299" w:bottom="1440" w:gutter="0" w:footer="0" w:header="0"/>
        </w:sectPr>
      </w:pP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60"/>
          </w:cols>
          <w:pgMar w:left="240" w:top="459" w:right="2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Pall Corporation, Donaldson Company Inc., Graco Inc., Roper Industries Inc., Gentex Corporation, Rockwell Automation Inc. and Sensata Technologies Holding N.V. The graph assumes $100 was invested on March 15, 2012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144780</wp:posOffset>
            </wp:positionV>
            <wp:extent cx="4931410" cy="3061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1410" cy="306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As of March 15,</w:t>
            </w:r>
          </w:p>
        </w:tc>
        <w:tc>
          <w:tcPr>
            <w:tcW w:w="52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18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9"/>
              </w:rPr>
              <w:t>As of December 31,</w:t>
            </w: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As of December 31,</w:t>
            </w:r>
          </w:p>
        </w:tc>
      </w:tr>
      <w:tr>
        <w:trPr>
          <w:trHeight w:val="171"/>
        </w:trPr>
        <w:tc>
          <w:tcPr>
            <w:tcW w:w="3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Allison Transmission Holdings, Inc.</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151.30</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S&amp;P 500 Index</w:t>
            </w:r>
          </w:p>
        </w:tc>
        <w:tc>
          <w:tcPr>
            <w:tcW w:w="2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103.52</w:t>
            </w:r>
          </w:p>
        </w:tc>
        <w:tc>
          <w:tcPr>
            <w:tcW w:w="260" w:type="dxa"/>
            <w:vAlign w:val="bottom"/>
          </w:tcPr>
          <w:p>
            <w:pPr>
              <w:spacing w:after="0"/>
              <w:rPr>
                <w:sz w:val="18"/>
                <w:szCs w:val="18"/>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rPr>
              <w:t>137.04</w:t>
            </w: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155.80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136.95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149.34</w:t>
            </w:r>
          </w:p>
        </w:tc>
      </w:tr>
      <w:tr>
        <w:trPr>
          <w:trHeight w:val="365"/>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five years ended December 31, 2014. The following table should be read in conjunction with Part II, Item 7, “Management’s Discussion and Analysis of Financial Condition and Results of Operations” and Part II, Item 8, “Financial Statements and Supplementary Data” of this Annual Report on Form 10-K.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 31,</w:t>
            </w:r>
          </w:p>
        </w:tc>
        <w:tc>
          <w:tcPr>
            <w:tcW w:w="12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Dec. 31,</w:t>
            </w:r>
          </w:p>
        </w:tc>
        <w:tc>
          <w:tcPr>
            <w:tcW w:w="140" w:type="dxa"/>
            <w:vAlign w:val="bottom"/>
          </w:tcPr>
          <w:p>
            <w:pPr>
              <w:spacing w:after="0"/>
              <w:rPr>
                <w:sz w:val="14"/>
                <w:szCs w:val="14"/>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 31,</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 31,</w:t>
            </w:r>
          </w:p>
        </w:tc>
      </w:tr>
      <w:tr>
        <w:trPr>
          <w:trHeight w:val="171"/>
        </w:trPr>
        <w:tc>
          <w:tcPr>
            <w:tcW w:w="5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sales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2,127.4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1,926.8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2,141.8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2,162.8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1,926.3</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954.5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Engineering — research and development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116.4</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101.5</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associated with impairment of long-lived assets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534.1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525.5</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486.4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(218.2)</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(281.0)</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Premiums and expenses on tender offer for long-term debt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(expense) income, net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(278.4)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368.1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216.2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165.4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514.2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Data:</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0.88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263.0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252.2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4,804.2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4,866.0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5,192.6</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5,310.4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Total debt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2,520.5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2,678.3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2,820.8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3,378.6</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3,671.1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1,397.8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1,356.9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821.7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w:t>
            </w:r>
          </w:p>
        </w:tc>
      </w:tr>
      <w:tr>
        <w:trPr>
          <w:trHeight w:val="365"/>
        </w:trPr>
        <w:tc>
          <w:tcPr>
            <w:tcW w:w="5100" w:type="dxa"/>
            <w:vAlign w:val="bottom"/>
          </w:tcPr>
          <w:p>
            <w:pPr>
              <w:spacing w:after="0"/>
              <w:rPr>
                <w:sz w:val="24"/>
                <w:szCs w:val="24"/>
                <w:color w:val="auto"/>
              </w:rPr>
            </w:pPr>
          </w:p>
        </w:tc>
        <w:tc>
          <w:tcPr>
            <w:tcW w:w="1800" w:type="dxa"/>
            <w:vAlign w:val="bottom"/>
          </w:tcPr>
          <w:p>
            <w:pPr>
              <w:jc w:val="right"/>
              <w:ind w:right="101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The following discussion contains forward-looking statements that involve risks and uncertainties. Our actual results may differ materially from those discussed in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 as well as the information presented under Part II, Item 6 of this Annual Report on Form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80% percent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net sales are driven by commercial vehicle production, which tends to be highly correlated to macroeconomic conditions. Our 2015 net sales guidance reflects a cautious approach given the heightened level of uncertainty and the lack of near-term visibility and confidence in the global Off-Highway end markets. Our 2015 net sales outlook also assumes a continued recovery in the North America On-Highway end market, previously considered reductions in U.S. defense spending, continued weakness in the Outside North America On-Highway end market and lower demand for North America Hybrid-Propulsion Systems for Transit Bus due to engine emissions improvements and non-hybrid alternatives.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Full Year 2014 and 2013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2014</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2013</w:t>
            </w:r>
          </w:p>
        </w:tc>
        <w:tc>
          <w:tcPr>
            <w:tcW w:w="66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Variance</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Net Sales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Net Sales</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w:t>
            </w: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825</w:t>
            </w:r>
          </w:p>
        </w:tc>
        <w:tc>
          <w:tcPr>
            <w:tcW w:w="6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North America Hybrid-Propulsion Systems for Transit Bus</w:t>
            </w: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105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157</w:t>
            </w: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202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293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2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c>
          <w:tcPr>
            <w:tcW w:w="6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616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2,127</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1,927</w:t>
            </w:r>
          </w:p>
        </w:tc>
        <w:tc>
          <w:tcPr>
            <w:tcW w:w="6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North America On-Highway end market net sales were up 20% for the year ended December 31, 2014 compared to the year ended December 31, 2013, principally driven by higher demand for Rugged Duty and Pupil Transport/Shuttle Series models.</w:t>
      </w:r>
    </w:p>
    <w:p>
      <w:pPr>
        <w:spacing w:after="0" w:line="17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North America Hybrid-Propulsion Systems for Transit Bus end market net sales were down 11% for the year ended December 31, 2014 compared to the year ended December 31, 2013, principally driven by lower demand due to engine emissions improvements and non-hybrid alternative technologies that generally require a fully-automatic transmission.</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North America Off-Highway end market net sales were up 156% for the year ended December 31, 2014 compared to the year ended December 31, 2013, principally driven by higher demand from hydraulic fracturing applications.</w:t>
      </w:r>
    </w:p>
    <w:p>
      <w:pPr>
        <w:spacing w:after="0" w:line="170"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Defense end market net sales were down 22% for the year ended December 31, 2014 compared to the year ended December 31, 2013, principally driven by previously considered reductions in U.S. defense spending to longer term averages experienced during periods without active conflicts.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Outside North America On-Highway end market net sales were down 10% for the year ended December 31, 2014 compared to the year ended December 31, 2013, reflecting weak demand in Europe and Asia.</w:t>
      </w:r>
    </w:p>
    <w:p>
      <w:pPr>
        <w:spacing w:after="0" w:line="170"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down 8% for the year ended December 31, 2014 compared to the year ended December 31, 2013, principally driven by weak demand in the energy sector.</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Service parts, support equipment &amp; other end market net sales were up 18% for the year ended December 31, 2014 compared to the year ended December 31, 2013, principally driven by higher demand for North America service parts and support equipment commensurate with increased transmission unit volumes.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year ended December 31, 2014, direct material costs were approximately 68%, overhead costs were approximately 26% and direct labor costs were approximately 6% of total cost of sales. We are subject to changes in our cost of sales caused by movements in underlying commodity prices. We seek to hedge against this risk by using commodity swap contracts and LTSAs. See Part II, Item 7A, “Quantitative and Qualitative Disclosures about Market Risk—Commodity Price Risk” included in this Annual Report on Form 10-K.</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incur costs in connection with research and development programs that are expected to contribute to future earnings. Such costs are expensed as incurred. In 2009, we were notified by the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Consolidated Statements of Comprehensive Income included in Part II, Item 8, of this Annual Report on Form 10-K, or in the case of capital expenditure, as a reduction in the cost basis of the capital asset.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used when evaluating revenue recognition, inventory, the impairment of goodwill and other intangibles, the impairment of long-lived assets, warranty programs, pension and post-retirement obligations, income taxes and stock-based compensation can require a significant amount of judgment, and a different set of judgments could result in changes to our reported results. A summary of our policies concerning these significant estimates is included in NOTE 2, “Summary of Significant Accounting Policies” in Part II, Item 8, of this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2, “Summary of Significant Accounting Policies” in Part II, Item 8, of this Annual Report on Form 10-K.</w:t>
      </w:r>
    </w:p>
    <w:p>
      <w:pPr>
        <w:sectPr>
          <w:pgSz w:w="11900" w:h="16838" w:orient="portrait"/>
          <w:cols w:equalWidth="0" w:num="1">
            <w:col w:w="11380"/>
          </w:cols>
          <w:pgMar w:left="240" w:top="459"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459" w:right="2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80" w:type="dxa"/>
            <w:vAlign w:val="bottom"/>
          </w:tcPr>
          <w:p>
            <w:pPr>
              <w:spacing w:after="0"/>
              <w:rPr>
                <w:sz w:val="14"/>
                <w:szCs w:val="14"/>
                <w:color w:val="auto"/>
              </w:rPr>
            </w:pPr>
          </w:p>
        </w:tc>
        <w:tc>
          <w:tcPr>
            <w:tcW w:w="326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plus: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138.4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Cash interest expense</w:t>
            </w:r>
          </w:p>
        </w:tc>
        <w:tc>
          <w:tcPr>
            <w:tcW w:w="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(140.0)</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139.5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Cash income taxes</w:t>
            </w:r>
          </w:p>
        </w:tc>
        <w:tc>
          <w:tcPr>
            <w:tcW w:w="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98.8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Loss associated with impairment of long-lived assets (a)</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Technology-related investment expense (b)</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Public offering expenses (c)</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Fee to terminate services agreement (d)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Adjusted net income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479.1</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interest expense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140.0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Cash income taxes</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93.8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Unrealized loss on foreign exchange (e)</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Dual power inverter module extended coverage (f)</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Unrealized (gain) loss on commodity hedge contracts (g)</w:t>
            </w:r>
          </w:p>
        </w:tc>
        <w:tc>
          <w:tcPr>
            <w:tcW w:w="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 (h)</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Loss on repayments and repurchases of long-term debt (i)</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plan re-measurement (j)</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UAW Local 933 contract signing bonus (k)</w:t>
            </w:r>
          </w:p>
        </w:tc>
        <w:tc>
          <w:tcPr>
            <w:tcW w:w="8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739.0</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excluding technology-related licenses expenses (m)</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745.1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2,127.4</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1,926.8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2,141.8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8"/>
        </w:trPr>
        <w:tc>
          <w:tcPr>
            <w:tcW w:w="624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Adjusted EBITDA margin excluding technology-related licenses expenses</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tcPr>
          <w:p>
            <w:pPr>
              <w:ind w:left="180"/>
              <w:spacing w:after="0"/>
              <w:rPr>
                <w:sz w:val="20"/>
                <w:szCs w:val="20"/>
                <w:color w:val="auto"/>
              </w:rPr>
            </w:pPr>
            <w:r>
              <w:rPr>
                <w:rFonts w:ascii="Arial" w:cs="Arial" w:eastAsia="Arial" w:hAnsi="Arial"/>
                <w:sz w:val="18"/>
                <w:szCs w:val="18"/>
                <w:b w:val="1"/>
                <w:bCs w:val="1"/>
                <w:color w:val="auto"/>
              </w:rPr>
              <w:t>(m)</w:t>
            </w:r>
          </w:p>
        </w:tc>
        <w:tc>
          <w:tcPr>
            <w:tcW w:w="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08"/>
        </w:trPr>
        <w:tc>
          <w:tcPr>
            <w:tcW w:w="6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556.9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Additions of long-lived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Excess tax benefit from stock-based compensation (n)</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24.6</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Fee to terminate services agreement (d)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Technology-related license expenses (m)</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523.5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59" w:right="2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 charge associated with the impairment of long-lived assets related to the production of the H3000 and H4000 hybrid-propulsion systems.</w:t>
      </w:r>
    </w:p>
    <w:p>
      <w:pPr>
        <w:spacing w:after="0" w:line="46" w:lineRule="exact"/>
        <w:rPr>
          <w:rFonts w:ascii="Arial" w:cs="Arial" w:eastAsia="Arial" w:hAnsi="Arial"/>
          <w:sz w:val="16"/>
          <w:szCs w:val="16"/>
          <w:color w:val="auto"/>
        </w:rPr>
      </w:pPr>
    </w:p>
    <w:p>
      <w:pPr>
        <w:ind w:left="460" w:right="9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charge (recorded in Other expense, net) for investments in co-development agreements to expand our position in transmission technologies.</w:t>
      </w:r>
    </w:p>
    <w:p>
      <w:pPr>
        <w:ind w:left="460" w:right="1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fees and expenses (recorded in Other expense, net) related to our secondary offerings in September 2014, June 2014, April 2014, February 2014, December 2013, November 2013 and August 2013, proposed secondary offering in April 2013 and initial public offering in March 2012.</w:t>
      </w:r>
    </w:p>
    <w:p>
      <w:pPr>
        <w:spacing w:after="0" w:line="1"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payment (recorded in Other expense, net) to terminate a services agreement with the Carlyle Group and Onex Corporation (collectively, the “Sponsors”).</w:t>
      </w:r>
    </w:p>
    <w:p>
      <w:pPr>
        <w:ind w:left="460" w:righ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losses (recorded in Other expense, net) on the mark-to-market of our foreign currency hedge contracts and on intercompany financing transactions related to investments in plant assets for our India facility.</w:t>
      </w:r>
    </w:p>
    <w:p>
      <w:pPr>
        <w:ind w:left="46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2014, 2013 and 2012, we conducted a review of the Dual Power Inverter Module (“DPIM”) extended coverage program resulting in an increase of the DPIM liability in 2014, a reduction of the DPIM liability in 2013 and an increase of the DPIM liability in 2012, partially offset by a respective increase, reduction and increase of the associated General Motors Company (“GM”) receivable (recorded in Selling, general and administrative expenses). The total liability and GM receivable will continue to be reviewed for any changes in estimate as additional claims data and field information become available.</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(gains) losses (recorded in Other expense, net) on the mark-to-market of our commodity hedge contracts.</w:t>
      </w:r>
    </w:p>
    <w:p>
      <w:pPr>
        <w:spacing w:after="0" w:line="9"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charge (recorded in Selling, general and administrative, and Engineering – research and development) related to employee headcount reductions in the second quarter of 2014 and second quarter of 2013.</w:t>
      </w:r>
    </w:p>
    <w:p>
      <w:pPr>
        <w:ind w:left="460" w:right="3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losses (recorded in Other expense, net) realized on the repayments and repurchases of Allison Transmission, Inc.’s (“ATI”), our wholly owned subsidiary, long-term debt.</w:t>
      </w:r>
    </w:p>
    <w:p>
      <w:pPr>
        <w:ind w:left="460" w:right="120" w:hanging="452"/>
        <w:spacing w:after="0" w:line="265"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a settlement charge (recorded in Other expense, net) related to the settlement of pension obligations for certain qualified hourly employees from our hourly defined benefit pension plan to GM’s pension plan as part of the asset purchase agreement dated June 28, 2007.</w:t>
      </w:r>
    </w:p>
    <w:p>
      <w:pPr>
        <w:ind w:left="460" w:right="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bonus (recorded in Cost of sales, Selling, general and administrative expenses, and Engineering – research and development) to eligible employees recorded in the fourth quarter of 2012 as a result of UAW Local 933 – represented employees ratifying a labor contract effective November 2012 through November 2017.</w:t>
      </w:r>
    </w:p>
    <w:p>
      <w:pPr>
        <w:spacing w:after="0" w:line="1"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employee stock compensation expense (recorded in Cost of sales, Selling, general and administrative expenses, and Engineering – research and development) and service fees paid to the Sponsors (recorded in Selling, general and administrative expenses).</w:t>
      </w: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payments (recorded in Engineering – research and development) for licenses to expand our position in transmission technologies.</w:t>
      </w:r>
    </w:p>
    <w:p>
      <w:pPr>
        <w:spacing w:after="0" w:line="20" w:lineRule="exact"/>
        <w:rPr>
          <w:rFonts w:ascii="Arial" w:cs="Arial" w:eastAsia="Arial" w:hAnsi="Arial"/>
          <w:sz w:val="17"/>
          <w:szCs w:val="17"/>
          <w:color w:val="auto"/>
        </w:rPr>
      </w:pPr>
    </w:p>
    <w:p>
      <w:pPr>
        <w:ind w:left="460" w:right="2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adjusted from cash flows from operating activities to cash flows from financing activities.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tables set forth certain financial information for the years ended December 31, 2014 and 2013 and for the years ended December 31, 2013 and 2012. The following tables and discussion should be read in conjunction with the information contained in our consolidated financial statements and the notes thereto included in Part II, Item 8 of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2014 and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0"/>
                <w:szCs w:val="10"/>
                <w:color w:val="auto"/>
              </w:rPr>
            </w:pPr>
          </w:p>
        </w:tc>
        <w:tc>
          <w:tcPr>
            <w:tcW w:w="68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of net sales</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2,127.4</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1,926.8</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Gross profit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975.9</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841.9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344.6</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334.9</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Engineering — research and development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103.8</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463.8</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512.1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(138.4)</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(132.9)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(5.6)</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(144.0)</w:t>
            </w:r>
          </w:p>
        </w:tc>
        <w:tc>
          <w:tcPr>
            <w:tcW w:w="520" w:type="dxa"/>
            <w:vAlign w:val="bottom"/>
            <w:vMerge w:val="continue"/>
          </w:tcPr>
          <w:p>
            <w:pPr>
              <w:spacing w:after="0"/>
              <w:rPr>
                <w:sz w:val="19"/>
                <w:szCs w:val="19"/>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(143.8)</w:t>
            </w:r>
          </w:p>
        </w:tc>
        <w:tc>
          <w:tcPr>
            <w:tcW w:w="540" w:type="dxa"/>
            <w:vAlign w:val="bottom"/>
            <w:vMerge w:val="continue"/>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368.1</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266.1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(139.5)</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(100.7)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228.6</w:t>
            </w:r>
          </w:p>
        </w:tc>
        <w:tc>
          <w:tcPr>
            <w:tcW w:w="5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165.4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Net sales for the year ended December 31, 2014 were $2,127.4 million compared to $1,926.8 million for the year ended December 31, 2013, an increase of 10%. The increase was principally driven by a $163.0 million, or 20%, increase in net sales of North American on-highway products principally driven by higher demand from Rugged Duty Series and Pupil Transport/Shuttle Series models, a $69.0 million, or 18%, increase in net sales of parts and other products principally driven by higher demand for North American service parts and support equipment commensurate with increased transmission unit volumes, and a $61.0 million, or 156%, increase in net sales of North American off-highway products principally driven by higher demand from hydraulic fracturing applications, partially offset by a $45.0 million, or 22%, decrease in net sales of defense products due to lower U.S. defense spending, a $29.0 million, or 10%, decrease in net sales of Outside North America on-highway products principally driven by weakness in Europe and Asia, a $12.0 million, or 11%, decrease in net sales of North America hybrid-propulsion systems for transit buses principally driven by lower demand due to engine emissions improvements and non-hybrid alternatives (e.g. xNG), and a $7.0 million, or 8%, decrease in net sales of Outside North America off-highway products principally driven by lower demand from the energy sector. See “Trends Impacting Our Business” above for additional information on net sales by end markets.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Gross profit for the year ended December 31, 2014 was $975.9 million compared to $841.9 million for the year ended December 31, 2013, an increase of 16%. The increase was principally driven by $122.0 million related to increased net sales, $20.0 million of price increases on certain products and $3.0 million of favorable foreign exchange, partially offset by $5.8 million of higher incentive compensation expense and $5.2 million of higher manufacturing expense commensurate with increased net sales.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Selling, general and administrative expenses for the year ended December 31, 2014 were $344.6 million compared to $334.9 million for the year ended December 31, 2013, an increase of 3%. The increase was principally driven by $7.1 million of higher incentive compensation expense, increased global commercial spending activities, a $2.4 million favorable adjustment in 2013 related to the DPIM extended coverage program and a $1.0 million unfavorable adjustment in 2014 related to the DPIM extended coverage program, partially offset by $6.5 million of lower intangible asset amortization.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Engineering expenses for the year ended December 31, 2014 were $103.8 million compared to $97.1 million for the year ended December 31, 2013, an increase of 7%. The increase was principally driven by increased spending on product initiatives and $2.7 million of higher incentive compensation expense.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2014, we reviewed certain of our long-lived assets related to the production of the H3000 and H4000 hybrid-propulsion systems, resulting in a $15.4 million loss recorded for the year ended December 31, 2014. The loss included approximately $1.7 million of accrued expenses related to the impairment of the long-lived assets.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Interest expense, net for the year ended December 31, 2014 was $138.4 million compared to $132.9 million for the year ended December 31, 2013, an increase of 4%. The increase was principally driven by $30.8 million of less favorable mark-to-market adjustments for interest rate derivatives, partially offset by $12.3 million of lower interest expense as a result of the maturity of $950.0 million of interest rate derivatives, $5.2 million of lower interest expense as a result of debt repayments, $4.7 million of lower interest expense related to lower interest rates and $2.8 million of lower amortization of deferred financing fees.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Other expense, net for the year ended December 31, 2014 was $5.6 million compared to $10.9 million for the year ended December 31, 2013, a decrease of 49%. The decrease in expense was principally driven by $4.5 million of lower expenses related to unrealized and realized losses on derivative contracts, $3.0 million of lower technology-related investment impairment expense, a $2.0 million gain related to the negotiation of a commercial agreement, $1.4 million of lower expenses related to foreign exchange losses, $0.3 million of lower expenses related to debt repayments, and $0.2 million of lower public offering fees and expenses, partially offset by $3.1 million of increased foreign exchange losses on intercompany financing, $2.6 million of lower Grant Program income and $0.4 million of lower miscellaneous income.</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Income tax expense for the year ended December 31, 2014 was $139.5 million compared to $100.7 million for the year ended December 31, 2013, resulting in an effective tax rate of 38% for each of the years ended December 31, 2014 and December 31,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2013 and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0"/>
                <w:szCs w:val="10"/>
                <w:color w:val="auto"/>
              </w:rPr>
            </w:pPr>
          </w:p>
        </w:tc>
        <w:tc>
          <w:tcPr>
            <w:tcW w:w="68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of net sales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1,926.8</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2,141.8</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841.9</w:t>
            </w:r>
          </w:p>
        </w:tc>
        <w:tc>
          <w:tcPr>
            <w:tcW w:w="5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954.3</w:t>
            </w:r>
          </w:p>
        </w:tc>
        <w:tc>
          <w:tcPr>
            <w:tcW w:w="5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334.9</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419.0</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115.1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w:t>
            </w:r>
          </w:p>
        </w:tc>
        <w:tc>
          <w:tcPr>
            <w:tcW w:w="5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534.1</w:t>
            </w:r>
          </w:p>
        </w:tc>
        <w:tc>
          <w:tcPr>
            <w:tcW w:w="5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(151.2)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(10.9)</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(52.8)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(143.8)</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(204.0)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(100.7)</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165.4</w:t>
            </w:r>
          </w:p>
        </w:tc>
        <w:tc>
          <w:tcPr>
            <w:tcW w:w="5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514.2</w:t>
            </w:r>
          </w:p>
        </w:tc>
        <w:tc>
          <w:tcPr>
            <w:tcW w:w="5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Net sales for the year ended December 31, 2013 were $1,926.8 million compared to $2,141.8 million for the year ended December 31, 2012, a decrease of 10%. The decrease was principally driven by a $144.0 million, or 53%, decrease in net sales of global off-highway products principally driven by lower demand from North America natural gas fracturing applications and lower global demand in the mining sector, a $103.0 million, or 34%, decrease in net sales of defense products due to lower U.S. defense spending and a $10.0 million, or 9%, decrease in net sales of North America hybrid-propulsion systems for transit buses principally driven by lower demand due to engine emissions improvements and non-hybrid alternatives (e.g. xNG), partially offset by a</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$27.0 million, or 8%, increase in net sales of parts and other products, and a $15.0 million, or 1%, increase in net sales of global on-highway products. See “Trends Impacting Our Business” above for additional information on net sales by end markets.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Gross profit for the year ended December 31, 2013 was $841.9 million compared to $954.3 million for the year ended December 31, 2012, a decrease of 12%. The decrease was principally driven by $132.0 million related to decreased sales, partially offset by $7.7 million related to the fourth quarter 2012 UAW Local 933 contract signing bonus, $6.0 million of favorable foreign exchange and $4.0 million of favorable manufacturing performance.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Selling, general and administrative expenses for the year ended December 31, 2013 were $334.9 million compared to $419.0 million for the year ended December 31, 2012, a decrease of 20%. The decrease was principally driven by $44.7 million of lower intangible asset amortization, a $9.4 million charge in 2012 related to the DPIM extended coverage program, $8.0 million of unfavorable product warranty adjustments in 2012 from prior period estimates, a $2.4 million favorable adjustment in 2013 related to the DPIM extended coverage program, $1.0 million related to the fourth quarter 2012 UAW Local 933 contract signing bonus and reduced global commercial spending activities, partially offset by $6.0 million of higher stock compensation expense.</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Engineering expenses for the year ended December 31, 2013 were $97.1 million compared to $115.1 million for the year ended December 31, 2012, a decrease of 16%. The decrease was principally driven by $12.0 million of technology-related license expenses in 2012 to expand our position in transmission technologies, $0.1 million related to the fourth quarter 2012 UAW Local 933 contract signing bonus, lower product initiative spending and reduced global spending activities, partially offset by $6.0 million of technology-related license expenses in 2013 to further expand our position in transmission technologies.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expense, net for the year ended December 31, 2013 was $132.9 million compared to $151.2 million for the year ended December 31, 2012, a decrease of 12%. The decrease was principally driven by $14.4 million of lower interest expense as a result of debt repayments and purchases, an $8.8 million decrease in mark-to-market expense for our interest rate derivatives, $3.8 million of lower interest expense as a result of a decrease in effective interest rate swaps and $3.4 million of lower amortization of deferred financing fees, partially offset by $9.0 million of higher interest expense as a result of higher interest rates on the Senior Secured Credit Facility, $3.0 million of higher interest expense related to higher interest rates on our effective interest rate swaps and $0.1 million of lower interest income.</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Other expense, net for the year ended December 31, 2013 was $10.9 million compared to $52.8 million for the year ended December 31, 2012, a decrease of 79%. The decrease in expense was principally driven by $21.3 million of lower premiums and expenses related to payments on and redemptions of long-term debt, a $16.0 million payment in 2012 to terminate the services agreement with the Sponsors, $9.4 million of lower technology-related investment impairment expense, $4.5 million of lower public offering expenses, $2.3 million related to the hourly pension plan settlement in 2012 and $0.7 million of reduced miscellaneous expenses, partially offset by $3.9 million of higher expenses related to unrealized and realized losses on derivative contracts, $2.1 million of higher unfavorable foreign exchange and $6.3 million of lower Grant Program income.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Income tax expense for the year ended December 31, 2013 was ($100.7) million compared to an income tax benefit of $298.0 million for the year ended December 31, 2012, resulting in an effective tax rate of (38%) for the year ended December 31, 2013 versus an effective tax rate of 138% for the year ended December 31, 2012. The change in effective tax rate was principally driven by the release of the domestic valuation allowance on our deferred tax assets in the second quarter of 2012.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$263.0 million and $184.7 million as of December 31, 2014 and 2013, respectively. Of the available cash and cash equivalents, approximately $208.0 million and $179.7 million were deposited in operating accounts while approximately $55.0 million and $5.0 million were invested in U.S. government backed securities as of December 31, 2014 and 2013, respectively.</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December 31, 2014, the total of cash and cash equivalents held by foreign subsidiaries was $35.3 million, the majority of which was located in Europe, Hungary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any local liquidity restrictions to preclude us from funding our targeted expectations or operating needs with local resources.</w:t>
      </w:r>
    </w:p>
    <w:p>
      <w:pPr>
        <w:spacing w:after="0" w:line="154"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If we distribute our foreign cash balance to the U.S. or to other foreign subsidiaries, we could be required to accrue and pay U.S. taxes. For example, we would be required to accrue and pay additional U.S. taxes if we repatriate cash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liquidity requirements are significant, primarily due to our debt service requirements. As of December 31, 2014, the Company had $283.6 million of indebtedness associated with ATI’s Senior Secured Credit Facility Term B-2 Loan due 2017 (“Term B-2 Loan”) and $1,765.6 million of indebtedness associated with ATI’s Senior Secured Credit Facility Term B-3 Loan due 2019 (“Term B-3 Loan,” and together with the Term B-2 Loan and revolving credit facility, the “Senior Secured Credit Facility”). The Company also had indebtedness of $471.3 million of ATI’s 7.125% senior cash pay notes due May 2019 (“7.125% Senior Notes”).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$157.6 million, $142.4 million and $245.4 million on the Senior Secured Credit Facility for the years ended December 31, 2014, 2013 and 2012, respectively.</w:t>
      </w:r>
    </w:p>
    <w:p>
      <w:pPr>
        <w:spacing w:after="0" w:line="18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Senior Secured Credit Facility also provides for $465.0 million in revolving credit borrowings, net of an allowance for up to $75.0 million in outstanding letters of credit commitments. During 2014, the maximum amount outstanding at any time on the revolving credit facility was $40.0 million, and all balances were repaid within the quarter they were borrowed. As of December 31, 2014, we had no outstanding borrowings on our revolving credit facility. Additionally within the terms of the Senior Secured Credit Facility, a senior secured leverage ratio at or below 3.50x results in the elimination of excess cash flow payments on the Senior Secured Credit Facility for the applicable year.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December 31, 2014, the total leverage ratio was 3.05x.</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the maximum total senior secured leverage ratio for the revolving portion of the Senior Secured Credit Facility, the Senior Secured Credit Facility and the indenture governing the 7.125% Senior Notes include, among other things, customary restrictions (subject to certain exceptions) on our ability to incur certain indebtedness or liens, make certain investments, declare or pay certain dividends, or repurchase shares of our common stock. As of December 31, 2014, we are in compliance with all covenants under the Senior Secured Credit Facility.</w:t>
      </w:r>
    </w:p>
    <w:p>
      <w:pPr>
        <w:spacing w:after="0" w:line="17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Prior to May 15, 2015, we may redeem some or all of our 7.125% Senior Notes by paying the applicable “make-whole” premium. At any time on or after May 15, 2015, we may redeem some or all of the 7.125% Senior Notes at specified redemption prices in the governing indenture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30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Borders>
              <w:bottom w:val="single" w:sz="8" w:color="CCEEFF"/>
            </w:tcBorders>
          </w:tcPr>
          <w:p>
            <w:pPr>
              <w:spacing w:after="0"/>
              <w:rPr>
                <w:sz w:val="16"/>
                <w:szCs w:val="16"/>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7"/>
                <w:szCs w:val="17"/>
                <w:color w:val="auto"/>
                <w:w w:val="73"/>
              </w:rPr>
              <w:t>2015</w:t>
            </w:r>
          </w:p>
        </w:tc>
        <w:tc>
          <w:tcPr>
            <w:tcW w:w="23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103.563%</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2016</w:t>
            </w:r>
          </w:p>
        </w:tc>
        <w:tc>
          <w:tcPr>
            <w:tcW w:w="5160" w:type="dxa"/>
            <w:vAlign w:val="bottom"/>
            <w:gridSpan w:val="3"/>
          </w:tcPr>
          <w:p>
            <w:pPr>
              <w:jc w:val="right"/>
              <w:ind w:right="60"/>
              <w:spacing w:after="0"/>
              <w:rPr>
                <w:sz w:val="20"/>
                <w:szCs w:val="20"/>
                <w:color w:val="auto"/>
              </w:rPr>
            </w:pPr>
            <w:r>
              <w:rPr>
                <w:rFonts w:ascii="Arial" w:cs="Arial" w:eastAsia="Arial" w:hAnsi="Arial"/>
                <w:sz w:val="18"/>
                <w:szCs w:val="18"/>
                <w:color w:val="auto"/>
              </w:rPr>
              <w:t>101.781%</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5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r>
      <w:tr>
        <w:trPr>
          <w:trHeight w:val="365"/>
        </w:trPr>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60" w:type="dxa"/>
            <w:vAlign w:val="bottom"/>
          </w:tcPr>
          <w:p>
            <w:pPr>
              <w:jc w:val="right"/>
              <w:ind w:right="2810"/>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credit ratings are reviewed regularly by major debt ratings agencies such as Standard and Poor’s, Moody’s Investors Service and Fitch Ratings. In January 2015, Standard and Poor’s raised the issue ratings and revised recovery ratings. The rating of the Senior Secured Credit Facility was raised to BB+ from BB, and the rating of the 7.125% Senior Notes was raised to B+ from B.</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secondary public offerings of our common stock held by investment funds affiliated with the Sponsors, we repurchased from the underwriters 5,000,000 shares of common stock in June 2014 and 3,428,179 shares in February 2014 at the prices paid by the underwriters for a total cost of $249.8 million and subsequently retired those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30, 2014, our Board of Directors authorized us to purchase up to $500.0 million of our common stock under a stock repurchase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future repurchases under this program will be an ongoing use of cash.</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years ended December 31, 2014, 2013 and 2012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9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$ 556.9</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$ 453.5</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3020" w:type="dxa"/>
            <w:vAlign w:val="bottom"/>
            <w:gridSpan w:val="3"/>
          </w:tcPr>
          <w:p>
            <w:pPr>
              <w:jc w:val="right"/>
              <w:ind w:right="408"/>
              <w:spacing w:after="0"/>
              <w:rPr>
                <w:sz w:val="20"/>
                <w:szCs w:val="20"/>
                <w:color w:val="auto"/>
              </w:rPr>
            </w:pPr>
            <w:r>
              <w:rPr>
                <w:rFonts w:ascii="Arial" w:cs="Arial" w:eastAsia="Arial" w:hAnsi="Arial"/>
                <w:sz w:val="18"/>
                <w:szCs w:val="18"/>
                <w:b w:val="1"/>
                <w:bCs w:val="1"/>
                <w:color w:val="auto"/>
              </w:rPr>
              <w:t>(67.9)</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(81.5)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302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b w:val="1"/>
                <w:bCs w:val="1"/>
                <w:color w:val="auto"/>
              </w:rPr>
              <w:t>(424.1)</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(277.5)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activities for the year ended December 31, 2014 generated $556.9 million of cash compared to $453.5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The increase was principally driven by increased net sales, lower inventories, lower cash interest expense and higher other liabilities,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higher accounts receivable commensurate with increased net sales and increased excess tax benefit from stock-based compensation.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activities for the year ended December 31, 2013 generated $453.5 million of cash compared to $497.5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The decrease was principally driven by decreased net sales, higher accounts receivable principally driven by lower accounts receivable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end of 2012 as a result of earlier than expected receipts, lower other liabilities, net, and increased excess tax benefit from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 higher accounts payable principally driven by lower accounts payable at the end of 2012 as a result of labor negotiations planning,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decreased spending commensurate with reduced global commercial and product initiatives spending, lower cash interest expense and lower cash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taxes.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Investing activities for the year ended December 31, 2014 used $67.9 million of cash compared to $81.5 million for the year ended December 31, 2013. The decrease was principally driven by a decrease of $10.3 million in capital expenditures and a decrease of $3.0 million in investments in technology-related initiatives. The decrease in capital expenditures was principally driven by lower product initiatives spending, partially offset by increased investments in productivity and replacement programs.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Investing activities for the year ended December 31, 2013 used $81.5 million of cash compared to $138.7 million for the year ended December 31, 2012. The decrease was principally driven by a decrease of $49.5 million in capital expenditures and a decrease of $5.6 million in investments in technology-related initiatives. The decrease in capital expenditures was principally driven by the 2012 expansion of our India facility and lower product initiatives spending.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Financing activities for the year ended December 31, 2014 used $424.1 million of cash compared to $277.5 million for the year ended December 31, 2013. The increase was principally driven by $150.3 million related to increased repurchases of our common stock in connection with the June 2014 and February 2014 secondary offerings by investment funds affiliated with the Sponsors, $15.2 million of increased payments on the Senior Secured Credit Facility, $14.5 million of increased dividend payments and $4.8 million of higher taxes paid related to net share settlement of equity awards, partially offset by $14.0 million of decreased debt financing fees, $13.3 million of increased proceeds from the exercise of stock options and $10.9 million of increased excess tax benefit from stock based compensation.</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459" w:right="2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Financing activities for the year ended December 31, 2013 used $277.5 million of cash compared to $593.5 million for the year ended December 31,</w:t>
      </w:r>
    </w:p>
    <w:p>
      <w:pPr>
        <w:spacing w:after="0" w:line="46"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2012. The decrease was principally driven by 2012 redemptions of $326.9 million of ATI’s 11.0% senior cash pay notes due November 2015, $103.0 million of decreased principal payments on the Senior Secured Credit Facility, $17.3 million of increased proceeds from the exercise of stock options, $8.4 million of increased tax benefits from stock based compensation and $5.3 million of decreased debt financing fees, partially offset by $99.5 million related to the repurchase of our common stock in connection with the August 2013 secondary offering by the Sponsors and $44.3 million of increased dividend payments.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Contingent Liabilities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2014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right"/>
              <w:ind w:right="296"/>
              <w:spacing w:after="0"/>
              <w:rPr>
                <w:sz w:val="20"/>
                <w:szCs w:val="20"/>
                <w:color w:val="auto"/>
              </w:rPr>
            </w:pPr>
            <w:r>
              <w:rPr>
                <w:rFonts w:ascii="Arial" w:cs="Arial" w:eastAsia="Arial" w:hAnsi="Arial"/>
                <w:sz w:val="14"/>
                <w:szCs w:val="14"/>
                <w:b w:val="1"/>
                <w:bCs w:val="1"/>
                <w:color w:val="auto"/>
                <w:w w:val="96"/>
              </w:rPr>
              <w:t>Payments due by period</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1-3</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3-5</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1 year</w:t>
            </w:r>
          </w:p>
        </w:tc>
        <w:tc>
          <w:tcPr>
            <w:tcW w:w="36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years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7.125% Senior Notes(1)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Senior Secured Credit Facility(2)</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2,393.4</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462.1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1,839.2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Pension &amp; OPEB liabilities(3)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see (3) below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544.5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2,367.8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7.125% Senior Notes include principal and interest payments based on a fixed interest rate of 7.125%.</w:t>
      </w:r>
    </w:p>
    <w:p>
      <w:pPr>
        <w:spacing w:after="0" w:line="23"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Senior Secured Credit Facility includes principal payments and estimated interest payments excluding the effects of our interest rate swaps. A portion of the interest is at a variable rate and for the purposes of this table has been calculated using LIBOR as of December 31, 2014, plus the applicable margin of each loan, resulting in an applied rate of 2.92% for Term B-2 Loan and 3.75% for Term B-3 Loan. Actual payments will vary.</w:t>
      </w:r>
    </w:p>
    <w:p>
      <w:pPr>
        <w:spacing w:after="0" w:line="2" w:lineRule="exact"/>
        <w:rPr>
          <w:rFonts w:ascii="Arial" w:cs="Arial" w:eastAsia="Arial" w:hAnsi="Arial"/>
          <w:sz w:val="16"/>
          <w:szCs w:val="16"/>
          <w:color w:val="auto"/>
        </w:rPr>
      </w:pPr>
    </w:p>
    <w:p>
      <w:pPr>
        <w:ind w:left="460" w:right="30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Estimated pension funding and post-retirement benefit payments are based on an increasing discount rate and effective interest rate for funding purposes between 4.5% - 5.5%. Pension funding and post-retirement benefit payments are excluded from the table beyond year 5, though we expect funding and payments to continue beyond year 5. See NOTE 13 of Notes to Consolidated Financial Statements included in Part II, Item 8, of this Annual Report on Form 10-K for the funding status of our pension plans and other post-retirement plan as of December 31, 2014.</w:t>
      </w:r>
    </w:p>
    <w:p>
      <w:pPr>
        <w:spacing w:after="0" w:line="2" w:lineRule="exact"/>
        <w:rPr>
          <w:rFonts w:ascii="Arial" w:cs="Arial" w:eastAsia="Arial" w:hAnsi="Arial"/>
          <w:sz w:val="16"/>
          <w:szCs w:val="16"/>
          <w:color w:val="auto"/>
        </w:rPr>
      </w:pPr>
    </w:p>
    <w:p>
      <w:pPr>
        <w:ind w:left="460" w:right="380" w:hanging="452"/>
        <w:spacing w:after="0" w:line="290"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Estimated warranty obligations, sales allowance programs and defense price reduction reserves, which total $83.6 million, $25.5 million and $63.1 million, respectively, as of December 31, 2014 have been excluded from this table as timing of any payments are uncertain.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$2,504.3 million including $455.1 million under our revolving credit facility, net of $9.9 million of letters of credit. A one-eighth percent change in assumed interest rates for the Senior Secured Credit Facility, if fully drawn, as of December 31, 2014 would have an impact of approximately $1.0 million on interest expense assuming the 1.00% LIBOR floor is in effect for our Term B-3 Loan. Should LIBOR exceed 1.00%, a one-eighth percent change in assumed interest rates for the Senior Secured Credit Facility, if fully drawn, as of December 31, 2014 would have an impact of approximately $3.0 million on interest expense. As of December 31, 2014, we had no outstanding borrowings against the revolving credit facility.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Notional</w:t>
            </w: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Counterparty</w:t>
            </w:r>
          </w:p>
        </w:tc>
        <w:tc>
          <w:tcPr>
            <w:tcW w:w="4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4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Fixed Rate</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2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Barclays</w:t>
            </w:r>
          </w:p>
        </w:tc>
        <w:tc>
          <w:tcPr>
            <w:tcW w:w="44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Rate Swap M</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JP Morgan</w:t>
            </w:r>
          </w:p>
        </w:tc>
        <w:tc>
          <w:tcPr>
            <w:tcW w:w="194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Bank of America</w:t>
            </w:r>
          </w:p>
        </w:tc>
        <w:tc>
          <w:tcPr>
            <w:tcW w:w="1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Rate Swap O</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Deutsche Bank</w:t>
            </w:r>
          </w:p>
        </w:tc>
        <w:tc>
          <w:tcPr>
            <w:tcW w:w="194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Barclays</w:t>
            </w:r>
          </w:p>
        </w:tc>
        <w:tc>
          <w:tcPr>
            <w:tcW w:w="1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Rate Swap Q</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Barclays</w:t>
            </w:r>
          </w:p>
        </w:tc>
        <w:tc>
          <w:tcPr>
            <w:tcW w:w="194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Deutsche Bank</w:t>
            </w:r>
          </w:p>
        </w:tc>
        <w:tc>
          <w:tcPr>
            <w:tcW w:w="1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Rate Swap 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Deutsche Bank</w:t>
            </w:r>
          </w:p>
        </w:tc>
        <w:tc>
          <w:tcPr>
            <w:tcW w:w="194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Bank of America</w:t>
            </w:r>
          </w:p>
        </w:tc>
        <w:tc>
          <w:tcPr>
            <w:tcW w:w="1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Rate Swap U</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Fifth Third Bank</w:t>
            </w:r>
          </w:p>
        </w:tc>
        <w:tc>
          <w:tcPr>
            <w:tcW w:w="194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Fifth Third Bank</w:t>
            </w:r>
          </w:p>
        </w:tc>
        <w:tc>
          <w:tcPr>
            <w:tcW w:w="1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Interest Rate Swap W</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Fifth Third Bank</w:t>
            </w:r>
          </w:p>
        </w:tc>
        <w:tc>
          <w:tcPr>
            <w:tcW w:w="194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Aug 2016-Aug 2019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LIBOR floor of 1.00%</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are exposed to increased interest expense if a counterparty defaults. Refer to NOTE 7 and NOTE 8 of Notes to Consolidated Financial Statements included in Part II, Item 8, of this Annual Report on Form 10-K.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December 31, 2014, we hold hedging contracts in the Japanese Yen, which are intended to hedge either known or forecasted cash flow payments denominated in the currency. We do not hold financial instruments for trading or speculative purposes.</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by an estimated $5 million per year. This includes the partial offset of our hedging contracts described above. All other exposure to foreign currencies is considered immaterial.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2015 and 2016, as of December 31, 2014, the hedge contracts cover approximately 30% and 16% of our aluminum requirements, respectively. We do not hold financial instruments for trading or speculative purposes.</w:t>
      </w:r>
    </w:p>
    <w:p>
      <w:pPr>
        <w:spacing w:after="0" w:line="179"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Assuming current levels of commodity purchases, a 10% increase or decrease in the price of aluminum and steel would correspondingly change our earnings by approximately $1 million and $4 million per year, respectively. This includes the partial offset of our hedging contracts described above.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cost-sharing arrangements have not been included.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Allison Transmission Holdings, Inc.</w:t>
      </w:r>
    </w:p>
    <w:p>
      <w:pPr>
        <w:spacing w:after="0" w:line="21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comprehensive income, of stockholders’ equity and of cash flows present fairly, in all material respects, the financial position of Allison Transmission Holdings,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Internal Control - Integrated Framework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audits (which were integrated audits in 2013 and 2014).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Accounts receivable — net of allowance for doubtful accounts of $0.3 and $0.4, respectively</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207.4</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8"/>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758.0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514.6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1,512.0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1,941.0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4,804.2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Product warranty liability</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131.7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28"/>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345.9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2,502.6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238.2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211.4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3,406.4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$0.01 par value, 1,880,000,000 shares authorized, 179,488,247 shares issued and outstanding and</w:t>
            </w:r>
          </w:p>
        </w:tc>
        <w:tc>
          <w:tcPr>
            <w:tcW w:w="1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183,375,436 shares issued and outstanding, respectively</w:t>
            </w:r>
          </w:p>
        </w:tc>
        <w:tc>
          <w:tcPr>
            <w:tcW w:w="18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00" w:type="dxa"/>
            <w:vAlign w:val="bottom"/>
          </w:tcPr>
          <w:p>
            <w:pPr>
              <w:ind w:left="340"/>
              <w:spacing w:after="0" w:line="201" w:lineRule="exact"/>
              <w:rPr>
                <w:sz w:val="20"/>
                <w:szCs w:val="20"/>
                <w:color w:val="auto"/>
              </w:rPr>
            </w:pPr>
            <w:r>
              <w:rPr>
                <w:rFonts w:ascii="Arial" w:cs="Arial" w:eastAsia="Arial" w:hAnsi="Arial"/>
                <w:sz w:val="18"/>
                <w:szCs w:val="18"/>
                <w:color w:val="auto"/>
                <w:w w:val="95"/>
              </w:rPr>
              <w:t>Non-voting common stock, $0.01 par value, 20,000,000 shares authorized, none issued and outstanding and 1,185</w:t>
            </w:r>
          </w:p>
        </w:tc>
        <w:tc>
          <w:tcPr>
            <w:tcW w:w="180" w:type="dxa"/>
            <w:vAlign w:val="bottom"/>
          </w:tcPr>
          <w:p>
            <w:pPr>
              <w:spacing w:after="0"/>
              <w:rPr>
                <w:sz w:val="17"/>
                <w:szCs w:val="17"/>
                <w:color w:val="auto"/>
              </w:rPr>
            </w:pPr>
          </w:p>
        </w:tc>
        <w:tc>
          <w:tcPr>
            <w:tcW w:w="1180" w:type="dxa"/>
            <w:vAlign w:val="bottom"/>
            <w:gridSpan w:val="3"/>
            <w:vMerge w:val="restart"/>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520"/>
              <w:spacing w:after="0"/>
              <w:rPr>
                <w:sz w:val="20"/>
                <w:szCs w:val="20"/>
                <w:color w:val="auto"/>
              </w:rPr>
            </w:pPr>
            <w:r>
              <w:rPr>
                <w:rFonts w:ascii="Arial" w:cs="Arial" w:eastAsia="Arial" w:hAnsi="Arial"/>
                <w:sz w:val="18"/>
                <w:szCs w:val="18"/>
                <w:color w:val="auto"/>
              </w:rPr>
              <w:t>issued and outstanding, respectively</w:t>
            </w:r>
          </w:p>
        </w:tc>
        <w:tc>
          <w:tcPr>
            <w:tcW w:w="18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Paid in capital</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1,651.0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(215.5)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(39.5)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4,804.2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10"/>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2,127.4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1,151.5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1,084.9</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841.9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334.9</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103.8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Loss associated with impairment of long-lived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(139.5)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(100.7)</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40"/>
              <w:spacing w:after="0"/>
              <w:rPr>
                <w:sz w:val="20"/>
                <w:szCs w:val="20"/>
                <w:color w:val="auto"/>
              </w:rPr>
            </w:pPr>
            <w:r>
              <w:rPr>
                <w:rFonts w:ascii="Arial" w:cs="Arial" w:eastAsia="Arial" w:hAnsi="Arial"/>
                <w:sz w:val="18"/>
                <w:szCs w:val="18"/>
                <w:color w:val="auto"/>
              </w:rPr>
              <w:t>Available-for-sale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(loss) income,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228.6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98.8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131.8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15.4</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derivatives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Impairment loss on investments in technology-related initiatives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repayments and repurchases of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73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(35.8)</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liabilities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556.9</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Additions of long-lived assets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(64.1)</w:t>
            </w:r>
          </w:p>
        </w:tc>
        <w:tc>
          <w:tcPr>
            <w:tcW w:w="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technology-related initiatives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Collateral for interest rate derivatives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disposal of assets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vMerge w:val="restart"/>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38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(67.9)</w:t>
            </w: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(138.7)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(249.8)</w:t>
            </w:r>
          </w:p>
        </w:tc>
        <w:tc>
          <w:tcPr>
            <w:tcW w:w="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(157.6)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(142.4)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Dividend payments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(91.6)</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24.6</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Debt financing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(0.9)</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long-term debt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Arial" w:cs="Arial" w:eastAsia="Arial" w:hAnsi="Arial"/>
                <w:sz w:val="18"/>
                <w:szCs w:val="18"/>
                <w:color w:val="auto"/>
              </w:rPr>
              <w:t>Payments on notes payable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for financing activities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(424.1)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(277.5)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184.7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263.0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paid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ind w:left="700"/>
              <w:spacing w:after="0"/>
              <w:rPr>
                <w:sz w:val="20"/>
                <w:szCs w:val="20"/>
                <w:color w:val="auto"/>
              </w:rPr>
            </w:pPr>
            <w:r>
              <w:rPr>
                <w:rFonts w:ascii="Arial" w:cs="Arial" w:eastAsia="Arial" w:hAnsi="Arial"/>
                <w:sz w:val="18"/>
                <w:szCs w:val="18"/>
                <w:color w:val="auto"/>
              </w:rPr>
              <w:t>Income taxes paid</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voting</w:t>
            </w: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Preferred</w:t>
            </w:r>
          </w:p>
        </w:tc>
        <w:tc>
          <w:tcPr>
            <w:tcW w:w="26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6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net of tax</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$1,560.8</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center"/>
              <w:ind w:left="351"/>
              <w:spacing w:after="0"/>
              <w:rPr>
                <w:sz w:val="20"/>
                <w:szCs w:val="20"/>
                <w:color w:val="auto"/>
              </w:rPr>
            </w:pPr>
            <w:r>
              <w:rPr>
                <w:rFonts w:ascii="Arial" w:cs="Arial" w:eastAsia="Arial" w:hAnsi="Arial"/>
                <w:sz w:val="18"/>
                <w:szCs w:val="18"/>
                <w:color w:val="auto"/>
                <w:w w:val="80"/>
              </w:rPr>
              <w:t>(57.0)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on common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52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$1,601.5</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center"/>
              <w:ind w:left="351"/>
              <w:spacing w:after="0"/>
              <w:rPr>
                <w:sz w:val="20"/>
                <w:szCs w:val="20"/>
                <w:color w:val="auto"/>
              </w:rPr>
            </w:pPr>
            <w:r>
              <w:rPr>
                <w:rFonts w:ascii="Arial" w:cs="Arial" w:eastAsia="Arial" w:hAnsi="Arial"/>
                <w:sz w:val="18"/>
                <w:szCs w:val="18"/>
                <w:color w:val="auto"/>
                <w:w w:val="80"/>
              </w:rPr>
              <w:t>(43.9)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Retirement of treasury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$1,631.8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14.7</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51.0</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(91.6)</w:t>
            </w:r>
          </w:p>
        </w:tc>
        <w:tc>
          <w:tcPr>
            <w:tcW w:w="140" w:type="dxa"/>
            <w:vAlign w:val="bottom"/>
          </w:tcPr>
          <w:p>
            <w:pPr>
              <w:spacing w:after="0"/>
              <w:rPr>
                <w:sz w:val="18"/>
                <w:szCs w:val="18"/>
                <w:color w:val="auto"/>
              </w:rPr>
            </w:pPr>
          </w:p>
        </w:tc>
        <w:tc>
          <w:tcPr>
            <w:tcW w:w="980" w:type="dxa"/>
            <w:vAlign w:val="bottom"/>
            <w:gridSpan w:val="2"/>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24.6</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1,651.0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(215.5)</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80% percent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the fair statements of the results for the periods presented. The consolidated financial statements herein consist of all wholly-owned domestic and foreign subsidiaries with all significant intercompany transactions eliminated.</w:t>
      </w:r>
    </w:p>
    <w:p>
      <w:pPr>
        <w:spacing w:after="0" w:line="18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These consolidated financial statements present the financial position, results of comprehensive income, cash flows and statements of equity. Certain immaterial reclassifications have been made in the consolidated financial statements of prior periods to conform to the current period presentation. These reclassifications have no impact on previously reported net income, total stockholders’ equity or cash flows.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Financial Accounting Standards Board (“FASB”) authoritative accounting guidance on segment reporting, the Company has one operating segment and reportable segment. The Company is in one line of business, which is the manufacture and distribution of fully-automatic transmissions.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Grants</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Company recognizes government grants when there is reasonable assurance that the Company will comply with the conditions attached to the grant arrangement and the funds will be received. When the government grants relate to reimbursement of costs, the grant income is recognized in Other expense, net in the Consolidated Statements of Comprehensive Income. When the government grants relate to a reimbursement of capital expenditures, the grants are recognized as a reduction of the basis of the assets in the Consolidated Balance Sheets.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determines the appropriate classification of all marketable securities as “held-to-maturity,” “available-for-sale” or “trading” at the time of purchase, and re-evaluates such classifications as of each balance sheet date. As of December 31, 2014, the Company’s marketable securities are classified as either available-for-sale or trading.</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Available-for-sale securities are carried at fair value with the unrealized gain or loss reported in Accumulated other comprehensive loss (“AOCL”). Unrealized gains or losses considered to be “other-than-temporary” are recognized in income. Trading securities are carried at fair value with the unrealized gain or loss recognized in Other expense, net. The fair value of the Company’s investment securities is determined by currently available market prices. See NOTE 6 for more details.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allowance for doubtful trade accounts receivable reflects estimated losses to be incurred in the collection of the receivables. Estimated losses are based on historical collection experience as well as a review by management of the current status of all receivables. Account balances are charged against the allowance after all means of collection have been exhausted and the potential for recovery is considered remote.</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Inventories are stated at the lower of cost or market.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980" w:type="dxa"/>
            <w:vAlign w:val="bottom"/>
            <w:gridSpan w:val="2"/>
          </w:tcPr>
          <w:p>
            <w:pPr>
              <w:ind w:left="2040"/>
              <w:spacing w:after="0"/>
              <w:rPr>
                <w:sz w:val="20"/>
                <w:szCs w:val="20"/>
                <w:color w:val="auto"/>
              </w:rPr>
            </w:pPr>
            <w:r>
              <w:rPr>
                <w:rFonts w:ascii="Arial" w:cs="Arial" w:eastAsia="Arial" w:hAnsi="Arial"/>
                <w:sz w:val="14"/>
                <w:szCs w:val="14"/>
                <w:b w:val="1"/>
                <w:bCs w:val="1"/>
                <w:color w:val="auto"/>
                <w:w w:val="90"/>
              </w:rPr>
              <w:t>Range in Years</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20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 – 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10 – 40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20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Software</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 – 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10</w:t>
            </w: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8"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6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As a result of events and circumstances in the fourth quarter of 2014, the Company reviewed certain of its long-lived assets related to the production of the H3000 and H4000 hybrid-propulsion systems, resulting in a $15.4 million loss recorded for the year ended December 31, 2014. The loss, determined by using future net discounted cash flows, included approximately $1.7 million of accrued expenses related to the impairment of the long-lived assets. Deteriorating market conditions for hybrid-propulsion vehicles, principally as a result of decreased fuel costs, alternative fuels and other technologies, significantly contributed to the future cash flows of the related assets being less than the carrying value of those assets.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has elected to perform its annual impairment test on October 31 of every year. A multi-step impairment test is performed on goodwill. In Step 0, the Company has the option to evaluate various qualitative factors to determine the likelihood of impairment. If determined that the fair value is more likely than not less than the carrying value, then the Company is required to perform Step 1. If the Company does not elect to perform Step 0, it can voluntarily proceed directly to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the net assets assigned to the reporting unit exceeds the fair value of the reporting unit, then the Company must perform Step 2 of the impairment test in order to determine the implied fair value of the reporting unit’s goodwill. If the carrying value of a reporting unit’s goodwill exceeds its implied fair value, then the Company would record an impairment loss equal to the difference.</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Goodwill impairment testing for 2014 was performed by assessing certain qualitative trends and factors. The Company’s qualitative assessment included an assessment of business changes, economic outlook, financial trends and forecasts, growth rates, credit ratings, equity ratings, discount rates, industry data and other relevant qualitative factors. Events or circumstances that could unfavorably impact the key assumptions include lower net sales driven by market conditions, our inability to execute on marketing programs and/or delay in the introduction of new products, lower gross margins as a result of market conditions or failure to obtain forecasted cost reductions, or a higher discount rate as a result of market conditions. While unpredictable and inherently uncertain, the Company believes its forecast estimates are reasonable and incorporate assumptions that similar market participants would use in their estimates of fair value. These trends and factors were compared to, and based on, the assumptions used in the quantitative assessment performed in 2013. After reviewing various qualitative factors, the Company’s 2014 annual goodwill impairment test indicated that the fair value of the reporting unit more likely than not exceeded its carrying value, indicating no impairment.</w:t>
      </w:r>
    </w:p>
    <w:p>
      <w:pPr>
        <w:spacing w:after="0" w:line="18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such as the Company’s trade name, are not amortized but are tested annually for impairment. The Company has elected to perform our annual trade name impairment test on October 31 of every year and follow a similar multi-step impairment test that is performed on goodwill. After reviewing various qualitative factors, the Company’s 2014 annual trade name impairment test indicated that the fair value of the trade name more likely than not exceeded its carrying value, indicating no impairment. The qualitative review included an assessment of various key assumptions and factors including, among others, an assessment of business changes, economic outlooks, financial trends and forecasts, royalty savings rates, credit ratings, equity ratings and discount rates. Events or circumstances that could unfavorably impact the key assumptions include lower net sales driven by market conditions, our inability to execute on marketing programs and/or delay in introduction of new products, and higher discount rate as a result of market conditions. While unpredictable and inherently uncertain, we believe the forecast estimates are reasonable and incorporate those assumptions that similar market participants would use in their estimates of fair value. These trends and factors were compared to, and based on, the assumptions used in the quantitative assessment performed in 2013. After reviewing various qualitative factors, the fair value of trade name exceeded the respective carrying value.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useful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They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5 provides further information on Goodwill and Other intangible assets.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Deferred financing costs are stated at cost as a component of other non-current assets and amortized over the life of the related debt using the effective interest method. Amortization of deferred financing costs is recorded as part of interest expense and totaled $8.1 million, $10.9 million and $14.5 million for the years ended December 31, 2014, 2013 and 2012, respectively.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and foreign currency and commodity forward contracts are carried at fair value on the Consolidated Balance Sheets. Refer to NOTE 6 for more detail. The Company’s long-term debt obligations are carried at historical amounts with the Company providing fair value disclosure in NOTE 7.</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records sales when title has transferred to the customer, there is evidence of an agreement, the sales price is fixed or determinable, delivery has occurred or services have been rendered, and collectability is reasonably assured. The Company sells Extended Transmission Coverage (“ETC”) for which sales are deferred. ETC sales are recognized ratably over the period of the ETC, which typically ranges from two to five years after initial sale. Costs associated with ETC programs are recorded as incurred during the extended period. Distributor and customer sales incentives, consisting of allowances and other rebates, are estimated at the time of sale based upon the Company’s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rate of acceptance of any incentive program. If the actual number of affected transmissions differs from this estimate, or if a different mix of incentives is actually paid, the impact on Net sales would be recorded in the period that the change was identified. Consideration given to commercial customers recorded as a reduction of Net sales in the Consolidated Statements of Comprehensive Income included $66.9 million, $65.2 million, and $59.9 million for the years ended December 31, 2014, 2013 and 2012, respectively.</w:t>
      </w:r>
    </w:p>
    <w:p>
      <w:pPr>
        <w:spacing w:after="0" w:line="16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Sales under U.S. government production contracts are recorded when the product is accepted, title has transferred to the U.S. government, the sales price is fixed or determinable, and delivery has occurred. Deferred revenue arises from cash received in advance of the culmination of the earnings process and is recognized as revenue in future periods when the applicable revenue recognition criteria have been met. Under the terms of the U.S. government contracts, there are certain price reduction clauses and provisions for potential price reductions which are estimated at the time of sale based upon the Company’s history and experience and are recorded as a reduction to Net sales. Potential reductions may be attributed to a change in projected sales volumes or plant efficiencies which impact overall costs. As of December 31, 2014 and 2013, the Company had $63.1 million and $49.6 million recorded in the price reduction reserve account, respectively.</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Due to requests from the U.S. government, the Company billed, but did not ship certain tracked transmissions during 2013. Based on the lack of a fixed delivery date from the U.S. government, the Company deferred approximately $8.8 million of net sales for these transmissions until they were shipped in 2014. See NOTE 10 for additional details.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 in accordance with authoritative accounting guidance.</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recorded was $7.4 million, 12.4 million and $7.8 million for the years ended December 31, 2014, 2013 and 2012, respectively. The associated costs are recorded in Cost of sales.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expenses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 Such costs are charged to Engineering — research and development as incurred.</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Most of the subsidiaries outside the United States prepare financial statements in currencies other than the U.S. dollar. The functional currency for all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(losses) are stated as a component of AOCL as disclosed in NOTE 16.</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the normal course of business, the Company is exposed to fluctuations in interest rates, foreign currency exchange rates, and commodity prices. The risk is managed through the use of financial derivative instruments including interest rate swaps and commodity and foreign currency forward contracts. Despite the fact that the Company either has not elected or does not qualify for hedge accounting treatment on all of its derivative instruments, the contracts are used strictly as an economic hedge and not for speculative purposes. As necessary, the Company adjusts the values of the derivative instruments for counter-party or credit risk. NOTE 8 provides further information on the accounting treatment of the Company’s derivative instruments.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Company maintains a stock-based compensation plan which allows employees (including executive officers), consultants and directors to receive equity awards. The Company has adopted the FASB’s authoritative accounting guidance on share-based payments and recognizes the fair value of the awards as compensation expense over the vesting period. The accounting guidance also requires that forfeitures be estimated over the vesting period of an award instead of being recognized as a reduction of compensation expense when the forfeiture actually occurs.</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8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w:t>
      </w:r>
    </w:p>
    <w:p>
      <w:pPr>
        <w:spacing w:after="0" w:line="16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year. For instance, the effect of a one percentage point decrease in the assumed discount rate would result in an increase in the December 31, 2014 defined benefit pension plans obligation of approximately $20.0 million. Similarly, a one percentage point decrease in the assumed discount rate would result in an increase in the December 31, 2014 OPEB obligation of approximately $23.7 million.</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August 2014, the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is effective prospectively for fiscal years beginning after December 15, 2016, but can be early-adopted. While the adoption of this guidance is not expected to have an effect on the Company’s consolidated financial statements, it could affect the disclosure applied under these circumstances in the future.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May 2014, the FASB issued authoritative accounting guidance on a company’s accounting for revenue from contracts with customers. The guidance applies to all companies that enter into contracts with customers to transfer goods, service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improved disclosures regarding the nature, timing, amount and uncertainty of revenue that is recognized. The guidance is effective prospectively for fiscal years beginning after December 15, 2016. Management is currently assessing the potential impact of the adoption of this guidance on the Company’s consolidated financial statements.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660" w:type="dxa"/>
            <w:vAlign w:val="bottom"/>
            <w:gridSpan w:val="2"/>
          </w:tcPr>
          <w:p>
            <w:pPr>
              <w:ind w:left="220"/>
              <w:spacing w:after="0"/>
              <w:rPr>
                <w:sz w:val="20"/>
                <w:szCs w:val="20"/>
                <w:color w:val="auto"/>
              </w:rPr>
            </w:pPr>
            <w:r>
              <w:rPr>
                <w:rFonts w:ascii="Arial" w:cs="Arial" w:eastAsia="Arial" w:hAnsi="Arial"/>
                <w:sz w:val="18"/>
                <w:szCs w:val="18"/>
                <w:b w:val="1"/>
                <w:bCs w:val="1"/>
                <w:color w:val="auto"/>
              </w:rPr>
              <w:t>INVENTORIES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580" w:type="dxa"/>
            <w:vAlign w:val="bottom"/>
            <w:gridSpan w:val="3"/>
          </w:tcPr>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Work in progress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Finished goods</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1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r>
              <w:rPr>
                <w:rFonts w:ascii="Arial" w:cs="Arial" w:eastAsia="Arial" w:hAnsi="Arial"/>
                <w:sz w:val="18"/>
                <w:szCs w:val="18"/>
                <w:b w:val="1"/>
                <w:bCs w:val="1"/>
                <w:u w:val="single" w:color="auto"/>
                <w:color w:val="auto"/>
              </w:rPr>
              <w:t>5</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in which the Company has an obligation to buy back, are included in purchased parts and raw materials, with an offsetting liability in Other current liabilities. See NOTE 12, “Other Current Liabilities” for more information.</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840" w:type="dxa"/>
            <w:vAlign w:val="bottom"/>
            <w:gridSpan w:val="4"/>
          </w:tcPr>
          <w:p>
            <w:pPr>
              <w:ind w:left="156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0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281.6</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Software</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117.0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plant and equipment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1.181.9</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1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(667.3)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(600.9)</w:t>
            </w:r>
          </w:p>
        </w:tc>
      </w:tr>
      <w:tr>
        <w:trPr>
          <w:trHeight w:val="27"/>
        </w:trPr>
        <w:tc>
          <w:tcPr>
            <w:tcW w:w="4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514.6</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2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Depreciation of property, plant and equipment was $93.8 million, $98.7 million and $102.5 million for the years ended December 31, 2014, 2013 and 2012, respectively.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2014, the Company recorded an impairment of certain machinery and equipment, and special tools associated with the production of the H3000 and H4000 hybrid-propulsion systems. See NOTE 2, “Impairment of long-lived assets” for more information.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and 2013, the carrying amount of the Company’s Goodwill was $1,941.0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December 31, 2014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December 31, 2013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20" w:type="dxa"/>
            <w:vAlign w:val="bottom"/>
          </w:tcPr>
          <w:p>
            <w:pPr>
              <w:spacing w:after="0"/>
              <w:rPr>
                <w:sz w:val="10"/>
                <w:szCs w:val="10"/>
                <w:color w:val="auto"/>
              </w:rPr>
            </w:pPr>
          </w:p>
        </w:tc>
        <w:tc>
          <w:tcPr>
            <w:tcW w:w="7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300" w:type="dxa"/>
            <w:vAlign w:val="bottom"/>
          </w:tcPr>
          <w:p>
            <w:pPr>
              <w:spacing w:after="0"/>
              <w:rPr>
                <w:sz w:val="10"/>
                <w:szCs w:val="10"/>
                <w:color w:val="auto"/>
              </w:rPr>
            </w:pPr>
          </w:p>
        </w:tc>
        <w:tc>
          <w:tcPr>
            <w:tcW w:w="7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c>
          <w:tcPr>
            <w:tcW w:w="2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Intangible</w:t>
            </w:r>
          </w:p>
        </w:tc>
        <w:tc>
          <w:tcPr>
            <w:tcW w:w="100" w:type="dxa"/>
            <w:vAlign w:val="bottom"/>
          </w:tcPr>
          <w:p>
            <w:pPr>
              <w:spacing w:after="0"/>
              <w:rPr>
                <w:sz w:val="10"/>
                <w:szCs w:val="10"/>
                <w:color w:val="auto"/>
              </w:rPr>
            </w:pPr>
          </w:p>
        </w:tc>
      </w:tr>
      <w:tr>
        <w:trPr>
          <w:trHeight w:val="171"/>
        </w:trPr>
        <w:tc>
          <w:tcPr>
            <w:tcW w:w="5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2"/>
              </w:rPr>
              <w:t>assets, gross</w:t>
            </w:r>
          </w:p>
        </w:tc>
        <w:tc>
          <w:tcPr>
            <w:tcW w:w="2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net</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assets, gross</w:t>
            </w:r>
          </w:p>
        </w:tc>
        <w:tc>
          <w:tcPr>
            <w:tcW w:w="2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2"/>
              </w:rPr>
              <w:t>assets, net</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870.0</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870.0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404.9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476.3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Tooling rights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2,551.0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(1,039.0</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1,512.0</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2,551.0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1,610.8</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Amortization of intangible assets was $98.8 million, $105.3 million and $150.0 million for the years ended December 31, 2014, 2013 and 2012,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2014, the net carrying value of the Company’s Goodwill and Other intangible assets, net was $3,453.0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97.1</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92.4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189.9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480" w:type="dxa"/>
            <w:vAlign w:val="bottom"/>
            <w:vMerge w:val="restart"/>
          </w:tcPr>
          <w:p>
            <w:pPr>
              <w:jc w:val="right"/>
              <w:ind w:right="1199"/>
              <w:spacing w:after="0"/>
              <w:rPr>
                <w:sz w:val="20"/>
                <w:szCs w:val="20"/>
                <w:color w:val="auto"/>
              </w:rPr>
            </w:pPr>
            <w:r>
              <w:rPr>
                <w:rFonts w:ascii="Arial" w:cs="Arial" w:eastAsia="Arial" w:hAnsi="Arial"/>
                <w:sz w:val="18"/>
                <w:szCs w:val="18"/>
                <w:color w:val="auto"/>
              </w:rPr>
              <w:t>56</w:t>
            </w: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2014 and 2013, the Company did not have any Level 3 financial assets or liabilities.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8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Consolidated Balance Sheets. The Company generally does not elect to apply hedge accounting for these foreign currency contracts, and as a result, unrealized fair value adjustments and realized gains and losses are recorded in Other expense, net in the Consolidated Statements of Comprehensive Income during the period of change.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Consolidated Balance Sheets. The Company has either not qualified for or not elected hedge accounting treatment for these commodity contracts, and as a result, unrealized fair value adjustments and realized gains and losses are recorded in Other expense, net in the Consolidated Statements of Comprehensive Income.</w:t>
      </w:r>
    </w:p>
    <w:p>
      <w:pPr>
        <w:spacing w:after="0" w:line="17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Consolidated Balance Sheets. The Company has not qualified for hedge accounting treatment for the interest rate swaps and, as a result, fair value adjustments are charged directly to Interest expense in the Consolidated Statements of Comprehensive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b w:val="1"/>
                <w:bCs w:val="1"/>
                <w:color w:val="auto"/>
                <w:w w:val="91"/>
              </w:rPr>
              <w:t>Fair Value Measurements Using</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40" w:type="dxa"/>
            <w:vAlign w:val="bottom"/>
            <w:gridSpan w:val="7"/>
          </w:tcPr>
          <w:p>
            <w:pPr>
              <w:jc w:val="center"/>
              <w:ind w:right="6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Assets (Level 1)</w:t>
            </w:r>
          </w:p>
        </w:tc>
        <w:tc>
          <w:tcPr>
            <w:tcW w:w="220" w:type="dxa"/>
            <w:vAlign w:val="bottom"/>
          </w:tcPr>
          <w:p>
            <w:pPr>
              <w:spacing w:after="0"/>
              <w:rPr>
                <w:sz w:val="14"/>
                <w:szCs w:val="14"/>
                <w:color w:val="auto"/>
              </w:rPr>
            </w:pPr>
          </w:p>
        </w:tc>
        <w:tc>
          <w:tcPr>
            <w:tcW w:w="20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4"/>
              </w:rPr>
              <w:t>Observable Inputs (Level 2)</w:t>
            </w:r>
          </w:p>
        </w:tc>
        <w:tc>
          <w:tcPr>
            <w:tcW w:w="100" w:type="dxa"/>
            <w:vAlign w:val="bottom"/>
          </w:tcPr>
          <w:p>
            <w:pPr>
              <w:spacing w:after="0"/>
              <w:rPr>
                <w:sz w:val="14"/>
                <w:szCs w:val="14"/>
                <w:color w:val="auto"/>
              </w:rPr>
            </w:pPr>
          </w:p>
        </w:tc>
        <w:tc>
          <w:tcPr>
            <w:tcW w:w="1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(21.4)</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(15.4)</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$ 48.2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40" w:type="dxa"/>
            <w:vAlign w:val="bottom"/>
            <w:vMerge w:val="restart"/>
          </w:tcPr>
          <w:p>
            <w:pPr>
              <w:jc w:val="right"/>
              <w:ind w:right="190"/>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62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DEBT</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120" w:type="dxa"/>
            <w:vAlign w:val="bottom"/>
            <w:gridSpan w:val="3"/>
          </w:tcPr>
          <w:p>
            <w:pPr>
              <w:ind w:left="460"/>
              <w:spacing w:after="0"/>
              <w:rPr>
                <w:sz w:val="20"/>
                <w:szCs w:val="20"/>
                <w:color w:val="auto"/>
              </w:rPr>
            </w:pPr>
            <w:r>
              <w:rPr>
                <w:rFonts w:ascii="Arial" w:cs="Arial" w:eastAsia="Arial" w:hAnsi="Arial"/>
                <w:sz w:val="18"/>
                <w:szCs w:val="18"/>
                <w:color w:val="auto"/>
              </w:rPr>
              <w:t>Long-term debt and maturities are as follows (dollars in millions):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820" w:type="dxa"/>
            <w:vAlign w:val="bottom"/>
            <w:gridSpan w:val="3"/>
          </w:tcPr>
          <w:p>
            <w:pPr>
              <w:ind w:left="980"/>
              <w:spacing w:after="0"/>
              <w:rPr>
                <w:sz w:val="20"/>
                <w:szCs w:val="20"/>
                <w:color w:val="auto"/>
              </w:rPr>
            </w:pPr>
            <w:r>
              <w:rPr>
                <w:rFonts w:ascii="Arial" w:cs="Arial" w:eastAsia="Arial" w:hAnsi="Arial"/>
                <w:sz w:val="14"/>
                <w:szCs w:val="14"/>
                <w:b w:val="1"/>
                <w:bCs w:val="1"/>
                <w:color w:val="auto"/>
                <w:w w:val="90"/>
              </w:rPr>
              <w:t>December 31,</w:t>
            </w: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116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283.6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Senior Notes, fixed 7.125%, due 2019</w:t>
            </w: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2,520.5</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2,678.3</w:t>
            </w:r>
          </w:p>
        </w:tc>
        <w:tc>
          <w:tcPr>
            <w:tcW w:w="1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Less: current maturities of long-term debt</w:t>
            </w: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2,502.6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2,660.4</w:t>
            </w:r>
          </w:p>
        </w:tc>
        <w:tc>
          <w:tcPr>
            <w:tcW w:w="10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payments required on long-term debt during the next five years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5"/>
              </w:rPr>
              <w:t>Required Principal Payments</w:t>
            </w: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w:t>
            </w:r>
          </w:p>
        </w:tc>
        <w:tc>
          <w:tcPr>
            <w:tcW w:w="1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$17.9</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$17.9</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$301.4</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$17.9</w:t>
            </w: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of December 31, 2014, the Company had $283.6 million of indebtedness associated with Allison Transmission, Inc.’s (“ATI”), the Company’s wholly-owned subsidiary, Senior Secured Credit Facility Term B-2 Loan due 2017 (“Term B-2 Loan”) and $1,765.6 million of indebtedness associated with ATI’s Senior Secured Credit Facility Term B-3 Loan due 2019 (“Term B-3 Loan” and together with the Term B-2 Loan and revolving credit facility, the “Senior Secured Credit Facility”). The Company also had indebtedness of $471.3 million of ATI’s 7.125% senior cash pay notes due May 2019 (“7.125% Senior Notes”).</w:t>
      </w:r>
    </w:p>
    <w:p>
      <w:pPr>
        <w:spacing w:after="0" w:line="18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fair value of the Company’s long-term debt obligations as of December 31, 2014 was $2,515.9 million. The fair value is based on quoted Level 2 market prices of the Company’s debt as of December 31, 2014.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 March 2012, ATI entered into an amendment with the term loan lenders under its Senior Secured Credit Facility to extend the maturity of $801.1 million in principal amount of term loan debt from August 2014 to August 2017 and to increase the applicable margin at the Company’s option to either</w:t>
      </w:r>
    </w:p>
    <w:p>
      <w:pPr>
        <w:jc w:val="both"/>
        <w:ind w:right="100" w:firstLine="8"/>
        <w:spacing w:after="0" w:line="254"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3.50% over the LIBOR or (b) 2.50% over the greater of the prime lending rate provided by the British Banking Association or the federal funds effective rate published by the Federal Reserve Bank of New York plus 0.50%. As a result of the debt modification, the Company recorded an additional $2.3 million as deferred financing fees in the Consolidated Balance Sheets and extended the amortization period of $5.1 million of deferred financing fees from 2014 to 2017.</w:t>
      </w:r>
    </w:p>
    <w:p>
      <w:pPr>
        <w:spacing w:after="0" w:line="1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August 2012, ATI entered into an amendment with the term loan lenders under its Senior Secured Credit Facility to extend the maturity of $850.0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 (which may not be less than 2.00%). The amendment was treated as an extinguishment of debt under GAAP, and thus the Company expensed $4.5 million of deferred financing fees and recorded $16.1 million of new deferred financing fees in the consolidated financial statements.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October 2012, ATI entered into an amendment with the term loan lenders under its Senior Secured Credit Facility to extend the maturity of $300.0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0.50% (which may not be less than 2.00%). The amendment was treated as an extinguishment of debt under GAAP, and thus the Company expensed $1.4 million of deferred financing fees and recorded $1.8 million of new deferred financing fees in the consolidated financial statements.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February 2013, ATI entered into an amendment with the term loan lenders under its Senior Secured Credit Facility to refinance $793.1 million of term loan debt and decrease the applicable margin for such term loans at the Company’s option to either (a) 3.00% over the LIBOR or (b) 2.00% over the greater of the prime lending rate provided by the British Banking Association or the federal funds effective rate published by the Federal Reserve Bank of New York plus 0.50%. In February 2013, ATI also entered into an additional amendment with the term loan lenders under its Senior Secured Credit Facility to extend the maturity of $411.4 million of term loan debt from August 2014 to August 2017 and to increase the applicable margin at the Company’s option to either (a) 3.00% over the LIBOR or (b) 2.00% over the greater of the prime lending rate provided by the British Banking Association or the federal funds effective rate published by the Federal Reserve Bank of New York plus 0.50%. The February 2013 amendments were treated as a modification of debt under GAAP, and the Company expensed $1.0 million of deferred financing fees and recorded $1.6 million of new deferred financing fees in the consolidated financial statements.</w:t>
      </w:r>
    </w:p>
    <w:p>
      <w:pPr>
        <w:spacing w:after="0" w:line="19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 August 2013, ATI entered into an amendment with the term loan lenders under its Senior Secured Credit Facility to refinance $1,139.3 million of term loan debt and decrease the applicable margin for such term loans at the Company’s option to either (a) 2.75% or 2.50%, subject to the Company’s total leverage ratio, over the LIBOR (which may not be less than 1.00%) or (b) 1.75% or 1.50%, subject to the Company’s total leverage ratio, over the greater of the prime lending rate provided by the British Banking Association or the federal funds effective rate published by the Federal Reserve Bank of New York plus 0.50% (which may not be less than 2.00%). The amendment was treated as a modification of debt under GAAP, and thus the Company expensed $2.1 million of deferred financing fees and recorded $1.0 million of new deferred financing fees in the consolidated financial statements.</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December 2013, ATI entered into an amendment with the term loan lenders under its Senior Secured Credit Facility to extend the maturity of $650.0 million of term loan debt from August 2017 to August 2019 and to reduce the applicable margin at the Company’s option to either (a) 2.75% or 2.50%, subject to the Company’s total leverage ratio, over the LIBOR (which may not be less than 1.00%) or (b) 1.75% or 1.50%, subject to the Company’s total leverage ratio, over the greater of the prime lending rate provided by the British Banking Association or the federal funds effective rate published by the Federal Reserve Bank of New York plus 0.50% (which may not be less than 2.00%). The amendment also extended the maturity of the revolving credit facility to January 2019, increased the borrowing capacity to $410.0 million, reduced the interest rate spread to either 2.25%, 2.00% or 1.75% on LIBOR loans or 1.25%, 1.00% or 0.75% on Base Rate loans, subject to the Company’s total leverage ratio, reduced the commitment fee to either 0.375% or 0.25%, subject to the Company’s total leverage ratio, and increased the letters of credit sublimit to $75.0 million. Lastly, the amendment changed the requirement of the maximum total senior secured leverage ratio, so that it is only applicable to the revolving portion of the Senior Secured Credit Facility and is tested only when revolving commitments (including letters of credit) remain outstanding at the end of any fiscal quarter. The amendment to the term loans was treated as a modification of debt under GAAP, and thus the Company expensed $0.5 million of deferred financing fees and recorded $10.1 million of new deferred financing fees in the consolidated financial statements. The amendment to the revolving portion of the Senior Secured Credit Facility was treated as a modification of debt under GAAP, and thus the Company expensed $0.4 million of deferred financing fees and recorded $2.1 million of new deferred financing fees in the consolidated financial statements.</w:t>
      </w:r>
    </w:p>
    <w:p>
      <w:pPr>
        <w:spacing w:after="0" w:line="1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April 2014, ATI entered into an amendment with the term loan lenders under its Senior Secured Credit Facility to refinance Term B-2 Loan. The interest rate margin applicable to such refinanced loan is at the Company’s option, either (a) 2.75% over the LIBOR or (b) 1.75% over the greater of the prime lending rate provided by the British Banking Association or the federal funds effective rate published by the Federal Reserve Bank of New York plus 0.50%. The Company recorded $0.3 million of new deferred financing fees in the condensed consolidated financial statements. As of December 31, 2014, these rates were approximately 2.92% and 3.75% on the Term B-2 Loan and Term B-3 Loan, respectively, and the weighted average rate on the Senior Secured Credit Facility was approximately 3.64%. The Senior Secured Credit Facility requires minimum quarterly principal payments on the Term B-2 Loan and Term B-3 Loan as well as prepayments from certain net cash proceeds of non-ordinary course asset sales and casualty and condemnation events and from a percentage of excess cash flow, if applicable. Due to voluntary prepayments, the Company has fulfilled all Term B-2 Loan required quarterly payments through its maturity date of 2017. During 2014, the Company made principal payments of $140.0 million on the Term B-2 Loan, resulting in a loss of $0.5 million associated with the write off of related deferred debt issuance costs. The minimum required quarterly principal payment on the Term B-3 Loan is $4.5 million and remains through its maturity date of 2019. As of December 31, 2014, there had been no payments required for certain net cash proceeds of non-ordinary course asset sales and casualty and condemnation events. The remaining principal balance on each loan is due upon maturity.</w:t>
      </w:r>
    </w:p>
    <w:p>
      <w:pPr>
        <w:spacing w:after="0" w:line="16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accordance with the Senior Secured Credit Facility, net cash proceeds of non-ordinary course asset sales,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 or event, subject to certain limitations. The Company must apply 50% of its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 ended December 31, 2014 and 2013, the Company was not required to make an excess cash flow payment.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Senior Secured Credit Facility also provides for revolving credit borrowings. In 2014, ATI increased the revolving commitments available under the revolving portion of the Senior Secured Credit Facility to $465.0 million, net of an allowance for up to $75.0 million in outstanding letters of credit commitments. The increase was treated as a modification of debt under GAAP, and thus the Company recorded $0.6 million of new deferred financing fees in the consolidated financial statements. As of December 31, 2014, the Company had $455.1 million available under the revolving credit facility, net of $9.9 million in letters of credit. During 2014, the Company made one withdrawal and payment on the revolving credit facility as part of its debt management plans. The maximum amount outstanding at any time during the year on the revolving credit facility was $40.0 million, and the entire balance was repaid within the quarter it was borrowed. Revolving credit borrowings bear interest at a variable base rate plus an applicable margin based on the Company’s total leverage ratio. As of December 31, 2014, this rate would have been approximately 1.92%. In addition, there is an annual commitment fee, based on the Company’s total leverage ratio, which as of December 31, 2014, was equal to 0.25% of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revolving portion of the Senior Secured Credit Facility requires the Company to maintain a specified maximum total senior secured leverage ratio of 5.50x when revolving loan commitments remain outstanding at the end of a fiscal quarter. On March 12,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December 31, 2014, the Company had no revolving loans outstanding; however the Company would have been in compliance with the maximum total senior secured leverage ratio, achieving a 2.42x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December 31, 2014, the total leverage ratio was 3.05x.</w:t>
      </w:r>
    </w:p>
    <w:p>
      <w:pPr>
        <w:spacing w:after="0" w:line="180"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December 31, 2014, the Company is in compliance with all covenants under the Senior Secured Credit Facility.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May 2011, the Company completed an offering of $500.0 million of the 7.125% Senior Notes. The Company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15, 2015, the Company may redeem some or all of the 7.125% Senior Notes by paying the applicable “make-whole” premium. At any time on or after May 15, 2015, the Company may redeem some or all of the 7.125% Senior Notes at specified redemption prices in the governing indenture.</w:t>
      </w:r>
    </w:p>
    <w:p>
      <w:pPr>
        <w:spacing w:after="0" w:line="19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7.125% Senior Notes are unsecured and guaranteed by the subsidiaries that guarantee the Senior Secured Credit Facility and will be unconditionally guaranteed, jointly and severally, by any future domestic subsidiaries that guarantee the Senior Secured Credit Facility. The indenture governing the 7.125%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Certain of these covenants would be suspended if the 7.125% Senior Notes were to reach investment grade.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DERIVATIVES</w:t>
      </w:r>
    </w:p>
    <w:p>
      <w:pPr>
        <w:spacing w:after="0" w:line="12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Consolidated Statements of Comprehensive Income. A summary of the Company’s interest rate derivatives as of December 31, 2014 and December 31, 2013 follows (dollars in millions):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7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24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0"/>
                <w:szCs w:val="10"/>
                <w:color w:val="auto"/>
              </w:rPr>
            </w:pPr>
          </w:p>
        </w:tc>
        <w:tc>
          <w:tcPr>
            <w:tcW w:w="8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Notional</w:t>
            </w:r>
          </w:p>
        </w:tc>
        <w:tc>
          <w:tcPr>
            <w:tcW w:w="2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3.75%</w:t>
            </w:r>
          </w:p>
        </w:tc>
        <w:tc>
          <w:tcPr>
            <w:tcW w:w="5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H, Aug 2011 – Aug 2014</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3.77%</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Interest Rate Swap I, Aug 2011 – Aug 2014</w:t>
            </w:r>
          </w:p>
        </w:tc>
        <w:tc>
          <w:tcPr>
            <w:tcW w:w="12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2.96%</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J, Aug 2013 – Aug 2014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3.05%</w:t>
            </w:r>
          </w:p>
        </w:tc>
        <w:tc>
          <w:tcPr>
            <w:tcW w:w="2380" w:type="dxa"/>
            <w:vAlign w:val="bottom"/>
          </w:tcPr>
          <w:p>
            <w:pPr>
              <w:ind w:left="20"/>
              <w:spacing w:after="0"/>
              <w:rPr>
                <w:sz w:val="20"/>
                <w:szCs w:val="20"/>
                <w:color w:val="auto"/>
              </w:rPr>
            </w:pPr>
            <w:r>
              <w:rPr>
                <w:rFonts w:ascii="Arial" w:cs="Arial" w:eastAsia="Arial" w:hAnsi="Arial"/>
                <w:sz w:val="18"/>
                <w:szCs w:val="18"/>
                <w:color w:val="auto"/>
                <w:w w:val="90"/>
              </w:rPr>
              <w:t>Interest Rate Swap K, Aug 2013</w:t>
            </w:r>
          </w:p>
        </w:tc>
        <w:tc>
          <w:tcPr>
            <w:tcW w:w="3600" w:type="dxa"/>
            <w:vAlign w:val="bottom"/>
          </w:tcPr>
          <w:p>
            <w:pPr>
              <w:ind w:left="20"/>
              <w:spacing w:after="0"/>
              <w:rPr>
                <w:sz w:val="20"/>
                <w:szCs w:val="20"/>
                <w:color w:val="auto"/>
              </w:rPr>
            </w:pPr>
            <w:r>
              <w:rPr>
                <w:rFonts w:ascii="Arial" w:cs="Arial" w:eastAsia="Arial" w:hAnsi="Arial"/>
                <w:sz w:val="18"/>
                <w:szCs w:val="18"/>
                <w:color w:val="auto"/>
              </w:rPr>
              <w:t>– Aug 2014</w:t>
            </w:r>
          </w:p>
        </w:tc>
        <w:tc>
          <w:tcPr>
            <w:tcW w:w="120" w:type="dxa"/>
            <w:vAlign w:val="bottom"/>
          </w:tcPr>
          <w:p>
            <w:pPr>
              <w:spacing w:after="0"/>
              <w:rPr>
                <w:sz w:val="18"/>
                <w:szCs w:val="18"/>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3.44%</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3.43%</w:t>
            </w: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100.0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3.37%</w:t>
            </w: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Interest Rate Swap N, Aug 2016</w:t>
            </w: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Aug 2019*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3.19%</w:t>
            </w:r>
          </w:p>
        </w:tc>
        <w:tc>
          <w:tcPr>
            <w:tcW w:w="2380" w:type="dxa"/>
            <w:vAlign w:val="bottom"/>
          </w:tcPr>
          <w:p>
            <w:pPr>
              <w:ind w:left="20"/>
              <w:spacing w:after="0"/>
              <w:rPr>
                <w:sz w:val="20"/>
                <w:szCs w:val="20"/>
                <w:color w:val="auto"/>
              </w:rPr>
            </w:pPr>
            <w:r>
              <w:rPr>
                <w:rFonts w:ascii="Arial" w:cs="Arial" w:eastAsia="Arial" w:hAnsi="Arial"/>
                <w:sz w:val="18"/>
                <w:szCs w:val="18"/>
                <w:color w:val="auto"/>
                <w:w w:val="90"/>
              </w:rPr>
              <w:t>Interest Rate Swap O, Aug 2016</w:t>
            </w:r>
          </w:p>
        </w:tc>
        <w:tc>
          <w:tcPr>
            <w:tcW w:w="3600" w:type="dxa"/>
            <w:vAlign w:val="bottom"/>
          </w:tcPr>
          <w:p>
            <w:pPr>
              <w:ind w:left="20"/>
              <w:spacing w:after="0"/>
              <w:rPr>
                <w:sz w:val="20"/>
                <w:szCs w:val="20"/>
                <w:color w:val="auto"/>
              </w:rPr>
            </w:pPr>
            <w:r>
              <w:rPr>
                <w:rFonts w:ascii="Arial" w:cs="Arial" w:eastAsia="Arial" w:hAnsi="Arial"/>
                <w:sz w:val="18"/>
                <w:szCs w:val="18"/>
                <w:color w:val="auto"/>
              </w:rPr>
              <w:t>– Aug 2019*</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3.08%</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0"/>
              </w:rPr>
              <w:t>2.99%</w:t>
            </w:r>
          </w:p>
        </w:tc>
        <w:tc>
          <w:tcPr>
            <w:tcW w:w="2380" w:type="dxa"/>
            <w:vAlign w:val="bottom"/>
          </w:tcPr>
          <w:p>
            <w:pPr>
              <w:ind w:left="20"/>
              <w:spacing w:after="0"/>
              <w:rPr>
                <w:sz w:val="20"/>
                <w:szCs w:val="20"/>
                <w:color w:val="auto"/>
              </w:rPr>
            </w:pPr>
            <w:r>
              <w:rPr>
                <w:rFonts w:ascii="Arial" w:cs="Arial" w:eastAsia="Arial" w:hAnsi="Arial"/>
                <w:sz w:val="18"/>
                <w:szCs w:val="18"/>
                <w:color w:val="auto"/>
                <w:w w:val="90"/>
              </w:rPr>
              <w:t>Interest Rate Swap Q, Aug 2016</w:t>
            </w:r>
          </w:p>
        </w:tc>
        <w:tc>
          <w:tcPr>
            <w:tcW w:w="3600" w:type="dxa"/>
            <w:vAlign w:val="bottom"/>
          </w:tcPr>
          <w:p>
            <w:pPr>
              <w:ind w:left="20"/>
              <w:spacing w:after="0"/>
              <w:rPr>
                <w:sz w:val="20"/>
                <w:szCs w:val="20"/>
                <w:color w:val="auto"/>
              </w:rPr>
            </w:pPr>
            <w:r>
              <w:rPr>
                <w:rFonts w:ascii="Arial" w:cs="Arial" w:eastAsia="Arial" w:hAnsi="Arial"/>
                <w:sz w:val="18"/>
                <w:szCs w:val="18"/>
                <w:color w:val="auto"/>
              </w:rPr>
              <w:t>– Aug 2019*</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90"/>
              </w:rPr>
              <w:t>2.98%</w:t>
            </w: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2.73% Interest Rate Swap S, Aug 2016 – Aug 2019*</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2.74% Interest Rate Swap T, Aug 2016 – Aug 2019*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0"/>
              </w:rPr>
              <w:t>2.66% Interest Rate Swap U, Aug 2016</w:t>
            </w:r>
          </w:p>
        </w:tc>
        <w:tc>
          <w:tcPr>
            <w:tcW w:w="3600" w:type="dxa"/>
            <w:vAlign w:val="bottom"/>
          </w:tcPr>
          <w:p>
            <w:pPr>
              <w:ind w:left="20"/>
              <w:spacing w:after="0"/>
              <w:rPr>
                <w:sz w:val="20"/>
                <w:szCs w:val="20"/>
                <w:color w:val="auto"/>
              </w:rPr>
            </w:pPr>
            <w:r>
              <w:rPr>
                <w:rFonts w:ascii="Arial" w:cs="Arial" w:eastAsia="Arial" w:hAnsi="Arial"/>
                <w:sz w:val="18"/>
                <w:szCs w:val="18"/>
                <w:color w:val="auto"/>
              </w:rPr>
              <w:t>– Aug 2019*</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2.60% Interest Rate Swap V, Aug 2016 – Aug 2019*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2.40% Interest Rate Swap W, Aug 2016 – Aug 2019*</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includes LIBOR floor of 1.00%</w:t>
            </w:r>
          </w:p>
        </w:tc>
        <w:tc>
          <w:tcPr>
            <w:tcW w:w="3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750.0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1,450.0</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As of December 31, 2014, the Company did not have any interest rate derivatives subject to credit-risk or collateral requirement. As of December 31, 2013, certain of the Company’s interest rate derivatives contained credit-risk and collateral contingent features under which downgrades in the Company’s credit rating would have required the Company to increase its collateral. As of December 31, 2013, certain interest rate derivatives also contained provisions under which the Company was required to post additional collateral if the LIBOR interest rate curve reached certain levels.</w:t>
      </w:r>
    </w:p>
    <w:p>
      <w:pPr>
        <w:spacing w:after="0" w:line="15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of December 31, 2014 and December 31, 2013, the Company had recorded cash collateral of $0.0 million and $1.7 million, respectively, in Other current assets in the Condensed Consolidated Balance Sheets, as the balances are subject to frequent change.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Consolidated Statements of Comprehensive Income during the period of change.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outstanding foreign currency forward contracts as of December 31, 2014 and 2013 (amounts in millions):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0"/>
              </w:rPr>
              <w:t>December 31, 2014</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0"/>
              </w:rPr>
              <w:t>December 31, 2013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28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4"/>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Japanese Yen (JPY)</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¥ 300.0</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(0.3</w:t>
            </w:r>
          </w:p>
        </w:tc>
        <w:tc>
          <w:tcPr>
            <w:tcW w:w="560" w:type="dxa"/>
            <w:vAlign w:val="bottom"/>
            <w:tcBorders>
              <w:top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¥ 600.0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3"/>
              </w:rPr>
              <w:t>(0.3</w:t>
            </w:r>
          </w:p>
        </w:tc>
        <w:tc>
          <w:tcPr>
            <w:tcW w:w="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74"/>
              </w:rPr>
              <w: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0"/>
              </w:rPr>
              <w:t>(0.3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380"/>
          </w:cols>
          <w:pgMar w:left="240" w:top="459" w:right="279" w:bottom="1440" w:gutter="0" w:footer="0" w:header="0"/>
        </w:sectPr>
      </w:pPr>
    </w:p>
    <w:p>
      <w:pPr>
        <w:jc w:val="center"/>
        <w:ind w:right="-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80"/>
          </w:cols>
          <w:pgMar w:left="240" w:top="459" w:right="2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Consolidated Statements of Comprehensive Income during the period of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December 31, 2014 and December 31, 2013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30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400" w:type="dxa"/>
            <w:vAlign w:val="bottom"/>
            <w:vMerge w:val="restart"/>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Quantity</w:t>
            </w:r>
          </w:p>
        </w:tc>
        <w:tc>
          <w:tcPr>
            <w:tcW w:w="2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Aluminum</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6,200 metric tons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11,875 metric tons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Natural Gas</w:t>
            </w:r>
          </w:p>
        </w:tc>
        <w:tc>
          <w:tcPr>
            <w:tcW w:w="1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3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6"/>
              </w:rPr>
              <w:t>60,000 MMBtu</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90,000 MMBtu</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w w:val="95"/>
              </w:rPr>
              <w:t>December 31, 2014</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3"/>
              </w:rPr>
              <w:t>December 31, 2013</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8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Fair Value</w:t>
            </w:r>
          </w:p>
        </w:tc>
        <w:tc>
          <w:tcPr>
            <w:tcW w:w="520" w:type="dxa"/>
            <w:vAlign w:val="bottom"/>
          </w:tcPr>
          <w:p>
            <w:pPr>
              <w:spacing w:after="0"/>
              <w:rPr>
                <w:sz w:val="12"/>
                <w:szCs w:val="12"/>
                <w:color w:val="auto"/>
              </w:rPr>
            </w:pPr>
          </w:p>
        </w:tc>
        <w:tc>
          <w:tcPr>
            <w:tcW w:w="19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4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2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ind w:left="340"/>
              <w:spacing w:after="0" w:line="198" w:lineRule="exact"/>
              <w:rPr>
                <w:sz w:val="20"/>
                <w:szCs w:val="20"/>
                <w:color w:val="auto"/>
              </w:rPr>
            </w:pPr>
            <w:r>
              <w:rPr>
                <w:rFonts w:ascii="Arial" w:cs="Arial" w:eastAsia="Arial" w:hAnsi="Arial"/>
                <w:sz w:val="18"/>
                <w:szCs w:val="18"/>
                <w:color w:val="auto"/>
              </w:rPr>
              <w:t>Foreign currency contracts</w:t>
            </w:r>
          </w:p>
        </w:tc>
        <w:tc>
          <w:tcPr>
            <w:tcW w:w="2280" w:type="dxa"/>
            <w:vAlign w:val="bottom"/>
            <w:gridSpan w:val="3"/>
          </w:tcPr>
          <w:p>
            <w:pPr>
              <w:ind w:left="280"/>
              <w:spacing w:after="0" w:line="198" w:lineRule="exact"/>
              <w:rPr>
                <w:sz w:val="20"/>
                <w:szCs w:val="20"/>
                <w:color w:val="auto"/>
              </w:rPr>
            </w:pPr>
            <w:r>
              <w:rPr>
                <w:rFonts w:ascii="Arial" w:cs="Arial" w:eastAsia="Arial" w:hAnsi="Arial"/>
                <w:sz w:val="18"/>
                <w:szCs w:val="18"/>
                <w:b w:val="1"/>
                <w:bCs w:val="1"/>
                <w:color w:val="auto"/>
              </w:rPr>
              <w:t>Other current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Arial" w:cs="Arial" w:eastAsia="Arial" w:hAnsi="Arial"/>
                <w:sz w:val="18"/>
                <w:szCs w:val="18"/>
                <w:color w:val="auto"/>
              </w:rPr>
              <w:t>Other current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b w:val="1"/>
                <w:bCs w:val="1"/>
                <w:color w:val="auto"/>
              </w:rPr>
              <w:t>liabilities</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(0.3)</w:t>
            </w:r>
          </w:p>
        </w:tc>
        <w:tc>
          <w:tcPr>
            <w:tcW w:w="19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Commodity contracts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current and</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80" w:type="dxa"/>
            <w:vAlign w:val="bottom"/>
            <w:gridSpan w:val="3"/>
          </w:tcPr>
          <w:p>
            <w:pPr>
              <w:ind w:left="280"/>
              <w:spacing w:after="0" w:line="198" w:lineRule="exact"/>
              <w:rPr>
                <w:sz w:val="20"/>
                <w:szCs w:val="20"/>
                <w:color w:val="auto"/>
              </w:rPr>
            </w:pPr>
            <w:r>
              <w:rPr>
                <w:rFonts w:ascii="Arial" w:cs="Arial" w:eastAsia="Arial" w:hAnsi="Arial"/>
                <w:sz w:val="18"/>
                <w:szCs w:val="18"/>
                <w:b w:val="1"/>
                <w:bCs w:val="1"/>
                <w:color w:val="auto"/>
              </w:rPr>
              <w:t>Other current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Arial" w:cs="Arial" w:eastAsia="Arial" w:hAnsi="Arial"/>
                <w:sz w:val="18"/>
                <w:szCs w:val="18"/>
                <w:color w:val="auto"/>
              </w:rPr>
              <w:t>Other current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b w:val="1"/>
                <w:bCs w:val="1"/>
                <w:color w:val="auto"/>
              </w:rPr>
              <w:t>non-current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(0.7)</w:t>
            </w:r>
          </w:p>
        </w:tc>
        <w:tc>
          <w:tcPr>
            <w:tcW w:w="19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 rate contracts</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non-</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280" w:type="dxa"/>
            <w:vAlign w:val="bottom"/>
            <w:gridSpan w:val="3"/>
          </w:tcPr>
          <w:p>
            <w:pPr>
              <w:ind w:left="280"/>
              <w:spacing w:after="0" w:line="198" w:lineRule="exact"/>
              <w:rPr>
                <w:sz w:val="20"/>
                <w:szCs w:val="20"/>
                <w:color w:val="auto"/>
              </w:rPr>
            </w:pPr>
            <w:r>
              <w:rPr>
                <w:rFonts w:ascii="Arial" w:cs="Arial" w:eastAsia="Arial" w:hAnsi="Arial"/>
                <w:sz w:val="18"/>
                <w:szCs w:val="18"/>
                <w:b w:val="1"/>
                <w:bCs w:val="1"/>
                <w:color w:val="auto"/>
              </w:rPr>
              <w:t>Other non-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920" w:type="dxa"/>
            <w:vAlign w:val="bottom"/>
            <w:gridSpan w:val="2"/>
          </w:tcPr>
          <w:p>
            <w:pPr>
              <w:spacing w:after="0" w:line="198" w:lineRule="exact"/>
              <w:rPr>
                <w:sz w:val="20"/>
                <w:szCs w:val="20"/>
                <w:color w:val="auto"/>
              </w:rPr>
            </w:pPr>
            <w:r>
              <w:rPr>
                <w:rFonts w:ascii="Arial" w:cs="Arial" w:eastAsia="Arial" w:hAnsi="Arial"/>
                <w:sz w:val="18"/>
                <w:szCs w:val="18"/>
                <w:color w:val="auto"/>
              </w:rPr>
              <w:t>Other current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(14.4)</w:t>
            </w:r>
          </w:p>
        </w:tc>
        <w:tc>
          <w:tcPr>
            <w:tcW w:w="19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derivatives not designated as hedging instruments</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(15.4)</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fair values of the derivatives are recorded between Other current and non-current assets and Other current and non-current liabilities as appropriate in the Consolidated Balance Sheets. As of December 31, 2014, the amount recorded to Other current liabilities for foreign currency contracts was ($0.3) million. The amounts recorded to Other current and non-current liabilities for commodity contracts were ($0.6) million and ($0.1) million, respectively. The amounts recorded to Other non-current liabilities for interest rate contracts were ($14.4) million, respectively.</w:t>
      </w:r>
    </w:p>
    <w:p>
      <w:pPr>
        <w:spacing w:after="0" w:line="17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of December 31, 2013, the amount recorded to Other current liabilities for foreign currency contracts was ($0.3) million. The amounts recorded to Other current and non-current assets for commodity contracts were $0.1 million and $0.0 million, respectively. The amounts recorded to Other current and non-current liabilities for commodity contracts were ($1.5) million and ($0.2) million, respectively. The amount recorded to Other non-current assets for interest rate contracts was $1.5 million. The amounts recorded to Other current and non-current liabilities for interest rate contracts were ($18.5) million and ($1.0) million, respectively.</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impact on the Company’s Consolidated Statements of Comprehensive Income related to foreign currency and commodity contracts can be found in NOTE 11, and the following tabular disclosure describes the location and impact on the Company’s results of operations related to unrealized gain (loss) on interest rate derivatives (dollars in millions):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39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color w:val="auto"/>
              </w:rPr>
              <w:t>Interest expense</w:t>
            </w:r>
          </w:p>
        </w:tc>
        <w:tc>
          <w:tcPr>
            <w:tcW w:w="1600" w:type="dxa"/>
            <w:vAlign w:val="bottom"/>
            <w:gridSpan w:val="2"/>
          </w:tcPr>
          <w:p>
            <w:pPr>
              <w:ind w:left="14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2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346"/>
        </w:trPr>
        <w:tc>
          <w:tcPr>
            <w:tcW w:w="390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PRODUCT WARRANTY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42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(35.0)</w:t>
            </w:r>
          </w:p>
        </w:tc>
        <w:tc>
          <w:tcPr>
            <w:tcW w:w="2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26.8</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60" w:firstLine="456"/>
        <w:spacing w:after="0" w:line="308" w:lineRule="auto"/>
        <w:rPr>
          <w:sz w:val="20"/>
          <w:szCs w:val="20"/>
          <w:color w:val="auto"/>
        </w:rPr>
      </w:pPr>
      <w:r>
        <w:rPr>
          <w:rFonts w:ascii="Arial" w:cs="Arial" w:eastAsia="Arial" w:hAnsi="Arial"/>
          <w:sz w:val="17"/>
          <w:szCs w:val="17"/>
          <w:color w:val="auto"/>
        </w:rPr>
        <w:t>As of December 31, 2014, the current and non-current product warranty liabilities were $24.0 million and $59.6 million, respectively. As of December 31, 2013, the current and non-current product warranty liabilities were $37.4 million and $53.1 million, respectively.</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During June 2007, Old GM recognized the estimated cost of replacing the Dual Power Inverter Module (“DPIM”) used on H 40/50 EP hybrid systems. Certain units were falling short of their expected service life and Allison Transmission (the “Predecessor”), an operating unit of General Motors Corporation, decided to cover repair or replacement for an extended period. The Company is responsible for the first $12.0 million of qualified cost while General Motors Company (“GM”) is responsible for the next $34.0 million of costs, with any amount over $46.0 million being shared one-third by the Company and two-thirds by GM for shipments through June 30, 2009.</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During 2014, the Company completed an analysis of its DPIM extended coverage program and determined, based on current claims, that the product warranty liability should be increased by $3.9 million. This resulted in a $2.9 million increase in the GM DPIM receivable and a $1.0 million unfavorable adjustment to the Consolidated Statements of Comprehensive Income. As of December 31, 2014, the DPIM liability was $48.5 million with an associated receivable from GM of $28.7 million. Through December 31, 2014, the Company had paid approximately $32.8 million in DPIM claims and received approximately $14.9 million in reimbursement from GM. The Company will continue to review the total DPIM liability and GM receivable for any changes in estimates as additional data becomes available.</w:t>
      </w:r>
    </w:p>
    <w:p>
      <w:pPr>
        <w:spacing w:after="0" w:line="19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During 2013, the Company completed an analysis of its DPIM extended coverage program and determined, based on current claims, that the product warranty liability should be reduced by $8.2 million. This resulted in a $5.8 million reduction in the GM DPIM receivable and a $2.4 million favorable adjustment to the Consolidated Statements of Comprehensive Income. As of December 31, 2013, the DPIM liability was $44.6 million with an associated receivable from GM of $25.8 million. Through December 31, 2013, the Company had paid approximately $25.5 million in DPIM claims and received approximately $9.1 million in reimbursement from GM.</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2012, the Company completed an analysis of its DPIM extended coverage program and determined, based on current claims, that the product liability should be reduced by $7.9 million. This resulted in a $7.3 million reduction in the GM DPIM receivable and a $0.6 million favorable adjustment to the Consolidated Statements of Comprehensive Income. As part of the analysis, it was also determined that design issues related to the early introduction of the replacement DPIM unit resulted in a $10.0 million increase to the product warranty liability. As the replacement DPIM unit is the responsibility of the Company and not covered by the asset purchase agreement dated June 28, 2007 (“Asset Purchase Agreement”), the Company recorded a $10.0 million charge to the Consolidated Statements of Comprehensive Income.</w:t>
      </w:r>
    </w:p>
    <w:p>
      <w:pPr>
        <w:spacing w:after="0" w:line="193"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remaining adjustments to the total liability in 2014, 2013 and 2012 were the result of general changes in estimates for various products as additional claims data and field information became available.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As of December 31, 2014, the current and non-current deferred revenue for Extended Transmission Coverage (“ETC”) were $20.3 million and $48.7 million, respectively. As of December 31, 2013, the current and non-current deferred revenue for ETC were $20.4 million and $43.2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42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Increases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26.2</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(20.8)</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Deferred revenue recorded in current liabilities related to unearned net sales for defense contracts for the years ended December 31, 2014, 2013 and 2012 was approximately $0.3 million, $8.8 million and $0.7 million, respectively.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Due to requests from the U.S. government, the Company billed, but did not ship certain tracked transmissions during 2013. Based on the lack of a fixed delivery date from the U.S. government, the Company deferred approximately $8.8 million of net sales for these transmissions until they were shipped in 2014.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7200" w:type="dxa"/>
            <w:vAlign w:val="bottom"/>
          </w:tcPr>
          <w:p>
            <w:pPr>
              <w:ind w:left="220"/>
              <w:spacing w:after="0"/>
              <w:rPr>
                <w:sz w:val="20"/>
                <w:szCs w:val="20"/>
                <w:color w:val="auto"/>
              </w:rPr>
            </w:pPr>
            <w:r>
              <w:rPr>
                <w:rFonts w:ascii="Arial" w:cs="Arial" w:eastAsia="Arial" w:hAnsi="Arial"/>
                <w:sz w:val="18"/>
                <w:szCs w:val="18"/>
                <w:b w:val="1"/>
                <w:bCs w:val="1"/>
                <w:color w:val="auto"/>
              </w:rPr>
              <w:t>OTHER EXPENSE, NET</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8120" w:type="dxa"/>
            <w:vAlign w:val="bottom"/>
            <w:gridSpan w:val="2"/>
          </w:tcPr>
          <w:p>
            <w:pPr>
              <w:ind w:left="460"/>
              <w:spacing w:after="0"/>
              <w:rPr>
                <w:sz w:val="20"/>
                <w:szCs w:val="20"/>
                <w:color w:val="auto"/>
              </w:rPr>
            </w:pPr>
            <w:r>
              <w:rPr>
                <w:rFonts w:ascii="Arial" w:cs="Arial" w:eastAsia="Arial" w:hAnsi="Arial"/>
                <w:sz w:val="18"/>
                <w:szCs w:val="18"/>
                <w:color w:val="auto"/>
              </w:rPr>
              <w:t>Other expense, net consists of the following (dollars in millions):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380" w:type="dxa"/>
            <w:vAlign w:val="bottom"/>
            <w:gridSpan w:val="9"/>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920" w:type="dxa"/>
            <w:vAlign w:val="bottom"/>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on intercompany foreign exchange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6"/>
              </w:rPr>
              <w:t>$(5.4)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Grant program income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investments in technology-related initiatives</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(14.4)</w:t>
            </w: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Gain on negotiation of commercial agreement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fees and expenses</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Unrealized gain (loss) on derivative contracts (see NOTE 8)</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contracts (see NOTE 8)</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Loss on foreign exchange</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on repayments and repurchases of long-term debt (see NOTE 7)</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(22.1)</w:t>
            </w: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Termination of services agreement</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(16.0)</w:t>
            </w: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on re-measurement of employee benefit plans (see NOTE 13)</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(0.1)</w:t>
            </w:r>
          </w:p>
        </w:tc>
        <w:tc>
          <w:tcPr>
            <w:tcW w:w="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7"/>
        </w:trPr>
        <w:tc>
          <w:tcPr>
            <w:tcW w:w="9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(52.8)</w:t>
            </w:r>
          </w:p>
        </w:tc>
      </w:tr>
      <w:tr>
        <w:trPr>
          <w:trHeight w:val="20"/>
        </w:trPr>
        <w:tc>
          <w:tcPr>
            <w:tcW w:w="9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During 2014 and 2013, the Company recorded a loss of $5.4 and $2.3 million, respectively, resulting from intercompany financing transactions related to investments in plant assets for the Company’s India facility.</w:t>
      </w:r>
    </w:p>
    <w:p>
      <w:pPr>
        <w:spacing w:after="0" w:line="17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2014, the Company fulfilled its obligations to the U.S. Department of Energy related to the development of hybrid-propulsion systems manufacturing capacity in the U.S. (the “Grant Program”). All applicable costs associated with the Grant Program have been charged to Engineering — research and development while the Government’s matching reimbursement was recorded to Other expense, net in the Consolidated Statements of Comprehensive Income.</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For the years ended December 31, 2014, 2013 and 2012, the Company made $2.0 million, $5.0 million and 14.4 million investments as part of an agreement to expand our position in transmission technologies. Due to various uncertainties surrounding the investments including, but not limited to, the startup nature of the underlying business, its continued negative cash flow, undercapitalization and unproven business plan, the Company has impaired the investments to zero as of December 31, 2014, 2013 and 2012.</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550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CURRENT LIABILITIES</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460" w:type="dxa"/>
            <w:vAlign w:val="bottom"/>
            <w:gridSpan w:val="3"/>
          </w:tcPr>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ind w:right="93"/>
              <w:spacing w:after="0"/>
              <w:rPr>
                <w:sz w:val="20"/>
                <w:szCs w:val="20"/>
                <w:color w:val="auto"/>
              </w:rPr>
            </w:pPr>
            <w:r>
              <w:rPr>
                <w:rFonts w:ascii="Arial" w:cs="Arial" w:eastAsia="Arial" w:hAnsi="Arial"/>
                <w:sz w:val="14"/>
                <w:szCs w:val="14"/>
                <w:b w:val="1"/>
                <w:bCs w:val="1"/>
                <w:color w:val="auto"/>
                <w:w w:val="85"/>
              </w:rPr>
              <w:t>As of</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900" w:type="dxa"/>
            <w:vAlign w:val="bottom"/>
            <w:gridSpan w:val="3"/>
          </w:tcPr>
          <w:p>
            <w:pPr>
              <w:jc w:val="center"/>
              <w:ind w:left="959"/>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700" w:type="dxa"/>
            <w:vAlign w:val="bottom"/>
            <w:gridSpan w:val="4"/>
          </w:tcPr>
          <w:p>
            <w:pPr>
              <w:ind w:left="76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2014</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Sales allowances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accruals</w:t>
            </w: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r>
              <w:rPr>
                <w:rFonts w:ascii="Arial" w:cs="Arial" w:eastAsia="Arial" w:hAnsi="Arial"/>
                <w:sz w:val="18"/>
                <w:szCs w:val="18"/>
                <w:b w:val="1"/>
                <w:bCs w:val="1"/>
                <w:u w:val="single" w:color="auto"/>
                <w:color w:val="auto"/>
              </w:rPr>
              <w:t>7</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right="560" w:firstLine="456"/>
        <w:spacing w:after="0" w:line="291" w:lineRule="auto"/>
        <w:rPr>
          <w:sz w:val="20"/>
          <w:szCs w:val="20"/>
          <w:color w:val="auto"/>
        </w:rPr>
      </w:pPr>
      <w:r>
        <w:rPr>
          <w:rFonts w:ascii="Arial" w:cs="Arial" w:eastAsia="Arial" w:hAnsi="Arial"/>
          <w:sz w:val="16"/>
          <w:szCs w:val="16"/>
          <w:color w:val="auto"/>
        </w:rPr>
        <w:t>The Company’s hourly defined benefit pension plan generally provides benefits of negotiated, stated amounts for each year of service as well as significant supplemental benefits for employees who retire with 30 years of service before normal retirement age. For all hourly employees hired after</w:t>
      </w:r>
    </w:p>
    <w:p>
      <w:pPr>
        <w:jc w:val="both"/>
        <w:spacing w:after="0" w:line="255" w:lineRule="auto"/>
        <w:rPr>
          <w:sz w:val="20"/>
          <w:szCs w:val="20"/>
          <w:color w:val="auto"/>
        </w:rPr>
      </w:pPr>
      <w:r>
        <w:rPr>
          <w:rFonts w:ascii="Arial" w:cs="Arial" w:eastAsia="Arial" w:hAnsi="Arial"/>
          <w:sz w:val="18"/>
          <w:szCs w:val="18"/>
          <w:color w:val="auto"/>
        </w:rPr>
        <w:t>May 18, 2008, the defined benefit pension plan was replaced with a defined contribution pension plan, and the company-sponsored retiree healthcare was also eliminated for those hired after May 18, 2008. The charge to expense for the hourly defined contribution pension plan was $1.3 million, $1.0 million and $0.9 million for the years ended December 31, 2014, 2013 and 2012, respectively.</w:t>
      </w:r>
    </w:p>
    <w:p>
      <w:pPr>
        <w:spacing w:after="0" w:line="19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accordance with the Asset Purchase Agreement, the Company’s hourly employees who retired prior to October 2, 2011 (the “Cutoff Date”) will have their pension and OPEB paid by GM. The Company was required, pursuant to the Asset Purchase Agreement, to transfer pension assets to GM’s pension plan to cover the Company’s portion of its pension liability related to the employees who retired prior to the Cutoff Date. During the second quarter of 2012, the Company completed the transfer of its pension obligation for certain qualified hourly employees to GM’s pension plan. The transfer required a re-measurement of the hourly defined benefit pension plan resulting in a one-time non-cash settlement charge of $2.3 million recorded in Other expense, net in the Consolidated Statements of Comprehensive Income and a $4.2 million reduction to the Company’s pension liability with corresponding adjustments to AOCL, net of tax. This resulted in a $17.9 million gain to the Company’s 2011 actuarial valuation. Employees that retire subsequent to the Cutoff Date will have their Allison pension and OPEB paid by the Company and their GM pension benefit paid by GM.</w:t>
      </w:r>
    </w:p>
    <w:p>
      <w:pPr>
        <w:spacing w:after="0" w:line="179"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Company’s salaried defined benefit plan covering salaried employees with a service date prior to January 1, 2001 is generally based on years of service and compensation history. The salaried defined contribution retirement savings plan requires the Company to match employee contributions up to certain predefined limits based upon eligible base salary. In addition to the matching contribution, the Company is required to make a contribution equal to 1% of eligible base salary for salaried employees with a service date on or after January 1, 1993 to cover certain benefits in retirement that are different from salaried employees with a service date prior to January 1, 1993. In addition, for salaried employees with a service date on or after January 1, 2001, the Company is required to contribute to its defined contribution retirement savings plan an amount equal to 4% of eligible base salary under the program. The charge to expense for the salaried defined contribution retirement savings plan was $5.4 million, $5.4 million and $5.1 million for the years ended December 31, 2014, 2013 and 2012, respectively.</w:t>
      </w:r>
    </w:p>
    <w:p>
      <w:pPr>
        <w:spacing w:after="0" w:line="17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Company is also responsible for OPEB costs (medical, dental, vision, and life insurance) for hourly employees hired prior to May 19, 2008. Post-retirement benefit costs consist of service cost, interest cost on accrued obligations and the expected return on assets (calculated using a smoothed market value of assets).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 December 31, 2014 and 2013, the Company had an estimated OPEB liability for hourly employees hired prior to May 19, 2008, excluding those employees eligible to retire at the time of the sale of the Company (“the Acquisition Transaction”), of $136.0 million and $120.7 million,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part of the Health Care Reform Act enacted in 2010, the Company has evaluated the impact on “High-cost Health Plans” in which employers offering health plan coverage exceeding certain thresholds must pay an excise tax equal to 40% of the value of the plan that exceeds the threshold amount. Although the excise tax does not come into effect until 2018, the Company has recorded $4.0 million in its OPEB liability as of December 31, 2014 with a corresponding adjustment to AOCL, net of tax.</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provides contributions to certain international benefit plans; however, these contributions are not material for periods presented.</w:t>
      </w:r>
    </w:p>
    <w:p>
      <w:pPr>
        <w:spacing w:after="0" w:line="23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5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the net periodic benefit cost and other changes recognized in AOCL for the pension and post-retirement benefit plans is as follows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Pension Plans</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Post-retirement Benefits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0"/>
                <w:szCs w:val="10"/>
                <w:color w:val="auto"/>
              </w:rPr>
            </w:pPr>
          </w:p>
        </w:tc>
        <w:tc>
          <w:tcPr>
            <w:tcW w:w="1120" w:type="dxa"/>
            <w:vAlign w:val="bottom"/>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480" w:type="dxa"/>
            <w:vAlign w:val="bottom"/>
          </w:tcPr>
          <w:p>
            <w:pPr>
              <w:spacing w:after="0"/>
              <w:rPr>
                <w:sz w:val="10"/>
                <w:szCs w:val="10"/>
                <w:color w:val="auto"/>
              </w:rPr>
            </w:pPr>
          </w:p>
        </w:tc>
        <w:tc>
          <w:tcPr>
            <w:tcW w:w="96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Year ended</w:t>
            </w:r>
          </w:p>
        </w:tc>
        <w:tc>
          <w:tcPr>
            <w:tcW w:w="380" w:type="dxa"/>
            <w:vAlign w:val="bottom"/>
          </w:tcPr>
          <w:p>
            <w:pPr>
              <w:spacing w:after="0"/>
              <w:rPr>
                <w:sz w:val="10"/>
                <w:szCs w:val="10"/>
                <w:color w:val="auto"/>
              </w:rPr>
            </w:pPr>
          </w:p>
        </w:tc>
        <w:tc>
          <w:tcPr>
            <w:tcW w:w="132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Year ended</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2013</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Service cost</w:t>
            </w:r>
          </w:p>
        </w:tc>
        <w:tc>
          <w:tcPr>
            <w:tcW w:w="6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13.2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w:t>
            </w:r>
          </w:p>
        </w:tc>
        <w:tc>
          <w:tcPr>
            <w:tcW w:w="5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Loss (gain)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changes recognized in other</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Prior service credit</w:t>
            </w:r>
          </w:p>
        </w:tc>
        <w:tc>
          <w:tcPr>
            <w:tcW w:w="6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loss (gain)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Amortizations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recognized – other comprehensive</w:t>
            </w:r>
          </w:p>
        </w:tc>
        <w:tc>
          <w:tcPr>
            <w:tcW w:w="66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12.1</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66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w:t>
            </w:r>
          </w:p>
        </w:tc>
        <w:tc>
          <w:tcPr>
            <w:tcW w:w="200" w:type="dxa"/>
            <w:vAlign w:val="bottom"/>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56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Pension Plans</w:t>
            </w:r>
          </w:p>
        </w:tc>
        <w:tc>
          <w:tcPr>
            <w:tcW w:w="8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Post-retirement Benefits</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340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Year ended</w:t>
            </w:r>
          </w:p>
        </w:tc>
        <w:tc>
          <w:tcPr>
            <w:tcW w:w="20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Year ended</w:t>
            </w:r>
          </w:p>
        </w:tc>
        <w:tc>
          <w:tcPr>
            <w:tcW w:w="56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Year ended</w:t>
            </w:r>
          </w:p>
        </w:tc>
        <w:tc>
          <w:tcPr>
            <w:tcW w:w="360" w:type="dxa"/>
            <w:vAlign w:val="bottom"/>
          </w:tcPr>
          <w:p>
            <w:pPr>
              <w:spacing w:after="0"/>
              <w:rPr>
                <w:sz w:val="10"/>
                <w:szCs w:val="10"/>
                <w:color w:val="auto"/>
              </w:rPr>
            </w:pPr>
          </w:p>
        </w:tc>
        <w:tc>
          <w:tcPr>
            <w:tcW w:w="14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Year ended</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r>
      <w:tr>
        <w:trPr>
          <w:trHeight w:val="149"/>
        </w:trPr>
        <w:tc>
          <w:tcPr>
            <w:tcW w:w="34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3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3.90%</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4.90%</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4.10%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3.00%</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4.00%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N/A</w:t>
            </w:r>
          </w:p>
        </w:tc>
        <w:tc>
          <w:tcPr>
            <w:tcW w:w="360" w:type="dxa"/>
            <w:vAlign w:val="bottom"/>
          </w:tcPr>
          <w:p>
            <w:pPr>
              <w:spacing w:after="0"/>
              <w:rPr>
                <w:sz w:val="18"/>
                <w:szCs w:val="18"/>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6.80%</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7.00%</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N/A</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 plans.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Pension Plans</w:t>
            </w:r>
          </w:p>
        </w:tc>
        <w:tc>
          <w:tcPr>
            <w:tcW w:w="2040" w:type="dxa"/>
            <w:vAlign w:val="bottom"/>
            <w:gridSpan w:val="4"/>
          </w:tcPr>
          <w:p>
            <w:pPr>
              <w:ind w:left="180"/>
              <w:spacing w:after="0"/>
              <w:rPr>
                <w:sz w:val="20"/>
                <w:szCs w:val="20"/>
                <w:color w:val="auto"/>
              </w:rPr>
            </w:pPr>
            <w:r>
              <w:rPr>
                <w:rFonts w:ascii="Arial" w:cs="Arial" w:eastAsia="Arial" w:hAnsi="Arial"/>
                <w:sz w:val="14"/>
                <w:szCs w:val="14"/>
                <w:b w:val="1"/>
                <w:bCs w:val="1"/>
                <w:color w:val="auto"/>
              </w:rPr>
              <w:t>Post-retirement Benefits</w:t>
            </w:r>
          </w:p>
        </w:tc>
      </w:tr>
      <w:tr>
        <w:trPr>
          <w:trHeight w:val="142"/>
        </w:trPr>
        <w:tc>
          <w:tcPr>
            <w:tcW w:w="40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As of December 31,</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3.90%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4.80%</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4.00%</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4.90%</w:t>
            </w:r>
          </w:p>
        </w:tc>
      </w:tr>
      <w:tr>
        <w:trPr>
          <w:trHeight w:val="234"/>
        </w:trPr>
        <w:tc>
          <w:tcPr>
            <w:tcW w:w="404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3440" w:type="dxa"/>
            <w:vAlign w:val="bottom"/>
            <w:gridSpan w:val="3"/>
          </w:tcPr>
          <w:p>
            <w:pPr>
              <w:ind w:left="2480"/>
              <w:spacing w:after="0"/>
              <w:rPr>
                <w:sz w:val="20"/>
                <w:szCs w:val="20"/>
                <w:color w:val="auto"/>
              </w:rPr>
            </w:pPr>
            <w:r>
              <w:rPr>
                <w:rFonts w:ascii="Arial" w:cs="Arial" w:eastAsia="Arial" w:hAnsi="Arial"/>
                <w:sz w:val="18"/>
                <w:szCs w:val="18"/>
                <w:b w:val="1"/>
                <w:bCs w:val="1"/>
                <w:color w:val="auto"/>
              </w:rPr>
              <w:t>3.00%</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N/A</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N/A</w:t>
            </w:r>
          </w:p>
        </w:tc>
      </w:tr>
      <w:tr>
        <w:trPr>
          <w:trHeight w:val="346"/>
        </w:trPr>
        <w:tc>
          <w:tcPr>
            <w:tcW w:w="4040" w:type="dxa"/>
            <w:vAlign w:val="bottom"/>
          </w:tcPr>
          <w:p>
            <w:pPr>
              <w:spacing w:after="0"/>
              <w:rPr>
                <w:sz w:val="24"/>
                <w:szCs w:val="24"/>
                <w:color w:val="auto"/>
              </w:rPr>
            </w:pPr>
          </w:p>
        </w:tc>
        <w:tc>
          <w:tcPr>
            <w:tcW w:w="2420" w:type="dxa"/>
            <w:vAlign w:val="bottom"/>
          </w:tcPr>
          <w:p>
            <w:pPr>
              <w:jc w:val="right"/>
              <w:ind w:right="103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2014.</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During 2014, the Society of Actuaries finalized a new mortality table and a new mortality improvement scale that increased the anticipated longevity of life. As of December 31, 2014, as a result of the updated mortality assumption, the Company recorded an additional $2.9 million and $4.1 million in its defined benefit pension benefit obligation and OPEB obligation, respectively.</w:t>
      </w:r>
    </w:p>
    <w:p>
      <w:pPr>
        <w:spacing w:after="0" w:line="181"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Health care cost trends are used to project future post-retirement benefits payable from the Company’s plans. For the Company’s December 31, 2014 obligations, future post-retirement medical care costs were forecasted assuming an initial annual increase of 6.70%, decreasing to 4.50% by the year 2027. Future post-retirement prescription drug costs were forecasted assuming an initial annual increase of 6.00%, decreasing to 4.50% by the year 2027.</w:t>
      </w:r>
    </w:p>
    <w:p>
      <w:pPr>
        <w:spacing w:after="0" w:line="14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As health care costs trends have a significant effect on the amounts reported, an increase and decrease of one-percentage-point would have the following effects in the year ended December 31, 2014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1% Increase</w:t>
            </w:r>
          </w:p>
        </w:tc>
        <w:tc>
          <w:tcPr>
            <w:tcW w:w="16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1% Decrease</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w:t>
            </w:r>
          </w:p>
        </w:tc>
        <w:tc>
          <w:tcPr>
            <w:tcW w:w="15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8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28.6</w:t>
            </w:r>
          </w:p>
        </w:tc>
        <w:tc>
          <w:tcPr>
            <w:tcW w:w="1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the changes in the net benefit obligations and fair value of plan assets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9"/>
              </w:rPr>
              <w:t>Pension Plans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Post-retirement Benefits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0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c>
          <w:tcPr>
            <w:tcW w:w="12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Year ended</w:t>
            </w: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0"/>
                <w:szCs w:val="10"/>
                <w:color w:val="auto"/>
              </w:rPr>
            </w:pPr>
          </w:p>
        </w:tc>
        <w:tc>
          <w:tcPr>
            <w:tcW w:w="128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31,</w:t>
            </w:r>
          </w:p>
        </w:tc>
        <w:tc>
          <w:tcPr>
            <w:tcW w:w="34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Benefit Obligations: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benefit obligation at beginning of year</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99.7</w:t>
            </w:r>
          </w:p>
        </w:tc>
        <w:tc>
          <w:tcPr>
            <w:tcW w:w="38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120.7</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142.6</w:t>
            </w: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Actuarial loss (gain)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benefit obligation at end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r>
              <w:rPr>
                <w:rFonts w:ascii="Arial" w:cs="Arial" w:eastAsia="Arial" w:hAnsi="Arial"/>
                <w:sz w:val="18"/>
                <w:szCs w:val="18"/>
                <w:b w:val="1"/>
                <w:bCs w:val="1"/>
                <w:u w:val="single" w:color="auto"/>
                <w:color w:val="auto"/>
              </w:rPr>
              <w:t>5</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136.</w:t>
            </w:r>
            <w:r>
              <w:rPr>
                <w:rFonts w:ascii="Arial" w:cs="Arial" w:eastAsia="Arial" w:hAnsi="Arial"/>
                <w:sz w:val="18"/>
                <w:szCs w:val="18"/>
                <w:b w:val="1"/>
                <w:bCs w:val="1"/>
                <w:u w:val="single" w:color="auto"/>
                <w:color w:val="auto"/>
              </w:rPr>
              <w:t>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Funded Status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351"/>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In the second quarter of 2012, the Company completed its negotiation with GM to determine the amount of pension assets to be transferred from the Company to GM as required by the Asset Purchase Agreement. The Company transferred $18.8 million of plan assets to GM to settle this obligation.</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the fourth quarter of 2012, the Company and the International Union, United Automobile, Aerospace and Agricultural Implement Workers of America (“UAW”) Local 933 entered into a new five year collective bargaining agreement that expires in November 2017. The multi-tiered wage and benefit structure from the prior agreement was retained and the parties agreed to additional changes, such as implementing a new retirement health care plan and eliminating the consumer price index based cost of living allowance that had been part of the prior agreement. As a result, the Company recorded a $28.9 million favorable adjustment to the net benefit obligation.</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Company’s pension plan assets consist of money market funds, mutual funds and listed equities. The Company’s valuation techniques used to fair value pension plan assets represents a market approach in active markets for identical assets that qualifies as Level 1 in the fair value hierarchy.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plan assets for the Company’s pension plans as of December 31, 2014 and 2013 are as follows (dollars in millions):</w:t>
      </w:r>
    </w:p>
    <w:p>
      <w:pPr>
        <w:spacing w:after="0" w:line="24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Quoted Prices in Active Markets</w:t>
      </w:r>
    </w:p>
    <w:p>
      <w:pPr>
        <w:jc w:val="center"/>
        <w:ind w:left="6640"/>
        <w:spacing w:after="0" w:line="236" w:lineRule="auto"/>
        <w:rPr>
          <w:sz w:val="20"/>
          <w:szCs w:val="20"/>
          <w:color w:val="auto"/>
        </w:rPr>
      </w:pPr>
      <w:r>
        <w:rPr>
          <w:rFonts w:ascii="Arial" w:cs="Arial" w:eastAsia="Arial" w:hAnsi="Arial"/>
          <w:sz w:val="14"/>
          <w:szCs w:val="14"/>
          <w:b w:val="1"/>
          <w:bCs w:val="1"/>
          <w:color w:val="auto"/>
        </w:rPr>
        <w:t>for Identical Assets (Level 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9"/>
              </w:rPr>
              <w:t>Asset Category</w:t>
            </w:r>
          </w:p>
        </w:tc>
        <w:tc>
          <w:tcPr>
            <w:tcW w:w="5920" w:type="dxa"/>
            <w:vAlign w:val="bottom"/>
            <w:vMerge w:val="restart"/>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tcBorders>
            <w:vMerge w:val="continue"/>
          </w:tcPr>
          <w:p>
            <w:pPr>
              <w:spacing w:after="0"/>
              <w:rPr>
                <w:sz w:val="12"/>
                <w:szCs w:val="12"/>
                <w:color w:val="auto"/>
              </w:rPr>
            </w:pPr>
          </w:p>
        </w:tc>
        <w:tc>
          <w:tcPr>
            <w:tcW w:w="5920" w:type="dxa"/>
            <w:vAlign w:val="bottom"/>
            <w:tcBorders>
              <w:bottom w:val="single" w:sz="8" w:color="CCEEFF"/>
            </w:tcBorders>
            <w:vMerge w:val="continue"/>
          </w:tcPr>
          <w:p>
            <w:pPr>
              <w:spacing w:after="0"/>
              <w:rPr>
                <w:sz w:val="12"/>
                <w:szCs w:val="12"/>
                <w:color w:val="auto"/>
              </w:rPr>
            </w:pPr>
          </w:p>
        </w:tc>
        <w:tc>
          <w:tcPr>
            <w:tcW w:w="6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Fair Value</w:t>
            </w:r>
          </w:p>
        </w:tc>
        <w:tc>
          <w:tcPr>
            <w:tcW w:w="4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Fair Value</w:t>
            </w:r>
          </w:p>
        </w:tc>
        <w:tc>
          <w:tcPr>
            <w:tcW w:w="4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Diversified equity securities</w:t>
            </w: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57.8</w:t>
            </w:r>
          </w:p>
        </w:tc>
        <w:tc>
          <w:tcPr>
            <w:tcW w:w="7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51.5</w:t>
            </w: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68.9</w:t>
            </w:r>
          </w:p>
        </w:tc>
        <w:tc>
          <w:tcPr>
            <w:tcW w:w="7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4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9"/>
              </w:rPr>
              <w:t>Asset Category</w:t>
            </w:r>
          </w:p>
        </w:tc>
        <w:tc>
          <w:tcPr>
            <w:tcW w:w="3520" w:type="dxa"/>
            <w:vAlign w:val="bottom"/>
            <w:vMerge w:val="restart"/>
          </w:tcPr>
          <w:p>
            <w:pPr>
              <w:spacing w:after="0"/>
              <w:rPr>
                <w:sz w:val="14"/>
                <w:szCs w:val="14"/>
                <w:color w:val="auto"/>
              </w:rPr>
            </w:pPr>
          </w:p>
        </w:tc>
        <w:tc>
          <w:tcPr>
            <w:tcW w:w="2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Target</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tcBorders>
            <w:vMerge w:val="continue"/>
          </w:tcPr>
          <w:p>
            <w:pPr>
              <w:spacing w:after="0"/>
              <w:rPr>
                <w:sz w:val="12"/>
                <w:szCs w:val="12"/>
                <w:color w:val="auto"/>
              </w:rPr>
            </w:pPr>
          </w:p>
        </w:tc>
        <w:tc>
          <w:tcPr>
            <w:tcW w:w="3520" w:type="dxa"/>
            <w:vAlign w:val="bottom"/>
            <w:tcBorders>
              <w:bottom w:val="single" w:sz="8" w:color="CCEEFF"/>
            </w:tcBorders>
            <w:vMerge w:val="continue"/>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Hourly</w:t>
            </w:r>
          </w:p>
        </w:tc>
        <w:tc>
          <w:tcPr>
            <w:tcW w:w="6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Salary</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Diversified equity securities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2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9"/>
                <w:szCs w:val="19"/>
                <w:color w:val="auto"/>
              </w:rPr>
            </w:pPr>
          </w:p>
        </w:tc>
        <w:tc>
          <w:tcPr>
            <w:tcW w:w="1080" w:type="dxa"/>
            <w:vAlign w:val="bottom"/>
            <w:gridSpan w:val="2"/>
          </w:tcPr>
          <w:p>
            <w:pPr>
              <w:jc w:val="right"/>
              <w:ind w:right="428"/>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2014, the Company’s investment committee has continued to evaluate the investments and take steps toward the established targets.</w:t>
      </w:r>
    </w:p>
    <w:p>
      <w:pPr>
        <w:spacing w:after="0" w:line="23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discloses the amounts recognized in the balance sheet and in AOCL at December 31, 2014 and 2013, on a pre-tax basis (dollars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6"/>
          </w:tcPr>
          <w:p>
            <w:pPr>
              <w:jc w:val="right"/>
              <w:ind w:right="200"/>
              <w:spacing w:after="0" w:line="142" w:lineRule="exact"/>
              <w:rPr>
                <w:sz w:val="20"/>
                <w:szCs w:val="20"/>
                <w:color w:val="auto"/>
              </w:rPr>
            </w:pPr>
            <w:r>
              <w:rPr>
                <w:rFonts w:ascii="Arial" w:cs="Arial" w:eastAsia="Arial" w:hAnsi="Arial"/>
                <w:sz w:val="14"/>
                <w:szCs w:val="14"/>
                <w:b w:val="1"/>
                <w:bCs w:val="1"/>
                <w:color w:val="auto"/>
              </w:rPr>
              <w:t>As of December 31,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Recognized in Balance Sheet:</w:t>
            </w:r>
          </w:p>
        </w:tc>
        <w:tc>
          <w:tcPr>
            <w:tcW w:w="3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Noncurrent assets</w:t>
            </w:r>
          </w:p>
        </w:tc>
        <w:tc>
          <w:tcPr>
            <w:tcW w:w="37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$ 7.9</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$ 7.4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(6.1)</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asset (liability)</w:t>
            </w:r>
          </w:p>
        </w:tc>
        <w:tc>
          <w:tcPr>
            <w:tcW w:w="3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$ 1.8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$ 2.7</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3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3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credit</w:t>
            </w:r>
          </w:p>
        </w:tc>
        <w:tc>
          <w:tcPr>
            <w:tcW w:w="3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Actuarial gain</w:t>
            </w:r>
          </w:p>
        </w:tc>
        <w:tc>
          <w:tcPr>
            <w:tcW w:w="30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0.6</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$ 0.5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$ 2.5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0" w:type="dxa"/>
            <w:vAlign w:val="bottom"/>
            <w:vMerge w:val="restart"/>
          </w:tcPr>
          <w:p>
            <w:pPr>
              <w:jc w:val="right"/>
              <w:ind w:right="1670"/>
              <w:spacing w:after="0"/>
              <w:rPr>
                <w:sz w:val="20"/>
                <w:szCs w:val="20"/>
                <w:color w:val="auto"/>
              </w:rPr>
            </w:pPr>
            <w:r>
              <w:rPr>
                <w:rFonts w:ascii="Arial" w:cs="Arial" w:eastAsia="Arial" w:hAnsi="Arial"/>
                <w:sz w:val="18"/>
                <w:szCs w:val="18"/>
                <w:color w:val="auto"/>
              </w:rPr>
              <w:t>69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amounts in AOCL expected to be amortized and recognized as a component of net periodic benefit cost in 2015 are as follows (dollars in millions):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0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Pension</w:t>
            </w:r>
          </w:p>
        </w:tc>
        <w:tc>
          <w:tcPr>
            <w:tcW w:w="1520" w:type="dxa"/>
            <w:vAlign w:val="bottom"/>
            <w:gridSpan w:val="3"/>
          </w:tcPr>
          <w:p>
            <w:pPr>
              <w:ind w:left="540"/>
              <w:spacing w:after="0" w:line="119" w:lineRule="exact"/>
              <w:rPr>
                <w:sz w:val="20"/>
                <w:szCs w:val="20"/>
                <w:color w:val="auto"/>
              </w:rPr>
            </w:pPr>
            <w:r>
              <w:rPr>
                <w:rFonts w:ascii="Arial" w:cs="Arial" w:eastAsia="Arial" w:hAnsi="Arial"/>
                <w:sz w:val="13"/>
                <w:szCs w:val="13"/>
                <w:b w:val="1"/>
                <w:bCs w:val="1"/>
                <w:color w:val="auto"/>
                <w:w w:val="99"/>
              </w:rPr>
              <w:t>Post-retirement</w:t>
            </w:r>
          </w:p>
        </w:tc>
        <w:tc>
          <w:tcPr>
            <w:tcW w:w="100" w:type="dxa"/>
            <w:vAlign w:val="bottom"/>
          </w:tcPr>
          <w:p>
            <w:pPr>
              <w:spacing w:after="0"/>
              <w:rPr>
                <w:sz w:val="10"/>
                <w:szCs w:val="10"/>
                <w:color w:val="auto"/>
              </w:rPr>
            </w:pPr>
          </w:p>
        </w:tc>
      </w:tr>
      <w:tr>
        <w:trPr>
          <w:trHeight w:val="171"/>
        </w:trPr>
        <w:tc>
          <w:tcPr>
            <w:tcW w:w="4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Plans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service (cost) credit</w:t>
            </w:r>
          </w:p>
        </w:tc>
        <w:tc>
          <w:tcPr>
            <w:tcW w:w="2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Actuarial loss</w:t>
            </w:r>
          </w:p>
        </w:tc>
        <w:tc>
          <w:tcPr>
            <w:tcW w:w="2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accumulated benefit obligation for the Company’s pension plans as of December 31, 2014 and 2013 was $129.7 million and $103.1 million, respectively.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2014 and 2013,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Hourly Plan</w:t>
            </w:r>
          </w:p>
        </w:tc>
        <w:tc>
          <w:tcPr>
            <w:tcW w:w="220" w:type="dxa"/>
            <w:vAlign w:val="bottom"/>
          </w:tcPr>
          <w:p>
            <w:pPr>
              <w:spacing w:after="0"/>
              <w:rPr>
                <w:sz w:val="14"/>
                <w:szCs w:val="14"/>
                <w:color w:val="auto"/>
              </w:rPr>
            </w:pPr>
          </w:p>
        </w:tc>
        <w:tc>
          <w:tcPr>
            <w:tcW w:w="1400" w:type="dxa"/>
            <w:vAlign w:val="bottom"/>
            <w:gridSpan w:val="4"/>
          </w:tcPr>
          <w:p>
            <w:pPr>
              <w:ind w:left="300"/>
              <w:spacing w:after="0"/>
              <w:rPr>
                <w:sz w:val="20"/>
                <w:szCs w:val="20"/>
                <w:color w:val="auto"/>
              </w:rPr>
            </w:pPr>
            <w:r>
              <w:rPr>
                <w:rFonts w:ascii="Arial" w:cs="Arial" w:eastAsia="Arial" w:hAnsi="Arial"/>
                <w:sz w:val="14"/>
                <w:szCs w:val="14"/>
                <w:b w:val="1"/>
                <w:bCs w:val="1"/>
                <w:color w:val="auto"/>
              </w:rPr>
              <w:t>Salary Plan</w:t>
            </w:r>
          </w:p>
        </w:tc>
      </w:tr>
      <w:tr>
        <w:trPr>
          <w:trHeight w:val="142"/>
        </w:trPr>
        <w:tc>
          <w:tcPr>
            <w:tcW w:w="73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5"/>
          </w:tcPr>
          <w:p>
            <w:pPr>
              <w:ind w:left="60"/>
              <w:spacing w:after="0" w:line="142" w:lineRule="exact"/>
              <w:rPr>
                <w:sz w:val="20"/>
                <w:szCs w:val="20"/>
                <w:color w:val="auto"/>
              </w:rPr>
            </w:pPr>
            <w:r>
              <w:rPr>
                <w:rFonts w:ascii="Arial" w:cs="Arial" w:eastAsia="Arial" w:hAnsi="Arial"/>
                <w:sz w:val="14"/>
                <w:szCs w:val="14"/>
                <w:b w:val="1"/>
                <w:bCs w:val="1"/>
                <w:color w:val="auto"/>
              </w:rPr>
              <w:t>As of December 31,</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Pr>
          <w:p>
            <w:pPr>
              <w:spacing w:after="0"/>
              <w:rPr>
                <w:sz w:val="12"/>
                <w:szCs w:val="12"/>
                <w:color w:val="auto"/>
              </w:rPr>
            </w:pPr>
          </w:p>
        </w:tc>
        <w:tc>
          <w:tcPr>
            <w:tcW w:w="640" w:type="dxa"/>
            <w:vAlign w:val="bottom"/>
            <w:gridSpan w:val="2"/>
          </w:tcPr>
          <w:p>
            <w:pPr>
              <w:jc w:val="center"/>
              <w:ind w:left="114"/>
              <w:spacing w:after="0" w:line="142" w:lineRule="exact"/>
              <w:rPr>
                <w:sz w:val="20"/>
                <w:szCs w:val="20"/>
                <w:color w:val="auto"/>
              </w:rPr>
            </w:pPr>
            <w:r>
              <w:rPr>
                <w:rFonts w:ascii="Arial" w:cs="Arial" w:eastAsia="Arial" w:hAnsi="Arial"/>
                <w:sz w:val="14"/>
                <w:szCs w:val="14"/>
                <w:b w:val="1"/>
                <w:bCs w:val="1"/>
                <w:color w:val="auto"/>
                <w:w w:val="89"/>
              </w:rPr>
              <w:t>2014</w:t>
            </w:r>
          </w:p>
        </w:tc>
        <w:tc>
          <w:tcPr>
            <w:tcW w:w="46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Plans with projected benefit obligation in excess of plan assets:</w:t>
            </w: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$71.4</w:t>
            </w: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$53.8</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11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3"/>
              </w:rPr>
              <w:t>$65.3</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$49.1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11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3"/>
              </w:rPr>
              <w:t>$67.6</w:t>
            </w:r>
          </w:p>
        </w:tc>
        <w:tc>
          <w:tcPr>
            <w:tcW w:w="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$50.9</w:t>
            </w:r>
          </w:p>
        </w:tc>
      </w:tr>
      <w:tr>
        <w:trPr>
          <w:trHeight w:val="234"/>
        </w:trPr>
        <w:tc>
          <w:tcPr>
            <w:tcW w:w="734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15"/>
                <w:szCs w:val="15"/>
                <w:b w:val="1"/>
                <w:bCs w:val="1"/>
                <w:color w:val="auto"/>
              </w:rPr>
              <w:t>1</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$65.3</w:t>
            </w:r>
          </w:p>
        </w:tc>
        <w:tc>
          <w:tcPr>
            <w:tcW w:w="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$49.1</w:t>
            </w:r>
          </w:p>
        </w:tc>
      </w:tr>
    </w:tbl>
    <w:p>
      <w:pPr>
        <w:spacing w:after="0" w:line="210" w:lineRule="exact"/>
        <w:rPr>
          <w:sz w:val="20"/>
          <w:szCs w:val="20"/>
          <w:color w:val="auto"/>
        </w:rPr>
      </w:pPr>
    </w:p>
    <w:p>
      <w:pPr>
        <w:ind w:left="220" w:right="700" w:hanging="212"/>
        <w:spacing w:after="0" w:line="277" w:lineRule="auto"/>
        <w:tabs>
          <w:tab w:leader="none" w:pos="22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As of December 31, 2014 and 2013, the hourly defined benefit pension plan had plan assets greater than both the projected benefit obligation and accumulated benefit obligation.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w:t>
            </w:r>
          </w:p>
        </w:tc>
        <w:tc>
          <w:tcPr>
            <w:tcW w:w="1900" w:type="dxa"/>
            <w:vAlign w:val="bottom"/>
            <w:gridSpan w:val="4"/>
          </w:tcPr>
          <w:p>
            <w:pPr>
              <w:ind w:left="820"/>
              <w:spacing w:after="0"/>
              <w:rPr>
                <w:sz w:val="20"/>
                <w:szCs w:val="20"/>
                <w:color w:val="auto"/>
              </w:rPr>
            </w:pPr>
            <w:r>
              <w:rPr>
                <w:rFonts w:ascii="Arial" w:cs="Arial" w:eastAsia="Arial" w:hAnsi="Arial"/>
                <w:sz w:val="14"/>
                <w:szCs w:val="14"/>
                <w:b w:val="1"/>
                <w:bCs w:val="1"/>
                <w:color w:val="auto"/>
              </w:rPr>
              <w:t>Post-retirement</w:t>
            </w:r>
          </w:p>
        </w:tc>
      </w:tr>
      <w:tr>
        <w:trPr>
          <w:trHeight w:val="171"/>
        </w:trPr>
        <w:tc>
          <w:tcPr>
            <w:tcW w:w="4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b w:val="1"/>
                <w:bCs w:val="1"/>
                <w:color w:val="auto"/>
              </w:rPr>
              <w:t>Plans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Employer Contributions:</w:t>
            </w:r>
          </w:p>
        </w:tc>
        <w:tc>
          <w:tcPr>
            <w:tcW w:w="2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2015 expected contributions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  2.0</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2015</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2017</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2019</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2020-2024</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2012, the Company established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a charge of $0.2 million, $0.3 million, and $0.1 million to the Consolidated Statements of Comprehensive Income for the years ended December 31, 2014, 2013 and 2012, respectively, and the fair value of the rabbi trust plan assets and deferred compensation obligation was $2.9 million and $1.3 million as of December 31, 2014 and 2013,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In March 2012, the Company’s Board of Directors adopted and the Company’s stockholders approved the Allison Transmission Holdings, Inc. 2011 Equity Incentive Award Plan (“2011 Plan”), which became effective as of the day prior to the consummation of the Company’s initial public offering. Under the 2011 Plan, certain employees (including executive officers), consultants and directors are eligible to receive equity-based compensation, including non-qualified stock options, incentive stock options, restricted stock, dividend equivalents, stock payments, restricted stock units (“RSU”), performance awards, stock appreciation rights and other equity-based awards, or any combination thereof. The 2011 Plan limits the aggregate number of shares of common stock available for issue to 15.3 million and will expire on, and no option or other equity award may be granted pursuant to the 2011 Plan after, the tenth anniversary of the date the 2011 Plan was approved by the Board of Directors.</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Prior to the adoption of the 2011 Plan, the Company’s equity-based awards were granted under the Equity Incentive Plan of Allison Transmission Holdings, Inc. (“Prior Plan”). As of the effective date of the 2011 Plan, no new awards will be granted under the Prior Plan, but the Prior Plan will continue to govern the equity awards issued under the Prior Plan.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were issued to certain employees in 2014, 2013 and 2012, and certain directors in 2014 and 2013 under the 2011 Plan at fair market value at the date of grant. These awards entitle the holder to receive one common share for each RSU upon vesting, which generally occurs over either one, two or three years upon continued performance of services by the RSU holders. A summary of RSU activity as of December 31, 2014, 2013 and 2012, and changes during the period then ended is presented below:</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RSUs</w:t>
            </w:r>
          </w:p>
        </w:tc>
        <w:tc>
          <w:tcPr>
            <w:tcW w:w="164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0"/>
              </w:rPr>
              <w:t>Non-vested RSUs:</w:t>
            </w:r>
          </w:p>
        </w:tc>
        <w:tc>
          <w:tcPr>
            <w:tcW w:w="3120" w:type="dxa"/>
            <w:vAlign w:val="bottom"/>
            <w:vMerge w:val="restart"/>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31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5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2011</w:t>
            </w:r>
          </w:p>
        </w:tc>
        <w:tc>
          <w:tcPr>
            <w:tcW w:w="15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472"/>
              <w:spacing w:after="0"/>
              <w:rPr>
                <w:sz w:val="20"/>
                <w:szCs w:val="20"/>
                <w:color w:val="auto"/>
              </w:rPr>
            </w:pPr>
            <w:r>
              <w:rPr>
                <w:rFonts w:ascii="Arial" w:cs="Arial" w:eastAsia="Arial" w:hAnsi="Arial"/>
                <w:sz w:val="18"/>
                <w:szCs w:val="18"/>
                <w:color w:val="auto"/>
                <w:w w:val="93"/>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5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2012</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3"/>
              </w:rPr>
              <w:t>20.20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472"/>
              <w:spacing w:after="0"/>
              <w:rPr>
                <w:sz w:val="20"/>
                <w:szCs w:val="20"/>
                <w:color w:val="auto"/>
              </w:rPr>
            </w:pPr>
            <w:r>
              <w:rPr>
                <w:rFonts w:ascii="Arial" w:cs="Arial" w:eastAsia="Arial" w:hAnsi="Arial"/>
                <w:sz w:val="18"/>
                <w:szCs w:val="18"/>
                <w:color w:val="auto"/>
                <w:w w:val="93"/>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3"/>
              </w:rPr>
              <w:t>20.23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5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3"/>
              </w:rPr>
              <w:t>20.90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0.0</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472"/>
              <w:spacing w:after="0"/>
              <w:rPr>
                <w:sz w:val="20"/>
                <w:szCs w:val="20"/>
                <w:color w:val="auto"/>
              </w:rPr>
            </w:pPr>
            <w:r>
              <w:rPr>
                <w:rFonts w:ascii="Arial" w:cs="Arial" w:eastAsia="Arial" w:hAnsi="Arial"/>
                <w:sz w:val="18"/>
                <w:szCs w:val="18"/>
                <w:b w:val="1"/>
                <w:bCs w:val="1"/>
                <w:color w:val="auto"/>
                <w:w w:val="93"/>
              </w:rPr>
              <w:t>29.85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472"/>
              <w:spacing w:after="0"/>
              <w:rPr>
                <w:sz w:val="20"/>
                <w:szCs w:val="20"/>
                <w:color w:val="auto"/>
              </w:rPr>
            </w:pPr>
            <w:r>
              <w:rPr>
                <w:rFonts w:ascii="Arial" w:cs="Arial" w:eastAsia="Arial" w:hAnsi="Arial"/>
                <w:sz w:val="18"/>
                <w:szCs w:val="18"/>
                <w:b w:val="1"/>
                <w:bCs w:val="1"/>
                <w:color w:val="auto"/>
                <w:w w:val="93"/>
              </w:rPr>
              <w:t>20.32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5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2014</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center"/>
              <w:ind w:left="472"/>
              <w:spacing w:after="0"/>
              <w:rPr>
                <w:sz w:val="20"/>
                <w:szCs w:val="20"/>
                <w:color w:val="auto"/>
              </w:rPr>
            </w:pPr>
            <w:r>
              <w:rPr>
                <w:rFonts w:ascii="Arial" w:cs="Arial" w:eastAsia="Arial" w:hAnsi="Arial"/>
                <w:sz w:val="18"/>
                <w:szCs w:val="18"/>
                <w:b w:val="1"/>
                <w:bCs w:val="1"/>
                <w:color w:val="auto"/>
                <w:w w:val="93"/>
              </w:rPr>
              <w:t>26.57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of December 31, 2014 and 2013, there were $3.0 million and $10.4 million, respectively, of unrecognized compensation cost related to non-vested RSU compensation arrangements granted under the 2011 Plan. This cost is expected to be recognized, on a straight line basis, over a period of approximately two years. RSU incentive compensation expense recorded was $9.8 million, $12.0 million and $0.9 million for the years ended December 31, 2014, 2013 and 2012, respectively. The total fair value of RSUs vested during the years ended December 31, 2014, 2013 and 2012 was approximately $20.2 million, $9.0 million and $0.0 million, respectively.</w:t>
      </w:r>
    </w:p>
    <w:p>
      <w:pPr>
        <w:spacing w:after="0" w:line="18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Pursuant to the share withholding provisions of the 2011 Plan and the related RSU award agreement, certain employees, in lieu of paying withholding taxes on the vesting of RSUs, authorized the withholding of an aggregate of approximately 0.3 million and 0.1 million shares, respectively of the Company’s common stock to satisfy their minimum statutory tax withholding requirements related to such vesting events during 2014 and 2013. The withheld shares were recorded as a reduction to equity on the applicable vesting dates of approximately $8.4 million and $3.6 million during 2014 and 2013, respectively.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Restricted stock was granted to certain employees in 2014 under the 2011 Plan at fair market value on the date of grant. The restrictions lapse upon continued performance by the restricted stock holders on the vest date which generally occurs over one, two or three years. A summary of restricted stock activity as of December 31, 2014 and changes during the period then ended is presented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6"/>
              </w:rPr>
              <w:t>Restricted</w:t>
            </w:r>
          </w:p>
        </w:tc>
        <w:tc>
          <w:tcPr>
            <w:tcW w:w="2120" w:type="dxa"/>
            <w:vAlign w:val="bottom"/>
            <w:gridSpan w:val="4"/>
          </w:tcPr>
          <w:p>
            <w:pPr>
              <w:ind w:left="88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1580" w:type="dxa"/>
            <w:vAlign w:val="bottom"/>
          </w:tcPr>
          <w:p>
            <w:pPr>
              <w:spacing w:after="0"/>
              <w:rPr>
                <w:sz w:val="12"/>
                <w:szCs w:val="12"/>
                <w:color w:val="auto"/>
              </w:rPr>
            </w:pPr>
          </w:p>
        </w:tc>
        <w:tc>
          <w:tcPr>
            <w:tcW w:w="74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Stock</w:t>
            </w:r>
          </w:p>
        </w:tc>
        <w:tc>
          <w:tcPr>
            <w:tcW w:w="88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5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2013</w:t>
            </w:r>
          </w:p>
        </w:tc>
        <w:tc>
          <w:tcPr>
            <w:tcW w:w="15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left="393"/>
              <w:spacing w:after="0"/>
              <w:rPr>
                <w:sz w:val="20"/>
                <w:szCs w:val="20"/>
                <w:color w:val="auto"/>
              </w:rPr>
            </w:pPr>
            <w:r>
              <w:rPr>
                <w:rFonts w:ascii="Arial" w:cs="Arial" w:eastAsia="Arial" w:hAnsi="Arial"/>
                <w:sz w:val="18"/>
                <w:szCs w:val="18"/>
                <w:b w:val="1"/>
                <w:bCs w:val="1"/>
                <w:color w:val="auto"/>
                <w:w w:val="93"/>
              </w:rPr>
              <w:t>29.47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5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left="333"/>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2014</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12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center"/>
              <w:ind w:left="393"/>
              <w:spacing w:after="0"/>
              <w:rPr>
                <w:sz w:val="20"/>
                <w:szCs w:val="20"/>
                <w:color w:val="auto"/>
              </w:rPr>
            </w:pPr>
            <w:r>
              <w:rPr>
                <w:rFonts w:ascii="Arial" w:cs="Arial" w:eastAsia="Arial" w:hAnsi="Arial"/>
                <w:sz w:val="18"/>
                <w:szCs w:val="18"/>
                <w:b w:val="1"/>
                <w:bCs w:val="1"/>
                <w:color w:val="auto"/>
                <w:w w:val="93"/>
              </w:rPr>
              <w:t>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2014, there was $3.4 million of unrecognized compensation cost related to non-vested restricted stock compensation arrangements granted under the 2011 Plan. This cost is expected to be recognized, on a straight line basis, over a period of approximately 2 years. Restricted stock incentive compensation expense recorded was $1.6 million for the year ended December 31, 2014.</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Stock options granted under the Prior Plan after the completion of the Acquisition Transaction and through March 2012, have a per share exercise price based on the fair market value of the Company at the date of grant. Stock options granted under the 2011 Plan have a per share exercise price based on the closing price of a share of the Company’s common stock as reported by the NYSE on the date of grant. All stock options expire 10 years after the grant date. The options vest upon the continued performance of services by the option holder over time, with either 20% or 33% of the award vesting on each anniversary of the grant date over three to five years for awards under the Prior Plan and 100% in December of the year that is two years after the year of grant under the 2011 Plan. Upon termination of employment for reasons other than cause, retirement before the age of 65 with less than 90 points (calculated as age plus years of service), death or disability, the options shall cease to be exercisable ninety days following the date of the optionees’ termination of service. Upon termination of employment for cause, the options shall not be exercisable on the date of such termination. Upon termination of employment for retirement at or after the age of 65, the options shall cease to be exercisable three years following such date. Upon termination of employment for retirement before the age of 65 with 90 or more points, the options shall cease to be exercisable two years following such date. Upon termination of employment for death or disability, the options shall cease to be exercisable twelve months following such date.</w:t>
      </w:r>
    </w:p>
    <w:p>
      <w:pPr>
        <w:spacing w:after="0" w:line="17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accordance with the FASB’s authoritative accounting guidance on stock compensation, each option grant is to be recorded at fair value. When options are granted, the Company uses a Black-Scholes option pricing model to calculate the fair value of each option award using the assumptions noted in the following table:</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6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6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38%</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N/A</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Expected forfeitures</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N/A</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1.7%</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Expected volatility is based on “the average volatilities of otherwise similar public entities” as defined by authoritative accounting guidance. The Company currently pays a $0.15 dividend per quarter. The expected term is derived from the average of the weighted vesting life and the contractual term. The risk-free rate for periods within the contractual life of the option is based on the U.S. Treasury yield curve in effect at the time of grant.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option activity as of December 31, 2014, 2013 and 2012, and changes during the period then ended is presented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6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(in millions)</w:t>
            </w:r>
          </w:p>
        </w:tc>
        <w:tc>
          <w:tcPr>
            <w:tcW w:w="160" w:type="dxa"/>
            <w:vAlign w:val="bottom"/>
          </w:tcPr>
          <w:p>
            <w:pPr>
              <w:spacing w:after="0"/>
              <w:rPr>
                <w:sz w:val="14"/>
                <w:szCs w:val="14"/>
                <w:color w:val="auto"/>
              </w:rPr>
            </w:pPr>
          </w:p>
        </w:tc>
        <w:tc>
          <w:tcPr>
            <w:tcW w:w="16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Exercisable as of December 31, 2011</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13.37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4.88 years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Outstanding as of December 31, 2012</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14.01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4.93 years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2012</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14.02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23.39</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Forfeited or expired</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15.33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 years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Exercisable as of December 31, 2013</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14.79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3.94 years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0.4</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30.23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(4.2)</w:t>
            </w:r>
          </w:p>
        </w:tc>
        <w:tc>
          <w:tcPr>
            <w:tcW w:w="16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Outstanding as of December 31, 2014</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4.9</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17.49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4.19 years</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December 31, 2014</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15.32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3.08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weighted-average grant-date fair value of options granted during the years ended December 31, 2014, 2013 and 2012 was $9.51, $9.76 and $0.0, respectively. The total fair value of stock options vested during the years ended December 31, 2014, 2013 and 2012 was $0.0 million, $0.7 million and $7.5 million, respectively. The total intrinsic value of stock options exercised during the years ended December 31, 2014, 2013 and 2012 was $82.3 million, $58.0 million and $24.6 million, respectively. The aggregate intrinsic value of stock options outstanding and exercisable was $80.4 million and $72.5 million as of December 31, 2014, and $106.8 million and $103.8 million as of December 31, 2013, respectively.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Company’s non-vested stock options as of December 31, 2014, 2013 and 2012, and changes during the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 is presented below:</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66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Stock Options:</w:t>
            </w:r>
          </w:p>
        </w:tc>
        <w:tc>
          <w:tcPr>
            <w:tcW w:w="1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29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Non-vested at December</w:t>
            </w:r>
          </w:p>
        </w:tc>
        <w:tc>
          <w:tcPr>
            <w:tcW w:w="2480" w:type="dxa"/>
            <w:vAlign w:val="bottom"/>
            <w:tcBorders>
              <w:top w:val="single" w:sz="8" w:color="CCEEFF"/>
            </w:tcBorders>
            <w:shd w:val="clear" w:color="auto" w:fill="CCEEFF"/>
          </w:tcPr>
          <w:p>
            <w:pPr>
              <w:jc w:val="right"/>
              <w:ind w:right="1570"/>
              <w:spacing w:after="0"/>
              <w:rPr>
                <w:sz w:val="20"/>
                <w:szCs w:val="20"/>
                <w:color w:val="auto"/>
              </w:rPr>
            </w:pPr>
            <w:r>
              <w:rPr>
                <w:rFonts w:ascii="Arial" w:cs="Arial" w:eastAsia="Arial" w:hAnsi="Arial"/>
                <w:sz w:val="18"/>
                <w:szCs w:val="18"/>
                <w:color w:val="auto"/>
              </w:rPr>
              <w:t>31, 2011</w:t>
            </w:r>
          </w:p>
        </w:tc>
        <w:tc>
          <w:tcPr>
            <w:tcW w:w="1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center"/>
              <w:ind w:left="572"/>
              <w:spacing w:after="0"/>
              <w:rPr>
                <w:sz w:val="20"/>
                <w:szCs w:val="20"/>
                <w:color w:val="auto"/>
              </w:rPr>
            </w:pPr>
            <w:r>
              <w:rPr>
                <w:rFonts w:ascii="Arial" w:cs="Arial" w:eastAsia="Arial" w:hAnsi="Arial"/>
                <w:sz w:val="18"/>
                <w:szCs w:val="18"/>
                <w:color w:val="auto"/>
                <w:w w:val="91"/>
              </w:rPr>
              <w:t>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6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1"/>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2900" w:type="dxa"/>
            <w:vAlign w:val="bottom"/>
            <w:gridSpan w:val="3"/>
          </w:tcPr>
          <w:p>
            <w:pPr>
              <w:jc w:val="right"/>
              <w:ind w:right="44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2"/>
              <w:spacing w:after="0"/>
              <w:rPr>
                <w:sz w:val="20"/>
                <w:szCs w:val="20"/>
                <w:color w:val="auto"/>
              </w:rPr>
            </w:pPr>
            <w:r>
              <w:rPr>
                <w:rFonts w:ascii="Arial" w:cs="Arial" w:eastAsia="Arial" w:hAnsi="Arial"/>
                <w:sz w:val="18"/>
                <w:szCs w:val="18"/>
                <w:color w:val="auto"/>
                <w:w w:val="91"/>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1"/>
              </w:rPr>
              <w:t>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2"/>
              <w:spacing w:after="0"/>
              <w:rPr>
                <w:sz w:val="20"/>
                <w:szCs w:val="20"/>
                <w:color w:val="auto"/>
              </w:rPr>
            </w:pPr>
            <w:r>
              <w:rPr>
                <w:rFonts w:ascii="Arial" w:cs="Arial" w:eastAsia="Arial" w:hAnsi="Arial"/>
                <w:sz w:val="18"/>
                <w:szCs w:val="18"/>
                <w:color w:val="auto"/>
                <w:w w:val="91"/>
              </w:rPr>
              <w:t>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1"/>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6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2013</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color w:val="auto"/>
                <w:w w:val="91"/>
              </w:rPr>
              <w:t>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0.4</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2"/>
              <w:spacing w:after="0"/>
              <w:rPr>
                <w:sz w:val="20"/>
                <w:szCs w:val="20"/>
                <w:color w:val="auto"/>
              </w:rPr>
            </w:pPr>
            <w:r>
              <w:rPr>
                <w:rFonts w:ascii="Arial" w:cs="Arial" w:eastAsia="Arial" w:hAnsi="Arial"/>
                <w:sz w:val="18"/>
                <w:szCs w:val="18"/>
                <w:b w:val="1"/>
                <w:bCs w:val="1"/>
                <w:color w:val="auto"/>
                <w:w w:val="91"/>
              </w:rPr>
              <w:t>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66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left="412"/>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2014</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center"/>
              <w:ind w:left="572"/>
              <w:spacing w:after="0"/>
              <w:rPr>
                <w:sz w:val="20"/>
                <w:szCs w:val="20"/>
                <w:color w:val="auto"/>
              </w:rPr>
            </w:pPr>
            <w:r>
              <w:rPr>
                <w:rFonts w:ascii="Arial" w:cs="Arial" w:eastAsia="Arial" w:hAnsi="Arial"/>
                <w:sz w:val="18"/>
                <w:szCs w:val="18"/>
                <w:b w:val="1"/>
                <w:bCs w:val="1"/>
                <w:color w:val="auto"/>
                <w:w w:val="91"/>
              </w:rPr>
              <w:t>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December 31, 2014, 2013 and 2012, there was $4.8 million, $4.2 million and $0.5 million, respectively, of unrecognized compensation cost related to non-vested stock option compensation arrangements granted under the Prior Plan and the 2011 Plan. This cost is expected to be recognized, on a straight line basis, over a period of approximately two years. Stock option incentive compensation expense recorded was $3.3 million, $1.7 million and $5.5 million for the years ended December 31, 2014, 2013 and 2012,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15.</w:t>
            </w:r>
          </w:p>
        </w:tc>
        <w:tc>
          <w:tcPr>
            <w:tcW w:w="6980" w:type="dxa"/>
            <w:vAlign w:val="bottom"/>
          </w:tcPr>
          <w:p>
            <w:pPr>
              <w:ind w:left="220"/>
              <w:spacing w:after="0"/>
              <w:rPr>
                <w:sz w:val="20"/>
                <w:szCs w:val="20"/>
                <w:color w:val="auto"/>
              </w:rPr>
            </w:pPr>
            <w:r>
              <w:rPr>
                <w:rFonts w:ascii="Arial" w:cs="Arial" w:eastAsia="Arial" w:hAnsi="Arial"/>
                <w:sz w:val="18"/>
                <w:szCs w:val="18"/>
                <w:b w:val="1"/>
                <w:bCs w:val="1"/>
                <w:color w:val="auto"/>
              </w:rPr>
              <w:t>INCOME TAXES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900" w:type="dxa"/>
            <w:vAlign w:val="bottom"/>
            <w:gridSpan w:val="2"/>
          </w:tcPr>
          <w:p>
            <w:pPr>
              <w:ind w:left="460"/>
              <w:spacing w:after="0"/>
              <w:rPr>
                <w:sz w:val="20"/>
                <w:szCs w:val="20"/>
                <w:color w:val="auto"/>
              </w:rPr>
            </w:pPr>
            <w:r>
              <w:rPr>
                <w:rFonts w:ascii="Arial" w:cs="Arial" w:eastAsia="Arial" w:hAnsi="Arial"/>
                <w:sz w:val="18"/>
                <w:szCs w:val="18"/>
                <w:color w:val="auto"/>
              </w:rPr>
              <w:t>Income before income taxes included the following (dollars in millions):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11"/>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ind w:left="380"/>
              <w:spacing w:after="0" w:line="142" w:lineRule="exact"/>
              <w:rPr>
                <w:sz w:val="20"/>
                <w:szCs w:val="20"/>
                <w:color w:val="auto"/>
              </w:rPr>
            </w:pPr>
            <w:r>
              <w:rPr>
                <w:rFonts w:ascii="Arial" w:cs="Arial" w:eastAsia="Arial" w:hAnsi="Arial"/>
                <w:sz w:val="14"/>
                <w:szCs w:val="14"/>
                <w:b w:val="1"/>
                <w:bCs w:val="1"/>
                <w:color w:val="auto"/>
                <w:w w:val="89"/>
              </w:rPr>
              <w:t>2013</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income</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$355.1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$259.0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Foreign income</w:t>
            </w: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13.0</w:t>
            </w:r>
          </w:p>
        </w:tc>
        <w:tc>
          <w:tcPr>
            <w:tcW w:w="1140" w:type="dxa"/>
            <w:vAlign w:val="bottom"/>
            <w:gridSpan w:val="5"/>
          </w:tcPr>
          <w:p>
            <w:pPr>
              <w:jc w:val="right"/>
              <w:ind w:right="380"/>
              <w:spacing w:after="0"/>
              <w:rPr>
                <w:sz w:val="20"/>
                <w:szCs w:val="20"/>
                <w:color w:val="auto"/>
              </w:rPr>
            </w:pPr>
            <w:r>
              <w:rPr>
                <w:rFonts w:ascii="Arial" w:cs="Arial" w:eastAsia="Arial" w:hAnsi="Arial"/>
                <w:sz w:val="18"/>
                <w:szCs w:val="18"/>
                <w:color w:val="auto"/>
              </w:rPr>
              <w:t>7.1</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368.1</w:t>
            </w:r>
          </w:p>
        </w:tc>
        <w:tc>
          <w:tcPr>
            <w:tcW w:w="114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266.1</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 expense (benefit) was estimated as follows (dollars in millions):</w:t>
            </w: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9"/>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Estimated current income taxes:</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  1.6</w:t>
            </w:r>
          </w:p>
        </w:tc>
        <w:tc>
          <w:tcPr>
            <w:tcW w:w="20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  0.2</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6.3</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ind w:left="360"/>
              <w:spacing w:after="0"/>
              <w:rPr>
                <w:sz w:val="20"/>
                <w:szCs w:val="20"/>
                <w:color w:val="auto"/>
              </w:rPr>
            </w:pPr>
            <w:r>
              <w:rPr>
                <w:rFonts w:ascii="Arial" w:cs="Arial" w:eastAsia="Arial" w:hAnsi="Arial"/>
                <w:sz w:val="18"/>
                <w:szCs w:val="18"/>
                <w:color w:val="auto"/>
              </w:rPr>
              <w:t>U.S. state and local</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(0.2)</w:t>
            </w:r>
          </w:p>
        </w:tc>
        <w:tc>
          <w:tcPr>
            <w:tcW w:w="20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7.7</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Deferred income tax expense (credit), net: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125.6</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87.6</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ind w:left="360"/>
              <w:spacing w:after="0"/>
              <w:rPr>
                <w:sz w:val="20"/>
                <w:szCs w:val="20"/>
                <w:color w:val="auto"/>
              </w:rPr>
            </w:pPr>
            <w:r>
              <w:rPr>
                <w:rFonts w:ascii="Arial" w:cs="Arial" w:eastAsia="Arial" w:hAnsi="Arial"/>
                <w:sz w:val="18"/>
                <w:szCs w:val="18"/>
                <w:color w:val="auto"/>
              </w:rPr>
              <w:t>Foreign</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(0.3)</w:t>
            </w:r>
          </w:p>
        </w:tc>
        <w:tc>
          <w:tcPr>
            <w:tcW w:w="20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 and local</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98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8"/>
                <w:szCs w:val="18"/>
                <w:color w:val="auto"/>
                <w:w w:val="79"/>
              </w:rPr>
              <w:t>98.0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139.5</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100.7</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(298.0)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paid for income taxes for the years ended December 31, 2014, 2013 and 2012 was $5.0 million, $3.8 million and $10.7 million, respectively.</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reconciliation of the provision for income tax expense (benefit) compared with the amounts at the U.S. federal statutory rate is as follows (dollars in millions):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60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Tax at U.S. statutory income tax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(384.1)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Adjustment to deferred tax expense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23"/>
        </w:trPr>
        <w:tc>
          <w:tcPr>
            <w:tcW w:w="6980" w:type="dxa"/>
            <w:vAlign w:val="bottom"/>
          </w:tcPr>
          <w:p>
            <w:pPr>
              <w:ind w:left="360"/>
              <w:spacing w:after="0"/>
              <w:rPr>
                <w:sz w:val="20"/>
                <w:szCs w:val="20"/>
                <w:color w:val="auto"/>
              </w:rPr>
            </w:pPr>
            <w:r>
              <w:rPr>
                <w:rFonts w:ascii="Arial" w:cs="Arial" w:eastAsia="Arial" w:hAnsi="Arial"/>
                <w:sz w:val="18"/>
                <w:szCs w:val="18"/>
                <w:color w:val="auto"/>
              </w:rPr>
              <w:t>Total income tax expense (benefit)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139.5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(298.0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not recognized any deferred tax liabilities associated with investments and earnings in foreign subsidiaries as they are intended to be permanent in duration. Such amounts may become taxable upon an actual or deemed repatriation in the future; however, at this time, management believes any related unrecognized deferred tax liability is immaterial.</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4"/>
          </w:tcPr>
          <w:p>
            <w:pPr>
              <w:jc w:val="center"/>
              <w:ind w:left="15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400" w:type="dxa"/>
            <w:vAlign w:val="bottom"/>
          </w:tcPr>
          <w:p>
            <w:pPr>
              <w:spacing w:after="0"/>
              <w:rPr>
                <w:sz w:val="18"/>
                <w:szCs w:val="18"/>
                <w:color w:val="auto"/>
              </w:rPr>
            </w:pPr>
          </w:p>
        </w:tc>
        <w:tc>
          <w:tcPr>
            <w:tcW w:w="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Warranty accrual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Sales allowances and rebates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Post-retirement health care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interest rate derivatives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Operating loss carryforwards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107.8</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Technology-related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Valuation allowances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(320.8)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(90.3)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warranty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Pension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Post-retirement health care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(439.1)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23"/>
        </w:trPr>
        <w:tc>
          <w:tcPr>
            <w:tcW w:w="612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(117.2</w:t>
            </w:r>
          </w:p>
        </w:tc>
        <w:tc>
          <w:tcPr>
            <w:tcW w:w="400" w:type="dxa"/>
            <w:vAlign w:val="bottom"/>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Of the estimated net operating loss carryforwards as of December 31, 2014, approximately 91% relates to U.S. federal net operating loss carryforwards and approximately 9% relates to the U.S. state net operating loss carryforwards. Substantially all U.S. Federal and State operating loss carryforwards will not expire until 2027-2032. As of December 31, 2014, the Company had $253.3 million of net operating loss carryforwards for U.S. federal income tax purposes. If the Company continues to generate taxable income, it expects to utilize the remaining U.S. federal net operating loss carryforwards as early as the first quarter of 2016.</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foreign deferred tax assets will not be realized and therefore continue to offset these deferred tax assets with a valuation allowance of $5.2 million and $2.8 million as of December 31, 2014 and 2013, respectively.</w:t>
      </w:r>
    </w:p>
    <w:p>
      <w:pPr>
        <w:spacing w:after="0" w:line="18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accordance with the FASB’s authoritative guidance on accounting for uncertainty in income taxes, the Company has recorded a liability for unrecognized tax benefits related to the 2010 Research &amp; Development Credit. The accounting guidance prescribes a recognition threshold and measurement attributes for the financial statement recognition and measurement of a tax position taken or expected to be taken in a tax return. Management does not anticipate any significant changes in the balance within the coming year. All of the Company’s returns (when filed) will remain subject to examination by the various taxing authorities for the duration of the applicable statute of limitations (generally three years from the earlier of the date of filing or the due date of the return). The change in the liability for unrecognized tax benefits are as follows (dollars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324"/>
        </w:trPr>
        <w:tc>
          <w:tcPr>
            <w:tcW w:w="7240" w:type="dxa"/>
            <w:vAlign w:val="bottom"/>
          </w:tcPr>
          <w:p>
            <w:pPr>
              <w:spacing w:after="0"/>
              <w:rPr>
                <w:sz w:val="20"/>
                <w:szCs w:val="20"/>
                <w:color w:val="auto"/>
              </w:rPr>
            </w:pPr>
            <w:r>
              <w:rPr>
                <w:rFonts w:ascii="Arial" w:cs="Arial" w:eastAsia="Arial" w:hAnsi="Arial"/>
                <w:sz w:val="18"/>
                <w:szCs w:val="18"/>
                <w:color w:val="auto"/>
              </w:rPr>
              <w:t>December 31, 2013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r>
      <w:tr>
        <w:trPr>
          <w:trHeight w:val="108"/>
        </w:trPr>
        <w:tc>
          <w:tcPr>
            <w:tcW w:w="7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Increases in unrecognized tax benefits as a result of current year activity</w:t>
            </w: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r>
      <w:tr>
        <w:trPr>
          <w:trHeight w:val="331"/>
        </w:trPr>
        <w:tc>
          <w:tcPr>
            <w:tcW w:w="7240" w:type="dxa"/>
            <w:vAlign w:val="bottom"/>
          </w:tcPr>
          <w:p>
            <w:pPr>
              <w:spacing w:after="0"/>
              <w:rPr>
                <w:sz w:val="20"/>
                <w:szCs w:val="20"/>
                <w:color w:val="auto"/>
              </w:rPr>
            </w:pPr>
            <w:r>
              <w:rPr>
                <w:rFonts w:ascii="Arial" w:cs="Arial" w:eastAsia="Arial" w:hAnsi="Arial"/>
                <w:sz w:val="18"/>
                <w:szCs w:val="18"/>
                <w:color w:val="auto"/>
              </w:rPr>
              <w:t>December 31, 2014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4"/>
                <w:szCs w:val="24"/>
                <w:color w:val="auto"/>
              </w:rPr>
            </w:pPr>
          </w:p>
        </w:tc>
      </w:tr>
      <w:tr>
        <w:trPr>
          <w:trHeight w:val="20"/>
        </w:trPr>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For the years ended December 31, 2014, 2013 and 2012, the Company recognized no interest and penalties in the Consolidated Statements of Comprehensive Income. The Company follows a policy of recording any tax related interest or penalties in Income tax expense.</w:t>
      </w:r>
    </w:p>
    <w:p>
      <w:pPr>
        <w:sectPr>
          <w:pgSz w:w="11900" w:h="16838" w:orient="portrait"/>
          <w:cols w:equalWidth="0" w:num="1">
            <w:col w:w="11380"/>
          </w:cols>
          <w:pgMar w:left="240" w:top="459" w:right="27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80"/>
          </w:cols>
          <w:pgMar w:left="240" w:top="459" w:right="27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components of accumulated other comprehensive loss consisted of the following (dollars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Before Tax</w:t>
            </w:r>
          </w:p>
        </w:tc>
        <w:tc>
          <w:tcPr>
            <w:tcW w:w="660" w:type="dxa"/>
            <w:vAlign w:val="bottom"/>
            <w:vMerge w:val="restart"/>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Tax (Expense)</w:t>
            </w: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After Tax</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Benefit</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00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OPEB liability adjustment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Balance at December 31, 2012</w:t>
            </w: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6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9"/>
              </w:rPr>
              <w:t>(43.9)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Pension and OPEB liability adjustment</w:t>
            </w:r>
          </w:p>
        </w:tc>
        <w:tc>
          <w:tcPr>
            <w:tcW w:w="2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Net current period other comprehensive income</w:t>
            </w: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39.5</w:t>
            </w:r>
          </w:p>
        </w:tc>
        <w:tc>
          <w:tcPr>
            <w:tcW w:w="6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324"/>
        </w:trPr>
        <w:tc>
          <w:tcPr>
            <w:tcW w:w="600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(7.4)</w:t>
            </w:r>
          </w:p>
        </w:tc>
        <w:tc>
          <w:tcPr>
            <w:tcW w:w="16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OPEB liability adjustment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5.5</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(25.2)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(18.5)</w:t>
            </w:r>
          </w:p>
        </w:tc>
        <w:tc>
          <w:tcPr>
            <w:tcW w:w="0" w:type="dxa"/>
            <w:vAlign w:val="bottom"/>
          </w:tcPr>
          <w:p>
            <w:pPr>
              <w:spacing w:after="0"/>
              <w:rPr>
                <w:sz w:val="1"/>
                <w:szCs w:val="1"/>
                <w:color w:val="auto"/>
              </w:rPr>
            </w:pPr>
          </w:p>
        </w:tc>
      </w:tr>
      <w:tr>
        <w:trPr>
          <w:trHeight w:val="324"/>
        </w:trPr>
        <w:tc>
          <w:tcPr>
            <w:tcW w:w="600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(44.6)</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 AOCL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For the year ended December 31, 2014</w:t>
            </w: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Amount</w:t>
            </w:r>
          </w:p>
        </w:tc>
        <w:tc>
          <w:tcPr>
            <w:tcW w:w="266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1"/>
              </w:rPr>
              <w:t>Affected line item in the consolidated</w:t>
            </w:r>
          </w:p>
        </w:tc>
        <w:tc>
          <w:tcPr>
            <w:tcW w:w="0" w:type="dxa"/>
            <w:vAlign w:val="bottom"/>
          </w:tcPr>
          <w:p>
            <w:pPr>
              <w:spacing w:after="0"/>
              <w:rPr>
                <w:sz w:val="1"/>
                <w:szCs w:val="1"/>
                <w:color w:val="auto"/>
              </w:rPr>
            </w:pPr>
          </w:p>
        </w:tc>
      </w:tr>
      <w:tr>
        <w:trPr>
          <w:trHeight w:val="149"/>
        </w:trPr>
        <w:tc>
          <w:tcPr>
            <w:tcW w:w="456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2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AOCL</w:t>
            </w:r>
          </w:p>
        </w:tc>
        <w:tc>
          <w:tcPr>
            <w:tcW w:w="38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b w:val="1"/>
                <w:bCs w:val="1"/>
                <w:color w:val="auto"/>
                <w:w w:val="90"/>
              </w:rPr>
              <w:t>statements of comprehensive income</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440" w:type="dxa"/>
            <w:vAlign w:val="bottom"/>
          </w:tcPr>
          <w:p>
            <w:pPr>
              <w:spacing w:after="0"/>
              <w:rPr>
                <w:sz w:val="18"/>
                <w:szCs w:val="18"/>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44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0.1</w:t>
            </w:r>
          </w:p>
        </w:tc>
        <w:tc>
          <w:tcPr>
            <w:tcW w:w="440" w:type="dxa"/>
            <w:vAlign w:val="bottom"/>
          </w:tcPr>
          <w:p>
            <w:pPr>
              <w:spacing w:after="0"/>
              <w:rPr>
                <w:sz w:val="17"/>
                <w:szCs w:val="17"/>
                <w:color w:val="auto"/>
              </w:rPr>
            </w:pPr>
          </w:p>
        </w:tc>
        <w:tc>
          <w:tcPr>
            <w:tcW w:w="26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4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(0.0)</w:t>
            </w:r>
          </w:p>
        </w:tc>
        <w:tc>
          <w:tcPr>
            <w:tcW w:w="266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(0.0)</w:t>
            </w:r>
          </w:p>
        </w:tc>
        <w:tc>
          <w:tcPr>
            <w:tcW w:w="26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2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4.3</w:t>
            </w:r>
          </w:p>
        </w:tc>
        <w:tc>
          <w:tcPr>
            <w:tcW w:w="440" w:type="dxa"/>
            <w:vAlign w:val="bottom"/>
          </w:tcPr>
          <w:p>
            <w:pPr>
              <w:spacing w:after="0"/>
              <w:rPr>
                <w:sz w:val="18"/>
                <w:szCs w:val="18"/>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w:t>
            </w:r>
          </w:p>
        </w:tc>
        <w:tc>
          <w:tcPr>
            <w:tcW w:w="2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440" w:type="dxa"/>
            <w:vAlign w:val="bottom"/>
          </w:tcPr>
          <w:p>
            <w:pPr>
              <w:spacing w:after="0"/>
              <w:rPr>
                <w:sz w:val="19"/>
                <w:szCs w:val="19"/>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13 for additional details.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60"/>
          </w:cols>
          <w:pgMar w:left="240" w:top="459"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Company leases certain facilities under various operating leases. Rent expense under the non-cancelable operating leases was $5.4 million, $5.7 million, and $5.5million for the years ended December 31, 2014, 2013 and 2012, respectively. Certain leases contain renewal options.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2014, future payments under non-cancelable operating leases are as follows over each of the next five years and thereafter (dollars in millions):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2016</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2018</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Thereafter</w:t>
            </w:r>
          </w:p>
        </w:tc>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12.5</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2014 and 2013, the Company employed approximately 2,700 employees, respectively with 90% of those employees in the U.S. Approximately 60% of the Company’s U.S. employees were represented by unions and subject to a collective bargaining agreement as of December 31, 2014 and 2013. In addition, many of the hourly employees outside the U.S. are represented by various unions. The Company is currently operating under a collective bargaining agreement with the UAW Local 933 that expires in November 2017.</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customers accounted for greater than 10% of net sales within the last three years presented.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of net sales</w:t>
            </w: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Daimler AG</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17%</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Navistar, Inc.</w:t>
            </w:r>
          </w:p>
        </w:tc>
        <w:tc>
          <w:tcPr>
            <w:tcW w:w="106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Oshkosh Corporation</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customers accounted for more than 10% of net sales of the Company during the years ended December 31, 2014, 2013 or 2012.</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customers accounted for greater than 10% of outstanding accounts receivable within the last two years presented.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As of</w:t>
            </w:r>
          </w:p>
        </w:tc>
        <w:tc>
          <w:tcPr>
            <w:tcW w:w="4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600" w:type="dxa"/>
            <w:vAlign w:val="bottom"/>
          </w:tcPr>
          <w:p>
            <w:pPr>
              <w:spacing w:after="0"/>
              <w:rPr>
                <w:sz w:val="12"/>
                <w:szCs w:val="12"/>
                <w:color w:val="auto"/>
              </w:rPr>
            </w:pPr>
          </w:p>
        </w:tc>
        <w:tc>
          <w:tcPr>
            <w:tcW w:w="3580" w:type="dxa"/>
            <w:vAlign w:val="bottom"/>
            <w:gridSpan w:val="3"/>
          </w:tcPr>
          <w:p>
            <w:pPr>
              <w:jc w:val="center"/>
              <w:ind w:left="1396"/>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3"/>
          </w:tcPr>
          <w:p>
            <w:pPr>
              <w:jc w:val="center"/>
              <w:ind w:left="136"/>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of accounts receivable</w:t>
            </w:r>
          </w:p>
        </w:tc>
        <w:tc>
          <w:tcPr>
            <w:tcW w:w="2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Daimler AG</w:t>
            </w:r>
          </w:p>
        </w:tc>
        <w:tc>
          <w:tcPr>
            <w:tcW w:w="2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Navistar, Inc.</w:t>
            </w:r>
          </w:p>
        </w:tc>
        <w:tc>
          <w:tcPr>
            <w:tcW w:w="35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12%</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AB Volvo.</w:t>
            </w:r>
          </w:p>
        </w:tc>
        <w:tc>
          <w:tcPr>
            <w:tcW w:w="3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customers accounted for more than 10% of the outstanding accounts receivable as of December 31, 2014 or December 31, 2013.</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supplier accounted for greater than 10% of materials purchased for the periods presented: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of material purchased</w:t>
            </w: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Linamar Corporation Inc.</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10%</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supplier accounted for more than 10% of materials purchased during the years ended December 31, 2014, 2013 or 2012.</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CERTAIN RELATIONSHIPS AND RELATED PARTY TRANSACTIONS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Investment funds affiliated with the Sponsors sold their common stock through a series of public offerings from March 2012 through September 2014. As of December 31, 2014, investment funds affiliated with the Sponsors no longer own any shares of the Company’s outstanding common stock. Pursuant to an amended and restated stockholders agreement, a majority of the Board of Directors had previously been designated by the Sponsors; however, as a result of their no longer owning any shares of the Company’s common stock, the Sponsors no longer have the right to designate members of the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 Held by Executive Officers</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As of December 31, 2014, Lawrence E. Dewey, our Chairman, President and Chief Executive Officer, and David S. Graziosi, our Executive Vice President, Chief Financial Officer and Treasurer, held approximately $100,000 and $450,000, respectively, in aggregate principal amount of the 7.125% Senior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During 2014, the Company completed four secondary public offerings in September, June, April and February of 5,392,499, 40,250,000, 25,000,000, and 28,750,000 shares of its common stock held by investment funds affiliated with the Sponsors at public offering prices, less underwriting discounts and commissions, of $30.46, $29.95, $29.78 and $29.17 per share, respectively. In connection with certain of the offerings, the Company repurchased from the underwriters 5,000,000 shares in June 2014 and 3,428,179 shares in February 2014 at the prices paid by the underwriters and subsequently retired those shares.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During 2013, the Company completed three secondary public offerings in August, November and December of 23,805,000, 15,000,000 and 12,500,000 shares of its common stock held by investment funds affiliated with the Sponsors at a public offering price, less underwriting discounts and commissions, of $21.18, $23.10 and $25.56 per share, respectively. In connection with the offering in August, the Company repurchased from the underwriters 4,700,000 shares of the 23,805,000 shares at the price paid by the underwriters and subsequently retired those shares.</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Company’s current stock repurchase program was announced on October 30, 2014. The Board authorized management to repurchase up to $500.0 million of its common stock on the open market or through privately negotiated transactions through December 31, 2016. The timing and amount of stock purchases are subject to market conditions and corporate needs. This stock repurchase program may be extended, modified, suspended or discontinued at any time at the Company’s discretion. As of December 31, 2014, $500.0 million remained available for stock repurchases under the repurchase program.</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As of December 31, 2014, there were no outstanding anti-dilutive stock options.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11"/>
          </w:tcPr>
          <w:p>
            <w:pPr>
              <w:jc w:val="right"/>
              <w:ind w:right="500"/>
              <w:spacing w:after="0"/>
              <w:rPr>
                <w:sz w:val="20"/>
                <w:szCs w:val="20"/>
                <w:color w:val="auto"/>
              </w:rPr>
            </w:pPr>
            <w:r>
              <w:rPr>
                <w:rFonts w:ascii="Arial" w:cs="Arial" w:eastAsia="Arial" w:hAnsi="Arial"/>
                <w:sz w:val="14"/>
                <w:szCs w:val="14"/>
                <w:b w:val="1"/>
                <w:bCs w:val="1"/>
                <w:color w:val="auto"/>
                <w:w w:val="98"/>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228.6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165.4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6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179.8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184.5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66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182.3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187.9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w:t>
            </w:r>
          </w:p>
        </w:tc>
        <w:tc>
          <w:tcPr>
            <w:tcW w:w="3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6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0.88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NOTE 22.</w:t>
            </w:r>
          </w:p>
        </w:tc>
        <w:tc>
          <w:tcPr>
            <w:tcW w:w="66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GEOGRAPHIC INFORMATION</w:t>
            </w: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20" w:type="dxa"/>
            <w:vAlign w:val="bottom"/>
            <w:vMerge w:val="continue"/>
          </w:tcPr>
          <w:p>
            <w:pPr>
              <w:spacing w:after="0"/>
              <w:rPr>
                <w:sz w:val="24"/>
                <w:szCs w:val="24"/>
                <w:color w:val="auto"/>
              </w:rPr>
            </w:pPr>
          </w:p>
        </w:tc>
        <w:tc>
          <w:tcPr>
            <w:tcW w:w="6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ind w:left="460"/>
              <w:spacing w:after="0"/>
              <w:rPr>
                <w:sz w:val="20"/>
                <w:szCs w:val="20"/>
                <w:color w:val="auto"/>
              </w:rPr>
            </w:pPr>
            <w:r>
              <w:rPr>
                <w:rFonts w:ascii="Arial" w:cs="Arial" w:eastAsia="Arial" w:hAnsi="Arial"/>
                <w:sz w:val="18"/>
                <w:szCs w:val="18"/>
                <w:color w:val="auto"/>
              </w:rPr>
              <w:t>The Company had the following net sales by country as follows (dollars in millions):</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4"/>
                <w:szCs w:val="14"/>
                <w:b w:val="1"/>
                <w:bCs w:val="1"/>
                <w:color w:val="auto"/>
                <w:w w:val="95"/>
              </w:rPr>
              <w:t>Years ended December 31,</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3"/>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$1,578.0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$1,354.3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$1,509.6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China</w:t>
            </w:r>
          </w:p>
        </w:tc>
        <w:tc>
          <w:tcPr>
            <w:tcW w:w="640" w:type="dxa"/>
            <w:vAlign w:val="bottom"/>
            <w:gridSpan w:val="4"/>
          </w:tcPr>
          <w:p>
            <w:pPr>
              <w:jc w:val="right"/>
              <w:spacing w:after="0"/>
              <w:rPr>
                <w:sz w:val="20"/>
                <w:szCs w:val="20"/>
                <w:color w:val="auto"/>
              </w:rPr>
            </w:pPr>
            <w:r>
              <w:rPr>
                <w:rFonts w:ascii="Arial" w:cs="Arial" w:eastAsia="Arial" w:hAnsi="Arial"/>
                <w:sz w:val="18"/>
                <w:szCs w:val="18"/>
                <w:b w:val="1"/>
                <w:bCs w:val="1"/>
                <w:color w:val="auto"/>
              </w:rPr>
              <w:t>128.7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141.0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136.4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90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85.1</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123.0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Japan</w:t>
            </w:r>
          </w:p>
        </w:tc>
        <w:tc>
          <w:tcPr>
            <w:tcW w:w="900" w:type="dxa"/>
            <w:vAlign w:val="bottom"/>
            <w:gridSpan w:val="5"/>
          </w:tcPr>
          <w:p>
            <w:pPr>
              <w:jc w:val="right"/>
              <w:ind w:right="188"/>
              <w:spacing w:after="0"/>
              <w:rPr>
                <w:sz w:val="20"/>
                <w:szCs w:val="20"/>
                <w:color w:val="auto"/>
              </w:rPr>
            </w:pPr>
            <w:r>
              <w:rPr>
                <w:rFonts w:ascii="Arial" w:cs="Arial" w:eastAsia="Arial" w:hAnsi="Arial"/>
                <w:sz w:val="18"/>
                <w:szCs w:val="18"/>
                <w:b w:val="1"/>
                <w:bCs w:val="1"/>
                <w:color w:val="auto"/>
              </w:rPr>
              <w:t>45.8</w:t>
            </w:r>
          </w:p>
        </w:tc>
        <w:tc>
          <w:tcPr>
            <w:tcW w:w="20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900" w:type="dxa"/>
            <w:vAlign w:val="bottom"/>
            <w:gridSpan w:val="5"/>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38.1</w:t>
            </w: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United Kingdom</w:t>
            </w:r>
          </w:p>
        </w:tc>
        <w:tc>
          <w:tcPr>
            <w:tcW w:w="900" w:type="dxa"/>
            <w:vAlign w:val="bottom"/>
            <w:gridSpan w:val="5"/>
          </w:tcPr>
          <w:p>
            <w:pPr>
              <w:jc w:val="right"/>
              <w:ind w:right="188"/>
              <w:spacing w:after="0"/>
              <w:rPr>
                <w:sz w:val="20"/>
                <w:szCs w:val="20"/>
                <w:color w:val="auto"/>
              </w:rPr>
            </w:pPr>
            <w:r>
              <w:rPr>
                <w:rFonts w:ascii="Arial" w:cs="Arial" w:eastAsia="Arial" w:hAnsi="Arial"/>
                <w:sz w:val="18"/>
                <w:szCs w:val="18"/>
                <w:b w:val="1"/>
                <w:bCs w:val="1"/>
                <w:color w:val="auto"/>
              </w:rPr>
              <w:t>36.8</w:t>
            </w:r>
          </w:p>
        </w:tc>
        <w:tc>
          <w:tcPr>
            <w:tcW w:w="200" w:type="dxa"/>
            <w:vAlign w:val="bottom"/>
          </w:tcPr>
          <w:p>
            <w:pPr>
              <w:spacing w:after="0"/>
              <w:rPr>
                <w:sz w:val="18"/>
                <w:szCs w:val="18"/>
                <w:color w:val="auto"/>
              </w:rPr>
            </w:pPr>
          </w:p>
        </w:tc>
        <w:tc>
          <w:tcPr>
            <w:tcW w:w="760" w:type="dxa"/>
            <w:vAlign w:val="bottom"/>
            <w:gridSpan w:val="4"/>
          </w:tcPr>
          <w:p>
            <w:pPr>
              <w:jc w:val="right"/>
              <w:ind w:right="120"/>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214.9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209.5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207.6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6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2,127.4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1,926.8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net long-lived assets by country as follows (dollars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5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0"/>
              </w:rPr>
              <w:t>Years ended December 31,</w:t>
            </w: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$442.6</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$478.7</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India</w:t>
            </w:r>
          </w:p>
        </w:tc>
        <w:tc>
          <w:tcPr>
            <w:tcW w:w="51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51.5</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59.9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c>
          <w:tcPr>
            <w:tcW w:w="5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15.1</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Others</w:t>
            </w:r>
          </w:p>
        </w:tc>
        <w:tc>
          <w:tcPr>
            <w:tcW w:w="42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5.4</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514.6</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563.4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596.2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220" w:type="dxa"/>
            <w:vAlign w:val="bottom"/>
            <w:vMerge w:val="restart"/>
          </w:tcPr>
          <w:p>
            <w:pPr>
              <w:jc w:val="right"/>
              <w:ind w:right="2090"/>
              <w:spacing w:after="0"/>
              <w:rPr>
                <w:sz w:val="20"/>
                <w:szCs w:val="20"/>
                <w:color w:val="auto"/>
              </w:rPr>
            </w:pPr>
            <w:r>
              <w:rPr>
                <w:rFonts w:ascii="Arial" w:cs="Arial" w:eastAsia="Arial" w:hAnsi="Arial"/>
                <w:sz w:val="18"/>
                <w:szCs w:val="18"/>
                <w:color w:val="auto"/>
              </w:rPr>
              <w:t>79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4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FINANCIAL INFORMATION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Quarters ended,</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June 30</w:t>
            </w:r>
          </w:p>
        </w:tc>
        <w:tc>
          <w:tcPr>
            <w:tcW w:w="500" w:type="dxa"/>
            <w:vAlign w:val="bottom"/>
          </w:tcPr>
          <w:p>
            <w:pPr>
              <w:spacing w:after="0"/>
              <w:rPr>
                <w:sz w:val="12"/>
                <w:szCs w:val="12"/>
                <w:color w:val="auto"/>
              </w:rPr>
            </w:pPr>
          </w:p>
        </w:tc>
        <w:tc>
          <w:tcPr>
            <w:tcW w:w="14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2014</w:t>
            </w:r>
          </w:p>
        </w:tc>
        <w:tc>
          <w:tcPr>
            <w:tcW w:w="2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2"/>
          </w:tcPr>
          <w:p>
            <w:pPr>
              <w:ind w:left="24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493.6</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536.1</w:t>
            </w:r>
          </w:p>
        </w:tc>
        <w:tc>
          <w:tcPr>
            <w:tcW w:w="7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553.3</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3"/>
              </w:rPr>
              <w:t>222.5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4"/>
              </w:rPr>
              <w:t>238.5</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259.3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114.8</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4"/>
              </w:rPr>
              <w:t>132.2</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147.3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79.3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94.7</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116.3</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57.2</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68.8</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80" w:type="dxa"/>
            <w:vAlign w:val="bottom"/>
            <w:gridSpan w:val="2"/>
            <w:shd w:val="clear" w:color="auto" w:fill="CCEEFF"/>
          </w:tcPr>
          <w:p>
            <w:pPr>
              <w:ind w:left="24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0.29</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0.32</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0.38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580" w:type="dxa"/>
            <w:vAlign w:val="bottom"/>
            <w:gridSpan w:val="2"/>
          </w:tcPr>
          <w:p>
            <w:pPr>
              <w:ind w:left="24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0.31</w:t>
            </w:r>
          </w:p>
        </w:tc>
        <w:tc>
          <w:tcPr>
            <w:tcW w:w="7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0.38</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0.28</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5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2013</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457.4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512.1</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466.3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198.3</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226.1</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117.7</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111.2</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72.4</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8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58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0.26</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0.24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tcPr>
          <w:p>
            <w:pPr>
              <w:ind w:left="156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subsidiaries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1,397.8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1,438.8</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stock</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1,651.0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(215.5)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(39.5)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1,397.8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9"/>
          </w:tcPr>
          <w:p>
            <w:pPr>
              <w:ind w:left="1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2013</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General and administrative fees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 of consolidated subsidiary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228.6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165.4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514.2</w:t>
            </w:r>
          </w:p>
        </w:tc>
        <w:tc>
          <w:tcPr>
            <w:tcW w:w="100" w:type="dxa"/>
            <w:vAlign w:val="bottom"/>
            <w:shd w:val="clear" w:color="auto" w:fill="CCEEFF"/>
          </w:tcPr>
          <w:p>
            <w:pPr>
              <w:spacing w:after="0"/>
              <w:rPr>
                <w:sz w:val="18"/>
                <w:szCs w:val="18"/>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228.6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165.4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514.2</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228.6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165.4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514.2</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4"/>
              </w:rPr>
              <w:t>228.6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165.4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514.2</w:t>
            </w:r>
          </w:p>
        </w:tc>
        <w:tc>
          <w:tcPr>
            <w:tcW w:w="100" w:type="dxa"/>
            <w:vAlign w:val="bottom"/>
            <w:shd w:val="clear" w:color="auto" w:fill="CCEEFF"/>
          </w:tcPr>
          <w:p>
            <w:pPr>
              <w:spacing w:after="0"/>
              <w:rPr>
                <w:sz w:val="18"/>
                <w:szCs w:val="18"/>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228.6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514.2</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Deduct items included in net income not providing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960" w:type="dxa"/>
            <w:vAlign w:val="bottom"/>
          </w:tcPr>
          <w:p>
            <w:pPr>
              <w:ind w:left="360"/>
              <w:spacing w:after="0"/>
              <w:rPr>
                <w:sz w:val="20"/>
                <w:szCs w:val="20"/>
                <w:color w:val="auto"/>
              </w:rPr>
            </w:pPr>
            <w:r>
              <w:rPr>
                <w:rFonts w:ascii="Arial" w:cs="Arial" w:eastAsia="Arial" w:hAnsi="Arial"/>
                <w:sz w:val="18"/>
                <w:szCs w:val="18"/>
                <w:color w:val="auto"/>
              </w:rPr>
              <w:t>Equity in earnings in consolidated subsidiary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(228.6)</w:t>
            </w: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(165.4)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(514.2)</w:t>
            </w: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91.6</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7"/>
        </w:trPr>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59.6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(91.6)</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r>
      <w:tr>
        <w:trPr>
          <w:trHeight w:val="27"/>
        </w:trPr>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Net increase (decrease) during period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 7 of the Consolidated Financial Statements). The entire amount of our consolidated net assets was subject to restrictions on payment of dividends at the end of December 31, 2014, 2013 and 2012.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2014.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December 31, 2014,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conducted an assessment of the effectiveness of our internal control over financial reporting as of December 31, 2014. In making this assessment, our management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Based on this assessment, management concluded that our internal control over financial reporting was effective as of December 31, 2014. PricewaterhouseCoopers LLP, our independent registered public accounting firm, has audited the effectiveness of our internal control over financial reporting as of December 31, 2014. Their report is included in Part II, Item 8, “Financial Statements and Supplementary Data” in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2014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information required by this Item concerning our executive officers, directors and nominees for director, Audit Committee members and financial expert(s) and disclosure of delinquent filers under Section 16(a) of the Exchange Act is incorporated herein by reference from our definitive Proxy Statement for our 2015 annual meeting of stockholders which will be filed with the SEC pursuant to Regulation 14A within 120 days after the end of our last fiscal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code of business conduct, or any grant of a waiver from a provision of the code of business conduct.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are incorporated herein by reference to our definitive Proxy Statement for our 2015 annual meeting of stockholders which will be filed with the SEC pursuant to Regulation 14A within 120 days after the end of our last fiscal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information required by this Item concerning the stock ownership of management, five percent beneficial owners and securities authorized for issuance under equity compensation plans is incorporated herein by reference to our definitive Proxy Statement for our 2015 annual meeting of stockholders which will be filed with the SEC pursuant to Regulation 14A within 120 days after the end of our last fiscal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2015 annual meeting of stockholders which will be filed with the SEC pursuant to Regulation 14A within 120 days after the end of our last fiscal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2015 annual meeting of stockholders which will be filed with the SEC pursuant to Regulation 14A within 120 days after the end of our last fiscal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Schedule I is included in Part II, Item 8, of this Annual Report on Form 10-K. All other schedules have been omitted because they are not required or because the information required is included in the consolidated financial statements and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response to Item 15(b)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700" w:type="dxa"/>
            <w:vAlign w:val="bottom"/>
            <w:gridSpan w:val="3"/>
            <w:vMerge w:val="restart"/>
          </w:tcPr>
          <w:p>
            <w:pPr>
              <w:ind w:left="45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40" w:type="dxa"/>
            <w:vAlign w:val="bottom"/>
          </w:tcPr>
          <w:p>
            <w:pPr>
              <w:jc w:val="right"/>
              <w:ind w:right="14"/>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10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6"/>
              </w:rPr>
              <w:t>Amended and Restated Certificate of Incorporation of Allison Transmission Holdings, Inc. (incorporated by reference to Exhibit 3.1 to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rPr>
              <w:t>Registrant’s Quarterly Report on Form 10-Q for the quarter ended March 31, 2012 filed on April 26, 2012)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4"/>
              </w:rPr>
              <w:t>Amended and Restated Bylaws of Allison Transmission Holdings, Inc. (incorporated by reference to Exhibit 3.2 to the Registrant’s Quarterly</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rPr>
              <w:t>Report on Form 10-Q for the quarter ended March 31, 2012 filed on April 26, 2012)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2"/>
              </w:rPr>
              <w:t>Form of Stock Certificate (incorporated by reference to Exhibit 4.1 to Amendment No. 3 to the Registrant’s Registration Statement on Form S-1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rPr>
              <w:t>filed June 16, 2011)</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2"/>
              </w:rPr>
              <w:t>Indenture governing the 7.125% Senior Notes due 2019, among Allison Transmission, Inc. as Issuer, the Guarantors named therein, and Wells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8"/>
              </w:rPr>
              <w:t>Fargo Bank, National Association, as trustee, dated May 6, 2011 (incorporated by reference to Exhibit 4.6 to Amendment No. 2 to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rPr>
              <w:t>Registrant’s Registration Statement on Form S-1 filed May 16, 2011)</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rPr>
              <w:t>Form of 7.125% Senior Note due 2019 (included in Exhibit 4.6)</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3"/>
              </w:rPr>
              <w:t>Credit Agreement among Allison Transmission Holdings, Inc., Allison Transmission, Inc., as Borrower, the Several Lenders from time to time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2"/>
              </w:rPr>
              <w:t>parties thereto, Citicorp North America, Inc., as Administrative Agent, Lehman Brothers Commercial Bank and Merrill Lynch, Pierce, Fenner &amp;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4"/>
              </w:rPr>
              <w:t>Smith Incorporated, as Syndication Agents, Sumitomo Mitsui Banking Corporation, as Documentation Agent and Co-Arranger and Citigroup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8"/>
              </w:rPr>
              <w:t>Global Markets Inc., Lehman Brothers Inc. and Merrill Lynch &amp; Co., Merrill Lynch, Pierce, Fenner &amp; Smith Incorporated, As Joint Lead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1"/>
              </w:rPr>
              <w:t>Arrangers And Joint Bookrunners, dated as of August 7, 2007 (incorporated by reference to Exhibit 10.1 to Amendment No. 1 to the Registrant’s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rPr>
              <w:t>Registration Statement on Form S-1 filed April 26, 2011)</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5"/>
              </w:rPr>
              <w:t>First Amendment to the Credit Agreement among Allison Transmission Holdings, Inc., Allison Transmission, Inc., as Borrower, the Several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6"/>
              </w:rPr>
              <w:t>Lenders from time to time parties thereto, Citicorp North America, Inc., as Administrative Agent, Lehman Brothers Commercial Bank and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4"/>
              </w:rPr>
              <w:t>Merrill Lynch, Pierce, Fenner &amp; Smith Incorporated, as Syndication Agents, Sumitomo Mitsui Banking Corporation, as Documentation Agent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6"/>
              </w:rPr>
              <w:t>and Co-Arranger and Citigroup Global Markets Inc., Lehman Brothers Inc. and Merrill Lynch &amp; Co., Merrill Lynch, Pierce, Fenner &amp; Smith</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1"/>
              </w:rPr>
              <w:t>Incorporated, As Joint Lead Arrangers And Joint Bookrunners, dated as of November 21, 2008 (incorporated by reference to Exhibit 10.2 to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rPr>
              <w:t>Registrant’s Registration Statement on Form S-1 filed March 18, 2011)</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3"/>
              </w:rPr>
              <w:t>Guarantee And Collateral Agreement made by Allison Transmission Holdings, Inc. Allison Transmission, Inc. as Borrower, and the Subsidiary</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w w:val="91"/>
              </w:rPr>
              <w:t>Guarantors party hereto in favor of Citicorp North America, Inc., as Administrative Agent, dated as of August 7, 2007 (incorporated by reference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700" w:type="dxa"/>
            <w:vAlign w:val="bottom"/>
            <w:gridSpan w:val="3"/>
          </w:tcPr>
          <w:p>
            <w:pPr>
              <w:ind w:left="220"/>
              <w:spacing w:after="0"/>
              <w:rPr>
                <w:sz w:val="20"/>
                <w:szCs w:val="20"/>
                <w:color w:val="auto"/>
              </w:rPr>
            </w:pPr>
            <w:r>
              <w:rPr>
                <w:rFonts w:ascii="Arial" w:cs="Arial" w:eastAsia="Arial" w:hAnsi="Arial"/>
                <w:sz w:val="18"/>
                <w:szCs w:val="18"/>
                <w:color w:val="auto"/>
              </w:rPr>
              <w:t>to Exhibit 10.3 to the Registrant’s Registration Statement on Form S-1 filed March 18, 2011)</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20" w:type="dxa"/>
            <w:vAlign w:val="bottom"/>
            <w:gridSpan w:val="2"/>
          </w:tcPr>
          <w:p>
            <w:pPr>
              <w:ind w:left="4920"/>
              <w:spacing w:after="0"/>
              <w:rPr>
                <w:sz w:val="20"/>
                <w:szCs w:val="20"/>
                <w:color w:val="auto"/>
              </w:rPr>
            </w:pPr>
            <w:r>
              <w:rPr>
                <w:rFonts w:ascii="Arial" w:cs="Arial" w:eastAsia="Arial" w:hAnsi="Arial"/>
                <w:sz w:val="18"/>
                <w:szCs w:val="18"/>
                <w:color w:val="auto"/>
              </w:rPr>
              <w:t>87</w:t>
            </w: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Trademark Security Agreement made by Allison Transmission, Inc. in favor of Citicorp North America, Inc., as Administrative Agent, dated as</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of August 7, 2007 (incorporated by reference to Exhibit 10.4 to the Registrant’s Registration Statement on Form S-1 filed March 18,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Copyright Security Agreement made by Allison Transmission, Inc. in favor of Citicorp North America, Inc., as Administrative Agent, dated as</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of August 7, 2007 (incorporated by reference to Exhibit 10.5 to Amendment No. 2 to the Registrant’s Registration Statement on Form S-1 filed</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Amended and Restated Stockholders Agreement (incorporated by reference to Exhibit 10.6 to the Registrant’s Quarterly Report on Form 10-Q</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for the quarter ended March 31, 2012 filed on April 26, 2012)</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Form of Allison Transmission Holdings, Inc. Indemnification Agreement (incorporated by reference to Exhibit 10.9 to Amendment No. 2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Allison Transmission Holdings, Inc. 2011 Equity Incentive Award Plan (incorporated by reference to Exhibit 10.10 to Amendment No. 3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Form of 2011 Equity Incentive Award Plan Restricted Stock Agreement (incorporated by reference to Exhibit 10.11 to Amendment No. 3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Form of 2011 Equity Incentive Award Plan Restricted Stock Unit Agreement (incorporated by reference to Exhibit 10.12 to Amendment No. 3</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to the Registrant’s Registration Statement on Form 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Form of 2011 Equity Incentive Award Plan Stock Option Agreement (incorporated by reference to Exhibit 10.13 to Amendment No. 3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220"/>
              <w:spacing w:after="0"/>
              <w:rPr>
                <w:sz w:val="20"/>
                <w:szCs w:val="20"/>
                <w:color w:val="auto"/>
              </w:rPr>
            </w:pPr>
            <w:r>
              <w:rPr>
                <w:rFonts w:ascii="Arial" w:cs="Arial" w:eastAsia="Arial" w:hAnsi="Arial"/>
                <w:sz w:val="18"/>
                <w:szCs w:val="18"/>
                <w:color w:val="auto"/>
                <w:w w:val="99"/>
              </w:rPr>
              <w:t>Equity Incentive Plan of Allison Transmission Holdings, Inc. (incorporated by reference to Exhibit 10.14 to Amendment No. 2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Form of Employee Stock Option Agreement under Equity Incentive Plan of Allison Transmission Holdings, Inc. (incorporated by reference to</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Exhibit 10.15 to Amendment No. 2 to the 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220"/>
              <w:spacing w:after="0"/>
              <w:rPr>
                <w:sz w:val="20"/>
                <w:szCs w:val="20"/>
                <w:color w:val="auto"/>
              </w:rPr>
            </w:pPr>
            <w:r>
              <w:rPr>
                <w:rFonts w:ascii="Arial" w:cs="Arial" w:eastAsia="Arial" w:hAnsi="Arial"/>
                <w:sz w:val="18"/>
                <w:szCs w:val="18"/>
                <w:color w:val="auto"/>
                <w:w w:val="94"/>
              </w:rPr>
              <w:t>Form of Independent Director Stock Option Agreement under Equity Incentive Plan of Allison Transmission Holdings, Inc. (incorporated by</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reference to Exhibit 10.16 to Amendment No. 2 to the Registrant’s Registration Statement on Form S-1 filed May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Second Amendment to the Credit Agreement among Allison Transmission Holdings, Inc., Allison Transmission, Inc., as Borrower, the several</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banks and other financial institutions or entities from time to time parties thereto as Lenders, Citicorp North America, Inc., as Administrative</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5"/>
              </w:rPr>
              <w:t>Agent and Collateral Agent, Lehman Brothers Commercial Bank and Merrill Lynch, Pierce, Fenner &amp; Smith Incorporated, as Syndication</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6"/>
              </w:rPr>
              <w:t>Agents, Sumitomo Mitsui Banking Corporation, as Documentation Agent and Co-Arranger, and Citigroup Global Markets Inc., Lehman</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Brothers Inc., and Merrill Lynch &amp; Co., Merrill Lynch, Pierce, Fenner &amp; Smith Incorporated, as Joint Lead Arrangers and Joint Bookrunners,</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1"/>
              </w:rPr>
              <w:t>dated as of May 13, 2011 (incorporated by reference to Exhibit 10.17 to Amendment No. 3 to the Registrant’s Registration Statement on Form</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S-1 filed June 16, 2011)</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Third Amendment to the Credit Agreement among Allison Transmission Holdings, Inc., Allison Transmission, Inc., as Borrower, the several</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banks and other financial institutions or entities from time to time parties thereto as Lenders, Citicorp North America, Inc., as Administrative</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Agent and Collateral Agent and the other agents and arrangers party thereto, dated as of March 9, 2012 (incorporated by reference to Exhibit</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10.19 to Amendment No. 8 to the Registrant’s Registration Statement on Form S-1 filed March 12, 2012)</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Incentive Plan of Allison Transmission Holdings, Inc. (incorporated by reference to Exhibit 10.20 to the Registrant’s Quarterly Report on Form</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10-Q for the quarter ended June 30, 2012 filed on July 31, 2012)</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220"/>
              <w:spacing w:after="0"/>
              <w:rPr>
                <w:sz w:val="20"/>
                <w:szCs w:val="20"/>
                <w:color w:val="auto"/>
              </w:rPr>
            </w:pPr>
            <w:r>
              <w:rPr>
                <w:rFonts w:ascii="Arial" w:cs="Arial" w:eastAsia="Arial" w:hAnsi="Arial"/>
                <w:sz w:val="18"/>
                <w:szCs w:val="18"/>
                <w:color w:val="auto"/>
                <w:w w:val="92"/>
              </w:rPr>
              <w:t>Deferred Compensation Plan of Allison Transmission Inc. (incorporated by reference to Exhibit 10.21 to the Registrant’s Quarterly Report on</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Form 10-Q for the quarter ended June 30, 2012 filed on July 31, 2012)</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220"/>
              <w:spacing w:after="0"/>
              <w:rPr>
                <w:sz w:val="20"/>
                <w:szCs w:val="20"/>
                <w:color w:val="auto"/>
              </w:rPr>
            </w:pPr>
            <w:r>
              <w:rPr>
                <w:rFonts w:ascii="Arial" w:cs="Arial" w:eastAsia="Arial" w:hAnsi="Arial"/>
                <w:sz w:val="18"/>
                <w:szCs w:val="18"/>
                <w:color w:val="auto"/>
                <w:w w:val="93"/>
              </w:rPr>
              <w:t>Amendment No. 4 to the Credit Agreement, dated as of August 23, 2012, among Allison Transmission Holdings, Inc., Allison Transmission,</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5"/>
              </w:rPr>
              <w:t>Inc., as Borrower, the several banks and other financial institutions or entities from time to time parties thereto as Lenders, Citicorp North</w:t>
            </w:r>
          </w:p>
        </w:tc>
      </w:tr>
      <w:tr>
        <w:trPr>
          <w:trHeight w:val="216"/>
        </w:trPr>
        <w:tc>
          <w:tcPr>
            <w:tcW w:w="720" w:type="dxa"/>
            <w:vAlign w:val="bottom"/>
          </w:tcPr>
          <w:p>
            <w:pPr>
              <w:spacing w:after="0"/>
              <w:rPr>
                <w:sz w:val="18"/>
                <w:szCs w:val="18"/>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w w:val="95"/>
              </w:rPr>
              <w:t>America, Inc., as Administrative Agent and the other agents and arrangers party thereto (incorporated by reference to Exhibit 10.1 to the</w:t>
            </w:r>
          </w:p>
        </w:tc>
      </w:tr>
      <w:tr>
        <w:trPr>
          <w:trHeight w:val="230"/>
        </w:trPr>
        <w:tc>
          <w:tcPr>
            <w:tcW w:w="720" w:type="dxa"/>
            <w:vAlign w:val="bottom"/>
          </w:tcPr>
          <w:p>
            <w:pPr>
              <w:spacing w:after="0"/>
              <w:rPr>
                <w:sz w:val="20"/>
                <w:szCs w:val="20"/>
                <w:color w:val="auto"/>
              </w:rPr>
            </w:pPr>
          </w:p>
        </w:tc>
        <w:tc>
          <w:tcPr>
            <w:tcW w:w="10580" w:type="dxa"/>
            <w:vAlign w:val="bottom"/>
          </w:tcPr>
          <w:p>
            <w:pPr>
              <w:ind w:left="220"/>
              <w:spacing w:after="0"/>
              <w:rPr>
                <w:sz w:val="20"/>
                <w:szCs w:val="20"/>
                <w:color w:val="auto"/>
              </w:rPr>
            </w:pPr>
            <w:r>
              <w:rPr>
                <w:rFonts w:ascii="Arial" w:cs="Arial" w:eastAsia="Arial" w:hAnsi="Arial"/>
                <w:sz w:val="18"/>
                <w:szCs w:val="18"/>
                <w:color w:val="auto"/>
              </w:rPr>
              <w:t>Registrant’s Current Report on Form 8-K filed August 23, 2012)</w:t>
            </w:r>
          </w:p>
        </w:tc>
      </w:tr>
      <w:tr>
        <w:trPr>
          <w:trHeight w:val="365"/>
        </w:trPr>
        <w:tc>
          <w:tcPr>
            <w:tcW w:w="72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0" w:hanging="827"/>
        <w:spacing w:after="0" w:line="259"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No. 5 to the Credit Agreement, dated as of October 4, 2012,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October 4, 2012)</w:t>
      </w:r>
    </w:p>
    <w:p>
      <w:pPr>
        <w:spacing w:after="0" w:line="79" w:lineRule="exact"/>
        <w:rPr>
          <w:sz w:val="20"/>
          <w:szCs w:val="20"/>
          <w:color w:val="auto"/>
        </w:rPr>
      </w:pPr>
    </w:p>
    <w:p>
      <w:pPr>
        <w:ind w:left="920" w:right="140" w:hanging="827"/>
        <w:spacing w:after="0" w:line="277"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Non-Employee Director Deferred Compensation Plan of Allison Transmission Holdings, Inc. (incorporated by reference to Exhibit 10.23 to the Registrant’s Annual Report on Form 10-K for the year ended December 31, 2012 filed on February 28, 2013)</w:t>
      </w:r>
    </w:p>
    <w:p>
      <w:pPr>
        <w:spacing w:after="0" w:line="62" w:lineRule="exact"/>
        <w:rPr>
          <w:sz w:val="20"/>
          <w:szCs w:val="20"/>
          <w:color w:val="auto"/>
        </w:rPr>
      </w:pPr>
    </w:p>
    <w:p>
      <w:pPr>
        <w:ind w:left="920" w:right="80" w:hanging="827"/>
        <w:spacing w:after="0" w:line="342"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Amendment to Stock Option Agreement under Equity Incentive Plan of Allison Transmission Holdings, Inc. (incorporated by reference to Exhibit 10.24 to the Registrant’s Annual Report on Form 10-K for the year ended December 31, 2012 filed on February 28, 2013)</w:t>
      </w:r>
    </w:p>
    <w:p>
      <w:pPr>
        <w:spacing w:after="0" w:line="16" w:lineRule="exact"/>
        <w:rPr>
          <w:sz w:val="20"/>
          <w:szCs w:val="20"/>
          <w:color w:val="auto"/>
        </w:rPr>
      </w:pPr>
    </w:p>
    <w:p>
      <w:pPr>
        <w:ind w:left="920" w:right="300" w:hanging="827"/>
        <w:spacing w:after="0" w:line="259"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Amendment No. 6 to the Credit Agreement, dated as of February 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February 6, 2013)</w:t>
      </w:r>
    </w:p>
    <w:p>
      <w:pPr>
        <w:spacing w:after="0" w:line="79" w:lineRule="exact"/>
        <w:rPr>
          <w:sz w:val="20"/>
          <w:szCs w:val="20"/>
          <w:color w:val="auto"/>
        </w:rPr>
      </w:pPr>
    </w:p>
    <w:p>
      <w:pPr>
        <w:ind w:left="920" w:right="340" w:hanging="827"/>
        <w:spacing w:after="0" w:line="259"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7 to the Credit Agreement, dated as of February 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10.2 to the Registrant’s Current Report on Form 8-K filed February 6, 2013)</w:t>
      </w:r>
    </w:p>
    <w:p>
      <w:pPr>
        <w:spacing w:after="0" w:line="79" w:lineRule="exact"/>
        <w:rPr>
          <w:sz w:val="20"/>
          <w:szCs w:val="20"/>
          <w:color w:val="auto"/>
        </w:rPr>
      </w:pPr>
    </w:p>
    <w:p>
      <w:pPr>
        <w:ind w:left="920" w:right="400" w:hanging="827"/>
        <w:spacing w:after="0" w:line="258" w:lineRule="auto"/>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Amendment to Stock Option Agreement under the Allison Transmission Holdings, Inc. 2011 Equity Incentive Award Plan and Equity Incentive Plan of Allison Transmission Holdings, Inc.</w:t>
      </w:r>
    </w:p>
    <w:p>
      <w:pPr>
        <w:spacing w:after="0" w:line="1" w:lineRule="exact"/>
        <w:rPr>
          <w:sz w:val="20"/>
          <w:szCs w:val="20"/>
          <w:color w:val="auto"/>
        </w:rPr>
      </w:pPr>
    </w:p>
    <w:p>
      <w:pPr>
        <w:ind w:left="920" w:right="120"/>
        <w:spacing w:after="0" w:line="261" w:lineRule="auto"/>
        <w:rPr>
          <w:sz w:val="20"/>
          <w:szCs w:val="20"/>
          <w:color w:val="auto"/>
        </w:rPr>
      </w:pPr>
      <w:r>
        <w:rPr>
          <w:rFonts w:ascii="Arial" w:cs="Arial" w:eastAsia="Arial" w:hAnsi="Arial"/>
          <w:sz w:val="18"/>
          <w:szCs w:val="18"/>
          <w:color w:val="auto"/>
        </w:rPr>
        <w:t>(incorporated by reference to Exhibit 10.27 to the Registrant’s Quarterly Report on Form 10-Q for the quarter ended June 30, 2013 filed on July 30, 2013)</w:t>
      </w:r>
    </w:p>
    <w:p>
      <w:pPr>
        <w:spacing w:after="0" w:line="89" w:lineRule="exact"/>
        <w:rPr>
          <w:sz w:val="20"/>
          <w:szCs w:val="20"/>
          <w:color w:val="auto"/>
        </w:rPr>
      </w:pPr>
    </w:p>
    <w:p>
      <w:pPr>
        <w:ind w:left="920" w:right="620" w:hanging="827"/>
        <w:spacing w:after="0" w:line="277"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First Amendment to the Stockholders Agreement dated as of May 8, 2013 (incorporated by reference to Exhibit 10.28 to the Registrant’s Quarterly Report on Form 10-Q for the quarter ended June 30, 2013 filed on July 30, 2013)</w:t>
      </w:r>
    </w:p>
    <w:p>
      <w:pPr>
        <w:spacing w:after="0" w:line="62" w:lineRule="exact"/>
        <w:rPr>
          <w:sz w:val="20"/>
          <w:szCs w:val="20"/>
          <w:color w:val="auto"/>
        </w:rPr>
      </w:pPr>
    </w:p>
    <w:p>
      <w:pPr>
        <w:ind w:left="920" w:right="260" w:hanging="827"/>
        <w:spacing w:after="0" w:line="277"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2011 Equity Incentive Award Plan Stock Option Agreement (incorporated by reference to Exhibit 10.29 to the Registrant’s Quarterly Report on Form 10-Q for the quarter ended September 30, 2013 filed on October 29, 2013)</w:t>
      </w:r>
    </w:p>
    <w:p>
      <w:pPr>
        <w:spacing w:after="0" w:line="62" w:lineRule="exact"/>
        <w:rPr>
          <w:sz w:val="20"/>
          <w:szCs w:val="20"/>
          <w:color w:val="auto"/>
        </w:rPr>
      </w:pPr>
    </w:p>
    <w:p>
      <w:pPr>
        <w:ind w:left="920" w:right="340" w:hanging="827"/>
        <w:spacing w:after="0" w:line="259"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Amendment No. 8 to the Credit Agreement, dated as of August 26,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August 26, 2013)</w:t>
      </w:r>
    </w:p>
    <w:p>
      <w:pPr>
        <w:spacing w:after="0" w:line="79" w:lineRule="exact"/>
        <w:rPr>
          <w:sz w:val="20"/>
          <w:szCs w:val="20"/>
          <w:color w:val="auto"/>
        </w:rPr>
      </w:pPr>
    </w:p>
    <w:p>
      <w:pPr>
        <w:ind w:left="920" w:right="120" w:hanging="827"/>
        <w:spacing w:after="0" w:line="259"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Amendment No. 9 to the Credit Agreement, dated as of December 31,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December 31, 2013)</w:t>
      </w:r>
    </w:p>
    <w:p>
      <w:pPr>
        <w:spacing w:after="0" w:line="79" w:lineRule="exact"/>
        <w:rPr>
          <w:sz w:val="20"/>
          <w:szCs w:val="20"/>
          <w:color w:val="auto"/>
        </w:rPr>
      </w:pPr>
    </w:p>
    <w:p>
      <w:pPr>
        <w:ind w:left="920" w:right="180" w:hanging="827"/>
        <w:spacing w:after="0" w:line="277"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Change in Control Severance Agreement (incorporated by reference to Exhibit 10.34 to the Registrant’s Annual Report on Form 10-K for the year ended December 31, 2013 filed on February 24, 2014)</w:t>
      </w:r>
    </w:p>
    <w:p>
      <w:pPr>
        <w:spacing w:after="0" w:line="62" w:lineRule="exact"/>
        <w:rPr>
          <w:sz w:val="20"/>
          <w:szCs w:val="20"/>
          <w:color w:val="auto"/>
        </w:rPr>
      </w:pPr>
    </w:p>
    <w:p>
      <w:pPr>
        <w:ind w:left="920" w:right="280" w:hanging="827"/>
        <w:spacing w:after="0" w:line="259"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Consent Agreement to the Credit Agreement, dated as of March 12, 2014,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March 14, 2014)</w:t>
      </w:r>
    </w:p>
    <w:p>
      <w:pPr>
        <w:spacing w:after="0" w:line="79" w:lineRule="exact"/>
        <w:rPr>
          <w:sz w:val="20"/>
          <w:szCs w:val="20"/>
          <w:color w:val="auto"/>
        </w:rPr>
      </w:pPr>
    </w:p>
    <w:p>
      <w:pPr>
        <w:ind w:left="920" w:right="20" w:hanging="827"/>
        <w:spacing w:after="0" w:line="259"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No. 10 to the Credit Agreement, dated as of April 14, 2014,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April 15,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10.33*</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Employment Agreement, between Allison Transmission, Inc. and Lawrence E. Dewey, dated as of April 15, 2014 (incorporated by reference</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Exhibit 10.2 to the Registrant’s Current Report on Form 8-K filed April 15, 2014)</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10.34*</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Employment Agreement, between Allison Transmission, Inc. and David S. Graziosi, dated as of April 15, 2014 (incorporated by reference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Exhibit 10.3 to the Registrant’s Current Report on Form 8-K filed April 15, 2014)</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10.35*</w:t>
            </w:r>
          </w:p>
        </w:tc>
        <w:tc>
          <w:tcPr>
            <w:tcW w:w="10460" w:type="dxa"/>
            <w:vAlign w:val="bottom"/>
          </w:tcPr>
          <w:p>
            <w:pPr>
              <w:ind w:left="240"/>
              <w:spacing w:after="0"/>
              <w:rPr>
                <w:sz w:val="20"/>
                <w:szCs w:val="20"/>
                <w:color w:val="auto"/>
              </w:rPr>
            </w:pPr>
            <w:r>
              <w:rPr>
                <w:rFonts w:ascii="Arial" w:cs="Arial" w:eastAsia="Arial" w:hAnsi="Arial"/>
                <w:sz w:val="18"/>
                <w:szCs w:val="18"/>
                <w:color w:val="auto"/>
                <w:w w:val="97"/>
              </w:rPr>
              <w:t>Amended and Restated Non-Employee Director Compensation Policy (incorporated by reference to Exhibit 10.39 to the Registrant’s</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Quarterly Report on Form 10-Q for the quarter ended June 30, 2014 filed July 25, 2014)</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10.36*</w:t>
            </w:r>
          </w:p>
        </w:tc>
        <w:tc>
          <w:tcPr>
            <w:tcW w:w="10460" w:type="dxa"/>
            <w:vAlign w:val="bottom"/>
          </w:tcPr>
          <w:p>
            <w:pPr>
              <w:ind w:left="240"/>
              <w:spacing w:after="0"/>
              <w:rPr>
                <w:sz w:val="20"/>
                <w:szCs w:val="20"/>
                <w:color w:val="auto"/>
              </w:rPr>
            </w:pPr>
            <w:r>
              <w:rPr>
                <w:rFonts w:ascii="Arial" w:cs="Arial" w:eastAsia="Arial" w:hAnsi="Arial"/>
                <w:sz w:val="18"/>
                <w:szCs w:val="18"/>
                <w:color w:val="auto"/>
                <w:w w:val="99"/>
              </w:rPr>
              <w:t>Form of 2011 Equity Incentive Award Plan Restricted Stock Unit Agreement for Non-Employee Directors for 2014 Compensation</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(incorporated by reference to Exhibit 10.40 to the Registrant’s Quarterly Report on Form 10-Q for the quarter ended June 30, 2014 filed July</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25, 2014)</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14.1</w:t>
            </w:r>
          </w:p>
        </w:tc>
        <w:tc>
          <w:tcPr>
            <w:tcW w:w="10460" w:type="dxa"/>
            <w:vAlign w:val="bottom"/>
          </w:tcPr>
          <w:p>
            <w:pPr>
              <w:ind w:left="240"/>
              <w:spacing w:after="0"/>
              <w:rPr>
                <w:sz w:val="20"/>
                <w:szCs w:val="20"/>
                <w:color w:val="auto"/>
              </w:rPr>
            </w:pPr>
            <w:r>
              <w:rPr>
                <w:rFonts w:ascii="Arial" w:cs="Arial" w:eastAsia="Arial" w:hAnsi="Arial"/>
                <w:sz w:val="18"/>
                <w:szCs w:val="18"/>
                <w:color w:val="auto"/>
              </w:rPr>
              <w:t>Code of Business Conduct, adopted by the Board of Directors on October 30, 2014 (filed herewith)</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10460" w:type="dxa"/>
            <w:vAlign w:val="bottom"/>
          </w:tcPr>
          <w:p>
            <w:pPr>
              <w:ind w:left="240"/>
              <w:spacing w:after="0"/>
              <w:rPr>
                <w:sz w:val="20"/>
                <w:szCs w:val="20"/>
                <w:color w:val="auto"/>
              </w:rPr>
            </w:pPr>
            <w:r>
              <w:rPr>
                <w:rFonts w:ascii="Arial" w:cs="Arial" w:eastAsia="Arial" w:hAnsi="Arial"/>
                <w:sz w:val="18"/>
                <w:szCs w:val="18"/>
                <w:color w:val="auto"/>
              </w:rPr>
              <w:t>List of Subsidiaries of Allison Transmission Holdings, Inc. (filed herewith)</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PricewaterhouseCoopers LLP (filed herewith)</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w w:val="97"/>
              </w:rPr>
              <w:t>Certification pursuant to Rule 13a-14(a)/15d-14(a) of the Securities Exchange Act of 1934 of the Chief Executive Officer, as adopted</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Certification pursuant to Rule 13a-14(a)/15d-14(a) of the Securities Exchange Act of 1934 of the Chief Financial Officer, as adopted pursuant</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Section 302 of the Sarbanes-Oxley Act of 2002 (filed herewith)</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(filed herewith)</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February 20, 2015</w:t>
      </w:r>
      <w:r>
        <w:rPr>
          <w:sz w:val="20"/>
          <w:szCs w:val="20"/>
          <w:color w:val="auto"/>
        </w:rPr>
        <w:tab/>
      </w:r>
      <w:r>
        <w:rPr>
          <w:rFonts w:ascii="Arial" w:cs="Arial" w:eastAsia="Arial" w:hAnsi="Arial"/>
          <w:sz w:val="17"/>
          <w:szCs w:val="17"/>
          <w:color w:val="auto"/>
        </w:rPr>
        <w:t>By: /s/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Lawrence E. Dewey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Chairman of the Board, President and Chief Executive Officer (Principal</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Officer)</w:t>
      </w:r>
    </w:p>
    <w:p>
      <w:pPr>
        <w:spacing w:after="0" w:line="224"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SIGNATURES</w:t>
            </w:r>
          </w:p>
        </w:tc>
        <w:tc>
          <w:tcPr>
            <w:tcW w:w="1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CAPACITY</w:t>
            </w:r>
          </w:p>
        </w:tc>
        <w:tc>
          <w:tcPr>
            <w:tcW w:w="2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E. Dewey</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President and Chief Executive Officer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Lawrence E. Dewey</w:t>
            </w:r>
          </w:p>
        </w:tc>
        <w:tc>
          <w:tcPr>
            <w:tcW w:w="1660" w:type="dxa"/>
            <w:vAlign w:val="bottom"/>
          </w:tcPr>
          <w:p>
            <w:pPr>
              <w:spacing w:after="0"/>
              <w:rPr>
                <w:sz w:val="19"/>
                <w:szCs w:val="19"/>
                <w:color w:val="auto"/>
              </w:rPr>
            </w:pPr>
          </w:p>
        </w:tc>
        <w:tc>
          <w:tcPr>
            <w:tcW w:w="5300" w:type="dxa"/>
            <w:vAlign w:val="bottom"/>
            <w:gridSpan w:val="3"/>
          </w:tcPr>
          <w:p>
            <w:pPr>
              <w:ind w:left="28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Chief Financial Officer and Treasurer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David S. Graziosi</w:t>
            </w:r>
          </w:p>
        </w:tc>
        <w:tc>
          <w:tcPr>
            <w:tcW w:w="1660" w:type="dxa"/>
            <w:vAlign w:val="bottom"/>
          </w:tcPr>
          <w:p>
            <w:pPr>
              <w:spacing w:after="0"/>
              <w:rPr>
                <w:sz w:val="19"/>
                <w:szCs w:val="19"/>
                <w:color w:val="auto"/>
              </w:rPr>
            </w:pPr>
          </w:p>
        </w:tc>
        <w:tc>
          <w:tcPr>
            <w:tcW w:w="5300" w:type="dxa"/>
            <w:vAlign w:val="bottom"/>
            <w:gridSpan w:val="3"/>
          </w:tcPr>
          <w:p>
            <w:pPr>
              <w:ind w:left="280"/>
              <w:spacing w:after="0"/>
              <w:rPr>
                <w:sz w:val="20"/>
                <w:szCs w:val="20"/>
                <w:color w:val="auto"/>
              </w:rPr>
            </w:pPr>
            <w:r>
              <w:rPr>
                <w:rFonts w:ascii="Arial" w:cs="Arial" w:eastAsia="Arial" w:hAnsi="Arial"/>
                <w:sz w:val="18"/>
                <w:szCs w:val="18"/>
                <w:color w:val="auto"/>
              </w:rPr>
              <w:t>(Principal Financial Officer and Principal Accounting Officer)</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A. Bernasek</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Brian A. Bernasek</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Denison</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David Denison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Everitt</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David Everitt</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S. Ledford</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Gregory S. Ledford</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Kosty Gilis</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Kosty Gilis</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W. Rabaut</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Thomas W. Rabaut</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Francis Raborn</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Francis Raborn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V. Reynolds</w:t>
            </w:r>
          </w:p>
        </w:tc>
        <w:tc>
          <w:tcPr>
            <w:tcW w:w="1660" w:type="dxa"/>
            <w:vAlign w:val="bottom"/>
            <w:tcBorders>
              <w:bottom w:val="single" w:sz="8" w:color="auto"/>
            </w:tcBorders>
          </w:tcPr>
          <w:p>
            <w:pPr>
              <w:spacing w:after="0"/>
              <w:rPr>
                <w:sz w:val="24"/>
                <w:szCs w:val="24"/>
                <w:color w:val="auto"/>
              </w:rPr>
            </w:pPr>
          </w:p>
        </w:tc>
        <w:tc>
          <w:tcPr>
            <w:tcW w:w="53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520"/>
              <w:spacing w:after="0"/>
              <w:rPr>
                <w:sz w:val="20"/>
                <w:szCs w:val="20"/>
                <w:color w:val="auto"/>
              </w:rPr>
            </w:pPr>
            <w:r>
              <w:rPr>
                <w:rFonts w:ascii="Arial" w:cs="Arial" w:eastAsia="Arial" w:hAnsi="Arial"/>
                <w:sz w:val="18"/>
                <w:szCs w:val="18"/>
                <w:color w:val="auto"/>
                <w:w w:val="88"/>
              </w:rPr>
              <w:t>February 20, 2015</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Richard V. Reynolds</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64"/>
        </w:trPr>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20" w:type="dxa"/>
            <w:vAlign w:val="bottom"/>
            <w:gridSpan w:val="2"/>
          </w:tcPr>
          <w:p>
            <w:pPr>
              <w:jc w:val="right"/>
              <w:ind w:right="650"/>
              <w:spacing w:after="0"/>
              <w:rPr>
                <w:sz w:val="20"/>
                <w:szCs w:val="20"/>
                <w:color w:val="auto"/>
              </w:rPr>
            </w:pPr>
            <w:r>
              <w:rPr>
                <w:rFonts w:ascii="Arial" w:cs="Arial" w:eastAsia="Arial" w:hAnsi="Arial"/>
                <w:sz w:val="18"/>
                <w:szCs w:val="18"/>
                <w:color w:val="auto"/>
              </w:rPr>
              <w:t>91</w:t>
            </w: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15240</wp:posOffset>
            </wp:positionV>
            <wp:extent cx="5831840" cy="69462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3184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FFFFFF"/>
        </w:rPr>
        <w:t>CODE OF BUSINESS CONDUCT</w:t>
      </w:r>
    </w:p>
    <w:p>
      <w:pPr>
        <w:spacing w:after="0"/>
        <w:rPr>
          <w:sz w:val="20"/>
          <w:szCs w:val="20"/>
          <w:color w:val="auto"/>
        </w:rPr>
      </w:pPr>
      <w:r>
        <w:rPr>
          <w:rFonts w:ascii="Arial" w:cs="Arial" w:eastAsia="Arial" w:hAnsi="Arial"/>
          <w:sz w:val="3"/>
          <w:szCs w:val="3"/>
          <w:color w:val="FFFFFF"/>
        </w:rPr>
        <w:t>DRIVING INTEGRITY WORLDWIDE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www.allisontransmission.com</w:t>
      </w:r>
    </w:p>
    <w:p>
      <w:pPr>
        <w:sectPr>
          <w:pgSz w:w="11900" w:h="16838" w:orient="portrait"/>
          <w:cols w:equalWidth="0" w:num="1">
            <w:col w:w="11420"/>
          </w:cols>
          <w:pgMar w:left="240" w:top="125" w:right="23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TABLE OF CONTENTS</w:t>
      </w:r>
    </w:p>
    <w:p>
      <w:pPr>
        <w:spacing w:after="0" w:line="187" w:lineRule="auto"/>
        <w:rPr>
          <w:sz w:val="20"/>
          <w:szCs w:val="20"/>
          <w:color w:val="auto"/>
        </w:rPr>
      </w:pPr>
      <w:r>
        <w:rPr>
          <w:rFonts w:ascii="Arial" w:cs="Arial" w:eastAsia="Arial" w:hAnsi="Arial"/>
          <w:sz w:val="7"/>
          <w:szCs w:val="7"/>
          <w:color w:val="FFFFFF"/>
        </w:rPr>
        <w:t>Intr</w:t>
      </w:r>
      <w:r>
        <w:rPr>
          <w:rFonts w:ascii="Arial" w:cs="Arial" w:eastAsia="Arial" w:hAnsi="Arial"/>
          <w:sz w:val="9"/>
          <w:szCs w:val="9"/>
          <w:color w:val="FFFFFF"/>
          <w:vertAlign w:val="superscript"/>
        </w:rPr>
        <w:t>Who</w:t>
      </w:r>
      <w:r>
        <w:rPr>
          <w:rFonts w:ascii="Arial" w:cs="Arial" w:eastAsia="Arial" w:hAnsi="Arial"/>
          <w:sz w:val="7"/>
          <w:szCs w:val="7"/>
          <w:color w:val="FFFFFF"/>
        </w:rPr>
        <w:t>AllisonductionTransmission3 Leadership Message 1</w:t>
      </w:r>
    </w:p>
    <w:p>
      <w:pPr>
        <w:spacing w:after="0"/>
        <w:rPr>
          <w:sz w:val="20"/>
          <w:szCs w:val="20"/>
          <w:color w:val="auto"/>
        </w:rPr>
      </w:pPr>
      <w:r>
        <w:rPr>
          <w:rFonts w:ascii="Arial" w:cs="Arial" w:eastAsia="Arial" w:hAnsi="Arial"/>
          <w:sz w:val="3"/>
          <w:szCs w:val="3"/>
          <w:color w:val="FFFFFF"/>
        </w:rPr>
        <w:t>PersonalMustIntegrityFollow 5the Allison Code of Business Conduct, The Employee Code</w:t>
      </w:r>
    </w:p>
    <w:p>
      <w:pPr>
        <w:spacing w:after="0" w:line="181" w:lineRule="auto"/>
        <w:rPr>
          <w:sz w:val="20"/>
          <w:szCs w:val="20"/>
          <w:color w:val="auto"/>
        </w:rPr>
      </w:pPr>
      <w:r>
        <w:rPr>
          <w:rFonts w:ascii="Arial" w:cs="Arial" w:eastAsia="Arial" w:hAnsi="Arial"/>
          <w:sz w:val="10"/>
          <w:szCs w:val="10"/>
          <w:color w:val="FFFFFF"/>
        </w:rPr>
        <w:t>Understanding the Rules 6</w:t>
      </w:r>
    </w:p>
    <w:p>
      <w:pPr>
        <w:spacing w:after="0"/>
        <w:rPr>
          <w:sz w:val="20"/>
          <w:szCs w:val="20"/>
          <w:color w:val="auto"/>
        </w:rPr>
      </w:pPr>
      <w:r>
        <w:rPr>
          <w:rFonts w:ascii="Arial" w:cs="Arial" w:eastAsia="Arial" w:hAnsi="Arial"/>
          <w:sz w:val="3"/>
          <w:szCs w:val="3"/>
          <w:color w:val="FFFFFF"/>
        </w:rPr>
        <w:t>IntegrityActingWithInTheIntegrityWorkplaceWhen7the Rules Seem Unclear 6</w:t>
      </w:r>
    </w:p>
    <w:p>
      <w:pPr>
        <w:spacing w:after="0" w:line="194" w:lineRule="auto"/>
        <w:rPr>
          <w:sz w:val="20"/>
          <w:szCs w:val="20"/>
          <w:color w:val="auto"/>
        </w:rPr>
      </w:pPr>
      <w:r>
        <w:rPr>
          <w:rFonts w:ascii="Arial" w:cs="Arial" w:eastAsia="Arial" w:hAnsi="Arial"/>
          <w:sz w:val="5"/>
          <w:szCs w:val="5"/>
          <w:color w:val="FFFFFF"/>
        </w:rPr>
        <w:t>Fair Treatment and Respect</w:t>
      </w:r>
    </w:p>
    <w:p>
      <w:pPr>
        <w:spacing w:after="0"/>
        <w:rPr>
          <w:sz w:val="20"/>
          <w:szCs w:val="20"/>
          <w:color w:val="auto"/>
        </w:rPr>
      </w:pPr>
      <w:r>
        <w:rPr>
          <w:rFonts w:ascii="Arial" w:cs="Arial" w:eastAsia="Arial" w:hAnsi="Arial"/>
          <w:sz w:val="3"/>
          <w:szCs w:val="3"/>
          <w:color w:val="FFFFFF"/>
        </w:rPr>
        <w:t>Equal Employment Opportunity</w:t>
      </w:r>
    </w:p>
    <w:p>
      <w:pPr>
        <w:spacing w:after="0" w:line="194" w:lineRule="auto"/>
        <w:rPr>
          <w:sz w:val="20"/>
          <w:szCs w:val="20"/>
          <w:color w:val="auto"/>
        </w:rPr>
      </w:pPr>
      <w:r>
        <w:rPr>
          <w:rFonts w:ascii="Arial" w:cs="Arial" w:eastAsia="Arial" w:hAnsi="Arial"/>
          <w:sz w:val="5"/>
          <w:szCs w:val="5"/>
          <w:color w:val="FFFFFF"/>
        </w:rPr>
        <w:t>Health and Safety 8</w:t>
      </w:r>
    </w:p>
    <w:p>
      <w:pPr>
        <w:spacing w:after="0" w:line="188" w:lineRule="auto"/>
        <w:rPr>
          <w:sz w:val="20"/>
          <w:szCs w:val="20"/>
          <w:color w:val="auto"/>
        </w:rPr>
      </w:pPr>
      <w:r>
        <w:rPr>
          <w:rFonts w:ascii="Arial" w:cs="Arial" w:eastAsia="Arial" w:hAnsi="Arial"/>
          <w:sz w:val="9"/>
          <w:szCs w:val="9"/>
          <w:color w:val="FFFFFF"/>
        </w:rPr>
        <w:t>conflicts of Interest 9</w:t>
      </w:r>
    </w:p>
    <w:p>
      <w:pPr>
        <w:spacing w:after="0" w:line="187" w:lineRule="auto"/>
        <w:rPr>
          <w:sz w:val="20"/>
          <w:szCs w:val="20"/>
          <w:color w:val="auto"/>
        </w:rPr>
      </w:pPr>
      <w:r>
        <w:rPr>
          <w:rFonts w:ascii="Arial" w:cs="Arial" w:eastAsia="Arial" w:hAnsi="Arial"/>
          <w:sz w:val="9"/>
          <w:szCs w:val="9"/>
          <w:color w:val="FFFFFF"/>
        </w:rPr>
        <w:t>InterestCorporatein OpportunitiesPersonalRelationships</w:t>
      </w:r>
    </w:p>
    <w:p>
      <w:pPr>
        <w:spacing w:after="0"/>
        <w:rPr>
          <w:sz w:val="20"/>
          <w:szCs w:val="20"/>
          <w:color w:val="auto"/>
        </w:rPr>
      </w:pPr>
      <w:r>
        <w:rPr>
          <w:rFonts w:ascii="Arial" w:cs="Arial" w:eastAsia="Arial" w:hAnsi="Arial"/>
          <w:sz w:val="3"/>
          <w:szCs w:val="3"/>
          <w:color w:val="FFFFFF"/>
        </w:rPr>
        <w:t>UseAllisonofAllisonconflictPropertyofInterest19 Questionnaire 13</w:t>
      </w:r>
    </w:p>
    <w:p>
      <w:pPr>
        <w:spacing w:after="0" w:line="194" w:lineRule="auto"/>
        <w:rPr>
          <w:sz w:val="20"/>
          <w:szCs w:val="20"/>
          <w:color w:val="auto"/>
        </w:rPr>
      </w:pPr>
      <w:r>
        <w:rPr>
          <w:rFonts w:ascii="Arial" w:cs="Arial" w:eastAsia="Arial" w:hAnsi="Arial"/>
          <w:sz w:val="5"/>
          <w:szCs w:val="5"/>
          <w:color w:val="FFFFFF"/>
        </w:rPr>
        <w:t>Litigation and Investigations</w:t>
      </w:r>
    </w:p>
    <w:p>
      <w:pPr>
        <w:spacing w:after="0"/>
        <w:rPr>
          <w:sz w:val="20"/>
          <w:szCs w:val="20"/>
          <w:color w:val="auto"/>
        </w:rPr>
      </w:pPr>
      <w:r>
        <w:rPr>
          <w:rFonts w:ascii="Arial" w:cs="Arial" w:eastAsia="Arial" w:hAnsi="Arial"/>
          <w:sz w:val="3"/>
          <w:szCs w:val="3"/>
          <w:color w:val="FFFFFF"/>
        </w:rPr>
        <w:t>Integrity In The Marketplace 21</w:t>
      </w:r>
    </w:p>
    <w:p>
      <w:pPr>
        <w:spacing w:after="0" w:line="181" w:lineRule="auto"/>
        <w:rPr>
          <w:sz w:val="20"/>
          <w:szCs w:val="20"/>
          <w:color w:val="auto"/>
        </w:rPr>
      </w:pPr>
      <w:r>
        <w:rPr>
          <w:rFonts w:ascii="Arial" w:cs="Arial" w:eastAsia="Arial" w:hAnsi="Arial"/>
          <w:sz w:val="10"/>
          <w:szCs w:val="10"/>
          <w:color w:val="FFFFFF"/>
        </w:rPr>
        <w:t>Fair Competition</w:t>
      </w:r>
    </w:p>
    <w:p>
      <w:pPr>
        <w:spacing w:after="0" w:line="188" w:lineRule="auto"/>
        <w:rPr>
          <w:sz w:val="20"/>
          <w:szCs w:val="20"/>
          <w:color w:val="auto"/>
        </w:rPr>
      </w:pPr>
      <w:r>
        <w:rPr>
          <w:rFonts w:ascii="Arial" w:cs="Arial" w:eastAsia="Arial" w:hAnsi="Arial"/>
          <w:sz w:val="9"/>
          <w:szCs w:val="9"/>
          <w:color w:val="FFFFFF"/>
          <w:vertAlign w:val="subscript"/>
        </w:rPr>
        <w:t>Relations</w:t>
      </w:r>
      <w:r>
        <w:rPr>
          <w:rFonts w:ascii="Arial" w:cs="Arial" w:eastAsia="Arial" w:hAnsi="Arial"/>
          <w:sz w:val="7"/>
          <w:szCs w:val="7"/>
          <w:color w:val="FFFFFF"/>
        </w:rPr>
        <w:t>Gifts,EntertainmentWithCompetitorsandGratuities</w:t>
      </w:r>
    </w:p>
    <w:p>
      <w:pPr>
        <w:spacing w:after="0" w:line="212" w:lineRule="auto"/>
        <w:rPr>
          <w:sz w:val="20"/>
          <w:szCs w:val="20"/>
          <w:color w:val="auto"/>
        </w:rPr>
      </w:pPr>
      <w:r>
        <w:rPr>
          <w:rFonts w:ascii="Arial" w:cs="Arial" w:eastAsia="Arial" w:hAnsi="Arial"/>
          <w:sz w:val="4"/>
          <w:szCs w:val="4"/>
          <w:color w:val="FFFFFF"/>
          <w:vertAlign w:val="superscript"/>
        </w:rPr>
        <w:t>Insider</w:t>
      </w:r>
      <w:r>
        <w:rPr>
          <w:rFonts w:ascii="Arial" w:cs="Arial" w:eastAsia="Arial" w:hAnsi="Arial"/>
          <w:sz w:val="2"/>
          <w:szCs w:val="2"/>
          <w:color w:val="FFFFFF"/>
        </w:rPr>
        <w:t>ternationalwithConsiderationDealers,Distributors and Resellers 22</w:t>
      </w:r>
    </w:p>
    <w:p>
      <w:pPr>
        <w:ind w:left="420"/>
        <w:spacing w:after="0"/>
        <w:rPr>
          <w:sz w:val="20"/>
          <w:szCs w:val="20"/>
          <w:color w:val="auto"/>
        </w:rPr>
      </w:pPr>
      <w:r>
        <w:rPr>
          <w:rFonts w:ascii="Arial" w:cs="Arial" w:eastAsia="Arial" w:hAnsi="Arial"/>
          <w:sz w:val="14"/>
          <w:szCs w:val="14"/>
          <w:color w:val="FFFFFF"/>
        </w:rPr>
        <w:t>Trading 23</w:t>
      </w:r>
    </w:p>
    <w:p>
      <w:pPr>
        <w:sectPr>
          <w:pgSz w:w="11900" w:h="16838" w:orient="portrait"/>
          <w:cols w:equalWidth="0" w:num="1">
            <w:col w:w="10219"/>
          </w:cols>
          <w:pgMar w:left="240" w:top="1440" w:right="1440"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3"/>
          </w:tcPr>
          <w:p>
            <w:pPr>
              <w:spacing w:after="0"/>
              <w:rPr>
                <w:sz w:val="20"/>
                <w:szCs w:val="20"/>
                <w:color w:val="auto"/>
              </w:rPr>
            </w:pPr>
            <w:r>
              <w:rPr>
                <w:rFonts w:ascii="Arial" w:cs="Arial" w:eastAsia="Arial" w:hAnsi="Arial"/>
                <w:sz w:val="14"/>
                <w:szCs w:val="14"/>
                <w:color w:val="FFFFFF"/>
                <w:w w:val="89"/>
              </w:rPr>
              <w:t>Integrity In Our Societies And Communities 25</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Conflicts with Laws</w:t>
            </w: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gridSpan w:val="2"/>
          </w:tcPr>
          <w:p>
            <w:pPr>
              <w:ind w:left="60"/>
              <w:spacing w:after="0"/>
              <w:rPr>
                <w:sz w:val="20"/>
                <w:szCs w:val="20"/>
                <w:color w:val="auto"/>
              </w:rPr>
            </w:pPr>
            <w:r>
              <w:rPr>
                <w:rFonts w:ascii="Arial" w:cs="Arial" w:eastAsia="Arial" w:hAnsi="Arial"/>
                <w:sz w:val="3"/>
                <w:szCs w:val="3"/>
                <w:color w:val="FFFFFF"/>
              </w:rPr>
              <w:t>mproper Gifts and Payments</w:t>
            </w:r>
          </w:p>
        </w:tc>
        <w:tc>
          <w:tcPr>
            <w:tcW w:w="820" w:type="dxa"/>
            <w:vAlign w:val="bottom"/>
            <w:vMerge w:val="restart"/>
          </w:tcPr>
          <w:p>
            <w:pPr>
              <w:jc w:val="right"/>
              <w:ind w:right="475"/>
              <w:spacing w:after="0" w:line="81" w:lineRule="exact"/>
              <w:rPr>
                <w:sz w:val="20"/>
                <w:szCs w:val="20"/>
                <w:color w:val="auto"/>
              </w:rPr>
            </w:pPr>
            <w:r>
              <w:rPr>
                <w:rFonts w:ascii="Arial" w:cs="Arial" w:eastAsia="Arial" w:hAnsi="Arial"/>
                <w:sz w:val="9"/>
                <w:szCs w:val="9"/>
                <w:color w:val="FFFFFF"/>
              </w:rPr>
              <w:t>29</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20"/>
                <w:szCs w:val="20"/>
                <w:color w:val="auto"/>
              </w:rPr>
            </w:pPr>
            <w:r>
              <w:rPr>
                <w:rFonts w:ascii="Arial" w:cs="Arial" w:eastAsia="Arial" w:hAnsi="Arial"/>
                <w:sz w:val="3"/>
                <w:szCs w:val="3"/>
                <w:color w:val="FFFFFF"/>
              </w:rPr>
              <w:t>Integrity Toward The</w:t>
            </w:r>
          </w:p>
        </w:tc>
        <w:tc>
          <w:tcPr>
            <w:tcW w:w="5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
        </w:trPr>
        <w:tc>
          <w:tcPr>
            <w:tcW w:w="1180" w:type="dxa"/>
            <w:vAlign w:val="bottom"/>
          </w:tcPr>
          <w:p>
            <w:pPr>
              <w:spacing w:after="0" w:line="2" w:lineRule="exact"/>
              <w:rPr>
                <w:sz w:val="20"/>
                <w:szCs w:val="20"/>
                <w:color w:val="auto"/>
              </w:rPr>
            </w:pPr>
            <w:r>
              <w:rPr>
                <w:rFonts w:ascii="Arial" w:cs="Arial" w:eastAsia="Arial" w:hAnsi="Arial"/>
                <w:sz w:val="1"/>
                <w:szCs w:val="1"/>
                <w:color w:val="FFFFFF"/>
              </w:rPr>
              <w:t>Allison Transmission</w:t>
            </w:r>
          </w:p>
        </w:tc>
        <w:tc>
          <w:tcPr>
            <w:tcW w:w="1400" w:type="dxa"/>
            <w:vAlign w:val="bottom"/>
            <w:gridSpan w:val="2"/>
          </w:tcPr>
          <w:p>
            <w:pPr>
              <w:jc w:val="right"/>
              <w:spacing w:after="0" w:line="2" w:lineRule="exact"/>
              <w:rPr>
                <w:sz w:val="20"/>
                <w:szCs w:val="20"/>
                <w:color w:val="auto"/>
              </w:rPr>
            </w:pPr>
            <w:r>
              <w:rPr>
                <w:rFonts w:ascii="Arial" w:cs="Arial" w:eastAsia="Arial" w:hAnsi="Arial"/>
                <w:sz w:val="1"/>
                <w:szCs w:val="1"/>
                <w:color w:val="FFFFFF"/>
              </w:rPr>
              <w:t>Environmental Principles</w:t>
            </w:r>
          </w:p>
        </w:tc>
        <w:tc>
          <w:tcPr>
            <w:tcW w:w="0" w:type="dxa"/>
            <w:vAlign w:val="bottom"/>
          </w:tcPr>
          <w:p>
            <w:pPr>
              <w:spacing w:after="0" w:line="20" w:lineRule="exact"/>
              <w:rPr>
                <w:sz w:val="1"/>
                <w:szCs w:val="1"/>
                <w:color w:val="auto"/>
              </w:rPr>
            </w:pPr>
          </w:p>
        </w:tc>
      </w:tr>
    </w:tbl>
    <w:p>
      <w:pPr>
        <w:jc w:val="center"/>
        <w:ind w:right="8619"/>
        <w:spacing w:after="0" w:line="187" w:lineRule="auto"/>
        <w:rPr>
          <w:sz w:val="20"/>
          <w:szCs w:val="20"/>
          <w:color w:val="auto"/>
        </w:rPr>
      </w:pPr>
      <w:r>
        <w:rPr>
          <w:rFonts w:ascii="Arial" w:cs="Arial" w:eastAsia="Arial" w:hAnsi="Arial"/>
          <w:sz w:val="9"/>
          <w:szCs w:val="9"/>
          <w:color w:val="FFFFFF"/>
          <w:vertAlign w:val="subscript"/>
        </w:rPr>
        <w:t>Conclusions</w:t>
      </w:r>
      <w:r>
        <w:rPr>
          <w:rFonts w:ascii="Arial" w:cs="Arial" w:eastAsia="Arial" w:hAnsi="Arial"/>
          <w:sz w:val="7"/>
          <w:szCs w:val="7"/>
          <w:color w:val="FFFFFF"/>
        </w:rPr>
        <w:t>mpliance With31 the Law 30</w:t>
      </w:r>
    </w:p>
    <w:p>
      <w:pPr>
        <w:spacing w:after="0"/>
        <w:rPr>
          <w:sz w:val="20"/>
          <w:szCs w:val="20"/>
          <w:color w:val="auto"/>
        </w:rPr>
      </w:pPr>
      <w:r>
        <w:rPr>
          <w:rFonts w:ascii="Arial" w:cs="Arial" w:eastAsia="Arial" w:hAnsi="Arial"/>
          <w:sz w:val="12"/>
          <w:szCs w:val="12"/>
          <w:color w:val="FFFFFF"/>
        </w:rPr>
        <w:t>If you have any questions about any of the Allison policies or the content of this Allison Code of Business Conduct document, contact the Human Resources or Legal departments.</w:t>
      </w:r>
    </w:p>
    <w:p>
      <w:pPr>
        <w:sectPr>
          <w:pgSz w:w="11900" w:h="16838" w:orient="portrait"/>
          <w:cols w:equalWidth="0" w:num="1">
            <w:col w:w="10219"/>
          </w:cols>
          <w:pgMar w:left="240" w:top="1440" w:right="1440"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ind w:left="100"/>
              <w:spacing w:after="0"/>
              <w:rPr>
                <w:sz w:val="20"/>
                <w:szCs w:val="20"/>
                <w:color w:val="auto"/>
              </w:rPr>
            </w:pPr>
            <w:r>
              <w:rPr>
                <w:rFonts w:ascii="Arial" w:cs="Arial" w:eastAsia="Arial" w:hAnsi="Arial"/>
                <w:sz w:val="14"/>
                <w:szCs w:val="14"/>
                <w:color w:val="FFFFFF"/>
              </w:rPr>
              <w:t>LLISON TRANSMISSION LEADERSHIP MESSAGE</w:t>
            </w: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280" w:type="dxa"/>
            <w:vAlign w:val="bottom"/>
            <w:gridSpan w:val="2"/>
          </w:tcPr>
          <w:p>
            <w:pPr>
              <w:ind w:left="100"/>
              <w:spacing w:after="0"/>
              <w:rPr>
                <w:sz w:val="20"/>
                <w:szCs w:val="20"/>
                <w:color w:val="auto"/>
              </w:rPr>
            </w:pPr>
            <w:r>
              <w:rPr>
                <w:rFonts w:ascii="Arial" w:cs="Arial" w:eastAsia="Arial" w:hAnsi="Arial"/>
                <w:sz w:val="3"/>
                <w:szCs w:val="3"/>
                <w:color w:val="FFFFFF"/>
              </w:rPr>
              <w:t>llison Team Members,</w:t>
            </w:r>
          </w:p>
        </w:tc>
        <w:tc>
          <w:tcPr>
            <w:tcW w:w="1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As</w:t>
            </w:r>
          </w:p>
        </w:tc>
        <w:tc>
          <w:tcPr>
            <w:tcW w:w="11160" w:type="dxa"/>
            <w:vAlign w:val="bottom"/>
            <w:gridSpan w:val="5"/>
          </w:tcPr>
          <w:p>
            <w:pPr>
              <w:ind w:left="60"/>
              <w:spacing w:after="0"/>
              <w:rPr>
                <w:sz w:val="20"/>
                <w:szCs w:val="20"/>
                <w:color w:val="auto"/>
              </w:rPr>
            </w:pPr>
            <w:r>
              <w:rPr>
                <w:rFonts w:ascii="Arial" w:cs="Arial" w:eastAsia="Arial" w:hAnsi="Arial"/>
                <w:sz w:val="3"/>
                <w:szCs w:val="3"/>
                <w:color w:val="FFFFFF"/>
              </w:rPr>
              <w:t>global business, our reputation is an extremely important asset. At Allison, we realize our reputation is based on everything that we do and all of us have a shared responsibility to maintain the highest</w:t>
            </w:r>
          </w:p>
        </w:tc>
        <w:tc>
          <w:tcPr>
            <w:tcW w:w="0" w:type="dxa"/>
            <w:vAlign w:val="bottom"/>
          </w:tcPr>
          <w:p>
            <w:pPr>
              <w:spacing w:after="0"/>
              <w:rPr>
                <w:sz w:val="1"/>
                <w:szCs w:val="1"/>
                <w:color w:val="auto"/>
              </w:rPr>
            </w:pPr>
          </w:p>
        </w:tc>
      </w:tr>
      <w:tr>
        <w:trPr>
          <w:trHeight w:val="41"/>
        </w:trPr>
        <w:tc>
          <w:tcPr>
            <w:tcW w:w="4280" w:type="dxa"/>
            <w:vAlign w:val="bottom"/>
            <w:gridSpan w:val="2"/>
          </w:tcPr>
          <w:p>
            <w:pPr>
              <w:spacing w:after="0"/>
              <w:rPr>
                <w:sz w:val="20"/>
                <w:szCs w:val="20"/>
                <w:color w:val="auto"/>
              </w:rPr>
            </w:pPr>
            <w:r>
              <w:rPr>
                <w:rFonts w:ascii="Arial" w:cs="Arial" w:eastAsia="Arial" w:hAnsi="Arial"/>
                <w:sz w:val="3"/>
                <w:szCs w:val="3"/>
                <w:color w:val="FFFFFF"/>
              </w:rPr>
              <w:t>standard of integrity.</w:t>
            </w:r>
          </w:p>
        </w:tc>
        <w:tc>
          <w:tcPr>
            <w:tcW w:w="7100" w:type="dxa"/>
            <w:vAlign w:val="bottom"/>
            <w:gridSpan w:val="4"/>
            <w:vMerge w:val="restart"/>
          </w:tcPr>
          <w:p>
            <w:pPr>
              <w:ind w:left="220"/>
              <w:spacing w:after="0" w:line="81" w:lineRule="exact"/>
              <w:rPr>
                <w:sz w:val="20"/>
                <w:szCs w:val="20"/>
                <w:color w:val="auto"/>
              </w:rPr>
            </w:pPr>
            <w:r>
              <w:rPr>
                <w:rFonts w:ascii="Arial" w:cs="Arial" w:eastAsia="Arial" w:hAnsi="Arial"/>
                <w:sz w:val="9"/>
                <w:szCs w:val="9"/>
                <w:color w:val="FFFFFF"/>
              </w:rPr>
              <w:t>stakeholders — our workforce, customers, shareholders, business partners, government agencies and the communities where</w:t>
            </w:r>
          </w:p>
        </w:tc>
        <w:tc>
          <w:tcPr>
            <w:tcW w:w="0" w:type="dxa"/>
            <w:vAlign w:val="bottom"/>
          </w:tcPr>
          <w:p>
            <w:pPr>
              <w:spacing w:after="0"/>
              <w:rPr>
                <w:sz w:val="1"/>
                <w:szCs w:val="1"/>
                <w:color w:val="auto"/>
              </w:rPr>
            </w:pPr>
          </w:p>
        </w:tc>
      </w:tr>
      <w:tr>
        <w:trPr>
          <w:trHeight w:val="41"/>
        </w:trPr>
        <w:tc>
          <w:tcPr>
            <w:tcW w:w="4280" w:type="dxa"/>
            <w:vAlign w:val="bottom"/>
            <w:gridSpan w:val="2"/>
          </w:tcPr>
          <w:p>
            <w:pPr>
              <w:spacing w:after="0"/>
              <w:rPr>
                <w:sz w:val="20"/>
                <w:szCs w:val="20"/>
                <w:color w:val="auto"/>
              </w:rPr>
            </w:pPr>
            <w:r>
              <w:rPr>
                <w:rFonts w:ascii="Arial" w:cs="Arial" w:eastAsia="Arial" w:hAnsi="Arial"/>
                <w:sz w:val="3"/>
                <w:szCs w:val="3"/>
                <w:color w:val="FFFFFF"/>
              </w:rPr>
              <w:t>Our reputation and our integrity determine how we  re viewed by our most</w:t>
            </w:r>
          </w:p>
        </w:tc>
        <w:tc>
          <w:tcPr>
            <w:tcW w:w="7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we live and work. They also shape the way we feel about ourselves and servevaluedas reminder of the commitment we’ve made to those who have entrusted us to conduct all of our business dealings at the highest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4060" w:type="dxa"/>
            <w:vAlign w:val="bottom"/>
          </w:tcPr>
          <w:p>
            <w:pPr>
              <w:ind w:left="80"/>
              <w:spacing w:after="0"/>
              <w:rPr>
                <w:sz w:val="20"/>
                <w:szCs w:val="20"/>
                <w:color w:val="auto"/>
              </w:rPr>
            </w:pPr>
            <w:r>
              <w:rPr>
                <w:rFonts w:ascii="Arial" w:cs="Arial" w:eastAsia="Arial" w:hAnsi="Arial"/>
                <w:sz w:val="3"/>
                <w:szCs w:val="3"/>
                <w:color w:val="FFFFFF"/>
              </w:rPr>
              <w:t>of integrity.</w:t>
            </w:r>
          </w:p>
        </w:tc>
        <w:tc>
          <w:tcPr>
            <w:tcW w:w="1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20" w:type="dxa"/>
            <w:vAlign w:val="bottom"/>
            <w:vMerge w:val="restart"/>
          </w:tcPr>
          <w:p>
            <w:pPr>
              <w:ind w:left="240"/>
              <w:spacing w:after="0" w:line="81" w:lineRule="exact"/>
              <w:rPr>
                <w:sz w:val="20"/>
                <w:szCs w:val="20"/>
                <w:color w:val="auto"/>
              </w:rPr>
            </w:pPr>
            <w:r>
              <w:rPr>
                <w:rFonts w:ascii="Arial" w:cs="Arial" w:eastAsia="Arial" w:hAnsi="Arial"/>
                <w:sz w:val="9"/>
                <w:szCs w:val="9"/>
                <w:color w:val="FFFFFF"/>
              </w:rPr>
              <w:t>of each Allison employee and those who represent us — not only</w:t>
            </w:r>
          </w:p>
        </w:tc>
        <w:tc>
          <w:tcPr>
            <w:tcW w:w="940" w:type="dxa"/>
            <w:vAlign w:val="bottom"/>
            <w:vMerge w:val="restart"/>
          </w:tcPr>
          <w:p>
            <w:pPr>
              <w:jc w:val="center"/>
              <w:ind w:right="89"/>
              <w:spacing w:after="0" w:line="81" w:lineRule="exact"/>
              <w:rPr>
                <w:sz w:val="20"/>
                <w:szCs w:val="20"/>
                <w:color w:val="auto"/>
              </w:rPr>
            </w:pPr>
            <w:r>
              <w:rPr>
                <w:rFonts w:ascii="Arial" w:cs="Arial" w:eastAsia="Arial" w:hAnsi="Arial"/>
                <w:sz w:val="9"/>
                <w:szCs w:val="9"/>
                <w:color w:val="FFFFFF"/>
              </w:rPr>
              <w:t>words, but</w:t>
            </w:r>
          </w:p>
        </w:tc>
        <w:tc>
          <w:tcPr>
            <w:tcW w:w="0" w:type="dxa"/>
            <w:vAlign w:val="bottom"/>
          </w:tcPr>
          <w:p>
            <w:pPr>
              <w:spacing w:after="0"/>
              <w:rPr>
                <w:sz w:val="1"/>
                <w:szCs w:val="1"/>
                <w:color w:val="auto"/>
              </w:rPr>
            </w:pPr>
          </w:p>
        </w:tc>
      </w:tr>
      <w:tr>
        <w:trPr>
          <w:trHeight w:val="41"/>
        </w:trPr>
        <w:tc>
          <w:tcPr>
            <w:tcW w:w="6620" w:type="dxa"/>
            <w:vAlign w:val="bottom"/>
            <w:gridSpan w:val="4"/>
          </w:tcPr>
          <w:p>
            <w:pPr>
              <w:spacing w:after="0"/>
              <w:rPr>
                <w:sz w:val="20"/>
                <w:szCs w:val="20"/>
                <w:color w:val="auto"/>
              </w:rPr>
            </w:pPr>
            <w:r>
              <w:rPr>
                <w:rFonts w:ascii="Arial" w:cs="Arial" w:eastAsia="Arial" w:hAnsi="Arial"/>
                <w:sz w:val="3"/>
                <w:szCs w:val="3"/>
                <w:color w:val="FFFFFF"/>
              </w:rPr>
              <w:t>levelWalso fully realize our reputation must go beyond the quality of our products and services. It must be built upon the</w:t>
            </w:r>
          </w:p>
        </w:tc>
        <w:tc>
          <w:tcPr>
            <w:tcW w:w="38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more importantly, in our deeds. Our Allison Code of Business Conduct – “Driving Integrity Worldwide” should be evidentconduct a day-to-day basis in the way we perform our duties and how we interact with</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5640" w:type="dxa"/>
            <w:vAlign w:val="bottom"/>
            <w:gridSpan w:val="2"/>
          </w:tcPr>
          <w:p>
            <w:pPr>
              <w:ind w:left="120"/>
              <w:spacing w:after="0"/>
              <w:rPr>
                <w:sz w:val="20"/>
                <w:szCs w:val="20"/>
                <w:color w:val="auto"/>
              </w:rPr>
            </w:pPr>
            <w:r>
              <w:rPr>
                <w:rFonts w:ascii="Arial" w:cs="Arial" w:eastAsia="Arial" w:hAnsi="Arial"/>
                <w:sz w:val="3"/>
                <w:szCs w:val="3"/>
                <w:color w:val="FFFFFF"/>
              </w:rPr>
              <w:t>. For Allison and its global operations,  clearly is the only acceptable way to do business.</w:t>
            </w:r>
          </w:p>
        </w:tc>
        <w:tc>
          <w:tcPr>
            <w:tcW w:w="5520" w:type="dxa"/>
            <w:vAlign w:val="bottom"/>
            <w:gridSpan w:val="3"/>
            <w:vMerge w:val="restart"/>
          </w:tcPr>
          <w:p>
            <w:pPr>
              <w:ind w:left="320"/>
              <w:spacing w:after="0" w:line="81" w:lineRule="exact"/>
              <w:rPr>
                <w:sz w:val="20"/>
                <w:szCs w:val="20"/>
                <w:color w:val="auto"/>
              </w:rPr>
            </w:pPr>
            <w:r>
              <w:rPr>
                <w:rFonts w:ascii="Arial" w:cs="Arial" w:eastAsia="Arial" w:hAnsi="Arial"/>
                <w:sz w:val="9"/>
                <w:szCs w:val="9"/>
                <w:color w:val="FFFFFF"/>
              </w:rPr>
              <w:t>aware of the situations that challenge us to exercise good judgment. If you are faced with an</w:t>
            </w:r>
          </w:p>
        </w:tc>
        <w:tc>
          <w:tcPr>
            <w:tcW w:w="0" w:type="dxa"/>
            <w:vAlign w:val="bottom"/>
          </w:tcPr>
          <w:p>
            <w:pPr>
              <w:spacing w:after="0"/>
              <w:rPr>
                <w:sz w:val="1"/>
                <w:szCs w:val="1"/>
                <w:color w:val="auto"/>
              </w:rPr>
            </w:pPr>
          </w:p>
        </w:tc>
      </w:tr>
      <w:tr>
        <w:trPr>
          <w:trHeight w:val="41"/>
        </w:trPr>
        <w:tc>
          <w:tcPr>
            <w:tcW w:w="5860" w:type="dxa"/>
            <w:vAlign w:val="bottom"/>
            <w:gridSpan w:val="3"/>
          </w:tcPr>
          <w:p>
            <w:pPr>
              <w:spacing w:after="0"/>
              <w:rPr>
                <w:sz w:val="20"/>
                <w:szCs w:val="20"/>
                <w:color w:val="auto"/>
              </w:rPr>
            </w:pPr>
            <w:r>
              <w:rPr>
                <w:rFonts w:ascii="Arial" w:cs="Arial" w:eastAsia="Arial" w:hAnsi="Arial"/>
                <w:sz w:val="3"/>
                <w:szCs w:val="3"/>
                <w:color w:val="FFFFFF"/>
              </w:rPr>
              <w:t>othersTmake sure we’re conducting our business with integrity every day, each of us at Allison needs to be</w:t>
            </w:r>
          </w:p>
        </w:tc>
        <w:tc>
          <w:tcPr>
            <w:tcW w:w="55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40" w:type="dxa"/>
            <w:vAlign w:val="bottom"/>
            <w:gridSpan w:val="5"/>
          </w:tcPr>
          <w:p>
            <w:pPr>
              <w:spacing w:after="0"/>
              <w:rPr>
                <w:sz w:val="20"/>
                <w:szCs w:val="20"/>
                <w:color w:val="auto"/>
              </w:rPr>
            </w:pPr>
            <w:r>
              <w:rPr>
                <w:rFonts w:ascii="Arial" w:cs="Arial" w:eastAsia="Arial" w:hAnsi="Arial"/>
                <w:sz w:val="3"/>
                <w:szCs w:val="3"/>
                <w:color w:val="FFFFFF"/>
              </w:rPr>
              <w:t>ethical dilemma, it is important that you quickly raise this matter with your leadership, a member of Allison’constantlymanagement team, our Chief Compliance Officer or via the Allison Care Line. It</w:t>
            </w:r>
          </w:p>
        </w:tc>
        <w:tc>
          <w:tcPr>
            <w:tcW w:w="940" w:type="dxa"/>
            <w:vAlign w:val="bottom"/>
          </w:tcPr>
          <w:p>
            <w:pPr>
              <w:jc w:val="center"/>
              <w:ind w:right="109"/>
              <w:spacing w:after="0"/>
              <w:rPr>
                <w:sz w:val="20"/>
                <w:szCs w:val="20"/>
                <w:color w:val="auto"/>
              </w:rPr>
            </w:pPr>
            <w:r>
              <w:rPr>
                <w:rFonts w:ascii="Arial" w:cs="Arial" w:eastAsia="Arial" w:hAnsi="Arial"/>
                <w:sz w:val="3"/>
                <w:szCs w:val="3"/>
                <w:color w:val="FFFFFF"/>
              </w:rPr>
              <w:t>of the utmost</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1160" w:type="dxa"/>
            <w:vAlign w:val="bottom"/>
            <w:gridSpan w:val="5"/>
          </w:tcPr>
          <w:p>
            <w:pPr>
              <w:ind w:left="420"/>
              <w:spacing w:after="0"/>
              <w:rPr>
                <w:sz w:val="20"/>
                <w:szCs w:val="20"/>
                <w:color w:val="auto"/>
              </w:rPr>
            </w:pPr>
            <w:r>
              <w:rPr>
                <w:rFonts w:ascii="Arial" w:cs="Arial" w:eastAsia="Arial" w:hAnsi="Arial"/>
                <w:sz w:val="3"/>
                <w:szCs w:val="3"/>
                <w:color w:val="FFFFFF"/>
              </w:rPr>
              <w:t>that we all ensure we are acting lawfully and responsibly. Each of us needs a clear understanding of Allison’s core values and the laws that are pertinent to the work we do and the decisions we make.</w:t>
            </w:r>
          </w:p>
        </w:tc>
        <w:tc>
          <w:tcPr>
            <w:tcW w:w="0" w:type="dxa"/>
            <w:vAlign w:val="bottom"/>
          </w:tcPr>
          <w:p>
            <w:pPr>
              <w:spacing w:after="0"/>
              <w:rPr>
                <w:sz w:val="1"/>
                <w:szCs w:val="1"/>
                <w:color w:val="auto"/>
              </w:rPr>
            </w:pPr>
          </w:p>
        </w:tc>
      </w:tr>
      <w:tr>
        <w:trPr>
          <w:trHeight w:val="213"/>
        </w:trPr>
        <w:tc>
          <w:tcPr>
            <w:tcW w:w="4280" w:type="dxa"/>
            <w:vAlign w:val="bottom"/>
            <w:gridSpan w:val="2"/>
          </w:tcPr>
          <w:p>
            <w:pPr>
              <w:spacing w:after="0"/>
              <w:rPr>
                <w:sz w:val="20"/>
                <w:szCs w:val="20"/>
                <w:color w:val="auto"/>
              </w:rPr>
            </w:pPr>
            <w:r>
              <w:rPr>
                <w:rFonts w:ascii="Arial" w:cs="Arial" w:eastAsia="Arial" w:hAnsi="Arial"/>
                <w:sz w:val="14"/>
                <w:szCs w:val="14"/>
                <w:color w:val="FFFFFF"/>
                <w:w w:val="82"/>
              </w:rPr>
              <w:t>importance“...Tconduct all of our business dealings at the highest level of integrity.”</w:t>
            </w: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In this Allison Code of Business Conduct document, you will</w:t>
      </w:r>
    </w:p>
    <w:p>
      <w:pPr>
        <w:spacing w:after="0"/>
        <w:rPr>
          <w:sz w:val="20"/>
          <w:szCs w:val="20"/>
          <w:color w:val="auto"/>
        </w:rPr>
      </w:pPr>
      <w:r>
        <w:rPr>
          <w:rFonts w:ascii="Arial" w:cs="Arial" w:eastAsia="Arial" w:hAnsi="Arial"/>
          <w:sz w:val="6"/>
          <w:szCs w:val="6"/>
          <w:color w:val="FFFFFF"/>
        </w:rPr>
        <w:t>corefind guidelinesvaluesand fortheemployeeprinciplesconductoftheUNthatGlobalreflectCompactAllison’sand</w:t>
      </w:r>
    </w:p>
    <w:p>
      <w:pPr>
        <w:spacing w:after="0" w:line="182" w:lineRule="auto"/>
        <w:rPr>
          <w:sz w:val="20"/>
          <w:szCs w:val="20"/>
          <w:color w:val="auto"/>
        </w:rPr>
      </w:pPr>
      <w:r>
        <w:rPr>
          <w:rFonts w:ascii="Arial" w:cs="Arial" w:eastAsia="Arial" w:hAnsi="Arial"/>
          <w:sz w:val="3"/>
          <w:szCs w:val="3"/>
          <w:color w:val="FFFFFF"/>
        </w:rPr>
        <w:t>isthenotUNpossibleUniversaltoprovideDeclarationspecificofHumanguidanceRights.foreveryOfcourse,</w:t>
      </w:r>
      <w:r>
        <w:rPr>
          <w:rFonts w:ascii="Arial" w:cs="Arial" w:eastAsia="Arial" w:hAnsi="Arial"/>
          <w:sz w:val="6"/>
          <w:szCs w:val="6"/>
          <w:color w:val="FFFFFF"/>
          <w:vertAlign w:val="subscript"/>
        </w:rPr>
        <w:t>situation</w:t>
      </w:r>
    </w:p>
    <w:p>
      <w:pPr>
        <w:spacing w:after="0"/>
        <w:rPr>
          <w:sz w:val="20"/>
          <w:szCs w:val="20"/>
          <w:color w:val="auto"/>
        </w:rPr>
      </w:pPr>
      <w:r>
        <w:rPr>
          <w:rFonts w:ascii="Arial" w:cs="Arial" w:eastAsia="Arial" w:hAnsi="Arial"/>
          <w:sz w:val="6"/>
          <w:szCs w:val="6"/>
          <w:color w:val="FFFFFF"/>
        </w:rPr>
        <w:t>anto embraceindividualitsmayvaluesencounter.andpolicies,Allisoncarefullyentrustsassessingitsemployeeseach</w:t>
      </w:r>
    </w:p>
    <w:p>
      <w:pPr>
        <w:spacing w:after="0" w:line="1" w:lineRule="exact"/>
        <w:rPr>
          <w:sz w:val="20"/>
          <w:szCs w:val="20"/>
          <w:color w:val="auto"/>
        </w:rPr>
      </w:pPr>
    </w:p>
    <w:p>
      <w:pPr>
        <w:spacing w:after="0"/>
        <w:rPr>
          <w:sz w:val="20"/>
          <w:szCs w:val="20"/>
          <w:color w:val="auto"/>
        </w:rPr>
      </w:pPr>
      <w:r>
        <w:rPr>
          <w:rFonts w:ascii="Arial" w:cs="Arial" w:eastAsia="Arial" w:hAnsi="Arial"/>
          <w:sz w:val="8"/>
          <w:szCs w:val="8"/>
          <w:color w:val="FFFFFF"/>
        </w:rPr>
        <w:t>unsuresituationaboutand theseekingappropriateguidancecoursefrom ofouraction.leaders when</w:t>
      </w:r>
    </w:p>
    <w:p>
      <w:pPr>
        <w:spacing w:after="0" w:line="187" w:lineRule="auto"/>
        <w:rPr>
          <w:sz w:val="20"/>
          <w:szCs w:val="20"/>
          <w:color w:val="auto"/>
        </w:rPr>
      </w:pPr>
      <w:r>
        <w:rPr>
          <w:rFonts w:ascii="Arial" w:cs="Arial" w:eastAsia="Arial" w:hAnsi="Arial"/>
          <w:sz w:val="7"/>
          <w:szCs w:val="7"/>
          <w:color w:val="FFFFFF"/>
        </w:rPr>
        <w:t xml:space="preserve">Thank you in advance for doing your </w:t>
      </w:r>
      <w:r>
        <w:rPr>
          <w:rFonts w:ascii="Arial" w:cs="Arial" w:eastAsia="Arial" w:hAnsi="Arial"/>
          <w:sz w:val="9"/>
          <w:szCs w:val="9"/>
          <w:color w:val="FFFFFF"/>
          <w:vertAlign w:val="superscript"/>
        </w:rPr>
        <w:t>part</w:t>
      </w:r>
      <w:r>
        <w:rPr>
          <w:rFonts w:ascii="Arial" w:cs="Arial" w:eastAsia="Arial" w:hAnsi="Arial"/>
          <w:sz w:val="7"/>
          <w:szCs w:val="7"/>
          <w:color w:val="FFFFFF"/>
        </w:rPr>
        <w:t xml:space="preserve"> to make sure</w:t>
      </w:r>
    </w:p>
    <w:p>
      <w:pPr>
        <w:spacing w:after="0"/>
        <w:tabs>
          <w:tab w:leader="none" w:pos="2120" w:val="left"/>
        </w:tabs>
        <w:rPr>
          <w:sz w:val="20"/>
          <w:szCs w:val="20"/>
          <w:color w:val="auto"/>
        </w:rPr>
      </w:pPr>
      <w:r>
        <w:rPr>
          <w:rFonts w:ascii="Arial" w:cs="Arial" w:eastAsia="Arial" w:hAnsi="Arial"/>
          <w:sz w:val="3"/>
          <w:szCs w:val="3"/>
          <w:color w:val="FFFFFF"/>
        </w:rPr>
        <w:t>excellence.Allisonwill continue to be viewed as</w:t>
      </w:r>
      <w:r>
        <w:rPr>
          <w:sz w:val="20"/>
          <w:szCs w:val="20"/>
          <w:color w:val="auto"/>
        </w:rPr>
        <w:tab/>
      </w:r>
      <w:r>
        <w:rPr>
          <w:rFonts w:ascii="Arial" w:cs="Arial" w:eastAsia="Arial" w:hAnsi="Arial"/>
          <w:sz w:val="3"/>
          <w:szCs w:val="3"/>
          <w:color w:val="FFFFFF"/>
        </w:rPr>
        <w:t>global symbol of</w:t>
      </w:r>
    </w:p>
    <w:p>
      <w:pPr>
        <w:spacing w:after="0" w:line="181" w:lineRule="auto"/>
        <w:rPr>
          <w:sz w:val="20"/>
          <w:szCs w:val="20"/>
          <w:color w:val="auto"/>
        </w:rPr>
      </w:pPr>
      <w:r>
        <w:rPr>
          <w:rFonts w:ascii="Arial" w:cs="Arial" w:eastAsia="Arial" w:hAnsi="Arial"/>
          <w:sz w:val="10"/>
          <w:szCs w:val="10"/>
          <w:color w:val="FFFFFF"/>
        </w:rPr>
        <w:t>Lawrence E. Dewey</w:t>
      </w:r>
    </w:p>
    <w:p>
      <w:pPr>
        <w:spacing w:after="0"/>
        <w:rPr>
          <w:sz w:val="20"/>
          <w:szCs w:val="20"/>
          <w:color w:val="auto"/>
        </w:rPr>
      </w:pPr>
      <w:r>
        <w:rPr>
          <w:rFonts w:ascii="Arial" w:cs="Arial" w:eastAsia="Arial" w:hAnsi="Arial"/>
          <w:sz w:val="10"/>
          <w:szCs w:val="10"/>
          <w:color w:val="FFFFFF"/>
        </w:rPr>
        <w:t>AllisonChairman,Transmission,PresidentandInc.Chief Executive Officer</w:t>
      </w:r>
    </w:p>
    <w:p>
      <w:pPr>
        <w:sectPr>
          <w:pgSz w:w="11900" w:h="16838" w:orient="portrait"/>
          <w:cols w:equalWidth="0" w:num="1">
            <w:col w:w="10219"/>
          </w:cols>
          <w:pgMar w:left="240" w:top="1440" w:right="1440"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FFFFFF"/>
              </w:rPr>
              <w:t>INTRODUCTION</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220" w:type="dxa"/>
            <w:vAlign w:val="bottom"/>
            <w:gridSpan w:val="3"/>
          </w:tcPr>
          <w:p>
            <w:pPr>
              <w:spacing w:after="0"/>
              <w:rPr>
                <w:sz w:val="20"/>
                <w:szCs w:val="20"/>
                <w:color w:val="auto"/>
              </w:rPr>
            </w:pPr>
            <w:r>
              <w:rPr>
                <w:rFonts w:ascii="Arial" w:cs="Arial" w:eastAsia="Arial" w:hAnsi="Arial"/>
                <w:sz w:val="3"/>
                <w:szCs w:val="3"/>
                <w:color w:val="FFFFFF"/>
              </w:rPr>
              <w:t>Who Must Follow the Allison Code of Business Conduct?</w:t>
            </w:r>
          </w:p>
        </w:tc>
        <w:tc>
          <w:tcPr>
            <w:tcW w:w="1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 This Allison Code of Business Conduct – “Driving Integrity Worldwide” has been adopted by the Board of Directors and applies to all Allison salaried employees (including directors and officers) of Allison</w:t>
            </w:r>
          </w:p>
        </w:tc>
        <w:tc>
          <w:tcPr>
            <w:tcW w:w="0" w:type="dxa"/>
            <w:vAlign w:val="bottom"/>
          </w:tcPr>
          <w:p>
            <w:pPr>
              <w:spacing w:after="0"/>
              <w:rPr>
                <w:sz w:val="1"/>
                <w:szCs w:val="1"/>
                <w:color w:val="auto"/>
              </w:rPr>
            </w:pPr>
          </w:p>
        </w:tc>
      </w:tr>
      <w:tr>
        <w:trPr>
          <w:trHeight w:val="41"/>
        </w:trPr>
        <w:tc>
          <w:tcPr>
            <w:tcW w:w="5580" w:type="dxa"/>
            <w:vAlign w:val="bottom"/>
            <w:gridSpan w:val="5"/>
          </w:tcPr>
          <w:p>
            <w:pPr>
              <w:spacing w:after="0"/>
              <w:rPr>
                <w:sz w:val="20"/>
                <w:szCs w:val="20"/>
                <w:color w:val="auto"/>
              </w:rPr>
            </w:pPr>
            <w:r>
              <w:rPr>
                <w:rFonts w:ascii="Arial" w:cs="Arial" w:eastAsia="Arial" w:hAnsi="Arial"/>
                <w:sz w:val="3"/>
                <w:szCs w:val="3"/>
                <w:color w:val="FFFFFF"/>
              </w:rPr>
              <w:t>Transmission, Inc. its holding company and its subsidiaries (collectively called “Allison”).</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 All consultants, agents, sales</w:t>
            </w:r>
          </w:p>
        </w:tc>
        <w:tc>
          <w:tcPr>
            <w:tcW w:w="240" w:type="dxa"/>
            <w:vAlign w:val="bottom"/>
          </w:tcPr>
          <w:p>
            <w:pPr>
              <w:spacing w:after="0"/>
              <w:rPr>
                <w:sz w:val="3"/>
                <w:szCs w:val="3"/>
                <w:color w:val="auto"/>
              </w:rPr>
            </w:pPr>
          </w:p>
        </w:tc>
        <w:tc>
          <w:tcPr>
            <w:tcW w:w="9460" w:type="dxa"/>
            <w:vAlign w:val="bottom"/>
            <w:gridSpan w:val="4"/>
          </w:tcPr>
          <w:p>
            <w:pPr>
              <w:ind w:left="660"/>
              <w:spacing w:after="0"/>
              <w:rPr>
                <w:sz w:val="20"/>
                <w:szCs w:val="20"/>
                <w:color w:val="auto"/>
              </w:rPr>
            </w:pPr>
            <w:r>
              <w:rPr>
                <w:rFonts w:ascii="Arial" w:cs="Arial" w:eastAsia="Arial" w:hAnsi="Arial"/>
                <w:sz w:val="3"/>
                <w:szCs w:val="3"/>
                <w:color w:val="FFFFFF"/>
              </w:rPr>
              <w:t>independent contractors, and contract workers (collectively, “Allison Representatives”) when they act on behalf of Allison.</w:t>
            </w:r>
          </w:p>
        </w:tc>
        <w:tc>
          <w:tcPr>
            <w:tcW w:w="0" w:type="dxa"/>
            <w:vAlign w:val="bottom"/>
          </w:tcPr>
          <w:p>
            <w:pPr>
              <w:spacing w:after="0"/>
              <w:rPr>
                <w:sz w:val="1"/>
                <w:szCs w:val="1"/>
                <w:color w:val="auto"/>
              </w:rPr>
            </w:pPr>
          </w:p>
        </w:tc>
      </w:tr>
      <w:tr>
        <w:trPr>
          <w:trHeight w:val="41"/>
        </w:trPr>
        <w:tc>
          <w:tcPr>
            <w:tcW w:w="1900" w:type="dxa"/>
            <w:vAlign w:val="bottom"/>
            <w:gridSpan w:val="2"/>
          </w:tcPr>
          <w:p>
            <w:pPr>
              <w:spacing w:after="0"/>
              <w:rPr>
                <w:sz w:val="20"/>
                <w:szCs w:val="20"/>
                <w:color w:val="auto"/>
              </w:rPr>
            </w:pPr>
            <w:r>
              <w:rPr>
                <w:rFonts w:ascii="Arial" w:cs="Arial" w:eastAsia="Arial" w:hAnsi="Arial"/>
                <w:sz w:val="3"/>
                <w:szCs w:val="3"/>
                <w:color w:val="FFFFFF"/>
              </w:rPr>
              <w:t>In rare circumstances, a waiver to</w:t>
            </w:r>
          </w:p>
        </w:tc>
        <w:tc>
          <w:tcPr>
            <w:tcW w:w="3680" w:type="dxa"/>
            <w:vAlign w:val="bottom"/>
            <w:gridSpan w:val="3"/>
          </w:tcPr>
          <w:p>
            <w:pPr>
              <w:ind w:left="60"/>
              <w:spacing w:after="0"/>
              <w:rPr>
                <w:sz w:val="20"/>
                <w:szCs w:val="20"/>
                <w:color w:val="auto"/>
              </w:rPr>
            </w:pPr>
            <w:r>
              <w:rPr>
                <w:rFonts w:ascii="Arial" w:cs="Arial" w:eastAsia="Arial" w:hAnsi="Arial"/>
                <w:sz w:val="3"/>
                <w:szCs w:val="3"/>
                <w:color w:val="FFFFFF"/>
              </w:rPr>
              <w:t>particular requirement may be granted by the board of directors</w:t>
            </w:r>
          </w:p>
        </w:tc>
        <w:tc>
          <w:tcPr>
            <w:tcW w:w="5780" w:type="dxa"/>
            <w:vAlign w:val="bottom"/>
          </w:tcPr>
          <w:p>
            <w:pPr>
              <w:ind w:left="80"/>
              <w:spacing w:after="0"/>
              <w:rPr>
                <w:sz w:val="20"/>
                <w:szCs w:val="20"/>
                <w:color w:val="auto"/>
              </w:rPr>
            </w:pPr>
            <w:r>
              <w:rPr>
                <w:rFonts w:ascii="Arial" w:cs="Arial" w:eastAsia="Arial" w:hAnsi="Arial"/>
                <w:sz w:val="3"/>
                <w:szCs w:val="3"/>
                <w:color w:val="FFFFFF"/>
              </w:rPr>
              <w:t>will be promptly disclosed as required by law or regulation. Waivers must be requested and granted in</w:t>
            </w: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writing. Each salaried</w:t>
            </w:r>
          </w:p>
        </w:tc>
        <w:tc>
          <w:tcPr>
            <w:tcW w:w="2860" w:type="dxa"/>
            <w:vAlign w:val="bottom"/>
            <w:gridSpan w:val="3"/>
          </w:tcPr>
          <w:p>
            <w:pPr>
              <w:ind w:left="20"/>
              <w:spacing w:after="0"/>
              <w:rPr>
                <w:sz w:val="20"/>
                <w:szCs w:val="20"/>
                <w:color w:val="auto"/>
              </w:rPr>
            </w:pPr>
            <w:r>
              <w:rPr>
                <w:rFonts w:ascii="Arial" w:cs="Arial" w:eastAsia="Arial" w:hAnsi="Arial"/>
                <w:sz w:val="3"/>
                <w:szCs w:val="3"/>
                <w:color w:val="FFFFFF"/>
              </w:rPr>
              <w:t>representatives,directorand officer shall r view and</w:t>
            </w:r>
          </w:p>
        </w:tc>
        <w:tc>
          <w:tcPr>
            <w:tcW w:w="6840" w:type="dxa"/>
            <w:vAlign w:val="bottom"/>
            <w:gridSpan w:val="2"/>
          </w:tcPr>
          <w:p>
            <w:pPr>
              <w:ind w:left="60"/>
              <w:spacing w:after="0"/>
              <w:rPr>
                <w:sz w:val="20"/>
                <w:szCs w:val="20"/>
                <w:color w:val="auto"/>
              </w:rPr>
            </w:pPr>
            <w:r>
              <w:rPr>
                <w:rFonts w:ascii="Arial" w:cs="Arial" w:eastAsia="Arial" w:hAnsi="Arial"/>
                <w:sz w:val="3"/>
                <w:szCs w:val="3"/>
                <w:color w:val="FFFFFF"/>
              </w:rPr>
              <w:t>their understanding on an annual basis.</w:t>
            </w:r>
          </w:p>
        </w:tc>
        <w:tc>
          <w:tcPr>
            <w:tcW w:w="0" w:type="dxa"/>
            <w:vAlign w:val="bottom"/>
          </w:tcPr>
          <w:p>
            <w:pPr>
              <w:spacing w:after="0"/>
              <w:rPr>
                <w:sz w:val="1"/>
                <w:szCs w:val="1"/>
                <w:color w:val="auto"/>
              </w:rPr>
            </w:pPr>
          </w:p>
        </w:tc>
      </w:tr>
      <w:tr>
        <w:trPr>
          <w:trHeight w:val="41"/>
        </w:trPr>
        <w:tc>
          <w:tcPr>
            <w:tcW w:w="11360" w:type="dxa"/>
            <w:vAlign w:val="bottom"/>
            <w:gridSpan w:val="6"/>
          </w:tcPr>
          <w:p>
            <w:pPr>
              <w:ind w:left="100"/>
              <w:spacing w:after="0"/>
              <w:rPr>
                <w:sz w:val="20"/>
                <w:szCs w:val="20"/>
                <w:color w:val="auto"/>
              </w:rPr>
            </w:pPr>
            <w:r>
              <w:rPr>
                <w:rFonts w:ascii="Arial" w:cs="Arial" w:eastAsia="Arial" w:hAnsi="Arial"/>
                <w:sz w:val="3"/>
                <w:szCs w:val="3"/>
                <w:color w:val="FFFFFF"/>
              </w:rPr>
              <w:t>hroughout our historyemployee,Allisonhas embraced integrity and establishedacknowledgeitascorevalue ensuring it is incorporated in the way our employees conduct business each and every day.</w:t>
            </w:r>
          </w:p>
        </w:tc>
        <w:tc>
          <w:tcPr>
            <w:tcW w:w="0" w:type="dxa"/>
            <w:vAlign w:val="bottom"/>
          </w:tcPr>
          <w:p>
            <w:pPr>
              <w:spacing w:after="0"/>
              <w:rPr>
                <w:sz w:val="1"/>
                <w:szCs w:val="1"/>
                <w:color w:val="auto"/>
              </w:rPr>
            </w:pPr>
          </w:p>
        </w:tc>
      </w:tr>
      <w:tr>
        <w:trPr>
          <w:trHeight w:val="41"/>
        </w:trPr>
        <w:tc>
          <w:tcPr>
            <w:tcW w:w="1900" w:type="dxa"/>
            <w:vAlign w:val="bottom"/>
            <w:gridSpan w:val="2"/>
          </w:tcPr>
          <w:p>
            <w:pPr>
              <w:spacing w:after="0"/>
              <w:rPr>
                <w:sz w:val="20"/>
                <w:szCs w:val="20"/>
                <w:color w:val="auto"/>
              </w:rPr>
            </w:pPr>
            <w:r>
              <w:rPr>
                <w:rFonts w:ascii="Arial" w:cs="Arial" w:eastAsia="Arial" w:hAnsi="Arial"/>
                <w:sz w:val="3"/>
                <w:szCs w:val="3"/>
                <w:color w:val="FFFFFF"/>
              </w:rPr>
              <w:t>Today, those values and principles</w:t>
            </w:r>
          </w:p>
        </w:tc>
        <w:tc>
          <w:tcPr>
            <w:tcW w:w="3680" w:type="dxa"/>
            <w:vAlign w:val="bottom"/>
            <w:gridSpan w:val="3"/>
          </w:tcPr>
          <w:p>
            <w:pPr>
              <w:ind w:left="200"/>
              <w:spacing w:after="0"/>
              <w:rPr>
                <w:sz w:val="20"/>
                <w:szCs w:val="20"/>
                <w:color w:val="auto"/>
              </w:rPr>
            </w:pPr>
            <w:r>
              <w:rPr>
                <w:rFonts w:ascii="Arial" w:cs="Arial" w:eastAsia="Arial" w:hAnsi="Arial"/>
                <w:sz w:val="3"/>
                <w:szCs w:val="3"/>
                <w:color w:val="FFFFFF"/>
              </w:rPr>
              <w:t>set out in his document, the Allison Code of Business Conduct</w:t>
            </w:r>
          </w:p>
        </w:tc>
        <w:tc>
          <w:tcPr>
            <w:tcW w:w="5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 “Driving Integrity Worldwide.” Warebelieve that integrity is vital to our remaining the world’ largest manufacturer of fully automatic transmissions for medium- and heavy-duty commercial vehicles, medium-</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and heavy-duty United States defense vehicles and hybrid-propulsion systems for trucks, transit and city buses.</w:t>
            </w:r>
          </w:p>
        </w:tc>
        <w:tc>
          <w:tcPr>
            <w:tcW w:w="0" w:type="dxa"/>
            <w:vAlign w:val="bottom"/>
          </w:tcPr>
          <w:p>
            <w:pPr>
              <w:spacing w:after="0"/>
              <w:rPr>
                <w:sz w:val="1"/>
                <w:szCs w:val="1"/>
                <w:color w:val="auto"/>
              </w:rPr>
            </w:pPr>
          </w:p>
        </w:tc>
      </w:tr>
      <w:tr>
        <w:trPr>
          <w:trHeight w:val="41"/>
        </w:trPr>
        <w:tc>
          <w:tcPr>
            <w:tcW w:w="11360" w:type="dxa"/>
            <w:vAlign w:val="bottom"/>
            <w:gridSpan w:val="6"/>
          </w:tcPr>
          <w:p>
            <w:pPr>
              <w:spacing w:after="0"/>
              <w:rPr>
                <w:sz w:val="20"/>
                <w:szCs w:val="20"/>
                <w:color w:val="auto"/>
              </w:rPr>
            </w:pPr>
            <w:r>
              <w:rPr>
                <w:rFonts w:ascii="Arial" w:cs="Arial" w:eastAsia="Arial" w:hAnsi="Arial"/>
                <w:sz w:val="3"/>
                <w:szCs w:val="3"/>
                <w:color w:val="FFFFFF"/>
              </w:rPr>
              <w:t>First and foremost, we must act with personal integrity – always keeping in mind our values and guidelines. We must express our concerns when</w:t>
            </w:r>
          </w:p>
        </w:tc>
        <w:tc>
          <w:tcPr>
            <w:tcW w:w="0" w:type="dxa"/>
            <w:vAlign w:val="bottom"/>
          </w:tcPr>
          <w:p>
            <w:pPr>
              <w:spacing w:after="0"/>
              <w:rPr>
                <w:sz w:val="1"/>
                <w:szCs w:val="1"/>
                <w:color w:val="auto"/>
              </w:rPr>
            </w:pPr>
          </w:p>
        </w:tc>
      </w:tr>
      <w:tr>
        <w:trPr>
          <w:trHeight w:val="41"/>
        </w:trPr>
        <w:tc>
          <w:tcPr>
            <w:tcW w:w="3220" w:type="dxa"/>
            <w:vAlign w:val="bottom"/>
            <w:gridSpan w:val="3"/>
          </w:tcPr>
          <w:p>
            <w:pPr>
              <w:spacing w:after="0"/>
              <w:rPr>
                <w:sz w:val="20"/>
                <w:szCs w:val="20"/>
                <w:color w:val="auto"/>
              </w:rPr>
            </w:pPr>
            <w:r>
              <w:rPr>
                <w:rFonts w:ascii="Arial" w:cs="Arial" w:eastAsia="Arial" w:hAnsi="Arial"/>
                <w:sz w:val="3"/>
                <w:szCs w:val="3"/>
                <w:color w:val="FFFFFF"/>
              </w:rPr>
              <w:t>we believe we have not met the commitments and</w:t>
            </w:r>
          </w:p>
        </w:tc>
        <w:tc>
          <w:tcPr>
            <w:tcW w:w="1300" w:type="dxa"/>
            <w:vAlign w:val="bottom"/>
          </w:tcPr>
          <w:p>
            <w:pPr>
              <w:ind w:left="60"/>
              <w:spacing w:after="0"/>
              <w:rPr>
                <w:sz w:val="20"/>
                <w:szCs w:val="20"/>
                <w:color w:val="auto"/>
              </w:rPr>
            </w:pPr>
            <w:r>
              <w:rPr>
                <w:rFonts w:ascii="Arial" w:cs="Arial" w:eastAsia="Arial" w:hAnsi="Arial"/>
                <w:sz w:val="3"/>
                <w:szCs w:val="3"/>
                <w:color w:val="FFFFFF"/>
              </w:rPr>
              <w:t>held forth by Allison.</w:t>
            </w:r>
          </w:p>
        </w:tc>
        <w:tc>
          <w:tcPr>
            <w:tcW w:w="6840" w:type="dxa"/>
            <w:vAlign w:val="bottom"/>
            <w:gridSpan w:val="2"/>
            <w:vMerge w:val="restart"/>
          </w:tcPr>
          <w:p>
            <w:pPr>
              <w:ind w:left="440"/>
              <w:spacing w:after="0"/>
              <w:rPr>
                <w:sz w:val="20"/>
                <w:szCs w:val="20"/>
                <w:color w:val="auto"/>
              </w:rPr>
            </w:pPr>
            <w:r>
              <w:rPr>
                <w:rFonts w:ascii="Arial" w:cs="Arial" w:eastAsia="Arial" w:hAnsi="Arial"/>
                <w:sz w:val="3"/>
                <w:szCs w:val="3"/>
                <w:color w:val="FFFFFF"/>
              </w:rPr>
              <w:t>being conscientious   treating our  -workers with respect, dignity and fairness. It also requires that we do our part in</w:t>
            </w:r>
          </w:p>
        </w:tc>
        <w:tc>
          <w:tcPr>
            <w:tcW w:w="0" w:type="dxa"/>
            <w:vAlign w:val="bottom"/>
          </w:tcPr>
          <w:p>
            <w:pPr>
              <w:spacing w:after="0"/>
              <w:rPr>
                <w:sz w:val="1"/>
                <w:szCs w:val="1"/>
                <w:color w:val="auto"/>
              </w:rPr>
            </w:pPr>
          </w:p>
        </w:tc>
      </w:tr>
      <w:tr>
        <w:trPr>
          <w:trHeight w:val="0"/>
        </w:trPr>
        <w:tc>
          <w:tcPr>
            <w:tcW w:w="4520" w:type="dxa"/>
            <w:vAlign w:val="bottom"/>
            <w:gridSpan w:val="4"/>
          </w:tcPr>
          <w:p>
            <w:pPr>
              <w:spacing w:after="0" w:line="80" w:lineRule="exact"/>
              <w:rPr>
                <w:sz w:val="20"/>
                <w:szCs w:val="20"/>
                <w:color w:val="auto"/>
              </w:rPr>
            </w:pPr>
            <w:r>
              <w:rPr>
                <w:rFonts w:ascii="Arial" w:cs="Arial" w:eastAsia="Arial" w:hAnsi="Arial"/>
                <w:sz w:val="9"/>
                <w:szCs w:val="9"/>
                <w:color w:val="FFFFFF"/>
              </w:rPr>
              <w:t>Secondly, it is imperative that we act with integritystandardsonday-to-day basis in our</w:t>
            </w:r>
          </w:p>
        </w:tc>
        <w:tc>
          <w:tcPr>
            <w:tcW w:w="6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protecting</w:t>
      </w:r>
      <w:r>
        <w:rPr>
          <w:rFonts w:ascii="Arial" w:cs="Arial" w:eastAsia="Arial" w:hAnsi="Arial"/>
          <w:sz w:val="1"/>
          <w:szCs w:val="1"/>
          <w:color w:val="FFFFFF"/>
        </w:rPr>
        <w:t xml:space="preserve"> the health and safety of all employees, using Allison resources responsiblyworkplace,avoiding conflicts of interest and consistently making decisions that are in the best interest of Allison.</w:t>
      </w:r>
    </w:p>
    <w:p>
      <w:pPr>
        <w:spacing w:after="0" w:line="211" w:lineRule="auto"/>
        <w:rPr>
          <w:sz w:val="20"/>
          <w:szCs w:val="20"/>
          <w:color w:val="auto"/>
        </w:rPr>
      </w:pPr>
      <w:r>
        <w:rPr>
          <w:rFonts w:ascii="Arial" w:cs="Arial" w:eastAsia="Arial" w:hAnsi="Arial"/>
          <w:sz w:val="2"/>
          <w:szCs w:val="2"/>
          <w:color w:val="FFFFFF"/>
        </w:rPr>
        <w:t>W must conduct ourselves in the global marketplace fairly and honestly</w:t>
      </w:r>
      <w:r>
        <w:rPr>
          <w:rFonts w:ascii="Arial" w:cs="Arial" w:eastAsia="Arial" w:hAnsi="Arial"/>
          <w:sz w:val="4"/>
          <w:szCs w:val="4"/>
          <w:color w:val="FFFFFF"/>
          <w:vertAlign w:val="subscript"/>
        </w:rPr>
        <w:t>services,</w:t>
      </w:r>
      <w:r>
        <w:rPr>
          <w:rFonts w:ascii="Arial" w:cs="Arial" w:eastAsia="Arial" w:hAnsi="Arial"/>
          <w:sz w:val="2"/>
          <w:szCs w:val="2"/>
          <w:color w:val="FFFFFF"/>
        </w:rPr>
        <w:t>including the many ways in which we interact with our customers, suppliers, dealers and competitors. It will be evident that we’re acting</w:t>
      </w:r>
    </w:p>
    <w:p>
      <w:pPr>
        <w:spacing w:after="0"/>
        <w:tabs>
          <w:tab w:leader="none" w:pos="4220" w:val="left"/>
        </w:tabs>
        <w:rPr>
          <w:sz w:val="20"/>
          <w:szCs w:val="20"/>
          <w:color w:val="auto"/>
        </w:rPr>
      </w:pPr>
      <w:r>
        <w:rPr>
          <w:rFonts w:ascii="Arial" w:cs="Arial" w:eastAsia="Arial" w:hAnsi="Arial"/>
          <w:sz w:val="14"/>
          <w:szCs w:val="14"/>
          <w:color w:val="FFFFFF"/>
        </w:rPr>
        <w:t>with integrity if we’re dependable in delivering quality products and</w:t>
      </w:r>
      <w:r>
        <w:rPr>
          <w:sz w:val="20"/>
          <w:szCs w:val="20"/>
          <w:color w:val="auto"/>
        </w:rPr>
        <w:tab/>
      </w:r>
      <w:r>
        <w:rPr>
          <w:rFonts w:ascii="Arial" w:cs="Arial" w:eastAsia="Arial" w:hAnsi="Arial"/>
          <w:sz w:val="12"/>
          <w:szCs w:val="12"/>
          <w:color w:val="FFFFFF"/>
        </w:rPr>
        <w:t>communicating honestly and</w:t>
      </w:r>
    </w:p>
    <w:p>
      <w:pPr>
        <w:sectPr>
          <w:pgSz w:w="11900" w:h="16838" w:orient="portrait"/>
          <w:cols w:equalWidth="0" w:num="1">
            <w:col w:w="11380"/>
          </w:cols>
          <w:pgMar w:left="240" w:top="1440" w:right="27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80" w:type="dxa"/>
            <w:vAlign w:val="bottom"/>
            <w:gridSpan w:val="3"/>
          </w:tcPr>
          <w:p>
            <w:pPr>
              <w:spacing w:after="0"/>
              <w:rPr>
                <w:sz w:val="20"/>
                <w:szCs w:val="20"/>
                <w:color w:val="auto"/>
              </w:rPr>
            </w:pPr>
            <w:r>
              <w:rPr>
                <w:rFonts w:ascii="Arial" w:cs="Arial" w:eastAsia="Arial" w:hAnsi="Arial"/>
                <w:sz w:val="14"/>
                <w:szCs w:val="14"/>
                <w:color w:val="FFFFFF"/>
                <w:w w:val="92"/>
              </w:rPr>
              <w:t>meeting our commitments at all levels. To conduct our business with integrity also means we’re competing fairly and not allowing our decisions and business judgments to be influenced by personal</w:t>
            </w:r>
          </w:p>
        </w:tc>
        <w:tc>
          <w:tcPr>
            <w:tcW w:w="0" w:type="dxa"/>
            <w:vAlign w:val="bottom"/>
          </w:tcPr>
          <w:p>
            <w:pPr>
              <w:spacing w:after="0"/>
              <w:rPr>
                <w:sz w:val="1"/>
                <w:szCs w:val="1"/>
                <w:color w:val="auto"/>
              </w:rPr>
            </w:pPr>
          </w:p>
        </w:tc>
      </w:tr>
      <w:tr>
        <w:trPr>
          <w:trHeight w:val="81"/>
        </w:trPr>
        <w:tc>
          <w:tcPr>
            <w:tcW w:w="780" w:type="dxa"/>
            <w:vAlign w:val="bottom"/>
          </w:tcPr>
          <w:p>
            <w:pPr>
              <w:spacing w:after="0" w:line="81" w:lineRule="exact"/>
              <w:rPr>
                <w:sz w:val="20"/>
                <w:szCs w:val="20"/>
                <w:color w:val="auto"/>
              </w:rPr>
            </w:pPr>
            <w:r>
              <w:rPr>
                <w:rFonts w:ascii="Arial" w:cs="Arial" w:eastAsia="Arial" w:hAnsi="Arial"/>
                <w:sz w:val="9"/>
                <w:szCs w:val="9"/>
                <w:color w:val="FFFFFF"/>
                <w:w w:val="72"/>
              </w:rPr>
              <w:t>considerationsAscompany</w:t>
            </w:r>
          </w:p>
        </w:tc>
        <w:tc>
          <w:tcPr>
            <w:tcW w:w="10500" w:type="dxa"/>
            <w:vAlign w:val="bottom"/>
            <w:gridSpan w:val="2"/>
          </w:tcPr>
          <w:p>
            <w:pPr>
              <w:spacing w:after="0" w:line="81" w:lineRule="exact"/>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and as individuals, it is imperative that we are complying with applicable laws and regulations, protecting and enhancing the environment and improving the quality of life of individuals through</w:t>
            </w:r>
          </w:p>
        </w:tc>
        <w:tc>
          <w:tcPr>
            <w:tcW w:w="0" w:type="dxa"/>
            <w:vAlign w:val="bottom"/>
          </w:tcPr>
          <w:p>
            <w:pPr>
              <w:spacing w:after="0"/>
              <w:rPr>
                <w:sz w:val="1"/>
                <w:szCs w:val="1"/>
                <w:color w:val="auto"/>
              </w:rPr>
            </w:pPr>
          </w:p>
        </w:tc>
      </w:tr>
      <w:tr>
        <w:trPr>
          <w:trHeight w:val="41"/>
        </w:trPr>
        <w:tc>
          <w:tcPr>
            <w:tcW w:w="6760" w:type="dxa"/>
            <w:vAlign w:val="bottom"/>
            <w:gridSpan w:val="2"/>
          </w:tcPr>
          <w:p>
            <w:pPr>
              <w:spacing w:after="0"/>
              <w:rPr>
                <w:sz w:val="20"/>
                <w:szCs w:val="20"/>
                <w:color w:val="auto"/>
              </w:rPr>
            </w:pPr>
            <w:r>
              <w:rPr>
                <w:rFonts w:ascii="Arial" w:cs="Arial" w:eastAsia="Arial" w:hAnsi="Arial"/>
                <w:sz w:val="3"/>
                <w:szCs w:val="3"/>
                <w:color w:val="FFFFFF"/>
              </w:rPr>
              <w:t>our involvement in our neighborhoods and communities.</w:t>
            </w:r>
          </w:p>
        </w:tc>
        <w:tc>
          <w:tcPr>
            <w:tcW w:w="4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In their  ntirety, these guidelines are designed to provide direction in applying the principles of the Allison values in our day-to-day interactions. They are not intended to address every specific situation</w:t>
            </w:r>
          </w:p>
        </w:tc>
        <w:tc>
          <w:tcPr>
            <w:tcW w:w="0" w:type="dxa"/>
            <w:vAlign w:val="bottom"/>
          </w:tcPr>
          <w:p>
            <w:pPr>
              <w:spacing w:after="0"/>
              <w:rPr>
                <w:sz w:val="1"/>
                <w:szCs w:val="1"/>
                <w:color w:val="auto"/>
              </w:rPr>
            </w:pPr>
          </w:p>
        </w:tc>
      </w:tr>
      <w:tr>
        <w:trPr>
          <w:trHeight w:val="41"/>
        </w:trPr>
        <w:tc>
          <w:tcPr>
            <w:tcW w:w="6760" w:type="dxa"/>
            <w:vAlign w:val="bottom"/>
            <w:gridSpan w:val="2"/>
          </w:tcPr>
          <w:p>
            <w:pPr>
              <w:spacing w:after="0"/>
              <w:rPr>
                <w:sz w:val="20"/>
                <w:szCs w:val="20"/>
                <w:color w:val="auto"/>
              </w:rPr>
            </w:pPr>
            <w:r>
              <w:rPr>
                <w:rFonts w:ascii="Arial" w:cs="Arial" w:eastAsia="Arial" w:hAnsi="Arial"/>
                <w:sz w:val="3"/>
                <w:szCs w:val="3"/>
                <w:color w:val="FFFFFF"/>
              </w:rPr>
              <w:t>encount red. In some cases you will be referred to another document or location for more specific</w:t>
            </w:r>
          </w:p>
        </w:tc>
        <w:tc>
          <w:tcPr>
            <w:tcW w:w="452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consult the supplemental resources summarized at the end of this booklet. As</w:t>
            </w:r>
          </w:p>
        </w:tc>
        <w:tc>
          <w:tcPr>
            <w:tcW w:w="0" w:type="dxa"/>
            <w:vAlign w:val="bottom"/>
          </w:tcPr>
          <w:p>
            <w:pPr>
              <w:spacing w:after="0"/>
              <w:rPr>
                <w:sz w:val="1"/>
                <w:szCs w:val="1"/>
                <w:color w:val="auto"/>
              </w:rPr>
            </w:pPr>
          </w:p>
        </w:tc>
      </w:tr>
      <w:tr>
        <w:trPr>
          <w:trHeight w:val="41"/>
        </w:trPr>
        <w:tc>
          <w:tcPr>
            <w:tcW w:w="6760" w:type="dxa"/>
            <w:vAlign w:val="bottom"/>
            <w:gridSpan w:val="2"/>
          </w:tcPr>
          <w:p>
            <w:pPr>
              <w:spacing w:after="0"/>
              <w:rPr>
                <w:sz w:val="20"/>
                <w:szCs w:val="20"/>
                <w:color w:val="auto"/>
              </w:rPr>
            </w:pPr>
            <w:r>
              <w:rPr>
                <w:rFonts w:ascii="Arial" w:cs="Arial" w:eastAsia="Arial" w:hAnsi="Arial"/>
                <w:sz w:val="3"/>
                <w:szCs w:val="3"/>
                <w:color w:val="FFFFFF"/>
              </w:rPr>
              <w:t>guidance on a particular subject or policy. If you need assistance in addressing circumstances not covered in this booklet,</w:t>
            </w:r>
          </w:p>
        </w:tc>
        <w:tc>
          <w:tcPr>
            <w:tcW w:w="4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always, ask your direct leadership for guidance if you are unsure about the proper course of action to take when addressingpleasespecific situation.</w:t>
            </w:r>
          </w:p>
        </w:tc>
        <w:tc>
          <w:tcPr>
            <w:tcW w:w="0" w:type="dxa"/>
            <w:vAlign w:val="bottom"/>
          </w:tcPr>
          <w:p>
            <w:pPr>
              <w:spacing w:after="0"/>
              <w:rPr>
                <w:sz w:val="1"/>
                <w:szCs w:val="1"/>
                <w:color w:val="auto"/>
              </w:rPr>
            </w:pPr>
          </w:p>
        </w:tc>
      </w:tr>
      <w:tr>
        <w:trPr>
          <w:trHeight w:val="0"/>
        </w:trPr>
        <w:tc>
          <w:tcPr>
            <w:tcW w:w="780" w:type="dxa"/>
            <w:vAlign w:val="bottom"/>
          </w:tcPr>
          <w:p>
            <w:pPr>
              <w:spacing w:after="0" w:line="80" w:lineRule="exact"/>
              <w:rPr>
                <w:sz w:val="20"/>
                <w:szCs w:val="20"/>
                <w:color w:val="auto"/>
              </w:rPr>
            </w:pPr>
            <w:r>
              <w:rPr>
                <w:rFonts w:ascii="Arial" w:cs="Arial" w:eastAsia="Arial" w:hAnsi="Arial"/>
                <w:sz w:val="9"/>
                <w:szCs w:val="9"/>
                <w:color w:val="FFFFFF"/>
              </w:rPr>
              <w:t>Outlined in</w:t>
            </w:r>
          </w:p>
        </w:tc>
        <w:tc>
          <w:tcPr>
            <w:tcW w:w="10500" w:type="dxa"/>
            <w:vAlign w:val="bottom"/>
            <w:gridSpan w:val="2"/>
          </w:tcPr>
          <w:p>
            <w:pPr>
              <w:ind w:left="100"/>
              <w:spacing w:after="0" w:line="80" w:lineRule="exact"/>
              <w:rPr>
                <w:sz w:val="20"/>
                <w:szCs w:val="20"/>
                <w:color w:val="auto"/>
              </w:rPr>
            </w:pPr>
            <w:r>
              <w:rPr>
                <w:rFonts w:ascii="Arial" w:cs="Arial" w:eastAsia="Arial" w:hAnsi="Arial"/>
                <w:sz w:val="9"/>
                <w:szCs w:val="9"/>
                <w:color w:val="FFFFFF"/>
              </w:rPr>
              <w:t>Allison Code of Business Conduct will be information that is relevant to each and every person connected to Allison. However, certain topics will be more applicable than others depending on</w:t>
            </w:r>
          </w:p>
        </w:tc>
        <w:tc>
          <w:tcPr>
            <w:tcW w:w="0" w:type="dxa"/>
            <w:vAlign w:val="bottom"/>
          </w:tcPr>
          <w:p>
            <w:pPr>
              <w:spacing w:after="0" w:line="20" w:lineRule="exact"/>
              <w:rPr>
                <w:sz w:val="1"/>
                <w:szCs w:val="1"/>
                <w:color w:val="auto"/>
              </w:rPr>
            </w:pPr>
          </w:p>
        </w:tc>
      </w:tr>
    </w:tbl>
    <w:p>
      <w:pPr>
        <w:ind w:right="220"/>
        <w:spacing w:after="0"/>
        <w:rPr>
          <w:sz w:val="20"/>
          <w:szCs w:val="20"/>
          <w:color w:val="auto"/>
        </w:rPr>
      </w:pPr>
      <w:r>
        <w:rPr>
          <w:rFonts w:ascii="Arial" w:cs="Arial" w:eastAsia="Arial" w:hAnsi="Arial"/>
          <w:sz w:val="9"/>
          <w:szCs w:val="9"/>
          <w:color w:val="FFFFFF"/>
        </w:rPr>
        <w:t>each person’thisindividual position and responsibilities. It is important that all Allison employees and Allison Representatives familiarize themselves with the standards, beliefs and guidelines that govern the conduct of our fellow team members and Allison as a whole.</w:t>
      </w:r>
    </w:p>
    <w:p>
      <w:pPr>
        <w:sectPr>
          <w:pgSz w:w="11900" w:h="16838" w:orient="portrait"/>
          <w:cols w:equalWidth="0" w:num="1">
            <w:col w:w="11280"/>
          </w:cols>
          <w:pgMar w:left="240" w:top="1440" w:right="37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Personal</w:t>
      </w:r>
      <w:r>
        <w:rPr>
          <w:rFonts w:ascii="Arial" w:cs="Arial" w:eastAsia="Arial" w:hAnsi="Arial"/>
          <w:sz w:val="14"/>
          <w:szCs w:val="14"/>
          <w:color w:val="FFFFFF"/>
        </w:rPr>
        <w:t>ERSONAL INTEGRITY</w:t>
      </w:r>
    </w:p>
    <w:p>
      <w:pPr>
        <w:ind w:left="500"/>
        <w:spacing w:after="0"/>
        <w:rPr>
          <w:sz w:val="20"/>
          <w:szCs w:val="20"/>
          <w:color w:val="auto"/>
        </w:rPr>
      </w:pPr>
      <w:r>
        <w:rPr>
          <w:rFonts w:ascii="Arial" w:cs="Arial" w:eastAsia="Arial" w:hAnsi="Arial"/>
          <w:sz w:val="3"/>
          <w:szCs w:val="3"/>
          <w:color w:val="FFFFFF"/>
        </w:rPr>
        <w:t>integrity begins with each of us at Allison Transmission by the decisions and judgments we make as individuals every day. What a person does when no one is watching exemplifies the spirit of</w:t>
      </w:r>
    </w:p>
    <w:p>
      <w:pPr>
        <w:spacing w:after="0" w:line="194" w:lineRule="auto"/>
        <w:rPr>
          <w:sz w:val="20"/>
          <w:szCs w:val="20"/>
          <w:color w:val="auto"/>
        </w:rPr>
      </w:pPr>
      <w:r>
        <w:rPr>
          <w:rFonts w:ascii="Arial" w:cs="Arial" w:eastAsia="Arial" w:hAnsi="Arial"/>
          <w:sz w:val="5"/>
          <w:szCs w:val="5"/>
          <w:color w:val="FFFFFF"/>
        </w:rPr>
        <w:t>personal integrity. Whether our actions are associated with our professional careers or our activities outside of work, our personal behavior, judgment and the decisions we make as individuals define our personal</w:t>
      </w:r>
    </w:p>
    <w:p>
      <w:pPr>
        <w:ind w:right="60"/>
        <w:spacing w:after="0" w:line="181" w:lineRule="auto"/>
        <w:rPr>
          <w:sz w:val="20"/>
          <w:szCs w:val="20"/>
          <w:color w:val="auto"/>
        </w:rPr>
      </w:pPr>
      <w:r>
        <w:rPr>
          <w:rFonts w:ascii="Arial" w:cs="Arial" w:eastAsia="Arial" w:hAnsi="Arial"/>
          <w:sz w:val="9"/>
          <w:szCs w:val="9"/>
          <w:color w:val="FFFFFF"/>
        </w:rPr>
        <w:t>reputationsTbetterunderstand</w:t>
      </w:r>
      <w:r>
        <w:rPr>
          <w:rFonts w:ascii="Arial" w:cs="Arial" w:eastAsia="Arial" w:hAnsi="Arial"/>
          <w:sz w:val="14"/>
          <w:szCs w:val="14"/>
          <w:color w:val="FFFFFF"/>
          <w:vertAlign w:val="superscript"/>
        </w:rPr>
        <w:t>.</w:t>
      </w:r>
      <w:r>
        <w:rPr>
          <w:rFonts w:ascii="Arial" w:cs="Arial" w:eastAsia="Arial" w:hAnsi="Arial"/>
          <w:sz w:val="9"/>
          <w:szCs w:val="9"/>
          <w:color w:val="FFFFFF"/>
        </w:rPr>
        <w:t xml:space="preserve"> personal integrity, we must examine what it means at its core. At all levels, it conveys that we exemplify the Allison Core Values in our own conduct and that we are complying with Allison policies — even though we may not always fully agree with them.</w:t>
      </w:r>
    </w:p>
    <w:p>
      <w:pPr>
        <w:spacing w:after="0" w:line="212" w:lineRule="auto"/>
        <w:rPr>
          <w:sz w:val="20"/>
          <w:szCs w:val="20"/>
          <w:color w:val="auto"/>
        </w:rPr>
      </w:pPr>
      <w:r>
        <w:rPr>
          <w:rFonts w:ascii="Arial" w:cs="Arial" w:eastAsia="Arial" w:hAnsi="Arial"/>
          <w:sz w:val="4"/>
          <w:szCs w:val="4"/>
          <w:color w:val="FFFFFF"/>
          <w:vertAlign w:val="subscript"/>
        </w:rPr>
        <w:t>understandable</w:t>
      </w:r>
      <w:r>
        <w:rPr>
          <w:rFonts w:ascii="Arial" w:cs="Arial" w:eastAsia="Arial" w:hAnsi="Arial"/>
          <w:sz w:val="2"/>
          <w:szCs w:val="2"/>
          <w:color w:val="FFFFFF"/>
        </w:rPr>
        <w:t xml:space="preserve">Aspartofglobal </w:t>
      </w:r>
      <w:r>
        <w:rPr>
          <w:rFonts w:ascii="Arial" w:cs="Arial" w:eastAsia="Arial" w:hAnsi="Arial"/>
          <w:sz w:val="4"/>
          <w:szCs w:val="4"/>
          <w:color w:val="FFFFFF"/>
          <w:vertAlign w:val="subscript"/>
        </w:rPr>
        <w:t>enterprise,</w:t>
      </w:r>
      <w:r>
        <w:rPr>
          <w:rFonts w:ascii="Arial" w:cs="Arial" w:eastAsia="Arial" w:hAnsi="Arial"/>
          <w:sz w:val="2"/>
          <w:szCs w:val="2"/>
          <w:color w:val="FFFFFF"/>
        </w:rPr>
        <w:t xml:space="preserve"> differences of opinion about the appropriateness of corporate policies are inevitable. As a company with worldwide operations, Allison recognizes these differences are</w:t>
      </w:r>
    </w:p>
    <w:p>
      <w:pPr>
        <w:ind w:left="900"/>
        <w:spacing w:after="0" w:line="187" w:lineRule="auto"/>
        <w:rPr>
          <w:sz w:val="20"/>
          <w:szCs w:val="20"/>
          <w:color w:val="auto"/>
        </w:rPr>
      </w:pPr>
      <w:r>
        <w:rPr>
          <w:rFonts w:ascii="Arial" w:cs="Arial" w:eastAsia="Arial" w:hAnsi="Arial"/>
          <w:sz w:val="9"/>
          <w:szCs w:val="9"/>
          <w:color w:val="FFFFFF"/>
        </w:rPr>
        <w:t>However</w:t>
      </w:r>
    </w:p>
    <w:p>
      <w:pPr>
        <w:spacing w:after="0" w:line="186" w:lineRule="auto"/>
        <w:rPr>
          <w:sz w:val="20"/>
          <w:szCs w:val="20"/>
          <w:color w:val="auto"/>
        </w:rPr>
      </w:pPr>
      <w:r>
        <w:rPr>
          <w:rFonts w:ascii="Arial" w:cs="Arial" w:eastAsia="Arial" w:hAnsi="Arial"/>
          <w:sz w:val="9"/>
          <w:szCs w:val="9"/>
          <w:color w:val="FFFFFF"/>
          <w:vertAlign w:val="subscript"/>
        </w:rPr>
        <w:t>As</w:t>
      </w:r>
      <w:r>
        <w:rPr>
          <w:rFonts w:ascii="Arial" w:cs="Arial" w:eastAsia="Arial" w:hAnsi="Arial"/>
          <w:sz w:val="7"/>
          <w:szCs w:val="7"/>
          <w:color w:val="FFFFFF"/>
        </w:rPr>
        <w:t>It</w:t>
      </w:r>
      <w:r>
        <w:rPr>
          <w:rFonts w:ascii="Arial" w:cs="Arial" w:eastAsia="Arial" w:hAnsi="Arial"/>
          <w:sz w:val="9"/>
          <w:szCs w:val="9"/>
          <w:color w:val="FFFFFF"/>
          <w:vertAlign w:val="subscript"/>
        </w:rPr>
        <w:t>lways</w:t>
      </w:r>
      <w:r>
        <w:rPr>
          <w:rFonts w:ascii="Arial" w:cs="Arial" w:eastAsia="Arial" w:hAnsi="Arial"/>
          <w:sz w:val="7"/>
          <w:szCs w:val="7"/>
          <w:color w:val="FFFFFF"/>
        </w:rPr>
        <w:t>isessentialaskfirstthatand actuselater.oursoundIfyoujudgmentareunsureinofdeterminingwhattodo theinanyprecisesituation,meaningseekofguidanceAllison valuesbefore oryoupolicies,act. as well as the intentions and spirit behind them as we make these choices.</w:t>
      </w:r>
    </w:p>
    <w:p>
      <w:pPr>
        <w:ind w:left="820"/>
        <w:spacing w:after="0" w:line="181" w:lineRule="auto"/>
        <w:tabs>
          <w:tab w:leader="none" w:pos="1440" w:val="left"/>
        </w:tabs>
        <w:rPr>
          <w:sz w:val="20"/>
          <w:szCs w:val="20"/>
          <w:color w:val="auto"/>
        </w:rPr>
      </w:pPr>
      <w:r>
        <w:rPr>
          <w:rFonts w:ascii="Arial" w:cs="Arial" w:eastAsia="Arial" w:hAnsi="Arial"/>
          <w:sz w:val="14"/>
          <w:szCs w:val="14"/>
          <w:color w:val="FFFFFF"/>
        </w:rPr>
        <w:t>.</w:t>
      </w:r>
      <w:r>
        <w:rPr>
          <w:sz w:val="20"/>
          <w:szCs w:val="20"/>
          <w:color w:val="auto"/>
        </w:rPr>
        <w:tab/>
      </w:r>
      <w:r>
        <w:rPr>
          <w:rFonts w:ascii="Arial" w:cs="Arial" w:eastAsia="Arial" w:hAnsi="Arial"/>
          <w:sz w:val="14"/>
          <w:szCs w:val="14"/>
          <w:color w:val="FFFFFF"/>
        </w:rPr>
        <w:t>it is important to comply even when you disagree.</w:t>
      </w:r>
    </w:p>
    <w:p>
      <w:pPr>
        <w:ind w:left="280"/>
        <w:spacing w:after="0" w:line="212" w:lineRule="auto"/>
        <w:rPr>
          <w:sz w:val="20"/>
          <w:szCs w:val="20"/>
          <w:color w:val="auto"/>
        </w:rPr>
      </w:pPr>
      <w:r>
        <w:rPr>
          <w:rFonts w:ascii="Arial" w:cs="Arial" w:eastAsia="Arial" w:hAnsi="Arial"/>
          <w:sz w:val="2"/>
          <w:szCs w:val="2"/>
          <w:color w:val="FFFFFF"/>
        </w:rPr>
        <w:t>corporation, Allison’s reputati</w:t>
      </w:r>
      <w:r>
        <w:rPr>
          <w:rFonts w:ascii="Arial" w:cs="Arial" w:eastAsia="Arial" w:hAnsi="Arial"/>
          <w:sz w:val="4"/>
          <w:szCs w:val="4"/>
          <w:color w:val="FFFFFF"/>
          <w:vertAlign w:val="subscript"/>
        </w:rPr>
        <w:t>anyone</w:t>
      </w:r>
      <w:r>
        <w:rPr>
          <w:rFonts w:ascii="Arial" w:cs="Arial" w:eastAsia="Arial" w:hAnsi="Arial"/>
          <w:sz w:val="2"/>
          <w:szCs w:val="2"/>
          <w:color w:val="FFFFFF"/>
        </w:rPr>
        <w:t>depends on the actions and decisions of all its employees and Allison Representatives — each and every one of us. There is no doubt that the actions of one person can</w:t>
      </w:r>
    </w:p>
    <w:p>
      <w:pPr>
        <w:ind w:right="40"/>
        <w:spacing w:after="0" w:line="181" w:lineRule="auto"/>
        <w:rPr>
          <w:sz w:val="20"/>
          <w:szCs w:val="20"/>
          <w:color w:val="auto"/>
        </w:rPr>
      </w:pPr>
      <w:r>
        <w:rPr>
          <w:rFonts w:ascii="Arial" w:cs="Arial" w:eastAsia="Arial" w:hAnsi="Arial"/>
          <w:sz w:val="7"/>
          <w:szCs w:val="7"/>
          <w:color w:val="FFFFFF"/>
        </w:rPr>
        <w:t>damage the reputation of all. If compromises the core values or policies of Allison, it is your individual responsibility to take immediate action by either informing the person directly or using other avenues to voice concerns. In most cases, the best option is to discuss the matter with your direct leadership. You can also express your concerns or issues to other experts in the company’s Legal, Audit, Security or Human Resources departments.</w:t>
      </w:r>
    </w:p>
    <w:p>
      <w:pPr>
        <w:spacing w:after="0"/>
        <w:rPr>
          <w:sz w:val="20"/>
          <w:szCs w:val="20"/>
          <w:color w:val="auto"/>
        </w:rPr>
      </w:pPr>
      <w:r>
        <w:rPr>
          <w:rFonts w:ascii="Arial" w:cs="Arial" w:eastAsia="Arial" w:hAnsi="Arial"/>
          <w:sz w:val="12"/>
          <w:szCs w:val="12"/>
          <w:color w:val="FFFFFF"/>
        </w:rPr>
        <w:t>Another alternative available to everyone globally is the Allison Care Line; this option may provide a measure of anonymity for those who may be uncomfortable openly discussing concerns.</w:t>
      </w:r>
    </w:p>
    <w:p>
      <w:pPr>
        <w:sectPr>
          <w:pgSz w:w="11900" w:h="16838" w:orient="portrait"/>
          <w:cols w:equalWidth="0" w:num="1">
            <w:col w:w="11420"/>
          </w:cols>
          <w:pgMar w:left="240" w:top="1440" w:right="23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7"/>
          <w:szCs w:val="27"/>
          <w:color w:val="FFFFFF"/>
          <w:vertAlign w:val="subscript"/>
        </w:rPr>
        <w:t>Because</w:t>
      </w:r>
      <w:r>
        <w:rPr>
          <w:rFonts w:ascii="Arial" w:cs="Arial" w:eastAsia="Arial" w:hAnsi="Arial"/>
          <w:sz w:val="14"/>
          <w:szCs w:val="14"/>
          <w:color w:val="FFFFFF"/>
        </w:rPr>
        <w:t>Undertanding the Rules</w:t>
      </w:r>
    </w:p>
    <w:p>
      <w:pPr>
        <w:ind w:firstLine="484"/>
        <w:spacing w:after="0"/>
        <w:rPr>
          <w:sz w:val="20"/>
          <w:szCs w:val="20"/>
          <w:color w:val="auto"/>
        </w:rPr>
      </w:pPr>
      <w:r>
        <w:rPr>
          <w:rFonts w:ascii="Arial" w:cs="Arial" w:eastAsia="Arial" w:hAnsi="Arial"/>
          <w:sz w:val="7"/>
          <w:szCs w:val="7"/>
          <w:color w:val="FFFFFF"/>
        </w:rPr>
        <w:t>laws are complex and changing, good intentions are not always enough to ensure compliance. Everyone whose work is directly affected by particular laws must understand the legal rules well enough to spot problems and know when to get advice. Contact the Allison Legal department with any questions about obligations that may affect your role.</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Acting With Integrity When the Rules Seem Unclear</w:t>
      </w:r>
    </w:p>
    <w:p>
      <w:pPr>
        <w:spacing w:after="0" w:line="6" w:lineRule="exact"/>
        <w:rPr>
          <w:sz w:val="20"/>
          <w:szCs w:val="20"/>
          <w:color w:val="auto"/>
        </w:rPr>
      </w:pPr>
    </w:p>
    <w:p>
      <w:pPr>
        <w:ind w:right="140"/>
        <w:spacing w:after="0"/>
        <w:rPr>
          <w:sz w:val="20"/>
          <w:szCs w:val="20"/>
          <w:color w:val="auto"/>
        </w:rPr>
      </w:pPr>
      <w:r>
        <w:rPr>
          <w:rFonts w:ascii="Arial" w:cs="Arial" w:eastAsia="Arial" w:hAnsi="Arial"/>
          <w:sz w:val="8"/>
          <w:szCs w:val="8"/>
          <w:color w:val="FFFFFF"/>
        </w:rPr>
        <w:t>Not all situations are clear cut, so good judgment is essential. Be alert to warning signs. If a questionable proposal is defended as “doing whatever it takes” or because “our competition does it” or “no one will ever know” or “we’ve done it this way before,” chances are it needs to be reconsidered.</w:t>
      </w:r>
    </w:p>
    <w:p>
      <w:pPr>
        <w:spacing w:after="0" w:line="182" w:lineRule="auto"/>
        <w:rPr>
          <w:sz w:val="20"/>
          <w:szCs w:val="20"/>
          <w:color w:val="auto"/>
        </w:rPr>
      </w:pPr>
      <w:r>
        <w:rPr>
          <w:rFonts w:ascii="Arial" w:cs="Arial" w:eastAsia="Arial" w:hAnsi="Arial"/>
          <w:sz w:val="8"/>
          <w:szCs w:val="8"/>
          <w:color w:val="FFFFFF"/>
          <w:vertAlign w:val="subscript"/>
        </w:rPr>
        <w:t>Is</w:t>
      </w:r>
      <w:r>
        <w:rPr>
          <w:rFonts w:ascii="Arial" w:cs="Arial" w:eastAsia="Arial" w:hAnsi="Arial"/>
          <w:sz w:val="7"/>
          <w:szCs w:val="7"/>
          <w:color w:val="FFFFFF"/>
        </w:rPr>
        <w:t>When</w:t>
      </w:r>
      <w:r>
        <w:rPr>
          <w:rFonts w:ascii="Arial" w:cs="Arial" w:eastAsia="Arial" w:hAnsi="Arial"/>
          <w:sz w:val="8"/>
          <w:szCs w:val="8"/>
          <w:color w:val="FFFFFF"/>
          <w:vertAlign w:val="subscript"/>
        </w:rPr>
        <w:t>it</w:t>
      </w:r>
      <w:r>
        <w:rPr>
          <w:rFonts w:ascii="Arial" w:cs="Arial" w:eastAsia="Arial" w:hAnsi="Arial"/>
          <w:sz w:val="7"/>
          <w:szCs w:val="7"/>
          <w:color w:val="FFFFFF"/>
        </w:rPr>
        <w:t>legal?indoubt about the right choice, ask yourself:</w:t>
      </w:r>
    </w:p>
    <w:p>
      <w:pPr>
        <w:ind w:left="240"/>
        <w:spacing w:after="0" w:line="188" w:lineRule="auto"/>
        <w:rPr>
          <w:sz w:val="20"/>
          <w:szCs w:val="20"/>
          <w:color w:val="auto"/>
        </w:rPr>
      </w:pPr>
      <w:r>
        <w:rPr>
          <w:rFonts w:ascii="Arial" w:cs="Arial" w:eastAsia="Arial" w:hAnsi="Arial"/>
          <w:sz w:val="9"/>
          <w:szCs w:val="9"/>
          <w:color w:val="FFFFFF"/>
        </w:rPr>
        <w:t>consistent with our core values and policies?</w:t>
      </w:r>
    </w:p>
    <w:p>
      <w:pPr>
        <w:spacing w:after="0"/>
        <w:rPr>
          <w:sz w:val="20"/>
          <w:szCs w:val="20"/>
          <w:color w:val="auto"/>
        </w:rPr>
      </w:pPr>
      <w:r>
        <w:rPr>
          <w:rFonts w:ascii="Arial" w:cs="Arial" w:eastAsia="Arial" w:hAnsi="Arial"/>
          <w:sz w:val="3"/>
          <w:szCs w:val="3"/>
          <w:color w:val="FFFFFF"/>
        </w:rPr>
        <w:t>DoWould you be willing to be accountable for your actions?</w:t>
      </w:r>
    </w:p>
    <w:p>
      <w:pPr>
        <w:spacing w:after="0" w:line="181" w:lineRule="auto"/>
        <w:rPr>
          <w:sz w:val="20"/>
          <w:szCs w:val="20"/>
          <w:color w:val="auto"/>
        </w:rPr>
      </w:pPr>
      <w:r>
        <w:rPr>
          <w:rFonts w:ascii="Arial" w:cs="Arial" w:eastAsia="Arial" w:hAnsi="Arial"/>
          <w:sz w:val="10"/>
          <w:szCs w:val="10"/>
          <w:color w:val="FFFFFF"/>
        </w:rPr>
        <w:t>Take personal responsibility consistently for performing assignments with Allison policies and all applicable laws and regulations.</w:t>
      </w:r>
    </w:p>
    <w:p>
      <w:pPr>
        <w:spacing w:after="0" w:line="188" w:lineRule="auto"/>
        <w:rPr>
          <w:sz w:val="20"/>
          <w:szCs w:val="20"/>
          <w:color w:val="auto"/>
        </w:rPr>
      </w:pPr>
      <w:r>
        <w:rPr>
          <w:rFonts w:ascii="Arial" w:cs="Arial" w:eastAsia="Arial" w:hAnsi="Arial"/>
          <w:sz w:val="7"/>
          <w:szCs w:val="7"/>
          <w:color w:val="FFFFFF"/>
        </w:rPr>
        <w:t>N</w:t>
      </w:r>
      <w:r>
        <w:rPr>
          <w:rFonts w:ascii="Arial" w:cs="Arial" w:eastAsia="Arial" w:hAnsi="Arial"/>
          <w:sz w:val="9"/>
          <w:szCs w:val="9"/>
          <w:color w:val="FFFFFF"/>
          <w:vertAlign w:val="superscript"/>
        </w:rPr>
        <w:t>Don’</w:t>
      </w:r>
      <w:r>
        <w:rPr>
          <w:rFonts w:ascii="Arial" w:cs="Arial" w:eastAsia="Arial" w:hAnsi="Arial"/>
          <w:sz w:val="7"/>
          <w:szCs w:val="7"/>
          <w:color w:val="FFFFFF"/>
        </w:rPr>
        <w:t>Know</w:t>
      </w:r>
      <w:r>
        <w:rPr>
          <w:rFonts w:ascii="Arial" w:cs="Arial" w:eastAsia="Arial" w:hAnsi="Arial"/>
          <w:sz w:val="9"/>
          <w:szCs w:val="9"/>
          <w:color w:val="FFFFFF"/>
          <w:vertAlign w:val="superscript"/>
        </w:rPr>
        <w:t>tify</w:t>
      </w:r>
      <w:r>
        <w:rPr>
          <w:rFonts w:ascii="Arial" w:cs="Arial" w:eastAsia="Arial" w:hAnsi="Arial"/>
          <w:sz w:val="7"/>
          <w:szCs w:val="7"/>
          <w:color w:val="FFFFFF"/>
        </w:rPr>
        <w:t xml:space="preserve"> theyourrules.directSeekleadershipguidanceorfromtheLegaltheLegaldepartmentdepartmentifyouorhaveotheranysubjectdoubtsmatteraboutexpertswhetheraboutanactionlawsandislegalregulationsorviolatesrelatingAllisontoyourpolicies.work.</w:t>
      </w:r>
    </w:p>
    <w:p>
      <w:pPr>
        <w:ind w:left="1980"/>
        <w:spacing w:after="0" w:line="200" w:lineRule="auto"/>
        <w:rPr>
          <w:sz w:val="20"/>
          <w:szCs w:val="20"/>
          <w:color w:val="auto"/>
        </w:rPr>
      </w:pPr>
      <w:r>
        <w:rPr>
          <w:rFonts w:ascii="Arial" w:cs="Arial" w:eastAsia="Arial" w:hAnsi="Arial"/>
          <w:sz w:val="3"/>
          <w:szCs w:val="3"/>
          <w:color w:val="FFFFFF"/>
          <w:vertAlign w:val="subscript"/>
        </w:rPr>
        <w:t>Assume</w:t>
      </w:r>
      <w:r>
        <w:rPr>
          <w:rFonts w:ascii="Arial" w:cs="Arial" w:eastAsia="Arial" w:hAnsi="Arial"/>
          <w:sz w:val="2"/>
          <w:szCs w:val="2"/>
          <w:color w:val="FFFFFF"/>
        </w:rPr>
        <w:t xml:space="preserve"> someone else will correct </w:t>
      </w:r>
      <w:r>
        <w:rPr>
          <w:rFonts w:ascii="Arial" w:cs="Arial" w:eastAsia="Arial" w:hAnsi="Arial"/>
          <w:sz w:val="3"/>
          <w:szCs w:val="3"/>
          <w:color w:val="FFFFFF"/>
          <w:vertAlign w:val="subscript"/>
        </w:rPr>
        <w:t>legal</w:t>
      </w:r>
      <w:r>
        <w:rPr>
          <w:rFonts w:ascii="Arial" w:cs="Arial" w:eastAsia="Arial" w:hAnsi="Arial"/>
          <w:sz w:val="2"/>
          <w:szCs w:val="2"/>
          <w:color w:val="FFFFFF"/>
        </w:rPr>
        <w:t>problem.</w:t>
      </w:r>
    </w:p>
    <w:p>
      <w:pPr>
        <w:ind w:left="480"/>
        <w:spacing w:after="0" w:line="187" w:lineRule="auto"/>
        <w:rPr>
          <w:sz w:val="20"/>
          <w:szCs w:val="20"/>
          <w:color w:val="auto"/>
        </w:rPr>
      </w:pPr>
      <w:r>
        <w:rPr>
          <w:rFonts w:ascii="Arial" w:cs="Arial" w:eastAsia="Arial" w:hAnsi="Arial"/>
          <w:sz w:val="9"/>
          <w:szCs w:val="9"/>
          <w:color w:val="FFFFFF"/>
        </w:rPr>
        <w:t>it’ acceptable to follow instructions that violate the law or Allison policy.</w:t>
      </w:r>
    </w:p>
    <w:p>
      <w:pPr>
        <w:ind w:left="480"/>
        <w:spacing w:after="0"/>
        <w:tabs>
          <w:tab w:leader="none" w:pos="2140" w:val="left"/>
        </w:tabs>
        <w:rPr>
          <w:sz w:val="20"/>
          <w:szCs w:val="20"/>
          <w:color w:val="auto"/>
        </w:rPr>
      </w:pPr>
      <w:r>
        <w:rPr>
          <w:rFonts w:ascii="Arial" w:cs="Arial" w:eastAsia="Arial" w:hAnsi="Arial"/>
          <w:sz w:val="14"/>
          <w:szCs w:val="14"/>
          <w:color w:val="FFFFFF"/>
        </w:rPr>
        <w:t>a questionable practice is</w:t>
      </w:r>
      <w:r>
        <w:rPr>
          <w:sz w:val="20"/>
          <w:szCs w:val="20"/>
          <w:color w:val="auto"/>
        </w:rPr>
        <w:tab/>
      </w:r>
      <w:r>
        <w:rPr>
          <w:rFonts w:ascii="Arial" w:cs="Arial" w:eastAsia="Arial" w:hAnsi="Arial"/>
          <w:sz w:val="11"/>
          <w:szCs w:val="11"/>
          <w:color w:val="FFFFFF"/>
        </w:rPr>
        <w:t>just because it has been done by someone else.</w:t>
      </w:r>
    </w:p>
    <w:p>
      <w:pPr>
        <w:sectPr>
          <w:pgSz w:w="11900" w:h="16838" w:orient="portrait"/>
          <w:cols w:equalWidth="0" w:num="1">
            <w:col w:w="11380"/>
          </w:cols>
          <w:pgMar w:left="240" w:top="1440" w:right="27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ind w:left="760"/>
              <w:spacing w:after="0"/>
              <w:rPr>
                <w:sz w:val="20"/>
                <w:szCs w:val="20"/>
                <w:color w:val="auto"/>
              </w:rPr>
            </w:pPr>
            <w:r>
              <w:rPr>
                <w:rFonts w:ascii="Arial" w:cs="Arial" w:eastAsia="Arial" w:hAnsi="Arial"/>
                <w:sz w:val="14"/>
                <w:szCs w:val="14"/>
                <w:color w:val="FFFFFF"/>
              </w:rPr>
              <w:t>IN THE WORKPLACE</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320" w:type="dxa"/>
            <w:vAlign w:val="bottom"/>
          </w:tcPr>
          <w:p>
            <w:pPr>
              <w:spacing w:after="0"/>
              <w:rPr>
                <w:sz w:val="20"/>
                <w:szCs w:val="20"/>
                <w:color w:val="auto"/>
              </w:rPr>
            </w:pPr>
            <w:r>
              <w:rPr>
                <w:rFonts w:ascii="Arial" w:cs="Arial" w:eastAsia="Arial" w:hAnsi="Arial"/>
                <w:sz w:val="3"/>
                <w:szCs w:val="3"/>
                <w:color w:val="FFFFFF"/>
              </w:rPr>
              <w:t>Fair  reatment and Respect</w:t>
            </w: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INTEGRITYAllisonransmission hires, promotes, trains and pays based on merit, experience or other work-related criteria. Allison values the wide range of backgrounds of our employees. Allison views our diversity as a</w:t>
            </w:r>
          </w:p>
        </w:tc>
        <w:tc>
          <w:tcPr>
            <w:tcW w:w="0" w:type="dxa"/>
            <w:vAlign w:val="bottom"/>
          </w:tcPr>
          <w:p>
            <w:pPr>
              <w:spacing w:after="0"/>
              <w:rPr>
                <w:sz w:val="1"/>
                <w:szCs w:val="1"/>
                <w:color w:val="auto"/>
              </w:rPr>
            </w:pP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strength and strives to create work environments that accept and tolerate differences while promoting productivity and teamwork. Each of us is responsible for creating and maintaining a productive work</w:t>
            </w:r>
          </w:p>
        </w:tc>
        <w:tc>
          <w:tcPr>
            <w:tcW w:w="0" w:type="dxa"/>
            <w:vAlign w:val="bottom"/>
          </w:tcPr>
          <w:p>
            <w:pPr>
              <w:spacing w:after="0"/>
              <w:rPr>
                <w:sz w:val="1"/>
                <w:szCs w:val="1"/>
                <w:color w:val="auto"/>
              </w:rPr>
            </w:pPr>
          </w:p>
        </w:tc>
      </w:tr>
      <w:tr>
        <w:trPr>
          <w:trHeight w:val="41"/>
        </w:trPr>
        <w:tc>
          <w:tcPr>
            <w:tcW w:w="8320" w:type="dxa"/>
            <w:vAlign w:val="bottom"/>
          </w:tcPr>
          <w:p>
            <w:pPr>
              <w:spacing w:after="0"/>
              <w:rPr>
                <w:sz w:val="20"/>
                <w:szCs w:val="20"/>
                <w:color w:val="auto"/>
              </w:rPr>
            </w:pPr>
            <w:r>
              <w:rPr>
                <w:rFonts w:ascii="Arial" w:cs="Arial" w:eastAsia="Arial" w:hAnsi="Arial"/>
                <w:sz w:val="3"/>
                <w:szCs w:val="3"/>
                <w:color w:val="FFFFFF"/>
              </w:rPr>
              <w:t>environment wh re the dignity of all employees is respected.</w:t>
            </w: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320" w:type="dxa"/>
            <w:vAlign w:val="bottom"/>
          </w:tcPr>
          <w:p>
            <w:pPr>
              <w:spacing w:after="0"/>
              <w:rPr>
                <w:sz w:val="20"/>
                <w:szCs w:val="20"/>
                <w:color w:val="auto"/>
              </w:rPr>
            </w:pPr>
            <w:r>
              <w:rPr>
                <w:rFonts w:ascii="Arial" w:cs="Arial" w:eastAsia="Arial" w:hAnsi="Arial"/>
                <w:sz w:val="3"/>
                <w:szCs w:val="3"/>
                <w:color w:val="FFFFFF"/>
              </w:rPr>
              <w:t>Equal Employment Opportunity</w:t>
            </w:r>
          </w:p>
        </w:tc>
        <w:tc>
          <w:tcPr>
            <w:tcW w:w="3000" w:type="dxa"/>
            <w:vAlign w:val="bottom"/>
            <w:vMerge w:val="restart"/>
          </w:tcPr>
          <w:p>
            <w:pPr>
              <w:ind w:left="320"/>
              <w:spacing w:after="0"/>
              <w:rPr>
                <w:sz w:val="20"/>
                <w:szCs w:val="20"/>
                <w:color w:val="auto"/>
              </w:rPr>
            </w:pPr>
            <w:r>
              <w:rPr>
                <w:rFonts w:ascii="Arial" w:cs="Arial" w:eastAsia="Arial" w:hAnsi="Arial"/>
                <w:sz w:val="3"/>
                <w:szCs w:val="3"/>
                <w:color w:val="FFFFFF"/>
              </w:rPr>
              <w:t>environments free of discrimination, hostility and</w:t>
            </w:r>
          </w:p>
        </w:tc>
        <w:tc>
          <w:tcPr>
            <w:tcW w:w="0" w:type="dxa"/>
            <w:vAlign w:val="bottom"/>
          </w:tcPr>
          <w:p>
            <w:pPr>
              <w:spacing w:after="0"/>
              <w:rPr>
                <w:sz w:val="1"/>
                <w:szCs w:val="1"/>
                <w:color w:val="auto"/>
              </w:rPr>
            </w:pPr>
          </w:p>
        </w:tc>
      </w:tr>
      <w:tr>
        <w:trPr>
          <w:trHeight w:val="0"/>
        </w:trPr>
        <w:tc>
          <w:tcPr>
            <w:tcW w:w="8320" w:type="dxa"/>
            <w:vAlign w:val="bottom"/>
          </w:tcPr>
          <w:p>
            <w:pPr>
              <w:spacing w:after="0" w:line="80" w:lineRule="exact"/>
              <w:rPr>
                <w:sz w:val="20"/>
                <w:szCs w:val="20"/>
                <w:color w:val="auto"/>
              </w:rPr>
            </w:pPr>
            <w:r>
              <w:rPr>
                <w:rFonts w:ascii="Arial" w:cs="Arial" w:eastAsia="Arial" w:hAnsi="Arial"/>
                <w:sz w:val="9"/>
                <w:szCs w:val="9"/>
                <w:color w:val="FFFFFF"/>
              </w:rPr>
              <w:t>Allison is committed to equal employment opportunity and extends employment opportunities to all qualified applicants. Allison strives to maintain</w:t>
            </w: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80"/>
        <w:spacing w:after="0"/>
        <w:rPr>
          <w:sz w:val="20"/>
          <w:szCs w:val="20"/>
          <w:color w:val="auto"/>
        </w:rPr>
      </w:pPr>
      <w:r>
        <w:rPr>
          <w:rFonts w:ascii="Arial" w:cs="Arial" w:eastAsia="Arial" w:hAnsi="Arial"/>
          <w:sz w:val="3"/>
          <w:szCs w:val="3"/>
          <w:color w:val="FFFFFF"/>
        </w:rPr>
        <w:t>physical or verbal harassment with respect to age, race, color, sex, religion, national origin, disability, sexual orientation, gender identity/expression orworkplacebeingdisabled veteran, a veteran of the Vietnam Era or other covered veterans.</w:t>
      </w:r>
    </w:p>
    <w:p>
      <w:pPr>
        <w:spacing w:after="0" w:line="7"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Allison employees are entitled to a work environment free from conduct that even appears disrespectful. Certain jokes, cartoons, pictures, language, gestures and touching may offend people and may result in a hostile work environment, which Allison does not tolerate.</w:t>
      </w:r>
    </w:p>
    <w:p>
      <w:pPr>
        <w:sectPr>
          <w:pgSz w:w="11900" w:h="16838" w:orient="portrait"/>
          <w:cols w:equalWidth="0" w:num="1">
            <w:col w:w="11320"/>
          </w:cols>
          <w:pgMar w:left="240" w:top="1440" w:right="3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color w:val="FFFFFF"/>
                <w:w w:val="88"/>
              </w:rPr>
              <w:t>Health and Safety</w:t>
            </w:r>
          </w:p>
        </w:tc>
        <w:tc>
          <w:tcPr>
            <w:tcW w:w="10240" w:type="dxa"/>
            <w:vAlign w:val="bottom"/>
          </w:tcPr>
          <w:p>
            <w:pPr>
              <w:spacing w:after="0"/>
              <w:rPr>
                <w:sz w:val="14"/>
                <w:szCs w:val="14"/>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Allison’ overriding priority is to protect the health and safety of each employee. We all have a stake in a healthy, injury-free work environment that protects the health and safety of each employee. We should</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not compromise any person’ well-being   anything we do.</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This means following procedures for reducing accident risks and it means using equipment safely. It means following safe workplace practices no exceptions, no shortcuts. It means promptly voicing safety</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concerns to direct leadership so we can correct situations that may endanger employees. Don’t assume that a safety hazard has been reported - take responsibility for reporting it yourself.</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Allison encourages employees to continue safe practices outside of the office, such as following safe driving practices: wearing your seatbelt, avoiding distractions (cell phones and texting), not driving while</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impaired and obeying traffic laws and speed limits.</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For more information on Allison Health and Safety policies, please visit the Global Health and Safety website.</w:t>
            </w: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Do</w:t>
            </w:r>
          </w:p>
        </w:tc>
        <w:tc>
          <w:tcPr>
            <w:tcW w:w="10240" w:type="dxa"/>
            <w:vAlign w:val="bottom"/>
          </w:tcPr>
          <w:p>
            <w:pPr>
              <w:spacing w:after="0"/>
              <w:rPr>
                <w:sz w:val="3"/>
                <w:szCs w:val="3"/>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Base personnel decisions on merit.</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Comply with all applicable workplace health and safety laws, regulations, procedures and Allison’s policies.</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Always observe safety protocols.</w:t>
            </w: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If you must use a phone while driving, use a hands-free device.</w:t>
            </w: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Don’t</w:t>
            </w:r>
          </w:p>
        </w:tc>
        <w:tc>
          <w:tcPr>
            <w:tcW w:w="10240" w:type="dxa"/>
            <w:vAlign w:val="bottom"/>
          </w:tcPr>
          <w:p>
            <w:pPr>
              <w:spacing w:after="0"/>
              <w:rPr>
                <w:sz w:val="3"/>
                <w:szCs w:val="3"/>
                <w:color w:val="auto"/>
              </w:rPr>
            </w:pPr>
          </w:p>
        </w:tc>
      </w:tr>
      <w:tr>
        <w:trPr>
          <w:trHeight w:val="41"/>
        </w:trPr>
        <w:tc>
          <w:tcPr>
            <w:tcW w:w="11240" w:type="dxa"/>
            <w:vAlign w:val="bottom"/>
            <w:gridSpan w:val="2"/>
          </w:tcPr>
          <w:p>
            <w:pPr>
              <w:spacing w:after="0"/>
              <w:rPr>
                <w:sz w:val="20"/>
                <w:szCs w:val="20"/>
                <w:color w:val="auto"/>
              </w:rPr>
            </w:pPr>
            <w:r>
              <w:rPr>
                <w:rFonts w:ascii="Arial" w:cs="Arial" w:eastAsia="Arial" w:hAnsi="Arial"/>
                <w:sz w:val="3"/>
                <w:szCs w:val="3"/>
                <w:color w:val="FFFFFF"/>
              </w:rPr>
              <w:t>Engage in unsafe w rkplace activities or create unsafe workplace conditions.</w:t>
            </w:r>
          </w:p>
        </w:tc>
      </w:tr>
      <w:tr>
        <w:trPr>
          <w:trHeight w:val="0"/>
        </w:trPr>
        <w:tc>
          <w:tcPr>
            <w:tcW w:w="1000" w:type="dxa"/>
            <w:vAlign w:val="bottom"/>
          </w:tcPr>
          <w:p>
            <w:pPr>
              <w:spacing w:after="0"/>
              <w:rPr>
                <w:sz w:val="20"/>
                <w:szCs w:val="20"/>
                <w:color w:val="auto"/>
              </w:rPr>
            </w:pPr>
            <w:r>
              <w:rPr>
                <w:rFonts w:ascii="Arial" w:cs="Arial" w:eastAsia="Arial" w:hAnsi="Arial"/>
                <w:sz w:val="3"/>
                <w:szCs w:val="3"/>
                <w:color w:val="FFFFFF"/>
              </w:rPr>
              <w:t>Ignore any</w:t>
            </w:r>
          </w:p>
        </w:tc>
        <w:tc>
          <w:tcPr>
            <w:tcW w:w="10240" w:type="dxa"/>
            <w:vAlign w:val="bottom"/>
          </w:tcPr>
          <w:p>
            <w:pPr>
              <w:spacing w:after="0"/>
              <w:rPr>
                <w:sz w:val="20"/>
                <w:szCs w:val="20"/>
                <w:color w:val="auto"/>
              </w:rPr>
            </w:pPr>
            <w:r>
              <w:rPr>
                <w:rFonts w:ascii="Arial" w:cs="Arial" w:eastAsia="Arial" w:hAnsi="Arial"/>
                <w:sz w:val="3"/>
                <w:szCs w:val="3"/>
                <w:color w:val="FFFFFF"/>
              </w:rPr>
              <w:t>conditions or assume someone else will correct a problem.</w:t>
            </w:r>
          </w:p>
        </w:tc>
      </w:tr>
    </w:tbl>
    <w:p>
      <w:pPr>
        <w:spacing w:after="0" w:line="180" w:lineRule="auto"/>
        <w:rPr>
          <w:sz w:val="20"/>
          <w:szCs w:val="20"/>
          <w:color w:val="auto"/>
        </w:rPr>
      </w:pPr>
      <w:r>
        <w:rPr>
          <w:rFonts w:ascii="Arial" w:cs="Arial" w:eastAsia="Arial" w:hAnsi="Arial"/>
          <w:sz w:val="14"/>
          <w:szCs w:val="14"/>
          <w:color w:val="FFFFFF"/>
        </w:rPr>
        <w:t>Assume thatunsafesafety or environmental hazard has been reported; you must take responsibility for reporting it yourself.</w:t>
      </w:r>
    </w:p>
    <w:p>
      <w:pPr>
        <w:sectPr>
          <w:pgSz w:w="11900" w:h="16838" w:orient="portrait"/>
          <w:cols w:equalWidth="0" w:num="1">
            <w:col w:w="11240"/>
          </w:cols>
          <w:pgMar w:left="240" w:top="1440" w:right="41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tcPr>
          <w:p>
            <w:pPr>
              <w:spacing w:after="0"/>
              <w:rPr>
                <w:sz w:val="20"/>
                <w:szCs w:val="20"/>
                <w:color w:val="auto"/>
              </w:rPr>
            </w:pPr>
            <w:r>
              <w:rPr>
                <w:rFonts w:ascii="Arial" w:cs="Arial" w:eastAsia="Arial" w:hAnsi="Arial"/>
                <w:sz w:val="14"/>
                <w:szCs w:val="14"/>
                <w:color w:val="FFFFFF"/>
              </w:rPr>
              <w:t>Conicts of Interest</w:t>
            </w:r>
          </w:p>
        </w:tc>
        <w:tc>
          <w:tcPr>
            <w:tcW w:w="4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vMerge w:val="restart"/>
          </w:tcPr>
          <w:p>
            <w:pPr>
              <w:ind w:left="100"/>
              <w:spacing w:after="0"/>
              <w:rPr>
                <w:sz w:val="20"/>
                <w:szCs w:val="20"/>
                <w:color w:val="auto"/>
              </w:rPr>
            </w:pPr>
            <w:r>
              <w:rPr>
                <w:rFonts w:ascii="Arial" w:cs="Arial" w:eastAsia="Arial" w:hAnsi="Arial"/>
                <w:sz w:val="14"/>
                <w:szCs w:val="14"/>
                <w:color w:val="FFFFFF"/>
                <w:w w:val="90"/>
              </w:rPr>
              <w:t>Allison. The appearance of a</w:t>
            </w:r>
          </w:p>
        </w:tc>
        <w:tc>
          <w:tcPr>
            <w:tcW w:w="0" w:type="dxa"/>
            <w:vAlign w:val="bottom"/>
          </w:tcPr>
          <w:p>
            <w:pPr>
              <w:spacing w:after="0"/>
              <w:rPr>
                <w:sz w:val="1"/>
                <w:szCs w:val="1"/>
                <w:color w:val="auto"/>
              </w:rPr>
            </w:pPr>
          </w:p>
        </w:tc>
      </w:tr>
      <w:tr>
        <w:trPr>
          <w:trHeight w:val="41"/>
        </w:trPr>
        <w:tc>
          <w:tcPr>
            <w:tcW w:w="9640" w:type="dxa"/>
            <w:vAlign w:val="bottom"/>
            <w:gridSpan w:val="4"/>
          </w:tcPr>
          <w:p>
            <w:pPr>
              <w:spacing w:after="0"/>
              <w:rPr>
                <w:sz w:val="20"/>
                <w:szCs w:val="20"/>
                <w:color w:val="auto"/>
              </w:rPr>
            </w:pPr>
            <w:r>
              <w:rPr>
                <w:rFonts w:ascii="Arial" w:cs="Arial" w:eastAsia="Arial" w:hAnsi="Arial"/>
                <w:sz w:val="3"/>
                <w:szCs w:val="3"/>
                <w:color w:val="FFFFFF"/>
              </w:rPr>
              <w:t>Allison Transmission employees have  responsibility to act solely in the best interests of the company. Avoid any activity, investment or interest that might hurt or reflect badly</w:t>
            </w:r>
          </w:p>
        </w:tc>
        <w:tc>
          <w:tcPr>
            <w:tcW w:w="1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conflict can be just as damaging as an actual conflict of interest. Conflicts of interest are prohibited as a matter of Allison policy, except as approved by the Board of Directors. Conflicts of interest may not</w:t>
            </w:r>
          </w:p>
        </w:tc>
        <w:tc>
          <w:tcPr>
            <w:tcW w:w="0" w:type="dxa"/>
            <w:vAlign w:val="bottom"/>
          </w:tcPr>
          <w:p>
            <w:pPr>
              <w:spacing w:after="0"/>
              <w:rPr>
                <w:sz w:val="1"/>
                <w:szCs w:val="1"/>
                <w:color w:val="auto"/>
              </w:rPr>
            </w:pPr>
          </w:p>
        </w:tc>
      </w:tr>
      <w:tr>
        <w:trPr>
          <w:trHeight w:val="41"/>
        </w:trPr>
        <w:tc>
          <w:tcPr>
            <w:tcW w:w="7640" w:type="dxa"/>
            <w:vAlign w:val="bottom"/>
            <w:gridSpan w:val="3"/>
          </w:tcPr>
          <w:p>
            <w:pPr>
              <w:spacing w:after="0"/>
              <w:rPr>
                <w:sz w:val="20"/>
                <w:szCs w:val="20"/>
                <w:color w:val="auto"/>
              </w:rPr>
            </w:pPr>
            <w:r>
              <w:rPr>
                <w:rFonts w:ascii="Arial" w:cs="Arial" w:eastAsia="Arial" w:hAnsi="Arial"/>
                <w:sz w:val="3"/>
                <w:szCs w:val="3"/>
                <w:color w:val="FFFFFF"/>
              </w:rPr>
              <w:t>always be clear-cut, so if you have a question, you should consult with your direct leadership.</w:t>
            </w: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00" w:type="dxa"/>
            <w:vAlign w:val="bottom"/>
            <w:gridSpan w:val="2"/>
          </w:tcPr>
          <w:p>
            <w:pPr>
              <w:spacing w:after="0"/>
              <w:rPr>
                <w:sz w:val="20"/>
                <w:szCs w:val="20"/>
                <w:color w:val="auto"/>
              </w:rPr>
            </w:pPr>
            <w:r>
              <w:rPr>
                <w:rFonts w:ascii="Arial" w:cs="Arial" w:eastAsia="Arial" w:hAnsi="Arial"/>
                <w:sz w:val="3"/>
                <w:szCs w:val="3"/>
                <w:color w:val="FFFFFF"/>
              </w:rPr>
              <w:t>Examples of potential conicts of interest include:</w:t>
            </w:r>
          </w:p>
        </w:tc>
        <w:tc>
          <w:tcPr>
            <w:tcW w:w="49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40" w:type="dxa"/>
            <w:vAlign w:val="bottom"/>
            <w:gridSpan w:val="4"/>
          </w:tcPr>
          <w:p>
            <w:pPr>
              <w:ind w:left="80"/>
              <w:spacing w:after="0"/>
              <w:rPr>
                <w:sz w:val="20"/>
                <w:szCs w:val="20"/>
                <w:color w:val="auto"/>
              </w:rPr>
            </w:pPr>
            <w:r>
              <w:rPr>
                <w:rFonts w:ascii="Arial" w:cs="Arial" w:eastAsia="Arial" w:hAnsi="Arial"/>
                <w:sz w:val="3"/>
                <w:szCs w:val="3"/>
                <w:color w:val="FFFFFF"/>
              </w:rPr>
              <w:t>Financial interests in a company where you could personally affect Allison’s business with that company (i.e. customer, supplier or investment).</w:t>
            </w: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40" w:type="dxa"/>
            <w:vAlign w:val="bottom"/>
            <w:gridSpan w:val="3"/>
          </w:tcPr>
          <w:p>
            <w:pPr>
              <w:ind w:left="80"/>
              <w:spacing w:after="0"/>
              <w:rPr>
                <w:sz w:val="20"/>
                <w:szCs w:val="20"/>
                <w:color w:val="auto"/>
              </w:rPr>
            </w:pPr>
            <w:r>
              <w:rPr>
                <w:rFonts w:ascii="Arial" w:cs="Arial" w:eastAsia="Arial" w:hAnsi="Arial"/>
                <w:sz w:val="3"/>
                <w:szCs w:val="3"/>
                <w:color w:val="FFFFFF"/>
              </w:rPr>
              <w:t>Di ecting business to suppliers when you know they are owned or managed by your family member or close friends.</w:t>
            </w: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40" w:type="dxa"/>
            <w:vAlign w:val="bottom"/>
            <w:gridSpan w:val="3"/>
          </w:tcPr>
          <w:p>
            <w:pPr>
              <w:ind w:left="80"/>
              <w:spacing w:after="0"/>
              <w:rPr>
                <w:sz w:val="20"/>
                <w:szCs w:val="20"/>
                <w:color w:val="auto"/>
              </w:rPr>
            </w:pPr>
            <w:r>
              <w:rPr>
                <w:rFonts w:ascii="Arial" w:cs="Arial" w:eastAsia="Arial" w:hAnsi="Arial"/>
                <w:sz w:val="3"/>
                <w:szCs w:val="3"/>
                <w:color w:val="FFFFFF"/>
              </w:rPr>
              <w:t>Personal relationships that may conict with your Allison responsibilities or compromise Allison interests.</w:t>
            </w: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00" w:type="dxa"/>
            <w:vAlign w:val="bottom"/>
            <w:gridSpan w:val="2"/>
          </w:tcPr>
          <w:p>
            <w:pPr>
              <w:ind w:left="80"/>
              <w:spacing w:after="0"/>
              <w:rPr>
                <w:sz w:val="20"/>
                <w:szCs w:val="20"/>
                <w:color w:val="auto"/>
              </w:rPr>
            </w:pPr>
            <w:r>
              <w:rPr>
                <w:rFonts w:ascii="Arial" w:cs="Arial" w:eastAsia="Arial" w:hAnsi="Arial"/>
                <w:sz w:val="3"/>
                <w:szCs w:val="3"/>
                <w:color w:val="FFFFFF"/>
              </w:rPr>
              <w:t>Employment outside Allison without</w:t>
            </w:r>
          </w:p>
        </w:tc>
        <w:tc>
          <w:tcPr>
            <w:tcW w:w="4940" w:type="dxa"/>
            <w:vAlign w:val="bottom"/>
          </w:tcPr>
          <w:p>
            <w:pPr>
              <w:ind w:left="20"/>
              <w:spacing w:after="0"/>
              <w:rPr>
                <w:sz w:val="20"/>
                <w:szCs w:val="20"/>
                <w:color w:val="auto"/>
              </w:rPr>
            </w:pPr>
            <w:r>
              <w:rPr>
                <w:rFonts w:ascii="Arial" w:cs="Arial" w:eastAsia="Arial" w:hAnsi="Arial"/>
                <w:sz w:val="3"/>
                <w:szCs w:val="3"/>
                <w:color w:val="FFFFFF"/>
              </w:rPr>
              <w:t>approval.</w:t>
            </w: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40" w:type="dxa"/>
            <w:vAlign w:val="bottom"/>
            <w:gridSpan w:val="3"/>
          </w:tcPr>
          <w:p>
            <w:pPr>
              <w:ind w:left="80"/>
              <w:spacing w:after="0"/>
              <w:rPr>
                <w:sz w:val="20"/>
                <w:szCs w:val="20"/>
                <w:color w:val="auto"/>
              </w:rPr>
            </w:pPr>
            <w:r>
              <w:rPr>
                <w:rFonts w:ascii="Arial" w:cs="Arial" w:eastAsia="Arial" w:hAnsi="Arial"/>
                <w:sz w:val="3"/>
                <w:szCs w:val="3"/>
                <w:color w:val="FFFFFF"/>
              </w:rPr>
              <w:t>H ring, promoting or directly supervisingleadershipfamily member or close friend.</w:t>
            </w: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640" w:type="dxa"/>
            <w:vAlign w:val="bottom"/>
            <w:gridSpan w:val="3"/>
          </w:tcPr>
          <w:p>
            <w:pPr>
              <w:spacing w:after="0"/>
              <w:rPr>
                <w:sz w:val="20"/>
                <w:szCs w:val="20"/>
                <w:color w:val="auto"/>
              </w:rPr>
            </w:pPr>
            <w:r>
              <w:rPr>
                <w:rFonts w:ascii="Arial" w:cs="Arial" w:eastAsia="Arial" w:hAnsi="Arial"/>
                <w:sz w:val="3"/>
                <w:szCs w:val="3"/>
                <w:color w:val="FFFFFF"/>
              </w:rPr>
              <w:t>• Gifts other than of reasonable value from suppliers, customers or competitors that are provided to influence Allison’s business decision.</w:t>
            </w: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00" w:type="dxa"/>
            <w:vAlign w:val="bottom"/>
            <w:gridSpan w:val="2"/>
          </w:tcPr>
          <w:p>
            <w:pPr>
              <w:spacing w:after="0"/>
              <w:rPr>
                <w:sz w:val="20"/>
                <w:szCs w:val="20"/>
                <w:color w:val="auto"/>
              </w:rPr>
            </w:pPr>
            <w:r>
              <w:rPr>
                <w:rFonts w:ascii="Arial" w:cs="Arial" w:eastAsia="Arial" w:hAnsi="Arial"/>
                <w:sz w:val="3"/>
                <w:szCs w:val="3"/>
                <w:color w:val="FFFFFF"/>
              </w:rPr>
              <w:t>Corporate Opportunities</w:t>
            </w:r>
          </w:p>
        </w:tc>
        <w:tc>
          <w:tcPr>
            <w:tcW w:w="4940" w:type="dxa"/>
            <w:vAlign w:val="bottom"/>
          </w:tcPr>
          <w:p>
            <w:pPr>
              <w:spacing w:after="0"/>
              <w:rPr>
                <w:sz w:val="3"/>
                <w:szCs w:val="3"/>
                <w:color w:val="auto"/>
              </w:rPr>
            </w:pPr>
          </w:p>
        </w:tc>
        <w:tc>
          <w:tcPr>
            <w:tcW w:w="3740" w:type="dxa"/>
            <w:vAlign w:val="bottom"/>
            <w:gridSpan w:val="2"/>
            <w:vMerge w:val="restart"/>
          </w:tcPr>
          <w:p>
            <w:pPr>
              <w:ind w:left="220"/>
              <w:spacing w:after="0" w:line="81" w:lineRule="exact"/>
              <w:rPr>
                <w:sz w:val="20"/>
                <w:szCs w:val="20"/>
                <w:color w:val="auto"/>
              </w:rPr>
            </w:pPr>
            <w:r>
              <w:rPr>
                <w:rFonts w:ascii="Arial" w:cs="Arial" w:eastAsia="Arial" w:hAnsi="Arial"/>
                <w:sz w:val="9"/>
                <w:szCs w:val="9"/>
                <w:color w:val="FFFFFF"/>
              </w:rPr>
              <w:t>or position for themselves without the consent of the board of</w:t>
            </w:r>
          </w:p>
        </w:tc>
        <w:tc>
          <w:tcPr>
            <w:tcW w:w="0" w:type="dxa"/>
            <w:vAlign w:val="bottom"/>
          </w:tcPr>
          <w:p>
            <w:pPr>
              <w:spacing w:after="0"/>
              <w:rPr>
                <w:sz w:val="1"/>
                <w:szCs w:val="1"/>
                <w:color w:val="auto"/>
              </w:rPr>
            </w:pPr>
          </w:p>
        </w:tc>
      </w:tr>
      <w:tr>
        <w:trPr>
          <w:trHeight w:val="41"/>
        </w:trPr>
        <w:tc>
          <w:tcPr>
            <w:tcW w:w="7640" w:type="dxa"/>
            <w:vAlign w:val="bottom"/>
            <w:gridSpan w:val="3"/>
          </w:tcPr>
          <w:p>
            <w:pPr>
              <w:spacing w:after="0"/>
              <w:rPr>
                <w:sz w:val="20"/>
                <w:szCs w:val="20"/>
                <w:color w:val="auto"/>
              </w:rPr>
            </w:pPr>
            <w:r>
              <w:rPr>
                <w:rFonts w:ascii="Arial" w:cs="Arial" w:eastAsia="Arial" w:hAnsi="Arial"/>
                <w:sz w:val="3"/>
                <w:szCs w:val="3"/>
                <w:color w:val="FFFFFF"/>
              </w:rPr>
              <w:t>Employees, directors and officers are prohibited from taking opportunities that are discovered through the use of corporate property,</w:t>
            </w:r>
          </w:p>
        </w:tc>
        <w:tc>
          <w:tcPr>
            <w:tcW w:w="3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directors. No employee, director, or officer may use corporate property, information or position for personal gain and no employee, director,informationofficer may compete with Allison directly or indirectly. Employees</w:t>
            </w:r>
          </w:p>
        </w:tc>
        <w:tc>
          <w:tcPr>
            <w:tcW w:w="0" w:type="dxa"/>
            <w:vAlign w:val="bottom"/>
          </w:tcPr>
          <w:p>
            <w:pPr>
              <w:spacing w:after="0"/>
              <w:rPr>
                <w:sz w:val="1"/>
                <w:szCs w:val="1"/>
                <w:color w:val="auto"/>
              </w:rPr>
            </w:pPr>
          </w:p>
        </w:tc>
      </w:tr>
      <w:tr>
        <w:trPr>
          <w:trHeight w:val="41"/>
        </w:trPr>
        <w:tc>
          <w:tcPr>
            <w:tcW w:w="940" w:type="dxa"/>
            <w:vAlign w:val="bottom"/>
          </w:tcPr>
          <w:p>
            <w:pPr>
              <w:spacing w:after="0"/>
              <w:rPr>
                <w:sz w:val="20"/>
                <w:szCs w:val="20"/>
                <w:color w:val="auto"/>
              </w:rPr>
            </w:pPr>
            <w:r>
              <w:rPr>
                <w:rFonts w:ascii="Arial" w:cs="Arial" w:eastAsia="Arial" w:hAnsi="Arial"/>
                <w:sz w:val="3"/>
                <w:szCs w:val="3"/>
                <w:color w:val="FFFFFF"/>
              </w:rPr>
              <w:t>and officers owe</w:t>
            </w:r>
          </w:p>
        </w:tc>
        <w:tc>
          <w:tcPr>
            <w:tcW w:w="6700" w:type="dxa"/>
            <w:vAlign w:val="bottom"/>
            <w:gridSpan w:val="2"/>
          </w:tcPr>
          <w:p>
            <w:pPr>
              <w:ind w:left="100"/>
              <w:spacing w:after="0"/>
              <w:rPr>
                <w:sz w:val="20"/>
                <w:szCs w:val="20"/>
                <w:color w:val="auto"/>
              </w:rPr>
            </w:pPr>
            <w:r>
              <w:rPr>
                <w:rFonts w:ascii="Arial" w:cs="Arial" w:eastAsia="Arial" w:hAnsi="Arial"/>
                <w:sz w:val="3"/>
                <w:szCs w:val="3"/>
                <w:color w:val="FFFFFF"/>
              </w:rPr>
              <w:t>duty to Allison to advance Allison’s interests when the opportunity to do so arises.</w:t>
            </w: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00" w:type="dxa"/>
            <w:vAlign w:val="bottom"/>
            <w:gridSpan w:val="2"/>
          </w:tcPr>
          <w:p>
            <w:pPr>
              <w:ind w:left="60"/>
              <w:spacing w:after="0"/>
              <w:rPr>
                <w:sz w:val="20"/>
                <w:szCs w:val="20"/>
                <w:color w:val="auto"/>
              </w:rPr>
            </w:pPr>
            <w:r>
              <w:rPr>
                <w:rFonts w:ascii="Arial" w:cs="Arial" w:eastAsia="Arial" w:hAnsi="Arial"/>
                <w:sz w:val="3"/>
                <w:szCs w:val="3"/>
                <w:color w:val="FFFFFF"/>
              </w:rPr>
              <w:t>nterest in Personal Relationships</w:t>
            </w:r>
          </w:p>
        </w:tc>
        <w:tc>
          <w:tcPr>
            <w:tcW w:w="49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If your duties require you to have contact with an organization that employs a relative, former colleague or someone with whom you have a signicant personal relationship, including a romantic or sexual</w:t>
            </w:r>
          </w:p>
        </w:tc>
        <w:tc>
          <w:tcPr>
            <w:tcW w:w="0" w:type="dxa"/>
            <w:vAlign w:val="bottom"/>
          </w:tcPr>
          <w:p>
            <w:pPr>
              <w:spacing w:after="0"/>
              <w:rPr>
                <w:sz w:val="1"/>
                <w:szCs w:val="1"/>
                <w:color w:val="auto"/>
              </w:rPr>
            </w:pPr>
          </w:p>
        </w:tc>
      </w:tr>
      <w:tr>
        <w:trPr>
          <w:trHeight w:val="41"/>
        </w:trPr>
        <w:tc>
          <w:tcPr>
            <w:tcW w:w="2700" w:type="dxa"/>
            <w:vAlign w:val="bottom"/>
            <w:gridSpan w:val="2"/>
          </w:tcPr>
          <w:p>
            <w:pPr>
              <w:spacing w:after="0"/>
              <w:rPr>
                <w:sz w:val="20"/>
                <w:szCs w:val="20"/>
                <w:color w:val="auto"/>
              </w:rPr>
            </w:pPr>
            <w:r>
              <w:rPr>
                <w:rFonts w:ascii="Arial" w:cs="Arial" w:eastAsia="Arial" w:hAnsi="Arial"/>
                <w:sz w:val="3"/>
                <w:szCs w:val="3"/>
                <w:color w:val="FFFFFF"/>
              </w:rPr>
              <w:t>relationship, you should take precautions to avoid</w:t>
            </w:r>
          </w:p>
        </w:tc>
        <w:tc>
          <w:tcPr>
            <w:tcW w:w="4940" w:type="dxa"/>
            <w:vAlign w:val="bottom"/>
          </w:tcPr>
          <w:p>
            <w:pPr>
              <w:ind w:left="120"/>
              <w:spacing w:after="0"/>
              <w:rPr>
                <w:sz w:val="20"/>
                <w:szCs w:val="20"/>
                <w:color w:val="auto"/>
              </w:rPr>
            </w:pPr>
            <w:r>
              <w:rPr>
                <w:rFonts w:ascii="Arial" w:cs="Arial" w:eastAsia="Arial" w:hAnsi="Arial"/>
                <w:sz w:val="3"/>
                <w:szCs w:val="3"/>
                <w:color w:val="FFFFFF"/>
              </w:rPr>
              <w:t>potential conict of interest or even the appearance of preferential treatment.</w:t>
            </w:r>
          </w:p>
        </w:tc>
        <w:tc>
          <w:tcPr>
            <w:tcW w:w="20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0" w:type="dxa"/>
            <w:vAlign w:val="bottom"/>
          </w:tcPr>
          <w:p>
            <w:pPr>
              <w:spacing w:after="0"/>
              <w:rPr>
                <w:sz w:val="20"/>
                <w:szCs w:val="20"/>
                <w:color w:val="auto"/>
              </w:rPr>
            </w:pPr>
            <w:r>
              <w:rPr>
                <w:rFonts w:ascii="Arial" w:cs="Arial" w:eastAsia="Arial" w:hAnsi="Arial"/>
                <w:sz w:val="3"/>
                <w:szCs w:val="3"/>
                <w:color w:val="FFFFFF"/>
              </w:rPr>
              <w:t>The or</w:t>
            </w:r>
          </w:p>
        </w:tc>
        <w:tc>
          <w:tcPr>
            <w:tcW w:w="10440" w:type="dxa"/>
            <w:vAlign w:val="bottom"/>
            <w:gridSpan w:val="4"/>
          </w:tcPr>
          <w:p>
            <w:pPr>
              <w:ind w:left="20"/>
              <w:spacing w:after="0"/>
              <w:rPr>
                <w:sz w:val="20"/>
                <w:szCs w:val="20"/>
                <w:color w:val="auto"/>
              </w:rPr>
            </w:pPr>
            <w:r>
              <w:rPr>
                <w:rFonts w:ascii="Arial" w:cs="Arial" w:eastAsia="Arial" w:hAnsi="Arial"/>
                <w:sz w:val="3"/>
                <w:szCs w:val="3"/>
                <w:color w:val="FFFFFF"/>
              </w:rPr>
              <w:t>should receive no advantage or disadvantage because of a personal relationship. When presented with such situations, consult with your direct leadership and, if necessary, step down from</w:t>
            </w:r>
          </w:p>
        </w:tc>
        <w:tc>
          <w:tcPr>
            <w:tcW w:w="0" w:type="dxa"/>
            <w:vAlign w:val="bottom"/>
          </w:tcPr>
          <w:p>
            <w:pPr>
              <w:spacing w:after="0"/>
              <w:rPr>
                <w:sz w:val="1"/>
                <w:szCs w:val="1"/>
                <w:color w:val="auto"/>
              </w:rPr>
            </w:pPr>
          </w:p>
        </w:tc>
      </w:tr>
      <w:tr>
        <w:trPr>
          <w:trHeight w:val="41"/>
        </w:trPr>
        <w:tc>
          <w:tcPr>
            <w:tcW w:w="2700" w:type="dxa"/>
            <w:vAlign w:val="bottom"/>
            <w:gridSpan w:val="2"/>
          </w:tcPr>
          <w:p>
            <w:pPr>
              <w:spacing w:after="0"/>
              <w:rPr>
                <w:sz w:val="20"/>
                <w:szCs w:val="20"/>
                <w:color w:val="auto"/>
              </w:rPr>
            </w:pPr>
            <w:r>
              <w:rPr>
                <w:rFonts w:ascii="Arial" w:cs="Arial" w:eastAsia="Arial" w:hAnsi="Arial"/>
                <w:sz w:val="3"/>
                <w:szCs w:val="3"/>
                <w:color w:val="FFFFFF"/>
              </w:rPr>
              <w:t>acting ganizationbehalfof Allison.</w:t>
            </w:r>
          </w:p>
        </w:tc>
        <w:tc>
          <w:tcPr>
            <w:tcW w:w="8680" w:type="dxa"/>
            <w:vAlign w:val="bottom"/>
            <w:gridSpan w:val="3"/>
            <w:vMerge w:val="restart"/>
          </w:tcPr>
          <w:p>
            <w:pPr>
              <w:ind w:left="660"/>
              <w:spacing w:after="0"/>
              <w:rPr>
                <w:sz w:val="20"/>
                <w:szCs w:val="20"/>
                <w:color w:val="auto"/>
              </w:rPr>
            </w:pPr>
            <w:r>
              <w:rPr>
                <w:rFonts w:ascii="Arial" w:cs="Arial" w:eastAsia="Arial" w:hAnsi="Arial"/>
                <w:sz w:val="3"/>
                <w:szCs w:val="3"/>
                <w:color w:val="FFFFFF"/>
              </w:rPr>
              <w:t>s relationship to any employee, including family, personal, romantic or sexual relationships. If people with such ties are hired or assigned, steps</w:t>
            </w:r>
          </w:p>
        </w:tc>
        <w:tc>
          <w:tcPr>
            <w:tcW w:w="0" w:type="dxa"/>
            <w:vAlign w:val="bottom"/>
          </w:tcPr>
          <w:p>
            <w:pPr>
              <w:spacing w:after="0"/>
              <w:rPr>
                <w:sz w:val="1"/>
                <w:szCs w:val="1"/>
                <w:color w:val="auto"/>
              </w:rPr>
            </w:pPr>
          </w:p>
        </w:tc>
      </w:tr>
      <w:tr>
        <w:trPr>
          <w:trHeight w:val="0"/>
        </w:trPr>
        <w:tc>
          <w:tcPr>
            <w:tcW w:w="2700" w:type="dxa"/>
            <w:vAlign w:val="bottom"/>
            <w:gridSpan w:val="2"/>
          </w:tcPr>
          <w:p>
            <w:pPr>
              <w:spacing w:after="0" w:line="80" w:lineRule="exact"/>
              <w:rPr>
                <w:sz w:val="20"/>
                <w:szCs w:val="20"/>
                <w:color w:val="auto"/>
              </w:rPr>
            </w:pPr>
            <w:r>
              <w:rPr>
                <w:rFonts w:ascii="Arial" w:cs="Arial" w:eastAsia="Arial" w:hAnsi="Arial"/>
                <w:sz w:val="9"/>
                <w:szCs w:val="9"/>
                <w:color w:val="FFFFFF"/>
              </w:rPr>
              <w:t>Hiring and promotions must not be influenced by</w:t>
            </w:r>
          </w:p>
        </w:tc>
        <w:tc>
          <w:tcPr>
            <w:tcW w:w="8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120"/>
        <w:spacing w:after="0"/>
        <w:rPr>
          <w:sz w:val="20"/>
          <w:szCs w:val="20"/>
          <w:color w:val="auto"/>
        </w:rPr>
      </w:pPr>
      <w:r>
        <w:rPr>
          <w:rFonts w:ascii="Arial" w:cs="Arial" w:eastAsia="Arial" w:hAnsi="Arial"/>
          <w:sz w:val="3"/>
          <w:szCs w:val="3"/>
          <w:color w:val="FFFFFF"/>
        </w:rPr>
        <w:t>relationship, candidate’</w:t>
      </w:r>
    </w:p>
    <w:p>
      <w:pPr>
        <w:spacing w:after="0" w:line="211" w:lineRule="auto"/>
        <w:tabs>
          <w:tab w:leader="none" w:pos="2800" w:val="left"/>
        </w:tabs>
        <w:rPr>
          <w:sz w:val="20"/>
          <w:szCs w:val="20"/>
          <w:color w:val="auto"/>
        </w:rPr>
      </w:pPr>
      <w:r>
        <w:rPr>
          <w:rFonts w:ascii="Arial" w:cs="Arial" w:eastAsia="Arial" w:hAnsi="Arial"/>
          <w:sz w:val="3"/>
          <w:szCs w:val="3"/>
          <w:color w:val="FFFFFF"/>
        </w:rPr>
        <w:t>should be taken to avoid any reporting</w:t>
      </w:r>
      <w:r>
        <w:rPr>
          <w:sz w:val="20"/>
          <w:szCs w:val="20"/>
          <w:color w:val="auto"/>
        </w:rPr>
        <w:tab/>
      </w:r>
      <w:r>
        <w:rPr>
          <w:rFonts w:ascii="Arial" w:cs="Arial" w:eastAsia="Arial" w:hAnsi="Arial"/>
          <w:sz w:val="2"/>
          <w:szCs w:val="2"/>
          <w:color w:val="FFFFFF"/>
        </w:rPr>
        <w:t xml:space="preserve">either </w:t>
      </w:r>
      <w:r>
        <w:rPr>
          <w:rFonts w:ascii="Arial" w:cs="Arial" w:eastAsia="Arial" w:hAnsi="Arial"/>
          <w:sz w:val="4"/>
          <w:szCs w:val="4"/>
          <w:color w:val="FFFFFF"/>
          <w:vertAlign w:val="superscript"/>
        </w:rPr>
        <w:t>with</w:t>
      </w:r>
      <w:r>
        <w:rPr>
          <w:rFonts w:ascii="Arial" w:cs="Arial" w:eastAsia="Arial" w:hAnsi="Arial"/>
          <w:sz w:val="2"/>
          <w:szCs w:val="2"/>
          <w:color w:val="FFFFFF"/>
        </w:rPr>
        <w:t>rect or indirect, between them. On rare occasions, leadership senior to both of the affected employees may permit</w:t>
      </w:r>
      <w:r>
        <w:rPr>
          <w:rFonts w:ascii="Arial" w:cs="Arial" w:eastAsia="Arial" w:hAnsi="Arial"/>
          <w:sz w:val="4"/>
          <w:szCs w:val="4"/>
          <w:color w:val="FFFFFF"/>
          <w:vertAlign w:val="superscript"/>
        </w:rPr>
        <w:t>regard</w:t>
      </w:r>
      <w:r>
        <w:rPr>
          <w:rFonts w:ascii="Arial" w:cs="Arial" w:eastAsia="Arial" w:hAnsi="Arial"/>
          <w:sz w:val="2"/>
          <w:szCs w:val="2"/>
          <w:color w:val="FFFFFF"/>
        </w:rPr>
        <w:t>reporting relationship between</w:t>
      </w:r>
    </w:p>
    <w:p>
      <w:pPr>
        <w:spacing w:after="0"/>
        <w:tabs>
          <w:tab w:leader="none" w:pos="3400" w:val="left"/>
          <w:tab w:leader="none" w:pos="9660" w:val="left"/>
        </w:tabs>
        <w:rPr>
          <w:sz w:val="20"/>
          <w:szCs w:val="20"/>
          <w:color w:val="auto"/>
        </w:rPr>
      </w:pPr>
      <w:r>
        <w:rPr>
          <w:rFonts w:ascii="Arial" w:cs="Arial" w:eastAsia="Arial" w:hAnsi="Arial"/>
          <w:sz w:val="14"/>
          <w:szCs w:val="14"/>
          <w:color w:val="FFFFFF"/>
        </w:rPr>
        <w:t>employees with such ties. Such cases should be reviewed</w:t>
      </w:r>
      <w:r>
        <w:rPr>
          <w:sz w:val="20"/>
          <w:szCs w:val="20"/>
          <w:color w:val="auto"/>
        </w:rPr>
        <w:tab/>
      </w:r>
      <w:r>
        <w:rPr>
          <w:rFonts w:ascii="Arial" w:cs="Arial" w:eastAsia="Arial" w:hAnsi="Arial"/>
          <w:sz w:val="12"/>
          <w:szCs w:val="12"/>
          <w:color w:val="FFFFFF"/>
        </w:rPr>
        <w:t>Allison’s General Counsel and Human Resource representatives to ensure no conflict of interest exists in this</w:t>
      </w:r>
      <w:r>
        <w:rPr>
          <w:sz w:val="20"/>
          <w:szCs w:val="20"/>
          <w:color w:val="auto"/>
        </w:rPr>
        <w:tab/>
      </w:r>
      <w:r>
        <w:rPr>
          <w:rFonts w:ascii="Arial" w:cs="Arial" w:eastAsia="Arial" w:hAnsi="Arial"/>
          <w:sz w:val="14"/>
          <w:szCs w:val="14"/>
          <w:color w:val="FFFFFF"/>
        </w:rPr>
        <w:t>.</w:t>
      </w:r>
    </w:p>
    <w:p>
      <w:pPr>
        <w:sectPr>
          <w:pgSz w:w="11900" w:h="16838" w:orient="portrait"/>
          <w:cols w:equalWidth="0" w:num="1">
            <w:col w:w="11380"/>
          </w:cols>
          <w:pgMar w:left="240" w:top="1440" w:right="27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FFFFFF"/>
        </w:rPr>
        <w:t>Allison Conict of Interest Questionnaire</w:t>
      </w:r>
    </w:p>
    <w:p>
      <w:pPr>
        <w:spacing w:after="0" w:line="187" w:lineRule="auto"/>
        <w:rPr>
          <w:sz w:val="20"/>
          <w:szCs w:val="20"/>
          <w:color w:val="auto"/>
        </w:rPr>
      </w:pPr>
      <w:r>
        <w:rPr>
          <w:rFonts w:ascii="Arial" w:cs="Arial" w:eastAsia="Arial" w:hAnsi="Arial"/>
          <w:sz w:val="9"/>
          <w:szCs w:val="9"/>
          <w:color w:val="FFFFFF"/>
        </w:rPr>
        <w:t>Use the Allison Conict of Interest Questionnaire to disclose any relationships and any other actual or potential conict of interest. Disclosure lets leaders decide whether an actual conflict exists and how to address it if one does exist.</w:t>
      </w:r>
    </w:p>
    <w:p>
      <w:pPr>
        <w:ind w:right="20"/>
        <w:spacing w:after="0" w:line="190" w:lineRule="auto"/>
        <w:rPr>
          <w:sz w:val="20"/>
          <w:szCs w:val="20"/>
          <w:color w:val="auto"/>
        </w:rPr>
      </w:pPr>
      <w:r>
        <w:rPr>
          <w:rFonts w:ascii="Arial" w:cs="Arial" w:eastAsia="Arial" w:hAnsi="Arial"/>
          <w:sz w:val="11"/>
          <w:szCs w:val="11"/>
          <w:color w:val="FFFFFF"/>
        </w:rPr>
        <w:t>Allison employees have an ongoing obligation to supplement their Allison Conict of Interest Questionnaire to ensure that they disclose any change in circumstance covered by the questionnaire. In the event such a change occurs, employees should promptly update their conict of interest disclosure within 30 days.</w:t>
      </w:r>
    </w:p>
    <w:p>
      <w:pPr>
        <w:sectPr>
          <w:pgSz w:w="11900" w:h="16838" w:orient="portrait"/>
          <w:cols w:equalWidth="0" w:num="1">
            <w:col w:w="11420"/>
          </w:cols>
          <w:pgMar w:left="240" w:top="1440" w:right="2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Arial" w:cs="Arial" w:eastAsia="Arial" w:hAnsi="Arial"/>
                <w:sz w:val="14"/>
                <w:szCs w:val="14"/>
                <w:color w:val="FFFFFF"/>
                <w:w w:val="95"/>
              </w:rPr>
              <w:t>Int rests in Other Bus nesses</w:t>
            </w:r>
          </w:p>
        </w:tc>
        <w:tc>
          <w:tcPr>
            <w:tcW w:w="7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220" w:type="dxa"/>
            <w:vAlign w:val="bottom"/>
            <w:gridSpan w:val="5"/>
          </w:tcPr>
          <w:p>
            <w:pPr>
              <w:spacing w:after="0"/>
              <w:rPr>
                <w:sz w:val="20"/>
                <w:szCs w:val="20"/>
                <w:color w:val="auto"/>
              </w:rPr>
            </w:pPr>
            <w:r>
              <w:rPr>
                <w:rFonts w:ascii="Arial" w:cs="Arial" w:eastAsia="Arial" w:hAnsi="Arial"/>
                <w:sz w:val="3"/>
                <w:szCs w:val="3"/>
                <w:color w:val="FFFFFF"/>
              </w:rPr>
              <w:t>Use the Allison Conflict of Interest Questionnaire to disclose certain financial stakes, called a “Material Interest,” in a supplier, customer, competitor, etc. For a detailed definition of the type of financial stake</w:t>
            </w:r>
          </w:p>
        </w:tc>
        <w:tc>
          <w:tcPr>
            <w:tcW w:w="0" w:type="dxa"/>
            <w:vAlign w:val="bottom"/>
          </w:tcPr>
          <w:p>
            <w:pPr>
              <w:spacing w:after="0"/>
              <w:rPr>
                <w:sz w:val="1"/>
                <w:szCs w:val="1"/>
                <w:color w:val="auto"/>
              </w:rPr>
            </w:pPr>
          </w:p>
        </w:tc>
      </w:tr>
      <w:tr>
        <w:trPr>
          <w:trHeight w:val="41"/>
        </w:trPr>
        <w:tc>
          <w:tcPr>
            <w:tcW w:w="6480" w:type="dxa"/>
            <w:vAlign w:val="bottom"/>
            <w:gridSpan w:val="3"/>
          </w:tcPr>
          <w:p>
            <w:pPr>
              <w:spacing w:after="0"/>
              <w:rPr>
                <w:sz w:val="20"/>
                <w:szCs w:val="20"/>
                <w:color w:val="auto"/>
              </w:rPr>
            </w:pPr>
            <w:r>
              <w:rPr>
                <w:rFonts w:ascii="Arial" w:cs="Arial" w:eastAsia="Arial" w:hAnsi="Arial"/>
                <w:sz w:val="3"/>
                <w:szCs w:val="3"/>
                <w:color w:val="FFFFFF"/>
              </w:rPr>
              <w:t>that must be disclosed, please refer to the Conflict of Interest Policy.</w:t>
            </w:r>
          </w:p>
        </w:tc>
        <w:tc>
          <w:tcPr>
            <w:tcW w:w="1000" w:type="dxa"/>
            <w:vAlign w:val="bottom"/>
          </w:tcPr>
          <w:p>
            <w:pPr>
              <w:spacing w:after="0"/>
              <w:rPr>
                <w:sz w:val="3"/>
                <w:szCs w:val="3"/>
                <w:color w:val="auto"/>
              </w:rPr>
            </w:pP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00" w:type="dxa"/>
            <w:vAlign w:val="bottom"/>
            <w:gridSpan w:val="2"/>
          </w:tcPr>
          <w:p>
            <w:pPr>
              <w:spacing w:after="0"/>
              <w:rPr>
                <w:sz w:val="20"/>
                <w:szCs w:val="20"/>
                <w:color w:val="auto"/>
              </w:rPr>
            </w:pPr>
            <w:r>
              <w:rPr>
                <w:rFonts w:ascii="Arial" w:cs="Arial" w:eastAsia="Arial" w:hAnsi="Arial"/>
                <w:sz w:val="3"/>
                <w:szCs w:val="3"/>
                <w:color w:val="FFFFFF"/>
              </w:rPr>
              <w:t>Charitable Activities and Public Service</w:t>
            </w:r>
          </w:p>
        </w:tc>
        <w:tc>
          <w:tcPr>
            <w:tcW w:w="3980" w:type="dxa"/>
            <w:vAlign w:val="bottom"/>
          </w:tcPr>
          <w:p>
            <w:pPr>
              <w:spacing w:after="0"/>
              <w:rPr>
                <w:sz w:val="3"/>
                <w:szCs w:val="3"/>
                <w:color w:val="auto"/>
              </w:rPr>
            </w:pPr>
          </w:p>
        </w:tc>
        <w:tc>
          <w:tcPr>
            <w:tcW w:w="4740" w:type="dxa"/>
            <w:vAlign w:val="bottom"/>
            <w:gridSpan w:val="2"/>
            <w:vMerge w:val="restart"/>
          </w:tcPr>
          <w:p>
            <w:pPr>
              <w:jc w:val="right"/>
              <w:ind w:right="243"/>
              <w:spacing w:after="0" w:line="81" w:lineRule="exact"/>
              <w:rPr>
                <w:sz w:val="20"/>
                <w:szCs w:val="20"/>
                <w:color w:val="auto"/>
              </w:rPr>
            </w:pPr>
            <w:r>
              <w:rPr>
                <w:rFonts w:ascii="Arial" w:cs="Arial" w:eastAsia="Arial" w:hAnsi="Arial"/>
                <w:sz w:val="9"/>
                <w:szCs w:val="9"/>
                <w:color w:val="FFFFFF"/>
              </w:rPr>
              <w:t>groups. Only rarely do conicts arise from such service. Take the precaution of</w:t>
            </w:r>
          </w:p>
        </w:tc>
        <w:tc>
          <w:tcPr>
            <w:tcW w:w="0" w:type="dxa"/>
            <w:vAlign w:val="bottom"/>
          </w:tcPr>
          <w:p>
            <w:pPr>
              <w:spacing w:after="0"/>
              <w:rPr>
                <w:sz w:val="1"/>
                <w:szCs w:val="1"/>
                <w:color w:val="auto"/>
              </w:rPr>
            </w:pPr>
          </w:p>
        </w:tc>
      </w:tr>
      <w:tr>
        <w:trPr>
          <w:trHeight w:val="41"/>
        </w:trPr>
        <w:tc>
          <w:tcPr>
            <w:tcW w:w="6480" w:type="dxa"/>
            <w:vAlign w:val="bottom"/>
            <w:gridSpan w:val="3"/>
          </w:tcPr>
          <w:p>
            <w:pPr>
              <w:spacing w:after="0"/>
              <w:rPr>
                <w:sz w:val="20"/>
                <w:szCs w:val="20"/>
                <w:color w:val="auto"/>
              </w:rPr>
            </w:pPr>
            <w:r>
              <w:rPr>
                <w:rFonts w:ascii="Arial" w:cs="Arial" w:eastAsia="Arial" w:hAnsi="Arial"/>
                <w:sz w:val="3"/>
                <w:szCs w:val="3"/>
                <w:color w:val="FFFFFF"/>
              </w:rPr>
              <w:t>Allison Transmission applauds service to charities, schools, professional organizations and governmental bodies or</w:t>
            </w:r>
          </w:p>
        </w:tc>
        <w:tc>
          <w:tcPr>
            <w:tcW w:w="47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identifying the organization(s)</w:t>
            </w:r>
          </w:p>
        </w:tc>
        <w:tc>
          <w:tcPr>
            <w:tcW w:w="9480" w:type="dxa"/>
            <w:vAlign w:val="bottom"/>
            <w:gridSpan w:val="4"/>
          </w:tcPr>
          <w:p>
            <w:pPr>
              <w:jc w:val="right"/>
              <w:ind w:right="23"/>
              <w:spacing w:after="0"/>
              <w:rPr>
                <w:sz w:val="20"/>
                <w:szCs w:val="20"/>
                <w:color w:val="auto"/>
              </w:rPr>
            </w:pPr>
            <w:r>
              <w:rPr>
                <w:rFonts w:ascii="Arial" w:cs="Arial" w:eastAsia="Arial" w:hAnsi="Arial"/>
                <w:sz w:val="3"/>
                <w:szCs w:val="3"/>
                <w:color w:val="FFFFFF"/>
              </w:rPr>
              <w:t>your Allison Conict of Interest Questionnaire. When soliciting donations for an outsideadvisoryganization, avoid any impression of pressure by Allison. Donations must be purely</w:t>
            </w:r>
          </w:p>
        </w:tc>
        <w:tc>
          <w:tcPr>
            <w:tcW w:w="0" w:type="dxa"/>
            <w:vAlign w:val="bottom"/>
          </w:tcPr>
          <w:p>
            <w:pPr>
              <w:spacing w:after="0"/>
              <w:rPr>
                <w:sz w:val="1"/>
                <w:szCs w:val="1"/>
                <w:color w:val="auto"/>
              </w:rPr>
            </w:pPr>
          </w:p>
        </w:tc>
      </w:tr>
      <w:tr>
        <w:trPr>
          <w:trHeight w:val="41"/>
        </w:trPr>
        <w:tc>
          <w:tcPr>
            <w:tcW w:w="2500" w:type="dxa"/>
            <w:vAlign w:val="bottom"/>
            <w:gridSpan w:val="2"/>
          </w:tcPr>
          <w:p>
            <w:pPr>
              <w:spacing w:after="0"/>
              <w:rPr>
                <w:sz w:val="20"/>
                <w:szCs w:val="20"/>
                <w:color w:val="auto"/>
              </w:rPr>
            </w:pPr>
            <w:r>
              <w:rPr>
                <w:rFonts w:ascii="Arial" w:cs="Arial" w:eastAsia="Arial" w:hAnsi="Arial"/>
                <w:sz w:val="3"/>
                <w:szCs w:val="3"/>
                <w:color w:val="FFFFFF"/>
              </w:rPr>
              <w:t>voluntary. And do not use Allison letterhead</w:t>
            </w:r>
          </w:p>
        </w:tc>
        <w:tc>
          <w:tcPr>
            <w:tcW w:w="4980" w:type="dxa"/>
            <w:vAlign w:val="bottom"/>
            <w:gridSpan w:val="2"/>
          </w:tcPr>
          <w:p>
            <w:pPr>
              <w:ind w:left="100"/>
              <w:spacing w:after="0"/>
              <w:rPr>
                <w:sz w:val="20"/>
                <w:szCs w:val="20"/>
                <w:color w:val="auto"/>
              </w:rPr>
            </w:pPr>
            <w:r>
              <w:rPr>
                <w:rFonts w:ascii="Arial" w:cs="Arial" w:eastAsia="Arial" w:hAnsi="Arial"/>
                <w:sz w:val="3"/>
                <w:szCs w:val="3"/>
                <w:color w:val="FFFFFF"/>
              </w:rPr>
              <w:t>any solicitation unless Allison supports the fundraising as a corporate activity.</w:t>
            </w:r>
          </w:p>
        </w:tc>
        <w:tc>
          <w:tcPr>
            <w:tcW w:w="3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80" w:type="dxa"/>
            <w:vAlign w:val="bottom"/>
            <w:gridSpan w:val="3"/>
          </w:tcPr>
          <w:p>
            <w:pPr>
              <w:spacing w:after="0"/>
              <w:rPr>
                <w:sz w:val="20"/>
                <w:szCs w:val="20"/>
                <w:color w:val="auto"/>
              </w:rPr>
            </w:pPr>
            <w:r>
              <w:rPr>
                <w:rFonts w:ascii="Arial" w:cs="Arial" w:eastAsia="Arial" w:hAnsi="Arial"/>
                <w:sz w:val="3"/>
                <w:szCs w:val="3"/>
                <w:color w:val="FFFFFF"/>
              </w:rPr>
              <w:t>Former Allison Employee Now Supplier Relationships</w:t>
            </w:r>
          </w:p>
        </w:tc>
        <w:tc>
          <w:tcPr>
            <w:tcW w:w="1000" w:type="dxa"/>
            <w:vAlign w:val="bottom"/>
          </w:tcPr>
          <w:p>
            <w:pPr>
              <w:spacing w:after="0"/>
              <w:rPr>
                <w:sz w:val="3"/>
                <w:szCs w:val="3"/>
                <w:color w:val="auto"/>
              </w:rPr>
            </w:pPr>
          </w:p>
        </w:tc>
        <w:tc>
          <w:tcPr>
            <w:tcW w:w="3740" w:type="dxa"/>
            <w:vAlign w:val="bottom"/>
            <w:vMerge w:val="restart"/>
          </w:tcPr>
          <w:p>
            <w:pPr>
              <w:jc w:val="right"/>
              <w:ind w:right="243"/>
              <w:spacing w:after="0"/>
              <w:rPr>
                <w:sz w:val="20"/>
                <w:szCs w:val="20"/>
                <w:color w:val="auto"/>
              </w:rPr>
            </w:pPr>
            <w:r>
              <w:rPr>
                <w:rFonts w:ascii="Arial" w:cs="Arial" w:eastAsia="Arial" w:hAnsi="Arial"/>
                <w:sz w:val="3"/>
                <w:szCs w:val="3"/>
                <w:color w:val="FFFFFF"/>
              </w:rPr>
              <w:t>employees (retirees or those separated for any reason) who</w:t>
            </w:r>
          </w:p>
        </w:tc>
        <w:tc>
          <w:tcPr>
            <w:tcW w:w="0" w:type="dxa"/>
            <w:vAlign w:val="bottom"/>
          </w:tcPr>
          <w:p>
            <w:pPr>
              <w:spacing w:after="0"/>
              <w:rPr>
                <w:sz w:val="1"/>
                <w:szCs w:val="1"/>
                <w:color w:val="auto"/>
              </w:rPr>
            </w:pPr>
          </w:p>
        </w:tc>
      </w:tr>
      <w:tr>
        <w:trPr>
          <w:trHeight w:val="0"/>
        </w:trPr>
        <w:tc>
          <w:tcPr>
            <w:tcW w:w="7480" w:type="dxa"/>
            <w:vAlign w:val="bottom"/>
            <w:gridSpan w:val="4"/>
          </w:tcPr>
          <w:p>
            <w:pPr>
              <w:spacing w:after="0" w:line="80" w:lineRule="exact"/>
              <w:rPr>
                <w:sz w:val="20"/>
                <w:szCs w:val="20"/>
                <w:color w:val="auto"/>
              </w:rPr>
            </w:pPr>
            <w:r>
              <w:rPr>
                <w:rFonts w:ascii="Arial" w:cs="Arial" w:eastAsia="Arial" w:hAnsi="Arial"/>
                <w:sz w:val="9"/>
                <w:szCs w:val="9"/>
                <w:color w:val="FFFFFF"/>
              </w:rPr>
              <w:t>Allison selects suppliers impartially on the basis of quality, service, technology and price. Allison policy is that former executive and</w:t>
            </w:r>
          </w:p>
        </w:tc>
        <w:tc>
          <w:tcPr>
            <w:tcW w:w="3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occupied positions prior to termination in which they</w:t>
      </w:r>
      <w:r>
        <w:rPr>
          <w:rFonts w:ascii="Arial" w:cs="Arial" w:eastAsia="Arial" w:hAnsi="Arial"/>
          <w:sz w:val="1"/>
          <w:szCs w:val="1"/>
          <w:color w:val="FFFFFF"/>
          <w:vertAlign w:val="subscript"/>
        </w:rPr>
        <w:t>documented</w:t>
      </w:r>
      <w:r>
        <w:rPr>
          <w:rFonts w:ascii="Arial" w:cs="Arial" w:eastAsia="Arial" w:hAnsi="Arial"/>
          <w:sz w:val="1"/>
          <w:szCs w:val="1"/>
          <w:color w:val="FFFFFF"/>
        </w:rPr>
        <w:t>coldinfluence purchasing decisions should not be received as a representative classifiedofsupplier by Allison</w:t>
      </w:r>
      <w:r>
        <w:rPr>
          <w:rFonts w:ascii="Arial" w:cs="Arial" w:eastAsia="Arial" w:hAnsi="Arial"/>
          <w:sz w:val="1"/>
          <w:szCs w:val="1"/>
          <w:color w:val="FFFFFF"/>
          <w:vertAlign w:val="subscript"/>
        </w:rPr>
        <w:t>separation</w:t>
      </w:r>
      <w:r>
        <w:rPr>
          <w:rFonts w:ascii="Arial" w:cs="Arial" w:eastAsia="Arial" w:hAnsi="Arial"/>
          <w:sz w:val="1"/>
          <w:szCs w:val="1"/>
          <w:color w:val="FFFFFF"/>
        </w:rPr>
        <w:t>forperiod of two years following their separation.</w:t>
      </w:r>
    </w:p>
    <w:p>
      <w:pPr>
        <w:spacing w:after="0"/>
        <w:tabs>
          <w:tab w:leader="none" w:pos="3520" w:val="left"/>
          <w:tab w:leader="none" w:pos="8820" w:val="left"/>
        </w:tabs>
        <w:rPr>
          <w:sz w:val="20"/>
          <w:szCs w:val="20"/>
          <w:color w:val="auto"/>
        </w:rPr>
      </w:pPr>
      <w:r>
        <w:rPr>
          <w:rFonts w:ascii="Arial" w:cs="Arial" w:eastAsia="Arial" w:hAnsi="Arial"/>
          <w:sz w:val="14"/>
          <w:szCs w:val="14"/>
          <w:color w:val="FFFFFF"/>
        </w:rPr>
        <w:t>Any exceptions or deviations must be approved and</w:t>
      </w:r>
      <w:r>
        <w:rPr>
          <w:sz w:val="20"/>
          <w:szCs w:val="20"/>
          <w:color w:val="auto"/>
        </w:rPr>
        <w:tab/>
      </w:r>
      <w:r>
        <w:rPr>
          <w:rFonts w:ascii="Arial" w:cs="Arial" w:eastAsia="Arial" w:hAnsi="Arial"/>
          <w:sz w:val="12"/>
          <w:szCs w:val="12"/>
          <w:color w:val="FFFFFF"/>
        </w:rPr>
        <w:t>by the Legal department and the functional area in which the employee worked prior to</w:t>
      </w:r>
      <w:r>
        <w:rPr>
          <w:sz w:val="20"/>
          <w:szCs w:val="20"/>
          <w:color w:val="auto"/>
        </w:rPr>
        <w:tab/>
      </w:r>
      <w:r>
        <w:rPr>
          <w:rFonts w:ascii="Arial" w:cs="Arial" w:eastAsia="Arial" w:hAnsi="Arial"/>
          <w:sz w:val="14"/>
          <w:szCs w:val="14"/>
          <w:color w:val="FFFFFF"/>
        </w:rPr>
        <w:t>.</w:t>
      </w:r>
    </w:p>
    <w:p>
      <w:pPr>
        <w:sectPr>
          <w:pgSz w:w="11900" w:h="16838" w:orient="portrait"/>
          <w:cols w:equalWidth="0" w:num="1">
            <w:col w:w="11340"/>
          </w:cols>
          <w:pgMar w:left="240" w:top="1440" w:right="31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2"/>
          </w:tcPr>
          <w:p>
            <w:pPr>
              <w:spacing w:after="0"/>
              <w:rPr>
                <w:sz w:val="20"/>
                <w:szCs w:val="20"/>
                <w:color w:val="auto"/>
              </w:rPr>
            </w:pPr>
            <w:r>
              <w:rPr>
                <w:rFonts w:ascii="Arial" w:cs="Arial" w:eastAsia="Arial" w:hAnsi="Arial"/>
                <w:sz w:val="14"/>
                <w:szCs w:val="14"/>
                <w:color w:val="FFFFFF"/>
              </w:rPr>
              <w:t>16 Outside Employment</w:t>
            </w:r>
          </w:p>
        </w:tc>
        <w:tc>
          <w:tcPr>
            <w:tcW w:w="1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920" w:type="dxa"/>
            <w:vAlign w:val="bottom"/>
            <w:gridSpan w:val="5"/>
          </w:tcPr>
          <w:p>
            <w:pPr>
              <w:spacing w:after="0"/>
              <w:rPr>
                <w:sz w:val="20"/>
                <w:szCs w:val="20"/>
                <w:color w:val="auto"/>
              </w:rPr>
            </w:pPr>
            <w:r>
              <w:rPr>
                <w:rFonts w:ascii="Arial" w:cs="Arial" w:eastAsia="Arial" w:hAnsi="Arial"/>
                <w:sz w:val="3"/>
                <w:szCs w:val="3"/>
                <w:color w:val="FFFFFF"/>
              </w:rPr>
              <w:t>Outside employment can create conflicts of interest or reduce productivity. Avoid outside business activities that divert time and attention from Allison business. And if any outside activity involves</w:t>
            </w: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360" w:type="dxa"/>
            <w:vAlign w:val="bottom"/>
            <w:gridSpan w:val="4"/>
          </w:tcPr>
          <w:p>
            <w:pPr>
              <w:spacing w:after="0"/>
              <w:rPr>
                <w:sz w:val="20"/>
                <w:szCs w:val="20"/>
                <w:color w:val="auto"/>
              </w:rPr>
            </w:pPr>
            <w:r>
              <w:rPr>
                <w:rFonts w:ascii="Arial" w:cs="Arial" w:eastAsia="Arial" w:hAnsi="Arial"/>
                <w:sz w:val="3"/>
                <w:szCs w:val="3"/>
                <w:color w:val="FFFFFF"/>
              </w:rPr>
              <w:t>compensation, disclose it to your direct leadership and on the Allison Conflict of Interest Questionnaire.</w:t>
            </w:r>
          </w:p>
        </w:tc>
        <w:tc>
          <w:tcPr>
            <w:tcW w:w="3560" w:type="dxa"/>
            <w:vAlign w:val="bottom"/>
          </w:tcPr>
          <w:p>
            <w:pPr>
              <w:spacing w:after="0"/>
              <w:rPr>
                <w:sz w:val="3"/>
                <w:szCs w:val="3"/>
                <w:color w:val="auto"/>
              </w:rPr>
            </w:pPr>
          </w:p>
        </w:tc>
        <w:tc>
          <w:tcPr>
            <w:tcW w:w="48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 dealer</w:t>
            </w:r>
          </w:p>
        </w:tc>
        <w:tc>
          <w:tcPr>
            <w:tcW w:w="0" w:type="dxa"/>
            <w:vAlign w:val="bottom"/>
          </w:tcPr>
          <w:p>
            <w:pPr>
              <w:spacing w:after="0"/>
              <w:rPr>
                <w:sz w:val="1"/>
                <w:szCs w:val="1"/>
                <w:color w:val="auto"/>
              </w:rPr>
            </w:pPr>
          </w:p>
        </w:tc>
      </w:tr>
      <w:tr>
        <w:trPr>
          <w:trHeight w:val="41"/>
        </w:trPr>
        <w:tc>
          <w:tcPr>
            <w:tcW w:w="2620" w:type="dxa"/>
            <w:vAlign w:val="bottom"/>
            <w:gridSpan w:val="2"/>
          </w:tcPr>
          <w:p>
            <w:pPr>
              <w:spacing w:after="0"/>
              <w:rPr>
                <w:sz w:val="20"/>
                <w:szCs w:val="20"/>
                <w:color w:val="auto"/>
              </w:rPr>
            </w:pPr>
            <w:r>
              <w:rPr>
                <w:rFonts w:ascii="Arial" w:cs="Arial" w:eastAsia="Arial" w:hAnsi="Arial"/>
                <w:sz w:val="3"/>
                <w:szCs w:val="3"/>
                <w:color w:val="FFFFFF"/>
              </w:rPr>
              <w:t>Allison discourages employees from joining</w:t>
            </w:r>
          </w:p>
        </w:tc>
        <w:tc>
          <w:tcPr>
            <w:tcW w:w="1540" w:type="dxa"/>
            <w:vAlign w:val="bottom"/>
          </w:tcPr>
          <w:p>
            <w:pPr>
              <w:ind w:left="200"/>
              <w:spacing w:after="0"/>
              <w:rPr>
                <w:sz w:val="20"/>
                <w:szCs w:val="20"/>
                <w:color w:val="auto"/>
              </w:rPr>
            </w:pPr>
            <w:r>
              <w:rPr>
                <w:rFonts w:ascii="Arial" w:cs="Arial" w:eastAsia="Arial" w:hAnsi="Arial"/>
                <w:sz w:val="3"/>
                <w:szCs w:val="3"/>
                <w:color w:val="FFFFFF"/>
              </w:rPr>
              <w:t>of outside for-profit</w:t>
            </w:r>
          </w:p>
        </w:tc>
        <w:tc>
          <w:tcPr>
            <w:tcW w:w="6760" w:type="dxa"/>
            <w:vAlign w:val="bottom"/>
            <w:gridSpan w:val="2"/>
          </w:tcPr>
          <w:p>
            <w:pPr>
              <w:ind w:left="360"/>
              <w:spacing w:after="0"/>
              <w:rPr>
                <w:sz w:val="20"/>
                <w:szCs w:val="20"/>
                <w:color w:val="auto"/>
              </w:rPr>
            </w:pPr>
            <w:r>
              <w:rPr>
                <w:rFonts w:ascii="Arial" w:cs="Arial" w:eastAsia="Arial" w:hAnsi="Arial"/>
                <w:sz w:val="3"/>
                <w:szCs w:val="3"/>
                <w:color w:val="FFFFFF"/>
              </w:rPr>
              <w:t>. Employees may serve on such a board only with prior approval. Never accept any employment by a supplier,</w:t>
            </w:r>
          </w:p>
        </w:tc>
        <w:tc>
          <w:tcPr>
            <w:tcW w:w="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or competitor of Allison. When an employee’boardsspouse or partner works forcompaniesAllison supplier, customer or competitor, both individuals need to take care to comply with the responsibility each owescustomerhis or her</w:t>
            </w:r>
          </w:p>
        </w:tc>
        <w:tc>
          <w:tcPr>
            <w:tcW w:w="0" w:type="dxa"/>
            <w:vAlign w:val="bottom"/>
          </w:tcPr>
          <w:p>
            <w:pPr>
              <w:spacing w:after="0"/>
              <w:rPr>
                <w:sz w:val="1"/>
                <w:szCs w:val="1"/>
                <w:color w:val="auto"/>
              </w:rPr>
            </w:pPr>
          </w:p>
        </w:tc>
      </w:tr>
      <w:tr>
        <w:trPr>
          <w:trHeight w:val="41"/>
        </w:trPr>
        <w:tc>
          <w:tcPr>
            <w:tcW w:w="2620" w:type="dxa"/>
            <w:vAlign w:val="bottom"/>
            <w:gridSpan w:val="2"/>
          </w:tcPr>
          <w:p>
            <w:pPr>
              <w:spacing w:after="0"/>
              <w:rPr>
                <w:sz w:val="20"/>
                <w:szCs w:val="20"/>
                <w:color w:val="auto"/>
              </w:rPr>
            </w:pPr>
            <w:r>
              <w:rPr>
                <w:rFonts w:ascii="Arial" w:cs="Arial" w:eastAsia="Arial" w:hAnsi="Arial"/>
                <w:sz w:val="3"/>
                <w:szCs w:val="3"/>
                <w:color w:val="FFFFFF"/>
              </w:rPr>
              <w:t>employer.</w:t>
            </w:r>
          </w:p>
        </w:tc>
        <w:tc>
          <w:tcPr>
            <w:tcW w:w="15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3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Do</w:t>
            </w:r>
          </w:p>
        </w:tc>
        <w:tc>
          <w:tcPr>
            <w:tcW w:w="22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3200" w:type="dxa"/>
            <w:vAlign w:val="bottom"/>
          </w:tcPr>
          <w:p>
            <w:pPr>
              <w:spacing w:after="0"/>
              <w:rPr>
                <w:sz w:val="3"/>
                <w:szCs w:val="3"/>
                <w:color w:val="auto"/>
              </w:rPr>
            </w:pPr>
          </w:p>
        </w:tc>
        <w:tc>
          <w:tcPr>
            <w:tcW w:w="3560" w:type="dxa"/>
            <w:vAlign w:val="bottom"/>
            <w:vMerge w:val="restart"/>
          </w:tcPr>
          <w:p>
            <w:pPr>
              <w:ind w:left="180"/>
              <w:spacing w:after="0" w:line="81" w:lineRule="exact"/>
              <w:rPr>
                <w:sz w:val="20"/>
                <w:szCs w:val="20"/>
                <w:color w:val="auto"/>
              </w:rPr>
            </w:pPr>
            <w:r>
              <w:rPr>
                <w:rFonts w:ascii="Arial" w:cs="Arial" w:eastAsia="Arial" w:hAnsi="Arial"/>
                <w:sz w:val="9"/>
                <w:szCs w:val="9"/>
                <w:color w:val="FFFFFF"/>
              </w:rPr>
              <w:t>questions to determine if they need to update their disclosure.</w:t>
            </w: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360" w:type="dxa"/>
            <w:vAlign w:val="bottom"/>
            <w:gridSpan w:val="4"/>
          </w:tcPr>
          <w:p>
            <w:pPr>
              <w:spacing w:after="0"/>
              <w:rPr>
                <w:sz w:val="20"/>
                <w:szCs w:val="20"/>
                <w:color w:val="auto"/>
              </w:rPr>
            </w:pPr>
            <w:r>
              <w:rPr>
                <w:rFonts w:ascii="Arial" w:cs="Arial" w:eastAsia="Arial" w:hAnsi="Arial"/>
                <w:sz w:val="3"/>
                <w:szCs w:val="3"/>
                <w:color w:val="FFFFFF"/>
              </w:rPr>
              <w:t>Each year, each employee should examine his or her personal circumstances as they relate to the Allison Conflict of Interest</w:t>
            </w:r>
          </w:p>
        </w:tc>
        <w:tc>
          <w:tcPr>
            <w:tcW w:w="35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920" w:type="dxa"/>
            <w:vAlign w:val="bottom"/>
            <w:gridSpan w:val="5"/>
          </w:tcPr>
          <w:p>
            <w:pPr>
              <w:spacing w:after="0"/>
              <w:rPr>
                <w:sz w:val="20"/>
                <w:szCs w:val="20"/>
                <w:color w:val="auto"/>
              </w:rPr>
            </w:pPr>
            <w:r>
              <w:rPr>
                <w:rFonts w:ascii="Arial" w:cs="Arial" w:eastAsia="Arial" w:hAnsi="Arial"/>
                <w:sz w:val="3"/>
                <w:szCs w:val="3"/>
                <w:color w:val="FFFFFF"/>
              </w:rPr>
              <w:t>Use the Allison Conflict of Interest Questionnaire to notify leadership of any potential conflict - even if you think it probablyQuestionnaireisn’problem.</w:t>
            </w: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360" w:type="dxa"/>
            <w:vAlign w:val="bottom"/>
            <w:gridSpan w:val="4"/>
          </w:tcPr>
          <w:p>
            <w:pPr>
              <w:spacing w:after="0"/>
              <w:rPr>
                <w:sz w:val="20"/>
                <w:szCs w:val="20"/>
                <w:color w:val="auto"/>
              </w:rPr>
            </w:pPr>
            <w:r>
              <w:rPr>
                <w:rFonts w:ascii="Arial" w:cs="Arial" w:eastAsia="Arial" w:hAnsi="Arial"/>
                <w:sz w:val="3"/>
                <w:szCs w:val="3"/>
                <w:color w:val="FFFFFF"/>
              </w:rPr>
              <w:t>Fully disclose any activity, investment, employment or relationship that could create even the appearance of a possible conflict.</w:t>
            </w:r>
          </w:p>
        </w:tc>
        <w:tc>
          <w:tcPr>
            <w:tcW w:w="3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360" w:type="dxa"/>
            <w:vAlign w:val="bottom"/>
            <w:gridSpan w:val="4"/>
          </w:tcPr>
          <w:p>
            <w:pPr>
              <w:spacing w:after="0"/>
              <w:rPr>
                <w:sz w:val="20"/>
                <w:szCs w:val="20"/>
                <w:color w:val="auto"/>
              </w:rPr>
            </w:pPr>
            <w:r>
              <w:rPr>
                <w:rFonts w:ascii="Arial" w:cs="Arial" w:eastAsia="Arial" w:hAnsi="Arial"/>
                <w:sz w:val="3"/>
                <w:szCs w:val="3"/>
                <w:color w:val="FFFFFF"/>
              </w:rPr>
              <w:t>Consult the Conflict of Interest Policy for advice on how to answer each question.</w:t>
            </w:r>
          </w:p>
        </w:tc>
        <w:tc>
          <w:tcPr>
            <w:tcW w:w="3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Keep</w:t>
            </w:r>
          </w:p>
        </w:tc>
        <w:tc>
          <w:tcPr>
            <w:tcW w:w="3760" w:type="dxa"/>
            <w:vAlign w:val="bottom"/>
            <w:gridSpan w:val="2"/>
          </w:tcPr>
          <w:p>
            <w:pPr>
              <w:ind w:left="20"/>
              <w:spacing w:after="0"/>
              <w:rPr>
                <w:sz w:val="20"/>
                <w:szCs w:val="20"/>
                <w:color w:val="auto"/>
              </w:rPr>
            </w:pPr>
            <w:r>
              <w:rPr>
                <w:rFonts w:ascii="Arial" w:cs="Arial" w:eastAsia="Arial" w:hAnsi="Arial"/>
                <w:sz w:val="3"/>
                <w:szCs w:val="3"/>
                <w:color w:val="FFFFFF"/>
              </w:rPr>
              <w:t>copy of the completed Allison Conflict of Interest Questionnaire for</w:t>
            </w:r>
          </w:p>
        </w:tc>
        <w:tc>
          <w:tcPr>
            <w:tcW w:w="3200" w:type="dxa"/>
            <w:vAlign w:val="bottom"/>
          </w:tcPr>
          <w:p>
            <w:pPr>
              <w:ind w:left="40"/>
              <w:spacing w:after="0"/>
              <w:rPr>
                <w:sz w:val="20"/>
                <w:szCs w:val="20"/>
                <w:color w:val="auto"/>
              </w:rPr>
            </w:pPr>
            <w:r>
              <w:rPr>
                <w:rFonts w:ascii="Arial" w:cs="Arial" w:eastAsia="Arial" w:hAnsi="Arial"/>
                <w:sz w:val="3"/>
                <w:szCs w:val="3"/>
                <w:color w:val="FFFFFF"/>
              </w:rPr>
              <w:t>our own files.</w:t>
            </w:r>
          </w:p>
        </w:tc>
        <w:tc>
          <w:tcPr>
            <w:tcW w:w="3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UpdateDon’</w:t>
            </w:r>
          </w:p>
        </w:tc>
        <w:tc>
          <w:tcPr>
            <w:tcW w:w="6960" w:type="dxa"/>
            <w:vAlign w:val="bottom"/>
            <w:gridSpan w:val="3"/>
          </w:tcPr>
          <w:p>
            <w:pPr>
              <w:ind w:left="40"/>
              <w:spacing w:after="0"/>
              <w:rPr>
                <w:sz w:val="20"/>
                <w:szCs w:val="20"/>
                <w:color w:val="auto"/>
              </w:rPr>
            </w:pPr>
            <w:r>
              <w:rPr>
                <w:rFonts w:ascii="Arial" w:cs="Arial" w:eastAsia="Arial" w:hAnsi="Arial"/>
                <w:sz w:val="3"/>
                <w:szCs w:val="3"/>
                <w:color w:val="FFFFFF"/>
              </w:rPr>
              <w:t>your disclosure within 30 days, or any time circumstances covered by the questionnaire change.</w:t>
            </w:r>
          </w:p>
        </w:tc>
        <w:tc>
          <w:tcPr>
            <w:tcW w:w="3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7360" w:type="dxa"/>
            <w:vAlign w:val="bottom"/>
            <w:gridSpan w:val="4"/>
          </w:tcPr>
          <w:p>
            <w:pPr>
              <w:spacing w:after="0" w:line="81" w:lineRule="exact"/>
              <w:rPr>
                <w:sz w:val="20"/>
                <w:szCs w:val="20"/>
                <w:color w:val="auto"/>
              </w:rPr>
            </w:pPr>
            <w:r>
              <w:rPr>
                <w:rFonts w:ascii="Arial" w:cs="Arial" w:eastAsia="Arial" w:hAnsi="Arial"/>
                <w:sz w:val="9"/>
                <w:szCs w:val="9"/>
                <w:color w:val="FFFFFF"/>
              </w:rPr>
              <w:t>Become involved in any activity, investment, employment or other relationship that could create a conflict with Allison employment.</w:t>
            </w:r>
          </w:p>
        </w:tc>
        <w:tc>
          <w:tcPr>
            <w:tcW w:w="3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7360" w:type="dxa"/>
            <w:vAlign w:val="bottom"/>
            <w:gridSpan w:val="4"/>
          </w:tcPr>
          <w:p>
            <w:pPr>
              <w:spacing w:after="0"/>
              <w:rPr>
                <w:sz w:val="20"/>
                <w:szCs w:val="20"/>
                <w:color w:val="auto"/>
              </w:rPr>
            </w:pPr>
            <w:r>
              <w:rPr>
                <w:rFonts w:ascii="Arial" w:cs="Arial" w:eastAsia="Arial" w:hAnsi="Arial"/>
                <w:sz w:val="14"/>
                <w:szCs w:val="14"/>
                <w:color w:val="FFFFFF"/>
              </w:rPr>
              <w:t>Fail to fully disclose any activities that could create a conflict or the appearance of a conflict.</w:t>
            </w:r>
          </w:p>
        </w:tc>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gridSpan w:val="3"/>
          </w:tcPr>
          <w:p>
            <w:pPr>
              <w:spacing w:after="0"/>
              <w:rPr>
                <w:sz w:val="20"/>
                <w:szCs w:val="20"/>
                <w:color w:val="auto"/>
              </w:rPr>
            </w:pPr>
            <w:r>
              <w:rPr>
                <w:rFonts w:ascii="Arial" w:cs="Arial" w:eastAsia="Arial" w:hAnsi="Arial"/>
                <w:sz w:val="14"/>
                <w:szCs w:val="14"/>
                <w:color w:val="FFFFFF"/>
              </w:rPr>
              <w:t>Use and Protection of Allison Transmission Assets</w:t>
            </w:r>
          </w:p>
        </w:tc>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Employees and Allison Representatives have an obligation to use and protect Allison’s assets in  way that safeguards their value and promotes Allison’s business interests. Such assets include financial assets,</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tangible assets, such as plants, inventory and supplies, information technology related assets, such as  omputers and software and intangible assets, such as patents and other intellectual property, proprietary</w:t>
            </w:r>
          </w:p>
        </w:tc>
      </w:tr>
      <w:tr>
        <w:trPr>
          <w:trHeight w:val="41"/>
        </w:trPr>
        <w:tc>
          <w:tcPr>
            <w:tcW w:w="11400" w:type="dxa"/>
            <w:vAlign w:val="bottom"/>
            <w:gridSpan w:val="6"/>
          </w:tcPr>
          <w:p>
            <w:pPr>
              <w:ind w:left="120"/>
              <w:spacing w:after="0"/>
              <w:rPr>
                <w:sz w:val="20"/>
                <w:szCs w:val="20"/>
                <w:color w:val="auto"/>
              </w:rPr>
            </w:pPr>
            <w:r>
              <w:rPr>
                <w:rFonts w:ascii="Arial" w:cs="Arial" w:eastAsia="Arial" w:hAnsi="Arial"/>
                <w:sz w:val="3"/>
                <w:szCs w:val="3"/>
                <w:color w:val="FFFFFF"/>
              </w:rPr>
              <w:t>formation and data. Allison assets should be used for Allison business and in accordance with applicable Allison policies. Furthermore, employees and Allison Representatives have an obligation to use</w:t>
            </w:r>
          </w:p>
        </w:tc>
      </w:tr>
      <w:tr>
        <w:trPr>
          <w:trHeight w:val="41"/>
        </w:trPr>
        <w:tc>
          <w:tcPr>
            <w:tcW w:w="9140" w:type="dxa"/>
            <w:vAlign w:val="bottom"/>
            <w:gridSpan w:val="5"/>
          </w:tcPr>
          <w:p>
            <w:pPr>
              <w:spacing w:after="0"/>
              <w:rPr>
                <w:sz w:val="20"/>
                <w:szCs w:val="20"/>
                <w:color w:val="auto"/>
              </w:rPr>
            </w:pPr>
            <w:r>
              <w:rPr>
                <w:rFonts w:ascii="Arial" w:cs="Arial" w:eastAsia="Arial" w:hAnsi="Arial"/>
                <w:sz w:val="3"/>
                <w:szCs w:val="3"/>
                <w:color w:val="FFFFFF"/>
              </w:rPr>
              <w:t>intellectual property and proprietary information belonging to our customers, suppliers and other third parties in accordance with applicable law and any agreements</w:t>
            </w:r>
          </w:p>
        </w:tc>
        <w:tc>
          <w:tcPr>
            <w:tcW w:w="2260" w:type="dxa"/>
            <w:vAlign w:val="bottom"/>
          </w:tcPr>
          <w:p>
            <w:pPr>
              <w:ind w:left="220"/>
              <w:spacing w:after="0"/>
              <w:rPr>
                <w:sz w:val="20"/>
                <w:szCs w:val="20"/>
                <w:color w:val="auto"/>
              </w:rPr>
            </w:pPr>
            <w:r>
              <w:rPr>
                <w:rFonts w:ascii="Arial" w:cs="Arial" w:eastAsia="Arial" w:hAnsi="Arial"/>
                <w:sz w:val="3"/>
                <w:szCs w:val="3"/>
                <w:color w:val="FFFFFF"/>
              </w:rPr>
              <w:t>has with such third parties. Each</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employee and Allison Representative has an obligation to protect information we may receive, acquire, develop or record in performing our jobs. This is not optionalAllison–itabsolutely critical that we diligently</w:t>
            </w:r>
          </w:p>
        </w:tc>
      </w:tr>
      <w:tr>
        <w:trPr>
          <w:trHeight w:val="41"/>
        </w:trPr>
        <w:tc>
          <w:tcPr>
            <w:tcW w:w="1880" w:type="dxa"/>
            <w:vAlign w:val="bottom"/>
          </w:tcPr>
          <w:p>
            <w:pPr>
              <w:spacing w:after="0"/>
              <w:rPr>
                <w:sz w:val="20"/>
                <w:szCs w:val="20"/>
                <w:color w:val="auto"/>
              </w:rPr>
            </w:pPr>
            <w:r>
              <w:rPr>
                <w:rFonts w:ascii="Arial" w:cs="Arial" w:eastAsia="Arial" w:hAnsi="Arial"/>
                <w:sz w:val="3"/>
                <w:szCs w:val="3"/>
                <w:color w:val="FFFFFF"/>
              </w:rPr>
              <w:t>protect company information.</w:t>
            </w:r>
          </w:p>
        </w:tc>
        <w:tc>
          <w:tcPr>
            <w:tcW w:w="50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Accurate Information, Records and Communications</w:t>
            </w:r>
          </w:p>
        </w:tc>
        <w:tc>
          <w:tcPr>
            <w:tcW w:w="1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Intentionally creating   inserting false or misleading information in any Allison financial or other business record is strictly prohibited. Inaccurate information may lead to bad decisions by Allison. Allison’s</w:t>
            </w:r>
          </w:p>
        </w:tc>
      </w:tr>
      <w:tr>
        <w:trPr>
          <w:trHeight w:val="41"/>
        </w:trPr>
        <w:tc>
          <w:tcPr>
            <w:tcW w:w="7960" w:type="dxa"/>
            <w:vAlign w:val="bottom"/>
            <w:gridSpan w:val="4"/>
          </w:tcPr>
          <w:p>
            <w:pPr>
              <w:ind w:left="620"/>
              <w:spacing w:after="0"/>
              <w:rPr>
                <w:sz w:val="20"/>
                <w:szCs w:val="20"/>
                <w:color w:val="auto"/>
              </w:rPr>
            </w:pPr>
            <w:r>
              <w:rPr>
                <w:rFonts w:ascii="Arial" w:cs="Arial" w:eastAsia="Arial" w:hAnsi="Arial"/>
                <w:sz w:val="3"/>
                <w:szCs w:val="3"/>
                <w:color w:val="FFFFFF"/>
              </w:rPr>
              <w:t>suppliers, investors, business partners, communities and government officials rely on us for accurate information.</w:t>
            </w:r>
          </w:p>
        </w:tc>
        <w:tc>
          <w:tcPr>
            <w:tcW w:w="11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customers,’books, records, cost accounts and financial statements must properly document all assets and</w:t>
            </w:r>
          </w:p>
        </w:tc>
        <w:tc>
          <w:tcPr>
            <w:tcW w:w="5300" w:type="dxa"/>
            <w:vAlign w:val="bottom"/>
            <w:gridSpan w:val="3"/>
          </w:tcPr>
          <w:p>
            <w:pPr>
              <w:ind w:left="20"/>
              <w:spacing w:after="0"/>
              <w:rPr>
                <w:sz w:val="20"/>
                <w:szCs w:val="20"/>
                <w:color w:val="auto"/>
              </w:rPr>
            </w:pPr>
            <w:r>
              <w:rPr>
                <w:rFonts w:ascii="Arial" w:cs="Arial" w:eastAsia="Arial" w:hAnsi="Arial"/>
                <w:sz w:val="3"/>
                <w:szCs w:val="3"/>
                <w:color w:val="FFFFFF"/>
              </w:rPr>
              <w:t>and must accurately reflect all transactions. All records must be retained in accordance with</w:t>
            </w: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Allison policy and applicable laws and</w:t>
            </w:r>
          </w:p>
        </w:tc>
        <w:tc>
          <w:tcPr>
            <w:tcW w:w="9020" w:type="dxa"/>
            <w:vAlign w:val="bottom"/>
            <w:gridSpan w:val="4"/>
          </w:tcPr>
          <w:p>
            <w:pPr>
              <w:ind w:left="360"/>
              <w:spacing w:after="0"/>
              <w:rPr>
                <w:sz w:val="20"/>
                <w:szCs w:val="20"/>
                <w:color w:val="auto"/>
              </w:rPr>
            </w:pPr>
            <w:r>
              <w:rPr>
                <w:rFonts w:ascii="Arial" w:cs="Arial" w:eastAsia="Arial" w:hAnsi="Arial"/>
                <w:sz w:val="3"/>
                <w:szCs w:val="3"/>
                <w:color w:val="FFFFFF"/>
              </w:rPr>
              <w:t>. Each employee is responsible for ensuring that Allison’liabilitiesbusiness records are accurate, properly recorded and maintained.</w:t>
            </w: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Whenever an inaccuracy finds its way into</w:t>
            </w:r>
          </w:p>
        </w:tc>
        <w:tc>
          <w:tcPr>
            <w:tcW w:w="9020" w:type="dxa"/>
            <w:vAlign w:val="bottom"/>
            <w:gridSpan w:val="4"/>
          </w:tcPr>
          <w:p>
            <w:pPr>
              <w:ind w:left="60"/>
              <w:spacing w:after="0"/>
              <w:rPr>
                <w:sz w:val="20"/>
                <w:szCs w:val="20"/>
                <w:color w:val="auto"/>
              </w:rPr>
            </w:pPr>
            <w:r>
              <w:rPr>
                <w:rFonts w:ascii="Arial" w:cs="Arial" w:eastAsia="Arial" w:hAnsi="Arial"/>
                <w:sz w:val="3"/>
                <w:szCs w:val="3"/>
                <w:color w:val="FFFFFF"/>
              </w:rPr>
              <w:t>record, it should be corrected and, where appropriate, the reasons for the correction should be communicated and noted. This is also important in engineering records.</w:t>
            </w:r>
          </w:p>
        </w:tc>
      </w:tr>
      <w:tr>
        <w:trPr>
          <w:trHeight w:val="41"/>
        </w:trPr>
        <w:tc>
          <w:tcPr>
            <w:tcW w:w="9140" w:type="dxa"/>
            <w:vAlign w:val="bottom"/>
            <w:gridSpan w:val="5"/>
          </w:tcPr>
          <w:p>
            <w:pPr>
              <w:spacing w:after="0"/>
              <w:rPr>
                <w:sz w:val="20"/>
                <w:szCs w:val="20"/>
                <w:color w:val="auto"/>
              </w:rPr>
            </w:pPr>
            <w:r>
              <w:rPr>
                <w:rFonts w:ascii="Arial" w:cs="Arial" w:eastAsia="Arial" w:hAnsi="Arial"/>
                <w:sz w:val="3"/>
                <w:szCs w:val="3"/>
                <w:color w:val="FFFFFF"/>
              </w:rPr>
              <w:t>An inaccurate record is an “open loop.”regulationsWneedto “close the loop” by clarifying and supplementing the “open loop” record with the accurate data or judgment.</w:t>
            </w:r>
          </w:p>
        </w:tc>
        <w:tc>
          <w:tcPr>
            <w:tcW w:w="2260" w:type="dxa"/>
            <w:vAlign w:val="bottom"/>
          </w:tcPr>
          <w:p>
            <w:pPr>
              <w:spacing w:after="0"/>
              <w:rPr>
                <w:sz w:val="3"/>
                <w:szCs w:val="3"/>
                <w:color w:val="auto"/>
              </w:rPr>
            </w:pPr>
          </w:p>
        </w:tc>
      </w:tr>
      <w:tr>
        <w:trPr>
          <w:trHeight w:val="41"/>
        </w:trPr>
        <w:tc>
          <w:tcPr>
            <w:tcW w:w="7960" w:type="dxa"/>
            <w:vAlign w:val="bottom"/>
            <w:gridSpan w:val="4"/>
          </w:tcPr>
          <w:p>
            <w:pPr>
              <w:spacing w:after="0"/>
              <w:rPr>
                <w:sz w:val="20"/>
                <w:szCs w:val="20"/>
                <w:color w:val="auto"/>
              </w:rPr>
            </w:pPr>
            <w:r>
              <w:rPr>
                <w:rFonts w:ascii="Arial" w:cs="Arial" w:eastAsia="Arial" w:hAnsi="Arial"/>
                <w:sz w:val="3"/>
                <w:szCs w:val="3"/>
                <w:color w:val="FFFFFF"/>
              </w:rPr>
              <w:t>W must also ensure that Allison business records are available to meet the company’ business needs, including legal and tax requirements. That’</w:t>
            </w:r>
          </w:p>
        </w:tc>
        <w:tc>
          <w:tcPr>
            <w:tcW w:w="3440" w:type="dxa"/>
            <w:vAlign w:val="bottom"/>
            <w:gridSpan w:val="2"/>
          </w:tcPr>
          <w:p>
            <w:pPr>
              <w:ind w:left="40"/>
              <w:spacing w:after="0"/>
              <w:rPr>
                <w:sz w:val="20"/>
                <w:szCs w:val="20"/>
                <w:color w:val="auto"/>
              </w:rPr>
            </w:pPr>
            <w:r>
              <w:rPr>
                <w:rFonts w:ascii="Arial" w:cs="Arial" w:eastAsia="Arial" w:hAnsi="Arial"/>
                <w:sz w:val="3"/>
                <w:szCs w:val="3"/>
                <w:color w:val="FFFFFF"/>
              </w:rPr>
              <w:t>why we must comply with Allison Information LifeCycle</w:t>
            </w:r>
          </w:p>
        </w:tc>
      </w:tr>
      <w:tr>
        <w:trPr>
          <w:trHeight w:val="41"/>
        </w:trPr>
        <w:tc>
          <w:tcPr>
            <w:tcW w:w="7960" w:type="dxa"/>
            <w:vAlign w:val="bottom"/>
            <w:gridSpan w:val="4"/>
          </w:tcPr>
          <w:p>
            <w:pPr>
              <w:spacing w:after="0"/>
              <w:rPr>
                <w:sz w:val="20"/>
                <w:szCs w:val="20"/>
                <w:color w:val="auto"/>
              </w:rPr>
            </w:pPr>
            <w:r>
              <w:rPr>
                <w:rFonts w:ascii="Arial" w:cs="Arial" w:eastAsia="Arial" w:hAnsi="Arial"/>
                <w:sz w:val="3"/>
                <w:szCs w:val="3"/>
                <w:color w:val="FFFFFF"/>
              </w:rPr>
              <w:t>Management (ILM) policies in creating, managing and disposing of all Al son records. Be alert to and observe litigation holds. These are</w:t>
            </w:r>
          </w:p>
        </w:tc>
        <w:tc>
          <w:tcPr>
            <w:tcW w:w="3440" w:type="dxa"/>
            <w:vAlign w:val="bottom"/>
            <w:gridSpan w:val="2"/>
          </w:tcPr>
          <w:p>
            <w:pPr>
              <w:ind w:left="200"/>
              <w:spacing w:after="0"/>
              <w:rPr>
                <w:sz w:val="20"/>
                <w:szCs w:val="20"/>
                <w:color w:val="auto"/>
              </w:rPr>
            </w:pPr>
            <w:r>
              <w:rPr>
                <w:rFonts w:ascii="Arial" w:cs="Arial" w:eastAsia="Arial" w:hAnsi="Arial"/>
                <w:sz w:val="3"/>
                <w:szCs w:val="3"/>
                <w:color w:val="FFFFFF"/>
              </w:rPr>
              <w:t>from the Legal department requiring that certain records</w:t>
            </w:r>
          </w:p>
        </w:tc>
      </w:tr>
      <w:tr>
        <w:trPr>
          <w:trHeight w:val="0"/>
        </w:trPr>
        <w:tc>
          <w:tcPr>
            <w:tcW w:w="1880" w:type="dxa"/>
            <w:vAlign w:val="bottom"/>
          </w:tcPr>
          <w:p>
            <w:pPr>
              <w:spacing w:after="0" w:line="80" w:lineRule="exact"/>
              <w:rPr>
                <w:sz w:val="20"/>
                <w:szCs w:val="20"/>
                <w:color w:val="auto"/>
              </w:rPr>
            </w:pPr>
            <w:r>
              <w:rPr>
                <w:rFonts w:ascii="Arial" w:cs="Arial" w:eastAsia="Arial" w:hAnsi="Arial"/>
                <w:sz w:val="9"/>
                <w:szCs w:val="9"/>
                <w:color w:val="FFFFFF"/>
              </w:rPr>
              <w:t>sometimes be retained beyond</w:t>
            </w:r>
          </w:p>
        </w:tc>
        <w:tc>
          <w:tcPr>
            <w:tcW w:w="422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retention periods, for legal or compliance reasons. Failure to comply with</w:t>
            </w:r>
          </w:p>
        </w:tc>
        <w:tc>
          <w:tcPr>
            <w:tcW w:w="5300" w:type="dxa"/>
            <w:vAlign w:val="bottom"/>
            <w:gridSpan w:val="3"/>
          </w:tcPr>
          <w:p>
            <w:pPr>
              <w:ind w:left="520"/>
              <w:spacing w:after="0" w:line="80" w:lineRule="exact"/>
              <w:rPr>
                <w:sz w:val="20"/>
                <w:szCs w:val="20"/>
                <w:color w:val="auto"/>
              </w:rPr>
            </w:pPr>
            <w:r>
              <w:rPr>
                <w:rFonts w:ascii="Arial" w:cs="Arial" w:eastAsia="Arial" w:hAnsi="Arial"/>
                <w:sz w:val="9"/>
                <w:szCs w:val="9"/>
                <w:color w:val="FFFFFF"/>
              </w:rPr>
              <w:t>holds can resultinstructionsseriousharm to Allison, its employees and shareholders. It is</w:t>
            </w:r>
          </w:p>
        </w:tc>
      </w:tr>
    </w:tbl>
    <w:p>
      <w:pPr>
        <w:jc w:val="both"/>
        <w:spacing w:after="0"/>
        <w:rPr>
          <w:sz w:val="20"/>
          <w:szCs w:val="20"/>
          <w:color w:val="auto"/>
        </w:rPr>
      </w:pPr>
      <w:r>
        <w:rPr>
          <w:rFonts w:ascii="Arial" w:cs="Arial" w:eastAsia="Arial" w:hAnsi="Arial"/>
          <w:sz w:val="9"/>
          <w:szCs w:val="9"/>
          <w:color w:val="FFFFFF"/>
        </w:rPr>
        <w:t>unlawful to destroy, conceal, alternormalfalsify any Allison business or other record, document or object that is subjectlitigationtolitigation hold or for the purpose of obstructing or influencing any lawsuit or other legal or governmental proceeding or investigation.</w:t>
      </w:r>
    </w:p>
    <w:p>
      <w:pPr>
        <w:sectPr>
          <w:pgSz w:w="11900" w:h="16838" w:orient="portrait"/>
          <w:cols w:equalWidth="0" w:num="1">
            <w:col w:w="11400"/>
          </w:cols>
          <w:pgMar w:left="240" w:top="1440" w:right="25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2"/>
          <w:szCs w:val="12"/>
          <w:color w:val="FFFFFF"/>
        </w:rPr>
        <w:t>“Whenever an inaccuracy finds its way into a record, it should be corrected and, where appropriate, the reasons for the correction should be communicated and noted.”</w:t>
      </w:r>
    </w:p>
    <w:p>
      <w:pPr>
        <w:sectPr>
          <w:pgSz w:w="11900" w:h="16838" w:orient="portrait"/>
          <w:cols w:equalWidth="0" w:num="1">
            <w:col w:w="10219"/>
          </w:cols>
          <w:pgMar w:left="240" w:top="1440" w:right="1440"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4"/>
          </w:tcPr>
          <w:p>
            <w:pPr>
              <w:spacing w:after="0"/>
              <w:rPr>
                <w:sz w:val="20"/>
                <w:szCs w:val="20"/>
                <w:color w:val="auto"/>
              </w:rPr>
            </w:pPr>
            <w:r>
              <w:rPr>
                <w:rFonts w:ascii="Arial" w:cs="Arial" w:eastAsia="Arial" w:hAnsi="Arial"/>
                <w:sz w:val="14"/>
                <w:szCs w:val="14"/>
                <w:color w:val="FFFFFF"/>
                <w:w w:val="97"/>
              </w:rPr>
              <w:t>Use Good Judgment About What You Share And How You</w:t>
            </w:r>
          </w:p>
        </w:tc>
        <w:tc>
          <w:tcPr>
            <w:tcW w:w="2500" w:type="dxa"/>
            <w:vAlign w:val="bottom"/>
          </w:tcPr>
          <w:p>
            <w:pPr>
              <w:ind w:left="20"/>
              <w:spacing w:after="0"/>
              <w:rPr>
                <w:sz w:val="20"/>
                <w:szCs w:val="20"/>
                <w:color w:val="auto"/>
              </w:rPr>
            </w:pPr>
            <w:r>
              <w:rPr>
                <w:rFonts w:ascii="Arial" w:cs="Arial" w:eastAsia="Arial" w:hAnsi="Arial"/>
                <w:sz w:val="14"/>
                <w:szCs w:val="14"/>
                <w:color w:val="FFFFFF"/>
              </w:rPr>
              <w:t>It</w:t>
            </w:r>
          </w:p>
        </w:tc>
        <w:tc>
          <w:tcPr>
            <w:tcW w:w="5320" w:type="dxa"/>
            <w:vAlign w:val="bottom"/>
            <w:gridSpan w:val="2"/>
            <w:vMerge w:val="restart"/>
          </w:tcPr>
          <w:p>
            <w:pPr>
              <w:ind w:left="240"/>
              <w:spacing w:after="0"/>
              <w:rPr>
                <w:sz w:val="20"/>
                <w:szCs w:val="20"/>
                <w:color w:val="auto"/>
              </w:rPr>
            </w:pPr>
            <w:r>
              <w:rPr>
                <w:rFonts w:ascii="Arial" w:cs="Arial" w:eastAsia="Arial" w:hAnsi="Arial"/>
                <w:sz w:val="14"/>
                <w:szCs w:val="14"/>
                <w:color w:val="FFFFFF"/>
                <w:w w:val="87"/>
              </w:rPr>
              <w:t>both online and offline. Your posts can potentially tarnish the image, damage the reputation or</w:t>
            </w:r>
          </w:p>
        </w:tc>
        <w:tc>
          <w:tcPr>
            <w:tcW w:w="0" w:type="dxa"/>
            <w:vAlign w:val="bottom"/>
          </w:tcPr>
          <w:p>
            <w:pPr>
              <w:spacing w:after="0"/>
              <w:rPr>
                <w:sz w:val="1"/>
                <w:szCs w:val="1"/>
                <w:color w:val="auto"/>
              </w:rPr>
            </w:pPr>
          </w:p>
        </w:tc>
      </w:tr>
      <w:tr>
        <w:trPr>
          <w:trHeight w:val="41"/>
        </w:trPr>
        <w:tc>
          <w:tcPr>
            <w:tcW w:w="6080" w:type="dxa"/>
            <w:vAlign w:val="bottom"/>
            <w:gridSpan w:val="5"/>
          </w:tcPr>
          <w:p>
            <w:pPr>
              <w:spacing w:after="0"/>
              <w:rPr>
                <w:sz w:val="20"/>
                <w:szCs w:val="20"/>
                <w:color w:val="auto"/>
              </w:rPr>
            </w:pPr>
            <w:r>
              <w:rPr>
                <w:rFonts w:ascii="Arial" w:cs="Arial" w:eastAsia="Arial" w:hAnsi="Arial"/>
                <w:sz w:val="3"/>
                <w:szCs w:val="3"/>
                <w:color w:val="FFFFFF"/>
              </w:rPr>
              <w:t>Be honest, truthful and appropriate in everything you do. YouShare personally responsible for your words and</w:t>
            </w:r>
          </w:p>
        </w:tc>
        <w:tc>
          <w:tcPr>
            <w:tcW w:w="5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infringe on the rights of someone else (including Allison Transmission and its employees). Even comments aboutactions,local topic can spread around the globe in an instant.</w:t>
            </w:r>
          </w:p>
        </w:tc>
        <w:tc>
          <w:tcPr>
            <w:tcW w:w="0" w:type="dxa"/>
            <w:vAlign w:val="bottom"/>
          </w:tcPr>
          <w:p>
            <w:pPr>
              <w:spacing w:after="0"/>
              <w:rPr>
                <w:sz w:val="1"/>
                <w:szCs w:val="1"/>
                <w:color w:val="auto"/>
              </w:rPr>
            </w:pPr>
          </w:p>
        </w:tc>
      </w:tr>
      <w:tr>
        <w:trPr>
          <w:trHeight w:val="41"/>
        </w:trPr>
        <w:tc>
          <w:tcPr>
            <w:tcW w:w="2840" w:type="dxa"/>
            <w:vAlign w:val="bottom"/>
            <w:gridSpan w:val="3"/>
          </w:tcPr>
          <w:p>
            <w:pPr>
              <w:spacing w:after="0"/>
              <w:rPr>
                <w:sz w:val="20"/>
                <w:szCs w:val="20"/>
                <w:color w:val="auto"/>
              </w:rPr>
            </w:pPr>
            <w:r>
              <w:rPr>
                <w:rFonts w:ascii="Arial" w:cs="Arial" w:eastAsia="Arial" w:hAnsi="Arial"/>
                <w:sz w:val="3"/>
                <w:szCs w:val="3"/>
                <w:color w:val="FFFFFF"/>
              </w:rPr>
              <w:t>Company Vehicles</w:t>
            </w:r>
          </w:p>
        </w:tc>
        <w:tc>
          <w:tcPr>
            <w:tcW w:w="7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Employees may use Allison owned vehicles only as authorized by management. Employees must operate Allison owned vehicles lawfully and must comply with Allison policies applicable to company vehicles</w:t>
            </w:r>
          </w:p>
        </w:tc>
        <w:tc>
          <w:tcPr>
            <w:tcW w:w="0" w:type="dxa"/>
            <w:vAlign w:val="bottom"/>
          </w:tcPr>
          <w:p>
            <w:pPr>
              <w:spacing w:after="0"/>
              <w:rPr>
                <w:sz w:val="1"/>
                <w:szCs w:val="1"/>
                <w:color w:val="auto"/>
              </w:rPr>
            </w:pPr>
          </w:p>
        </w:tc>
      </w:tr>
      <w:tr>
        <w:trPr>
          <w:trHeight w:val="41"/>
        </w:trPr>
        <w:tc>
          <w:tcPr>
            <w:tcW w:w="2840" w:type="dxa"/>
            <w:vAlign w:val="bottom"/>
            <w:gridSpan w:val="3"/>
          </w:tcPr>
          <w:p>
            <w:pPr>
              <w:spacing w:after="0"/>
              <w:rPr>
                <w:sz w:val="20"/>
                <w:szCs w:val="20"/>
                <w:color w:val="auto"/>
              </w:rPr>
            </w:pPr>
            <w:r>
              <w:rPr>
                <w:rFonts w:ascii="Arial" w:cs="Arial" w:eastAsia="Arial" w:hAnsi="Arial"/>
                <w:sz w:val="3"/>
                <w:szCs w:val="3"/>
                <w:color w:val="FFFFFF"/>
              </w:rPr>
              <w:t>in the location where the vehicle is operated.</w:t>
            </w:r>
          </w:p>
        </w:tc>
        <w:tc>
          <w:tcPr>
            <w:tcW w:w="7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340" w:type="dxa"/>
            <w:vAlign w:val="bottom"/>
          </w:tcPr>
          <w:p>
            <w:pPr>
              <w:ind w:left="320"/>
              <w:spacing w:after="0"/>
              <w:rPr>
                <w:sz w:val="20"/>
                <w:szCs w:val="20"/>
                <w:color w:val="auto"/>
              </w:rPr>
            </w:pPr>
            <w:r>
              <w:rPr>
                <w:rFonts w:ascii="Arial" w:cs="Arial" w:eastAsia="Arial" w:hAnsi="Arial"/>
                <w:sz w:val="3"/>
                <w:szCs w:val="3"/>
                <w:color w:val="FFFFFF"/>
              </w:rPr>
              <w:t>and Voice Mail</w:t>
            </w:r>
          </w:p>
        </w:tc>
        <w:tc>
          <w:tcPr>
            <w:tcW w:w="7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Internet/Emailsrule,usethe Internet only for work assignments. Nominal personal use is permitted if it does not interfere with work or productivity and does not conflict with directions from your direct leadership or with</w:t>
            </w:r>
          </w:p>
        </w:tc>
        <w:tc>
          <w:tcPr>
            <w:tcW w:w="0" w:type="dxa"/>
            <w:vAlign w:val="bottom"/>
          </w:tcPr>
          <w:p>
            <w:pPr>
              <w:spacing w:after="0"/>
              <w:rPr>
                <w:sz w:val="1"/>
                <w:szCs w:val="1"/>
                <w:color w:val="auto"/>
              </w:rPr>
            </w:pPr>
          </w:p>
        </w:tc>
      </w:tr>
      <w:tr>
        <w:trPr>
          <w:trHeight w:val="41"/>
        </w:trPr>
        <w:tc>
          <w:tcPr>
            <w:tcW w:w="500" w:type="dxa"/>
            <w:vAlign w:val="bottom"/>
            <w:gridSpan w:val="2"/>
          </w:tcPr>
          <w:p>
            <w:pPr>
              <w:ind w:left="180"/>
              <w:spacing w:after="0"/>
              <w:rPr>
                <w:sz w:val="20"/>
                <w:szCs w:val="20"/>
                <w:color w:val="auto"/>
              </w:rPr>
            </w:pPr>
            <w:r>
              <w:rPr>
                <w:rFonts w:ascii="Arial" w:cs="Arial" w:eastAsia="Arial" w:hAnsi="Arial"/>
                <w:sz w:val="3"/>
                <w:szCs w:val="3"/>
                <w:color w:val="FFFFFF"/>
              </w:rPr>
              <w:t>ison’</w:t>
            </w:r>
          </w:p>
        </w:tc>
        <w:tc>
          <w:tcPr>
            <w:tcW w:w="5580" w:type="dxa"/>
            <w:vAlign w:val="bottom"/>
            <w:gridSpan w:val="3"/>
          </w:tcPr>
          <w:p>
            <w:pPr>
              <w:ind w:left="20"/>
              <w:spacing w:after="0"/>
              <w:rPr>
                <w:sz w:val="20"/>
                <w:szCs w:val="20"/>
                <w:color w:val="auto"/>
              </w:rPr>
            </w:pPr>
            <w:r>
              <w:rPr>
                <w:rFonts w:ascii="Arial" w:cs="Arial" w:eastAsia="Arial" w:hAnsi="Arial"/>
                <w:sz w:val="3"/>
                <w:szCs w:val="3"/>
                <w:color w:val="FFFFFF"/>
              </w:rPr>
              <w:t>Acceptable Use Practices. If in doubt, ask your direct leadership.</w:t>
            </w:r>
          </w:p>
        </w:tc>
        <w:tc>
          <w:tcPr>
            <w:tcW w:w="19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All messages transmitted on Allison’ email and voice mail systems and activity on Allison’s computer systems become records of Allison. No employee should expect that they will be treated as personal or</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private messages. Allison can and sometimes does, access or monitor its email, internet, voice mail and other computer systems for legitimate business reasons. Allison may delete any email or voice mail</w:t>
            </w:r>
          </w:p>
        </w:tc>
        <w:tc>
          <w:tcPr>
            <w:tcW w:w="0" w:type="dxa"/>
            <w:vAlign w:val="bottom"/>
          </w:tcPr>
          <w:p>
            <w:pPr>
              <w:spacing w:after="0"/>
              <w:rPr>
                <w:sz w:val="1"/>
                <w:szCs w:val="1"/>
                <w:color w:val="auto"/>
              </w:rPr>
            </w:pPr>
          </w:p>
        </w:tc>
      </w:tr>
      <w:tr>
        <w:trPr>
          <w:trHeight w:val="41"/>
        </w:trPr>
        <w:tc>
          <w:tcPr>
            <w:tcW w:w="6080" w:type="dxa"/>
            <w:vAlign w:val="bottom"/>
            <w:gridSpan w:val="5"/>
          </w:tcPr>
          <w:p>
            <w:pPr>
              <w:spacing w:after="0"/>
              <w:rPr>
                <w:sz w:val="20"/>
                <w:szCs w:val="20"/>
                <w:color w:val="auto"/>
              </w:rPr>
            </w:pPr>
            <w:r>
              <w:rPr>
                <w:rFonts w:ascii="Arial" w:cs="Arial" w:eastAsia="Arial" w:hAnsi="Arial"/>
                <w:sz w:val="3"/>
                <w:szCs w:val="3"/>
                <w:color w:val="FFFFFF"/>
              </w:rPr>
              <w:t>messages or disclose them to others, without advance notice, unless applicable law provides differently.</w:t>
            </w:r>
          </w:p>
        </w:tc>
        <w:tc>
          <w:tcPr>
            <w:tcW w:w="19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80" w:type="dxa"/>
            <w:vAlign w:val="bottom"/>
            <w:gridSpan w:val="4"/>
          </w:tcPr>
          <w:p>
            <w:pPr>
              <w:spacing w:after="0"/>
              <w:rPr>
                <w:sz w:val="20"/>
                <w:szCs w:val="20"/>
                <w:color w:val="auto"/>
              </w:rPr>
            </w:pPr>
            <w:r>
              <w:rPr>
                <w:rFonts w:ascii="Arial" w:cs="Arial" w:eastAsia="Arial" w:hAnsi="Arial"/>
                <w:sz w:val="3"/>
                <w:szCs w:val="3"/>
                <w:color w:val="FFFFFF"/>
              </w:rPr>
              <w:t>Be Clear That The Views You Are Expressing Are Your Own</w:t>
            </w:r>
          </w:p>
        </w:tc>
        <w:tc>
          <w:tcPr>
            <w:tcW w:w="25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40" w:type="dxa"/>
            <w:vAlign w:val="bottom"/>
            <w:gridSpan w:val="3"/>
          </w:tcPr>
          <w:p>
            <w:pPr>
              <w:spacing w:after="0"/>
              <w:rPr>
                <w:sz w:val="20"/>
                <w:szCs w:val="20"/>
                <w:color w:val="auto"/>
              </w:rPr>
            </w:pPr>
            <w:r>
              <w:rPr>
                <w:rFonts w:ascii="Arial" w:cs="Arial" w:eastAsia="Arial" w:hAnsi="Arial"/>
                <w:sz w:val="3"/>
                <w:szCs w:val="3"/>
                <w:color w:val="FFFFFF"/>
              </w:rPr>
              <w:t>Only persons who have been authorized can speak</w:t>
            </w:r>
          </w:p>
        </w:tc>
        <w:tc>
          <w:tcPr>
            <w:tcW w:w="8560" w:type="dxa"/>
            <w:vAlign w:val="bottom"/>
            <w:gridSpan w:val="4"/>
          </w:tcPr>
          <w:p>
            <w:pPr>
              <w:ind w:left="100"/>
              <w:spacing w:after="0"/>
              <w:rPr>
                <w:sz w:val="20"/>
                <w:szCs w:val="20"/>
                <w:color w:val="auto"/>
              </w:rPr>
            </w:pPr>
            <w:r>
              <w:rPr>
                <w:rFonts w:ascii="Arial" w:cs="Arial" w:eastAsia="Arial" w:hAnsi="Arial"/>
                <w:sz w:val="3"/>
                <w:szCs w:val="3"/>
                <w:color w:val="FFFFFF"/>
              </w:rPr>
              <w:t>behalf of Allison in an official capacity. Transparency is important in social media. Posting anonymously online should be avoided. Make sure that, even</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when you have identified yourself as working for Allison (including on your social media profiles like Twitter, LinkedIn or Facebook), you are clear that your views and opinions are your own and not those of</w:t>
            </w:r>
          </w:p>
        </w:tc>
        <w:tc>
          <w:tcPr>
            <w:tcW w:w="0" w:type="dxa"/>
            <w:vAlign w:val="bottom"/>
          </w:tcPr>
          <w:p>
            <w:pPr>
              <w:spacing w:after="0"/>
              <w:rPr>
                <w:sz w:val="1"/>
                <w:szCs w:val="1"/>
                <w:color w:val="auto"/>
              </w:rPr>
            </w:pPr>
          </w:p>
        </w:tc>
      </w:tr>
      <w:tr>
        <w:trPr>
          <w:trHeight w:val="41"/>
        </w:trPr>
        <w:tc>
          <w:tcPr>
            <w:tcW w:w="400" w:type="dxa"/>
            <w:vAlign w:val="bottom"/>
            <w:vMerge w:val="restart"/>
          </w:tcPr>
          <w:p>
            <w:pPr>
              <w:spacing w:after="0" w:line="81" w:lineRule="exact"/>
              <w:rPr>
                <w:sz w:val="20"/>
                <w:szCs w:val="20"/>
                <w:color w:val="auto"/>
              </w:rPr>
            </w:pPr>
            <w:r>
              <w:rPr>
                <w:rFonts w:ascii="Arial" w:cs="Arial" w:eastAsia="Arial" w:hAnsi="Arial"/>
                <w:sz w:val="9"/>
                <w:szCs w:val="9"/>
                <w:color w:val="FFFFFF"/>
              </w:rPr>
              <w:t>AllisonBe</w:t>
            </w:r>
          </w:p>
        </w:tc>
        <w:tc>
          <w:tcPr>
            <w:tcW w:w="7660" w:type="dxa"/>
            <w:vAlign w:val="bottom"/>
            <w:gridSpan w:val="5"/>
          </w:tcPr>
          <w:p>
            <w:pPr>
              <w:spacing w:after="0"/>
              <w:rPr>
                <w:sz w:val="20"/>
                <w:szCs w:val="20"/>
                <w:color w:val="auto"/>
              </w:rPr>
            </w:pPr>
            <w:r>
              <w:rPr>
                <w:rFonts w:ascii="Arial" w:cs="Arial" w:eastAsia="Arial" w:hAnsi="Arial"/>
                <w:sz w:val="3"/>
                <w:szCs w:val="3"/>
                <w:color w:val="FFFFFF"/>
              </w:rPr>
              <w:t>. If you think an “official” Allison response may be required, contact the Allison Government and Community Relations department.</w:t>
            </w: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580" w:type="dxa"/>
            <w:vAlign w:val="bottom"/>
            <w:gridSpan w:val="3"/>
          </w:tcPr>
          <w:p>
            <w:pPr>
              <w:ind w:left="80"/>
              <w:spacing w:after="0"/>
              <w:rPr>
                <w:sz w:val="20"/>
                <w:szCs w:val="20"/>
                <w:color w:val="auto"/>
              </w:rPr>
            </w:pPr>
            <w:r>
              <w:rPr>
                <w:rFonts w:ascii="Arial" w:cs="Arial" w:eastAsia="Arial" w:hAnsi="Arial"/>
                <w:sz w:val="3"/>
                <w:szCs w:val="3"/>
                <w:color w:val="FFFFFF"/>
              </w:rPr>
              <w:t>That Online Communications Travel Fast, Remain Forever And Are Usually NOT “Private”</w:t>
            </w:r>
          </w:p>
        </w:tc>
        <w:tc>
          <w:tcPr>
            <w:tcW w:w="19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Thereware no secrets on the Internet. Information you may think you have protected as “private” on some social media sites may be accessed by others. Make sure you will have no regrets about what you said or</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did</w:t>
            </w:r>
          </w:p>
        </w:tc>
        <w:tc>
          <w:tcPr>
            <w:tcW w:w="100" w:type="dxa"/>
            <w:vAlign w:val="bottom"/>
          </w:tcPr>
          <w:p>
            <w:pPr>
              <w:spacing w:after="0"/>
              <w:rPr>
                <w:sz w:val="3"/>
                <w:szCs w:val="3"/>
                <w:color w:val="auto"/>
              </w:rPr>
            </w:pPr>
          </w:p>
        </w:tc>
        <w:tc>
          <w:tcPr>
            <w:tcW w:w="3080" w:type="dxa"/>
            <w:vAlign w:val="bottom"/>
            <w:gridSpan w:val="2"/>
          </w:tcPr>
          <w:p>
            <w:pPr>
              <w:ind w:left="80"/>
              <w:spacing w:after="0"/>
              <w:rPr>
                <w:sz w:val="20"/>
                <w:szCs w:val="20"/>
                <w:color w:val="auto"/>
              </w:rPr>
            </w:pPr>
            <w:r>
              <w:rPr>
                <w:rFonts w:ascii="Arial" w:cs="Arial" w:eastAsia="Arial" w:hAnsi="Arial"/>
                <w:sz w:val="3"/>
                <w:szCs w:val="3"/>
                <w:color w:val="FFFFFF"/>
              </w:rPr>
              <w:t>if a reporter,  relative or your manager were to view it.</w:t>
            </w:r>
          </w:p>
        </w:tc>
        <w:tc>
          <w:tcPr>
            <w:tcW w:w="25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080" w:type="dxa"/>
            <w:vAlign w:val="bottom"/>
            <w:gridSpan w:val="5"/>
          </w:tcPr>
          <w:p>
            <w:pPr>
              <w:spacing w:after="0"/>
              <w:rPr>
                <w:sz w:val="20"/>
                <w:szCs w:val="20"/>
                <w:color w:val="auto"/>
              </w:rPr>
            </w:pPr>
            <w:r>
              <w:rPr>
                <w:rFonts w:ascii="Arial" w:cs="Arial" w:eastAsia="Arial" w:hAnsi="Arial"/>
                <w:sz w:val="3"/>
                <w:szCs w:val="3"/>
                <w:color w:val="FFFFFF"/>
              </w:rPr>
              <w:t>If youonlinea still unclear what actions are considered to be a violation of Allison policy please ask.</w:t>
            </w:r>
          </w:p>
        </w:tc>
        <w:tc>
          <w:tcPr>
            <w:tcW w:w="1980" w:type="dxa"/>
            <w:vAlign w:val="bottom"/>
          </w:tcPr>
          <w:p>
            <w:pPr>
              <w:spacing w:after="0"/>
              <w:rPr>
                <w:sz w:val="3"/>
                <w:szCs w:val="3"/>
                <w:color w:val="auto"/>
              </w:rPr>
            </w:pPr>
          </w:p>
        </w:tc>
        <w:tc>
          <w:tcPr>
            <w:tcW w:w="3340" w:type="dxa"/>
            <w:vAlign w:val="bottom"/>
            <w:vMerge w:val="restart"/>
          </w:tcPr>
          <w:p>
            <w:pPr>
              <w:ind w:left="360"/>
              <w:spacing w:after="0"/>
              <w:rPr>
                <w:sz w:val="20"/>
                <w:szCs w:val="20"/>
                <w:color w:val="auto"/>
              </w:rPr>
            </w:pPr>
            <w:r>
              <w:rPr>
                <w:rFonts w:ascii="Arial" w:cs="Arial" w:eastAsia="Arial" w:hAnsi="Arial"/>
                <w:sz w:val="3"/>
                <w:szCs w:val="3"/>
                <w:color w:val="FFFFFF"/>
              </w:rPr>
              <w:t>systems or equipment. This includes accessing,</w:t>
            </w:r>
          </w:p>
        </w:tc>
        <w:tc>
          <w:tcPr>
            <w:tcW w:w="0" w:type="dxa"/>
            <w:vAlign w:val="bottom"/>
          </w:tcPr>
          <w:p>
            <w:pPr>
              <w:spacing w:after="0"/>
              <w:rPr>
                <w:sz w:val="1"/>
                <w:szCs w:val="1"/>
                <w:color w:val="auto"/>
              </w:rPr>
            </w:pPr>
          </w:p>
        </w:tc>
      </w:tr>
      <w:tr>
        <w:trPr>
          <w:trHeight w:val="0"/>
        </w:trPr>
        <w:tc>
          <w:tcPr>
            <w:tcW w:w="3580" w:type="dxa"/>
            <w:vAlign w:val="bottom"/>
            <w:gridSpan w:val="4"/>
          </w:tcPr>
          <w:p>
            <w:pPr>
              <w:spacing w:after="0" w:line="80" w:lineRule="exact"/>
              <w:rPr>
                <w:sz w:val="20"/>
                <w:szCs w:val="20"/>
                <w:color w:val="auto"/>
              </w:rPr>
            </w:pPr>
            <w:r>
              <w:rPr>
                <w:rFonts w:ascii="Arial" w:cs="Arial" w:eastAsia="Arial" w:hAnsi="Arial"/>
                <w:sz w:val="9"/>
                <w:szCs w:val="9"/>
                <w:color w:val="FFFFFF"/>
              </w:rPr>
              <w:t>Whether you are using email, voice mail or social media</w:t>
            </w:r>
          </w:p>
        </w:tc>
        <w:tc>
          <w:tcPr>
            <w:tcW w:w="4480" w:type="dxa"/>
            <w:vAlign w:val="bottom"/>
            <w:gridSpan w:val="2"/>
          </w:tcPr>
          <w:p>
            <w:pPr>
              <w:ind w:left="60"/>
              <w:spacing w:after="0" w:line="80" w:lineRule="exact"/>
              <w:rPr>
                <w:sz w:val="20"/>
                <w:szCs w:val="20"/>
                <w:color w:val="auto"/>
              </w:rPr>
            </w:pPr>
            <w:r>
              <w:rPr>
                <w:rFonts w:ascii="Arial" w:cs="Arial" w:eastAsia="Arial" w:hAnsi="Arial"/>
                <w:sz w:val="9"/>
                <w:szCs w:val="9"/>
                <w:color w:val="FFFFFF"/>
              </w:rPr>
              <w:t>never make any illegal, unethical, unauthorized or disruptive use of Allison</w:t>
            </w:r>
          </w:p>
        </w:tc>
        <w:tc>
          <w:tcPr>
            <w:tcW w:w="3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60"/>
        <w:spacing w:after="0"/>
        <w:rPr>
          <w:sz w:val="20"/>
          <w:szCs w:val="20"/>
          <w:color w:val="auto"/>
        </w:rPr>
      </w:pPr>
      <w:r>
        <w:rPr>
          <w:rFonts w:ascii="Arial" w:cs="Arial" w:eastAsia="Arial" w:hAnsi="Arial"/>
          <w:sz w:val="10"/>
          <w:szCs w:val="10"/>
          <w:color w:val="FFFFFF"/>
        </w:rPr>
        <w:t>transmitting or storing inappropriate material (e.g., pornographychannels,depicted nudity, lewd or violent materials, chain letters, sexually oriented jokesinformationcartoons or other offensive/demeaning material related to age, race, color, sex, religion,</w:t>
      </w:r>
    </w:p>
    <w:p>
      <w:pPr>
        <w:sectPr>
          <w:pgSz w:w="11900" w:h="16838" w:orient="portrait"/>
          <w:cols w:equalWidth="0" w:num="1">
            <w:col w:w="11400"/>
          </w:cols>
          <w:pgMar w:left="240" w:top="1440" w:right="25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national origin, disability or sexual orientation).</w:t>
      </w:r>
    </w:p>
    <w:p>
      <w:pPr>
        <w:spacing w:after="0"/>
        <w:rPr>
          <w:sz w:val="20"/>
          <w:szCs w:val="20"/>
          <w:color w:val="auto"/>
        </w:rPr>
      </w:pPr>
      <w:r>
        <w:rPr>
          <w:rFonts w:ascii="Arial" w:cs="Arial" w:eastAsia="Arial" w:hAnsi="Arial"/>
          <w:sz w:val="3"/>
          <w:szCs w:val="3"/>
          <w:color w:val="FFFFFF"/>
        </w:rPr>
        <w:t>andViolationsincludingwilltermination.subjectyou to disciplinary action up to</w:t>
      </w:r>
    </w:p>
    <w:p>
      <w:pPr>
        <w:spacing w:after="0" w:line="190" w:lineRule="auto"/>
        <w:rPr>
          <w:sz w:val="20"/>
          <w:szCs w:val="20"/>
          <w:color w:val="auto"/>
        </w:rPr>
      </w:pPr>
      <w:r>
        <w:rPr>
          <w:rFonts w:ascii="Arial" w:cs="Arial" w:eastAsia="Arial" w:hAnsi="Arial"/>
          <w:sz w:val="14"/>
          <w:szCs w:val="14"/>
          <w:color w:val="FFFFFF"/>
        </w:rPr>
        <w:t>Ifconfrontedyougetanwithinappropriateinstancesofmessageunethicalor businessare</w:t>
      </w:r>
    </w:p>
    <w:p>
      <w:pPr>
        <w:spacing w:after="0"/>
        <w:rPr>
          <w:sz w:val="20"/>
          <w:szCs w:val="20"/>
          <w:color w:val="auto"/>
        </w:rPr>
      </w:pPr>
      <w:r>
        <w:rPr>
          <w:rFonts w:ascii="Arial" w:cs="Arial" w:eastAsia="Arial" w:hAnsi="Arial"/>
          <w:sz w:val="3"/>
          <w:szCs w:val="3"/>
          <w:color w:val="FFFFFF"/>
        </w:rPr>
        <w:t>leadershippracticesororbehavior,contactthereportAllisonitto Careyour Line.direct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“Be honest, truthful and appropriate in everything you do. You are personally responsible for your words and actions, both online and offline.”</w:t>
      </w:r>
    </w:p>
    <w:p>
      <w:pPr>
        <w:sectPr>
          <w:pgSz w:w="11900" w:h="16838" w:orient="portrait"/>
          <w:cols w:equalWidth="0" w:num="1">
            <w:col w:w="10219"/>
          </w:cols>
          <w:pgMar w:left="240" w:top="1440" w:right="1440" w:bottom="1440"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gridSpan w:val="2"/>
          </w:tcPr>
          <w:p>
            <w:pPr>
              <w:spacing w:after="0"/>
              <w:rPr>
                <w:sz w:val="20"/>
                <w:szCs w:val="20"/>
                <w:color w:val="auto"/>
              </w:rPr>
            </w:pPr>
            <w:r>
              <w:rPr>
                <w:rFonts w:ascii="Arial" w:cs="Arial" w:eastAsia="Arial" w:hAnsi="Arial"/>
                <w:sz w:val="14"/>
                <w:szCs w:val="14"/>
                <w:color w:val="FFFFFF"/>
              </w:rPr>
              <w:t>Communicating with the Media’s Regulation Fair Disclosure Policy for further information.</w:t>
            </w:r>
          </w:p>
        </w:tc>
        <w:tc>
          <w:tcPr>
            <w:tcW w:w="5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00" w:type="dxa"/>
            <w:vAlign w:val="bottom"/>
          </w:tcPr>
          <w:p>
            <w:pPr>
              <w:spacing w:after="0"/>
              <w:rPr>
                <w:sz w:val="20"/>
                <w:szCs w:val="20"/>
                <w:color w:val="auto"/>
              </w:rPr>
            </w:pPr>
            <w:r>
              <w:rPr>
                <w:rFonts w:ascii="Arial" w:cs="Arial" w:eastAsia="Arial" w:hAnsi="Arial"/>
                <w:sz w:val="3"/>
                <w:szCs w:val="3"/>
                <w:color w:val="FFFFFF"/>
              </w:rPr>
              <w:t>Protecting Allison Information</w:t>
            </w:r>
          </w:p>
        </w:tc>
        <w:tc>
          <w:tcPr>
            <w:tcW w:w="4480" w:type="dxa"/>
            <w:vAlign w:val="bottom"/>
          </w:tcPr>
          <w:p>
            <w:pPr>
              <w:spacing w:after="0"/>
              <w:rPr>
                <w:sz w:val="3"/>
                <w:szCs w:val="3"/>
                <w:color w:val="auto"/>
              </w:rPr>
            </w:pP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Each employee and Allison Representative has an obligation to protect information we may receive, acquire, develop or record in performing our jobs. This is not optional – it is absolutely critical that we</w:t>
            </w:r>
          </w:p>
        </w:tc>
        <w:tc>
          <w:tcPr>
            <w:tcW w:w="0" w:type="dxa"/>
            <w:vAlign w:val="bottom"/>
          </w:tcPr>
          <w:p>
            <w:pPr>
              <w:spacing w:after="0"/>
              <w:rPr>
                <w:sz w:val="1"/>
                <w:szCs w:val="1"/>
                <w:color w:val="auto"/>
              </w:rPr>
            </w:pPr>
          </w:p>
        </w:tc>
      </w:tr>
      <w:tr>
        <w:trPr>
          <w:trHeight w:val="41"/>
        </w:trPr>
        <w:tc>
          <w:tcPr>
            <w:tcW w:w="6380" w:type="dxa"/>
            <w:vAlign w:val="bottom"/>
            <w:gridSpan w:val="2"/>
          </w:tcPr>
          <w:p>
            <w:pPr>
              <w:spacing w:after="0"/>
              <w:rPr>
                <w:sz w:val="20"/>
                <w:szCs w:val="20"/>
                <w:color w:val="auto"/>
              </w:rPr>
            </w:pPr>
            <w:r>
              <w:rPr>
                <w:rFonts w:ascii="Arial" w:cs="Arial" w:eastAsia="Arial" w:hAnsi="Arial"/>
                <w:sz w:val="3"/>
                <w:szCs w:val="3"/>
                <w:color w:val="FFFFFF"/>
              </w:rPr>
              <w:t>diligently protect company information.</w:t>
            </w: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00" w:type="dxa"/>
            <w:vAlign w:val="bottom"/>
          </w:tcPr>
          <w:p>
            <w:pPr>
              <w:spacing w:after="0"/>
              <w:rPr>
                <w:sz w:val="20"/>
                <w:szCs w:val="20"/>
                <w:color w:val="auto"/>
              </w:rPr>
            </w:pPr>
            <w:r>
              <w:rPr>
                <w:rFonts w:ascii="Arial" w:cs="Arial" w:eastAsia="Arial" w:hAnsi="Arial"/>
                <w:sz w:val="3"/>
                <w:szCs w:val="3"/>
                <w:color w:val="FFFFFF"/>
              </w:rPr>
              <w:t>What does this mean?</w:t>
            </w:r>
          </w:p>
        </w:tc>
        <w:tc>
          <w:tcPr>
            <w:tcW w:w="4480" w:type="dxa"/>
            <w:vAlign w:val="bottom"/>
          </w:tcPr>
          <w:p>
            <w:pPr>
              <w:spacing w:after="0"/>
              <w:rPr>
                <w:sz w:val="3"/>
                <w:szCs w:val="3"/>
                <w:color w:val="auto"/>
              </w:rPr>
            </w:pP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2"/>
          </w:tcPr>
          <w:p>
            <w:pPr>
              <w:ind w:left="80"/>
              <w:spacing w:after="0"/>
              <w:rPr>
                <w:sz w:val="20"/>
                <w:szCs w:val="20"/>
                <w:color w:val="auto"/>
              </w:rPr>
            </w:pPr>
            <w:r>
              <w:rPr>
                <w:rFonts w:ascii="Arial" w:cs="Arial" w:eastAsia="Arial" w:hAnsi="Arial"/>
                <w:sz w:val="3"/>
                <w:szCs w:val="3"/>
                <w:color w:val="FFFFFF"/>
              </w:rPr>
              <w:t>Only access information you need and are authorized to view.</w:t>
            </w: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ind w:left="80"/>
              <w:spacing w:after="0"/>
              <w:rPr>
                <w:sz w:val="20"/>
                <w:szCs w:val="20"/>
                <w:color w:val="auto"/>
              </w:rPr>
            </w:pPr>
            <w:r>
              <w:rPr>
                <w:rFonts w:ascii="Arial" w:cs="Arial" w:eastAsia="Arial" w:hAnsi="Arial"/>
                <w:sz w:val="3"/>
                <w:szCs w:val="3"/>
                <w:color w:val="FFFFFF"/>
              </w:rPr>
              <w:t>Communicate confidential information only to Allison employees and authorized agents (such   attorneys, auditors, accountants) who have a legitimate business reason to know the information.</w:t>
            </w:r>
          </w:p>
        </w:tc>
        <w:tc>
          <w:tcPr>
            <w:tcW w:w="0" w:type="dxa"/>
            <w:vAlign w:val="bottom"/>
          </w:tcPr>
          <w:p>
            <w:pPr>
              <w:spacing w:after="0"/>
              <w:rPr>
                <w:sz w:val="1"/>
                <w:szCs w:val="1"/>
                <w:color w:val="auto"/>
              </w:rPr>
            </w:pPr>
          </w:p>
        </w:tc>
      </w:tr>
      <w:tr>
        <w:trPr>
          <w:trHeight w:val="41"/>
        </w:trPr>
        <w:tc>
          <w:tcPr>
            <w:tcW w:w="11380" w:type="dxa"/>
            <w:vAlign w:val="bottom"/>
            <w:gridSpan w:val="3"/>
          </w:tcPr>
          <w:p>
            <w:pPr>
              <w:ind w:left="80"/>
              <w:spacing w:after="0"/>
              <w:rPr>
                <w:sz w:val="20"/>
                <w:szCs w:val="20"/>
                <w:color w:val="auto"/>
              </w:rPr>
            </w:pPr>
            <w:r>
              <w:rPr>
                <w:rFonts w:ascii="Arial" w:cs="Arial" w:eastAsia="Arial" w:hAnsi="Arial"/>
                <w:sz w:val="3"/>
                <w:szCs w:val="3"/>
                <w:color w:val="FFFFFF"/>
              </w:rPr>
              <w:t>Do not display, review or discuss Allison information in public places, with third parties or in areas where others may hear you.</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 Only in extenuating circumstances should you email Allison information to your personal email account or otherwise remove information from Allison, whether in hard copy or using any form of media device</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to record. Be mindful that any personal accounts   devices utilized will become subject to litigation holds and discovery.</w:t>
            </w:r>
          </w:p>
        </w:tc>
        <w:tc>
          <w:tcPr>
            <w:tcW w:w="0" w:type="dxa"/>
            <w:vAlign w:val="bottom"/>
          </w:tcPr>
          <w:p>
            <w:pPr>
              <w:spacing w:after="0"/>
              <w:rPr>
                <w:sz w:val="1"/>
                <w:szCs w:val="1"/>
                <w:color w:val="auto"/>
              </w:rPr>
            </w:pPr>
          </w:p>
        </w:tc>
      </w:tr>
      <w:tr>
        <w:trPr>
          <w:trHeight w:val="41"/>
        </w:trPr>
        <w:tc>
          <w:tcPr>
            <w:tcW w:w="1900" w:type="dxa"/>
            <w:vAlign w:val="bottom"/>
          </w:tcPr>
          <w:p>
            <w:pPr>
              <w:ind w:left="80"/>
              <w:spacing w:after="0"/>
              <w:rPr>
                <w:sz w:val="20"/>
                <w:szCs w:val="20"/>
                <w:color w:val="auto"/>
              </w:rPr>
            </w:pPr>
            <w:r>
              <w:rPr>
                <w:rFonts w:ascii="Arial" w:cs="Arial" w:eastAsia="Arial" w:hAnsi="Arial"/>
                <w:sz w:val="3"/>
                <w:szCs w:val="3"/>
                <w:color w:val="FFFFFF"/>
              </w:rPr>
              <w:t>Never disclose</w:t>
            </w:r>
          </w:p>
        </w:tc>
        <w:tc>
          <w:tcPr>
            <w:tcW w:w="4480" w:type="dxa"/>
            <w:vAlign w:val="bottom"/>
          </w:tcPr>
          <w:p>
            <w:pPr>
              <w:ind w:left="120"/>
              <w:spacing w:after="0"/>
              <w:rPr>
                <w:sz w:val="20"/>
                <w:szCs w:val="20"/>
                <w:color w:val="auto"/>
              </w:rPr>
            </w:pPr>
            <w:r>
              <w:rPr>
                <w:rFonts w:ascii="Arial" w:cs="Arial" w:eastAsia="Arial" w:hAnsi="Arial"/>
                <w:sz w:val="3"/>
                <w:szCs w:val="3"/>
                <w:color w:val="FFFFFF"/>
              </w:rPr>
              <w:t>without the prior approval of senior management.</w:t>
            </w: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2"/>
          </w:tcPr>
          <w:p>
            <w:pPr>
              <w:spacing w:after="0"/>
              <w:rPr>
                <w:sz w:val="20"/>
                <w:szCs w:val="20"/>
                <w:color w:val="auto"/>
              </w:rPr>
            </w:pPr>
            <w:r>
              <w:rPr>
                <w:rFonts w:ascii="Arial" w:cs="Arial" w:eastAsia="Arial" w:hAnsi="Arial"/>
                <w:sz w:val="3"/>
                <w:szCs w:val="3"/>
                <w:color w:val="FFFFFF"/>
              </w:rPr>
              <w:t>• Be aware of Allison’Allisonpoliciesinformationcommunicating with third parties. Please consult Allison’s</w:t>
            </w: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2"/>
          </w:tcPr>
          <w:p>
            <w:pPr>
              <w:spacing w:after="0"/>
              <w:rPr>
                <w:sz w:val="20"/>
                <w:szCs w:val="20"/>
                <w:color w:val="auto"/>
              </w:rPr>
            </w:pPr>
            <w:r>
              <w:rPr>
                <w:rFonts w:ascii="Arial" w:cs="Arial" w:eastAsia="Arial" w:hAnsi="Arial"/>
                <w:sz w:val="3"/>
                <w:szCs w:val="3"/>
                <w:color w:val="FFFFFF"/>
              </w:rPr>
              <w:t>Regulation Fair Disclosure Policy and Insider Trading Policy for further information.</w:t>
            </w:r>
          </w:p>
        </w:tc>
        <w:tc>
          <w:tcPr>
            <w:tcW w:w="5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Information may include product plans, vehicle designs, strategy documents, communications to and from Allison management and the Board of Directors, prospective business opportunities, pricing</w:t>
            </w:r>
          </w:p>
        </w:tc>
        <w:tc>
          <w:tcPr>
            <w:tcW w:w="0" w:type="dxa"/>
            <w:vAlign w:val="bottom"/>
          </w:tcPr>
          <w:p>
            <w:pPr>
              <w:spacing w:after="0"/>
              <w:rPr>
                <w:sz w:val="1"/>
                <w:szCs w:val="1"/>
                <w:color w:val="auto"/>
              </w:rPr>
            </w:pPr>
          </w:p>
        </w:tc>
      </w:tr>
      <w:tr>
        <w:trPr>
          <w:trHeight w:val="41"/>
        </w:trPr>
        <w:tc>
          <w:tcPr>
            <w:tcW w:w="6380" w:type="dxa"/>
            <w:vAlign w:val="bottom"/>
            <w:gridSpan w:val="2"/>
          </w:tcPr>
          <w:p>
            <w:pPr>
              <w:spacing w:after="0"/>
              <w:rPr>
                <w:sz w:val="20"/>
                <w:szCs w:val="20"/>
                <w:color w:val="auto"/>
              </w:rPr>
            </w:pPr>
            <w:r>
              <w:rPr>
                <w:rFonts w:ascii="Arial" w:cs="Arial" w:eastAsia="Arial" w:hAnsi="Arial"/>
                <w:sz w:val="3"/>
                <w:szCs w:val="3"/>
                <w:color w:val="FFFFFF"/>
              </w:rPr>
              <w:t>information, financial or technical data or a planned meeting between an Allison leader and an outside party.</w:t>
            </w:r>
          </w:p>
        </w:tc>
        <w:tc>
          <w:tcPr>
            <w:tcW w:w="5000" w:type="dxa"/>
            <w:vAlign w:val="bottom"/>
            <w:vMerge w:val="restart"/>
          </w:tcPr>
          <w:p>
            <w:pPr>
              <w:jc w:val="right"/>
              <w:ind w:right="4275"/>
              <w:spacing w:after="0" w:line="81" w:lineRule="exact"/>
              <w:rPr>
                <w:sz w:val="20"/>
                <w:szCs w:val="20"/>
                <w:color w:val="auto"/>
              </w:rPr>
            </w:pPr>
            <w:r>
              <w:rPr>
                <w:rFonts w:ascii="Arial" w:cs="Arial" w:eastAsia="Arial" w:hAnsi="Arial"/>
                <w:sz w:val="9"/>
                <w:szCs w:val="9"/>
                <w:color w:val="FFFFFF"/>
              </w:rPr>
              <w:t>.</w:t>
            </w:r>
          </w:p>
        </w:tc>
        <w:tc>
          <w:tcPr>
            <w:tcW w:w="0" w:type="dxa"/>
            <w:vAlign w:val="bottom"/>
          </w:tcPr>
          <w:p>
            <w:pPr>
              <w:spacing w:after="0"/>
              <w:rPr>
                <w:sz w:val="1"/>
                <w:szCs w:val="1"/>
                <w:color w:val="auto"/>
              </w:rPr>
            </w:pPr>
          </w:p>
        </w:tc>
      </w:tr>
      <w:tr>
        <w:trPr>
          <w:trHeight w:val="41"/>
        </w:trPr>
        <w:tc>
          <w:tcPr>
            <w:tcW w:w="1900" w:type="dxa"/>
            <w:vAlign w:val="bottom"/>
          </w:tcPr>
          <w:p>
            <w:pPr>
              <w:spacing w:after="0"/>
              <w:rPr>
                <w:sz w:val="20"/>
                <w:szCs w:val="20"/>
                <w:color w:val="auto"/>
              </w:rPr>
            </w:pPr>
            <w:r>
              <w:rPr>
                <w:rFonts w:ascii="Arial" w:cs="Arial" w:eastAsia="Arial" w:hAnsi="Arial"/>
                <w:sz w:val="3"/>
                <w:szCs w:val="3"/>
                <w:color w:val="FFFFFF"/>
              </w:rPr>
              <w:t>All Allison information belongs to</w:t>
            </w:r>
          </w:p>
        </w:tc>
        <w:tc>
          <w:tcPr>
            <w:tcW w:w="4480" w:type="dxa"/>
            <w:vAlign w:val="bottom"/>
          </w:tcPr>
          <w:p>
            <w:pPr>
              <w:ind w:left="480"/>
              <w:spacing w:after="0"/>
              <w:rPr>
                <w:sz w:val="20"/>
                <w:szCs w:val="20"/>
                <w:color w:val="auto"/>
              </w:rPr>
            </w:pPr>
            <w:r>
              <w:rPr>
                <w:rFonts w:ascii="Arial" w:cs="Arial" w:eastAsia="Arial" w:hAnsi="Arial"/>
                <w:sz w:val="3"/>
                <w:szCs w:val="3"/>
                <w:color w:val="FFFFFF"/>
              </w:rPr>
              <w:t>not to Allison employees, regardless of the nature, medium or form of the</w:t>
            </w:r>
          </w:p>
        </w:tc>
        <w:tc>
          <w:tcPr>
            <w:tcW w:w="5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900" w:type="dxa"/>
            <w:vAlign w:val="bottom"/>
          </w:tcPr>
          <w:p>
            <w:pPr>
              <w:spacing w:after="0" w:line="80" w:lineRule="exact"/>
              <w:rPr>
                <w:sz w:val="20"/>
                <w:szCs w:val="20"/>
                <w:color w:val="auto"/>
              </w:rPr>
            </w:pPr>
            <w:r>
              <w:rPr>
                <w:rFonts w:ascii="Arial" w:cs="Arial" w:eastAsia="Arial" w:hAnsi="Arial"/>
                <w:sz w:val="9"/>
                <w:szCs w:val="9"/>
                <w:color w:val="FFFFFF"/>
              </w:rPr>
              <w:t>Your ongoing obligation to protect</w:t>
            </w:r>
          </w:p>
        </w:tc>
        <w:tc>
          <w:tcPr>
            <w:tcW w:w="4480" w:type="dxa"/>
            <w:vAlign w:val="bottom"/>
          </w:tcPr>
          <w:p>
            <w:pPr>
              <w:ind w:left="20"/>
              <w:spacing w:after="0" w:line="80" w:lineRule="exact"/>
              <w:rPr>
                <w:sz w:val="20"/>
                <w:szCs w:val="20"/>
                <w:color w:val="auto"/>
              </w:rPr>
            </w:pPr>
            <w:r>
              <w:rPr>
                <w:rFonts w:ascii="Arial" w:cs="Arial" w:eastAsia="Arial" w:hAnsi="Arial"/>
                <w:sz w:val="9"/>
                <w:szCs w:val="9"/>
                <w:color w:val="FFFFFF"/>
              </w:rPr>
              <w:t>Allison,information continues even if you leave Allison. You must return all</w:t>
            </w:r>
          </w:p>
        </w:tc>
        <w:tc>
          <w:tcPr>
            <w:tcW w:w="5000" w:type="dxa"/>
            <w:vAlign w:val="bottom"/>
          </w:tcPr>
          <w:p>
            <w:pPr>
              <w:jc w:val="right"/>
              <w:ind w:right="535"/>
              <w:spacing w:after="0" w:line="80" w:lineRule="exact"/>
              <w:rPr>
                <w:sz w:val="20"/>
                <w:szCs w:val="20"/>
                <w:color w:val="auto"/>
              </w:rPr>
            </w:pPr>
            <w:r>
              <w:rPr>
                <w:rFonts w:ascii="Arial" w:cs="Arial" w:eastAsia="Arial" w:hAnsi="Arial"/>
                <w:sz w:val="9"/>
                <w:szCs w:val="9"/>
                <w:color w:val="FFFFFF"/>
              </w:rPr>
              <w:t>informationyour possession or control if you leave and if requested, sign a statement</w:t>
            </w:r>
          </w:p>
        </w:tc>
        <w:tc>
          <w:tcPr>
            <w:tcW w:w="0" w:type="dxa"/>
            <w:vAlign w:val="bottom"/>
          </w:tcPr>
          <w:p>
            <w:pPr>
              <w:spacing w:after="0" w:line="20" w:lineRule="exact"/>
              <w:rPr>
                <w:sz w:val="1"/>
                <w:szCs w:val="1"/>
                <w:color w:val="auto"/>
              </w:rPr>
            </w:pPr>
          </w:p>
        </w:tc>
      </w:tr>
    </w:tbl>
    <w:p>
      <w:pPr>
        <w:ind w:left="500" w:right="380" w:hanging="498"/>
        <w:spacing w:after="0" w:line="217" w:lineRule="auto"/>
        <w:rPr>
          <w:sz w:val="20"/>
          <w:szCs w:val="20"/>
          <w:color w:val="auto"/>
        </w:rPr>
      </w:pPr>
      <w:r>
        <w:rPr>
          <w:rFonts w:ascii="Arial" w:cs="Arial" w:eastAsia="Arial" w:hAnsi="Arial"/>
          <w:sz w:val="4"/>
          <w:szCs w:val="4"/>
          <w:color w:val="FFFFFF"/>
          <w:vertAlign w:val="subscript"/>
        </w:rPr>
        <w:t>previous</w:t>
      </w:r>
      <w:r>
        <w:rPr>
          <w:rFonts w:ascii="Arial" w:cs="Arial" w:eastAsia="Arial" w:hAnsi="Arial"/>
          <w:sz w:val="2"/>
          <w:szCs w:val="2"/>
          <w:color w:val="FFFFFF"/>
        </w:rPr>
        <w:t>confrming your compliance with respect to the information. Also, do not bring any confidential information frominformationprevious employer to Allison, unless there is an agreement otherwise executed by your employer and Allison. The company will take whatever steps are necessary to ensure Allison information is protected.</w:t>
      </w:r>
    </w:p>
    <w:p>
      <w:pPr>
        <w:ind w:right="160"/>
        <w:spacing w:after="0" w:line="196" w:lineRule="auto"/>
        <w:rPr>
          <w:sz w:val="20"/>
          <w:szCs w:val="20"/>
          <w:color w:val="auto"/>
        </w:rPr>
      </w:pPr>
      <w:r>
        <w:rPr>
          <w:rFonts w:ascii="Arial" w:cs="Arial" w:eastAsia="Arial" w:hAnsi="Arial"/>
          <w:sz w:val="10"/>
          <w:szCs w:val="10"/>
          <w:color w:val="FFFFFF"/>
        </w:rPr>
        <w:t>The Allison Transmission Government and Community Relations staff is responsible for all communications with the press or the media related to Allison business by Allison and by all Allison employees, globally. The rule to follow here is simple. Unless approved by an appropriate member of Allison, you are not authorized to speak with any representative of the press or media regarding Allison business. If a media representative contacts you, do not answer any questions or make any statements. You should direct them to the Allison Government and Community Relations department and immediately notify your direct leadership. Failure to follow this simple rule can result in disciplinary action up to and including termination. Please consult Allison</w:t>
      </w:r>
    </w:p>
    <w:p>
      <w:pPr>
        <w:sectPr>
          <w:pgSz w:w="11900" w:h="16838" w:orient="portrait"/>
          <w:cols w:equalWidth="0" w:num="1">
            <w:col w:w="11380"/>
          </w:cols>
          <w:pgMar w:left="240" w:top="1440" w:right="27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0"/>
              <w:spacing w:after="0"/>
              <w:rPr>
                <w:sz w:val="20"/>
                <w:szCs w:val="20"/>
                <w:color w:val="auto"/>
              </w:rPr>
            </w:pPr>
            <w:r>
              <w:rPr>
                <w:rFonts w:ascii="Arial" w:cs="Arial" w:eastAsia="Arial" w:hAnsi="Arial"/>
                <w:sz w:val="14"/>
                <w:szCs w:val="14"/>
                <w:color w:val="FFFFFF"/>
              </w:rPr>
              <w:t>Investigations</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60" w:type="dxa"/>
            <w:vAlign w:val="bottom"/>
            <w:gridSpan w:val="2"/>
            <w:vMerge w:val="restart"/>
          </w:tcPr>
          <w:p>
            <w:pPr>
              <w:ind w:left="280"/>
              <w:spacing w:after="0"/>
              <w:rPr>
                <w:sz w:val="20"/>
                <w:szCs w:val="20"/>
                <w:color w:val="auto"/>
              </w:rPr>
            </w:pPr>
            <w:r>
              <w:rPr>
                <w:rFonts w:ascii="Arial" w:cs="Arial" w:eastAsia="Arial" w:hAnsi="Arial"/>
                <w:sz w:val="14"/>
                <w:szCs w:val="14"/>
                <w:color w:val="FFFFFF"/>
                <w:w w:val="88"/>
              </w:rPr>
              <w:t>and other legal proceedings normally flow through channels set up for that purpose, but there may be</w:t>
            </w:r>
          </w:p>
        </w:tc>
        <w:tc>
          <w:tcPr>
            <w:tcW w:w="0" w:type="dxa"/>
            <w:vAlign w:val="bottom"/>
          </w:tcPr>
          <w:p>
            <w:pPr>
              <w:spacing w:after="0"/>
              <w:rPr>
                <w:sz w:val="1"/>
                <w:szCs w:val="1"/>
                <w:color w:val="auto"/>
              </w:rPr>
            </w:pPr>
          </w:p>
        </w:tc>
      </w:tr>
      <w:tr>
        <w:trPr>
          <w:trHeight w:val="41"/>
        </w:trPr>
        <w:tc>
          <w:tcPr>
            <w:tcW w:w="5500" w:type="dxa"/>
            <w:vAlign w:val="bottom"/>
            <w:gridSpan w:val="3"/>
          </w:tcPr>
          <w:p>
            <w:pPr>
              <w:spacing w:after="0"/>
              <w:rPr>
                <w:sz w:val="20"/>
                <w:szCs w:val="20"/>
                <w:color w:val="auto"/>
              </w:rPr>
            </w:pPr>
            <w:r>
              <w:rPr>
                <w:rFonts w:ascii="Arial" w:cs="Arial" w:eastAsia="Arial" w:hAnsi="Arial"/>
                <w:sz w:val="3"/>
                <w:szCs w:val="3"/>
                <w:color w:val="FFFFFF"/>
              </w:rPr>
              <w:t>Litigation andis fact of life. Requests for documents in various forms (paper, email, etc.) related to</w:t>
            </w:r>
          </w:p>
        </w:tc>
        <w:tc>
          <w:tcPr>
            <w:tcW w:w="5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times when other employees receive them. Consult immediately with the Legal department if, as litigationrepresentative of Allison Transmission, you receive any summons, subpoena, inquiry or other communication</w:t>
            </w:r>
          </w:p>
        </w:tc>
        <w:tc>
          <w:tcPr>
            <w:tcW w:w="0" w:type="dxa"/>
            <w:vAlign w:val="bottom"/>
          </w:tcPr>
          <w:p>
            <w:pPr>
              <w:spacing w:after="0"/>
              <w:rPr>
                <w:sz w:val="1"/>
                <w:szCs w:val="1"/>
                <w:color w:val="auto"/>
              </w:rPr>
            </w:pPr>
          </w:p>
        </w:tc>
      </w:tr>
      <w:tr>
        <w:trPr>
          <w:trHeight w:val="41"/>
        </w:trPr>
        <w:tc>
          <w:tcPr>
            <w:tcW w:w="4680" w:type="dxa"/>
            <w:vAlign w:val="bottom"/>
            <w:gridSpan w:val="2"/>
          </w:tcPr>
          <w:p>
            <w:pPr>
              <w:spacing w:after="0"/>
              <w:rPr>
                <w:sz w:val="20"/>
                <w:szCs w:val="20"/>
                <w:color w:val="auto"/>
              </w:rPr>
            </w:pPr>
            <w:r>
              <w:rPr>
                <w:rFonts w:ascii="Arial" w:cs="Arial" w:eastAsia="Arial" w:hAnsi="Arial"/>
                <w:sz w:val="3"/>
                <w:szCs w:val="3"/>
                <w:color w:val="FFFFFF"/>
              </w:rPr>
              <w:t>from a court, marshal, sheriff, government agency or from any lawyer. Before</w:t>
            </w:r>
          </w:p>
        </w:tc>
        <w:tc>
          <w:tcPr>
            <w:tcW w:w="5180" w:type="dxa"/>
            <w:vAlign w:val="bottom"/>
            <w:gridSpan w:val="2"/>
          </w:tcPr>
          <w:p>
            <w:pPr>
              <w:ind w:left="180"/>
              <w:spacing w:after="0"/>
              <w:rPr>
                <w:sz w:val="20"/>
                <w:szCs w:val="20"/>
                <w:color w:val="auto"/>
              </w:rPr>
            </w:pPr>
            <w:r>
              <w:rPr>
                <w:rFonts w:ascii="Arial" w:cs="Arial" w:eastAsia="Arial" w:hAnsi="Arial"/>
                <w:sz w:val="3"/>
                <w:szCs w:val="3"/>
                <w:color w:val="FFFFFF"/>
              </w:rPr>
              <w:t>to an interview, answering any questions, producing any documents or even responding to</w:t>
            </w:r>
          </w:p>
        </w:tc>
        <w:tc>
          <w:tcPr>
            <w:tcW w:w="1500" w:type="dxa"/>
            <w:vAlign w:val="bottom"/>
          </w:tcPr>
          <w:p>
            <w:pPr>
              <w:ind w:left="140"/>
              <w:spacing w:after="0"/>
              <w:rPr>
                <w:sz w:val="20"/>
                <w:szCs w:val="20"/>
                <w:color w:val="auto"/>
              </w:rPr>
            </w:pPr>
            <w:r>
              <w:rPr>
                <w:rFonts w:ascii="Arial" w:cs="Arial" w:eastAsia="Arial" w:hAnsi="Arial"/>
                <w:sz w:val="3"/>
                <w:szCs w:val="3"/>
                <w:color w:val="FFFFFF"/>
              </w:rPr>
              <w:t>questions about litigation</w:t>
            </w: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or an investigation, consult with the Legal department. This applies to matters submittingwhichAllison is involved directly, like an investigation or a lawsuit involving an Allison product orany Allison facility. It also</w:t>
            </w:r>
          </w:p>
        </w:tc>
        <w:tc>
          <w:tcPr>
            <w:tcW w:w="0" w:type="dxa"/>
            <w:vAlign w:val="bottom"/>
          </w:tcPr>
          <w:p>
            <w:pPr>
              <w:spacing w:after="0"/>
              <w:rPr>
                <w:sz w:val="1"/>
                <w:szCs w:val="1"/>
                <w:color w:val="auto"/>
              </w:rPr>
            </w:pPr>
          </w:p>
        </w:tc>
      </w:tr>
      <w:tr>
        <w:trPr>
          <w:trHeight w:val="41"/>
        </w:trPr>
        <w:tc>
          <w:tcPr>
            <w:tcW w:w="9860" w:type="dxa"/>
            <w:vAlign w:val="bottom"/>
            <w:gridSpan w:val="4"/>
          </w:tcPr>
          <w:p>
            <w:pPr>
              <w:spacing w:after="0"/>
              <w:rPr>
                <w:sz w:val="20"/>
                <w:szCs w:val="20"/>
                <w:color w:val="auto"/>
              </w:rPr>
            </w:pPr>
            <w:r>
              <w:rPr>
                <w:rFonts w:ascii="Arial" w:cs="Arial" w:eastAsia="Arial" w:hAnsi="Arial"/>
                <w:sz w:val="3"/>
                <w:szCs w:val="3"/>
                <w:color w:val="FFFFFF"/>
              </w:rPr>
              <w:t>applies to matters in which Allison is involved indirectly, including investigations of suppliers, dealers or competitors.</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Do</w:t>
            </w:r>
          </w:p>
        </w:tc>
        <w:tc>
          <w:tcPr>
            <w:tcW w:w="1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60" w:type="dxa"/>
            <w:vAlign w:val="bottom"/>
            <w:gridSpan w:val="4"/>
          </w:tcPr>
          <w:p>
            <w:pPr>
              <w:spacing w:after="0"/>
              <w:rPr>
                <w:sz w:val="20"/>
                <w:szCs w:val="20"/>
                <w:color w:val="auto"/>
              </w:rPr>
            </w:pPr>
            <w:r>
              <w:rPr>
                <w:rFonts w:ascii="Arial" w:cs="Arial" w:eastAsia="Arial" w:hAnsi="Arial"/>
                <w:sz w:val="3"/>
                <w:szCs w:val="3"/>
                <w:color w:val="FFFFFF"/>
              </w:rPr>
              <w:t>Know and comply with the Allison Information Security Policy and Practices and Information LifeCycle Management Policies.</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60" w:type="dxa"/>
            <w:vAlign w:val="bottom"/>
            <w:gridSpan w:val="4"/>
          </w:tcPr>
          <w:p>
            <w:pPr>
              <w:spacing w:after="0"/>
              <w:rPr>
                <w:sz w:val="20"/>
                <w:szCs w:val="20"/>
                <w:color w:val="auto"/>
              </w:rPr>
            </w:pPr>
            <w:r>
              <w:rPr>
                <w:rFonts w:ascii="Arial" w:cs="Arial" w:eastAsia="Arial" w:hAnsi="Arial"/>
                <w:sz w:val="3"/>
                <w:szCs w:val="3"/>
                <w:color w:val="FFFFFF"/>
              </w:rPr>
              <w:t>Treat all Allison information and property as valuable business assets belonging to someone else - Allison shareholders.</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80" w:type="dxa"/>
            <w:vAlign w:val="bottom"/>
            <w:gridSpan w:val="2"/>
          </w:tcPr>
          <w:p>
            <w:pPr>
              <w:spacing w:after="0"/>
              <w:rPr>
                <w:sz w:val="20"/>
                <w:szCs w:val="20"/>
                <w:color w:val="auto"/>
              </w:rPr>
            </w:pPr>
            <w:r>
              <w:rPr>
                <w:rFonts w:ascii="Arial" w:cs="Arial" w:eastAsia="Arial" w:hAnsi="Arial"/>
                <w:sz w:val="3"/>
                <w:szCs w:val="3"/>
                <w:color w:val="FFFFFF"/>
              </w:rPr>
              <w:t>Make sure communications are accurate -whether internal or external.</w:t>
            </w:r>
          </w:p>
        </w:tc>
        <w:tc>
          <w:tcPr>
            <w:tcW w:w="8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5"/>
          </w:tcPr>
          <w:p>
            <w:pPr>
              <w:spacing w:after="0"/>
              <w:rPr>
                <w:sz w:val="20"/>
                <w:szCs w:val="20"/>
                <w:color w:val="auto"/>
              </w:rPr>
            </w:pPr>
            <w:r>
              <w:rPr>
                <w:rFonts w:ascii="Arial" w:cs="Arial" w:eastAsia="Arial" w:hAnsi="Arial"/>
                <w:sz w:val="3"/>
                <w:szCs w:val="3"/>
                <w:color w:val="FFFFFF"/>
              </w:rPr>
              <w:t>Comply with all applicable laws and regulations and Allison Acceptable Use Practices governing the use of Allison information resources such as computers, software, email, the Internet and intranet.</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Don’t</w:t>
            </w:r>
          </w:p>
        </w:tc>
        <w:tc>
          <w:tcPr>
            <w:tcW w:w="1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Ignore security procedures to save time.</w:t>
            </w:r>
          </w:p>
        </w:tc>
        <w:tc>
          <w:tcPr>
            <w:tcW w:w="1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80" w:type="dxa"/>
            <w:vAlign w:val="bottom"/>
            <w:gridSpan w:val="2"/>
          </w:tcPr>
          <w:p>
            <w:pPr>
              <w:spacing w:after="0"/>
              <w:rPr>
                <w:sz w:val="20"/>
                <w:szCs w:val="20"/>
                <w:color w:val="auto"/>
              </w:rPr>
            </w:pPr>
            <w:r>
              <w:rPr>
                <w:rFonts w:ascii="Arial" w:cs="Arial" w:eastAsia="Arial" w:hAnsi="Arial"/>
                <w:sz w:val="3"/>
                <w:szCs w:val="3"/>
                <w:color w:val="FFFFFF"/>
              </w:rPr>
              <w:t>Give access to Allison information to anyone not authorized to have it.</w:t>
            </w:r>
          </w:p>
        </w:tc>
        <w:tc>
          <w:tcPr>
            <w:tcW w:w="82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Use Allison property or syste   for your own personal profit</w:t>
            </w:r>
          </w:p>
        </w:tc>
        <w:tc>
          <w:tcPr>
            <w:tcW w:w="2100" w:type="dxa"/>
            <w:vAlign w:val="bottom"/>
            <w:gridSpan w:val="2"/>
          </w:tcPr>
          <w:p>
            <w:pPr>
              <w:jc w:val="center"/>
              <w:ind w:right="346"/>
              <w:spacing w:after="0"/>
              <w:rPr>
                <w:sz w:val="20"/>
                <w:szCs w:val="20"/>
                <w:color w:val="auto"/>
              </w:rPr>
            </w:pPr>
            <w:r>
              <w:rPr>
                <w:rFonts w:ascii="Arial" w:cs="Arial" w:eastAsia="Arial" w:hAnsi="Arial"/>
                <w:sz w:val="3"/>
                <w:szCs w:val="3"/>
                <w:color w:val="FFFFFF"/>
              </w:rPr>
              <w:t>gain or for personal activity.</w:t>
            </w:r>
          </w:p>
        </w:tc>
        <w:tc>
          <w:tcPr>
            <w:tcW w:w="4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20"/>
                <w:szCs w:val="20"/>
                <w:color w:val="auto"/>
              </w:rPr>
            </w:pPr>
            <w:r>
              <w:rPr>
                <w:rFonts w:ascii="Arial" w:cs="Arial" w:eastAsia="Arial" w:hAnsi="Arial"/>
                <w:sz w:val="3"/>
                <w:szCs w:val="3"/>
                <w:color w:val="FFFFFF"/>
              </w:rPr>
              <w:t>Create or knowingly process misleading or inaccurate</w:t>
            </w:r>
          </w:p>
        </w:tc>
        <w:tc>
          <w:tcPr>
            <w:tcW w:w="2100" w:type="dxa"/>
            <w:vAlign w:val="bottom"/>
            <w:gridSpan w:val="2"/>
          </w:tcPr>
          <w:p>
            <w:pPr>
              <w:jc w:val="center"/>
              <w:ind w:right="366"/>
              <w:spacing w:after="0"/>
              <w:rPr>
                <w:sz w:val="20"/>
                <w:szCs w:val="20"/>
                <w:color w:val="auto"/>
              </w:rPr>
            </w:pPr>
            <w:r>
              <w:rPr>
                <w:rFonts w:ascii="Arial" w:cs="Arial" w:eastAsia="Arial" w:hAnsi="Arial"/>
                <w:sz w:val="3"/>
                <w:szCs w:val="3"/>
                <w:color w:val="FFFFFF"/>
              </w:rPr>
              <w:t>about Allison business.</w:t>
            </w:r>
          </w:p>
        </w:tc>
        <w:tc>
          <w:tcPr>
            <w:tcW w:w="4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80" w:type="dxa"/>
            <w:vAlign w:val="bottom"/>
            <w:gridSpan w:val="2"/>
          </w:tcPr>
          <w:p>
            <w:pPr>
              <w:spacing w:after="0"/>
              <w:rPr>
                <w:sz w:val="20"/>
                <w:szCs w:val="20"/>
                <w:color w:val="auto"/>
              </w:rPr>
            </w:pPr>
            <w:r>
              <w:rPr>
                <w:rFonts w:ascii="Arial" w:cs="Arial" w:eastAsia="Arial" w:hAnsi="Arial"/>
                <w:sz w:val="3"/>
                <w:szCs w:val="3"/>
                <w:color w:val="FFFFFF"/>
              </w:rPr>
              <w:t>Use Allison information resources to create, access, transmitinformationstore any material that</w:t>
            </w:r>
          </w:p>
        </w:tc>
        <w:tc>
          <w:tcPr>
            <w:tcW w:w="5180" w:type="dxa"/>
            <w:vAlign w:val="bottom"/>
            <w:gridSpan w:val="2"/>
          </w:tcPr>
          <w:p>
            <w:pPr>
              <w:ind w:left="140"/>
              <w:spacing w:after="0"/>
              <w:rPr>
                <w:sz w:val="20"/>
                <w:szCs w:val="20"/>
                <w:color w:val="auto"/>
              </w:rPr>
            </w:pPr>
            <w:r>
              <w:rPr>
                <w:rFonts w:ascii="Arial" w:cs="Arial" w:eastAsia="Arial" w:hAnsi="Arial"/>
                <w:sz w:val="3"/>
                <w:szCs w:val="3"/>
                <w:color w:val="FFFFFF"/>
              </w:rPr>
              <w:t>in bad taste, offensive, disrespectful of others or otherwise inappropriate.</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680" w:type="dxa"/>
            <w:vAlign w:val="bottom"/>
            <w:gridSpan w:val="2"/>
          </w:tcPr>
          <w:p>
            <w:pPr>
              <w:spacing w:after="0"/>
              <w:rPr>
                <w:sz w:val="20"/>
                <w:szCs w:val="20"/>
                <w:color w:val="auto"/>
              </w:rPr>
            </w:pPr>
            <w:r>
              <w:rPr>
                <w:rFonts w:ascii="Arial" w:cs="Arial" w:eastAsia="Arial" w:hAnsi="Arial"/>
                <w:sz w:val="14"/>
                <w:szCs w:val="14"/>
                <w:color w:val="FFFFFF"/>
                <w:w w:val="90"/>
              </w:rPr>
              <w:t>Do anything that would disrupt or compromise the availability, integrity or security of</w:t>
            </w:r>
          </w:p>
        </w:tc>
        <w:tc>
          <w:tcPr>
            <w:tcW w:w="5180" w:type="dxa"/>
            <w:vAlign w:val="bottom"/>
            <w:gridSpan w:val="2"/>
          </w:tcPr>
          <w:p>
            <w:pPr>
              <w:spacing w:after="0"/>
              <w:rPr>
                <w:sz w:val="20"/>
                <w:szCs w:val="20"/>
                <w:color w:val="auto"/>
              </w:rPr>
            </w:pPr>
            <w:r>
              <w:rPr>
                <w:rFonts w:ascii="Arial" w:cs="Arial" w:eastAsia="Arial" w:hAnsi="Arial"/>
                <w:sz w:val="14"/>
                <w:szCs w:val="14"/>
                <w:color w:val="FFFFFF"/>
              </w:rPr>
              <w:t>Allison information, information resources or other Allison property.</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2"/>
          </w:tcPr>
          <w:p>
            <w:pPr>
              <w:spacing w:after="0"/>
              <w:rPr>
                <w:sz w:val="20"/>
                <w:szCs w:val="20"/>
                <w:color w:val="auto"/>
              </w:rPr>
            </w:pPr>
            <w:r>
              <w:rPr>
                <w:rFonts w:ascii="Arial" w:cs="Arial" w:eastAsia="Arial" w:hAnsi="Arial"/>
                <w:sz w:val="14"/>
                <w:szCs w:val="14"/>
                <w:color w:val="FFFFFF"/>
              </w:rPr>
              <w:t>INTEGRITY IN THE MARKETPLACE</w:t>
            </w:r>
          </w:p>
        </w:tc>
        <w:tc>
          <w:tcPr>
            <w:tcW w:w="1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60" w:type="dxa"/>
            <w:vAlign w:val="bottom"/>
          </w:tcPr>
          <w:p>
            <w:pPr>
              <w:spacing w:after="0"/>
              <w:rPr>
                <w:sz w:val="20"/>
                <w:szCs w:val="20"/>
                <w:color w:val="auto"/>
              </w:rPr>
            </w:pPr>
            <w:r>
              <w:rPr>
                <w:rFonts w:ascii="Arial" w:cs="Arial" w:eastAsia="Arial" w:hAnsi="Arial"/>
                <w:sz w:val="3"/>
                <w:szCs w:val="3"/>
                <w:color w:val="FFFFFF"/>
              </w:rPr>
              <w:t>Fair Competition</w:t>
            </w:r>
          </w:p>
        </w:tc>
        <w:tc>
          <w:tcPr>
            <w:tcW w:w="4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Allison Transmission is committed to competing within the law. This section discusses the laws that protect or regulate the competitive process. These laws can be complicated and they vary from country to</w:t>
            </w:r>
          </w:p>
        </w:tc>
        <w:tc>
          <w:tcPr>
            <w:tcW w:w="0" w:type="dxa"/>
            <w:vAlign w:val="bottom"/>
          </w:tcPr>
          <w:p>
            <w:pPr>
              <w:spacing w:after="0"/>
              <w:rPr>
                <w:sz w:val="1"/>
                <w:szCs w:val="1"/>
                <w:color w:val="auto"/>
              </w:rPr>
            </w:pPr>
          </w:p>
        </w:tc>
      </w:tr>
      <w:tr>
        <w:trPr>
          <w:trHeight w:val="41"/>
        </w:trPr>
        <w:tc>
          <w:tcPr>
            <w:tcW w:w="5540" w:type="dxa"/>
            <w:vAlign w:val="bottom"/>
            <w:gridSpan w:val="2"/>
          </w:tcPr>
          <w:p>
            <w:pPr>
              <w:spacing w:after="0"/>
              <w:rPr>
                <w:sz w:val="20"/>
                <w:szCs w:val="20"/>
                <w:color w:val="auto"/>
              </w:rPr>
            </w:pPr>
            <w:r>
              <w:rPr>
                <w:rFonts w:ascii="Arial" w:cs="Arial" w:eastAsia="Arial" w:hAnsi="Arial"/>
                <w:sz w:val="3"/>
                <w:szCs w:val="3"/>
                <w:color w:val="FFFFFF"/>
              </w:rPr>
              <w:t>country. So, when in doubt, consult the Legal department.</w:t>
            </w:r>
          </w:p>
        </w:tc>
        <w:tc>
          <w:tcPr>
            <w:tcW w:w="166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40" w:type="dxa"/>
            <w:vAlign w:val="bottom"/>
            <w:gridSpan w:val="2"/>
          </w:tcPr>
          <w:p>
            <w:pPr>
              <w:ind w:left="340"/>
              <w:spacing w:after="0"/>
              <w:rPr>
                <w:sz w:val="20"/>
                <w:szCs w:val="20"/>
                <w:color w:val="auto"/>
              </w:rPr>
            </w:pPr>
            <w:r>
              <w:rPr>
                <w:rFonts w:ascii="Arial" w:cs="Arial" w:eastAsia="Arial" w:hAnsi="Arial"/>
                <w:sz w:val="3"/>
                <w:szCs w:val="3"/>
                <w:color w:val="FFFFFF"/>
              </w:rPr>
              <w:t>Entertainment and Gratuities</w:t>
            </w:r>
          </w:p>
        </w:tc>
        <w:tc>
          <w:tcPr>
            <w:tcW w:w="166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Gifts, gratuities and entertainment are courtesies often designed to build relationships. In a business setting, however, ethical problems can arise when these items compromise or appear to compromise our</w:t>
            </w:r>
          </w:p>
        </w:tc>
        <w:tc>
          <w:tcPr>
            <w:tcW w:w="0" w:type="dxa"/>
            <w:vAlign w:val="bottom"/>
          </w:tcPr>
          <w:p>
            <w:pPr>
              <w:spacing w:after="0"/>
              <w:rPr>
                <w:sz w:val="1"/>
                <w:szCs w:val="1"/>
                <w:color w:val="auto"/>
              </w:rPr>
            </w:pPr>
          </w:p>
        </w:tc>
      </w:tr>
      <w:tr>
        <w:trPr>
          <w:trHeight w:val="41"/>
        </w:trPr>
        <w:tc>
          <w:tcPr>
            <w:tcW w:w="7200" w:type="dxa"/>
            <w:vAlign w:val="bottom"/>
            <w:gridSpan w:val="3"/>
          </w:tcPr>
          <w:p>
            <w:pPr>
              <w:spacing w:after="0"/>
              <w:rPr>
                <w:sz w:val="20"/>
                <w:szCs w:val="20"/>
                <w:color w:val="auto"/>
              </w:rPr>
            </w:pPr>
            <w:r>
              <w:rPr>
                <w:rFonts w:ascii="Arial" w:cs="Arial" w:eastAsia="Arial" w:hAnsi="Arial"/>
                <w:sz w:val="3"/>
                <w:szCs w:val="3"/>
                <w:color w:val="FFFFFF"/>
              </w:rPr>
              <w:t>ability to make impartial, objective and fair business decisions. The Allison Global Third Party Gifts and Entertainment Policy and</w:t>
            </w:r>
          </w:p>
        </w:tc>
        <w:tc>
          <w:tcPr>
            <w:tcW w:w="4180" w:type="dxa"/>
            <w:vAlign w:val="bottom"/>
          </w:tcPr>
          <w:p>
            <w:pPr>
              <w:ind w:left="120"/>
              <w:spacing w:after="0"/>
              <w:rPr>
                <w:sz w:val="20"/>
                <w:szCs w:val="20"/>
                <w:color w:val="auto"/>
              </w:rPr>
            </w:pPr>
            <w:r>
              <w:rPr>
                <w:rFonts w:ascii="Arial" w:cs="Arial" w:eastAsia="Arial" w:hAnsi="Arial"/>
                <w:sz w:val="3"/>
                <w:szCs w:val="3"/>
                <w:color w:val="FFFFFF"/>
              </w:rPr>
              <w:t>applicable reporting procedures are intended to guide our judgment when</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confronted with opportunities to accept or give certain gifts, gratuities or entertainment from or to suppliers, dealers, customers or other third parties. For more information please see the Allison Global Third</w:t>
            </w:r>
          </w:p>
        </w:tc>
        <w:tc>
          <w:tcPr>
            <w:tcW w:w="0" w:type="dxa"/>
            <w:vAlign w:val="bottom"/>
          </w:tcPr>
          <w:p>
            <w:pPr>
              <w:spacing w:after="0"/>
              <w:rPr>
                <w:sz w:val="1"/>
                <w:szCs w:val="1"/>
                <w:color w:val="auto"/>
              </w:rPr>
            </w:pPr>
          </w:p>
        </w:tc>
      </w:tr>
      <w:tr>
        <w:trPr>
          <w:trHeight w:val="41"/>
        </w:trPr>
        <w:tc>
          <w:tcPr>
            <w:tcW w:w="5540" w:type="dxa"/>
            <w:vAlign w:val="bottom"/>
            <w:gridSpan w:val="2"/>
          </w:tcPr>
          <w:p>
            <w:pPr>
              <w:spacing w:after="0"/>
              <w:rPr>
                <w:sz w:val="20"/>
                <w:szCs w:val="20"/>
                <w:color w:val="auto"/>
              </w:rPr>
            </w:pPr>
            <w:r>
              <w:rPr>
                <w:rFonts w:ascii="Arial" w:cs="Arial" w:eastAsia="Arial" w:hAnsi="Arial"/>
                <w:sz w:val="3"/>
                <w:szCs w:val="3"/>
                <w:color w:val="FFFFFF"/>
              </w:rPr>
              <w:t>Party Gifts and Entertainment Policy and the applicable reporting procedures.</w:t>
            </w:r>
          </w:p>
        </w:tc>
        <w:tc>
          <w:tcPr>
            <w:tcW w:w="166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540" w:type="dxa"/>
            <w:vAlign w:val="bottom"/>
            <w:gridSpan w:val="2"/>
          </w:tcPr>
          <w:p>
            <w:pPr>
              <w:spacing w:after="0"/>
              <w:rPr>
                <w:sz w:val="20"/>
                <w:szCs w:val="20"/>
                <w:color w:val="auto"/>
              </w:rPr>
            </w:pPr>
            <w:r>
              <w:rPr>
                <w:rFonts w:ascii="Arial" w:cs="Arial" w:eastAsia="Arial" w:hAnsi="Arial"/>
                <w:sz w:val="3"/>
                <w:szCs w:val="3"/>
                <w:color w:val="FFFFFF"/>
              </w:rPr>
              <w:t>Relations With Competitors</w:t>
            </w:r>
          </w:p>
        </w:tc>
        <w:tc>
          <w:tcPr>
            <w:tcW w:w="5840" w:type="dxa"/>
            <w:vAlign w:val="bottom"/>
            <w:gridSpan w:val="2"/>
            <w:vMerge w:val="restart"/>
          </w:tcPr>
          <w:p>
            <w:pPr>
              <w:ind w:left="160"/>
              <w:spacing w:after="0" w:line="81" w:lineRule="exact"/>
              <w:rPr>
                <w:sz w:val="20"/>
                <w:szCs w:val="20"/>
                <w:color w:val="auto"/>
              </w:rPr>
            </w:pPr>
            <w:r>
              <w:rPr>
                <w:rFonts w:ascii="Arial" w:cs="Arial" w:eastAsia="Arial" w:hAnsi="Arial"/>
                <w:sz w:val="9"/>
                <w:szCs w:val="9"/>
                <w:color w:val="FFFFFF"/>
              </w:rPr>
              <w:t>discounts, rebates or incentives) or on what products to develop or to whom we sell. And “agree” doesn’t</w:t>
            </w:r>
          </w:p>
        </w:tc>
        <w:tc>
          <w:tcPr>
            <w:tcW w:w="0" w:type="dxa"/>
            <w:vAlign w:val="bottom"/>
          </w:tcPr>
          <w:p>
            <w:pPr>
              <w:spacing w:after="0"/>
              <w:rPr>
                <w:sz w:val="1"/>
                <w:szCs w:val="1"/>
                <w:color w:val="auto"/>
              </w:rPr>
            </w:pPr>
          </w:p>
        </w:tc>
      </w:tr>
      <w:tr>
        <w:trPr>
          <w:trHeight w:val="41"/>
        </w:trPr>
        <w:tc>
          <w:tcPr>
            <w:tcW w:w="5540" w:type="dxa"/>
            <w:vAlign w:val="bottom"/>
            <w:gridSpan w:val="2"/>
          </w:tcPr>
          <w:p>
            <w:pPr>
              <w:spacing w:after="0"/>
              <w:rPr>
                <w:sz w:val="20"/>
                <w:szCs w:val="20"/>
                <w:color w:val="auto"/>
              </w:rPr>
            </w:pPr>
            <w:r>
              <w:rPr>
                <w:rFonts w:ascii="Arial" w:cs="Arial" w:eastAsia="Arial" w:hAnsi="Arial"/>
                <w:sz w:val="3"/>
                <w:szCs w:val="3"/>
                <w:color w:val="FFFFFF"/>
              </w:rPr>
              <w:t>One rule is crystal-clear: Never agree with a competitor on any element of price (including, for</w:t>
            </w:r>
          </w:p>
        </w:tc>
        <w:tc>
          <w:tcPr>
            <w:tcW w:w="5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60" w:type="dxa"/>
            <w:vAlign w:val="bottom"/>
          </w:tcPr>
          <w:p>
            <w:pPr>
              <w:spacing w:after="0"/>
              <w:rPr>
                <w:sz w:val="20"/>
                <w:szCs w:val="20"/>
                <w:color w:val="auto"/>
              </w:rPr>
            </w:pPr>
            <w:r>
              <w:rPr>
                <w:rFonts w:ascii="Arial" w:cs="Arial" w:eastAsia="Arial" w:hAnsi="Arial"/>
                <w:sz w:val="3"/>
                <w:szCs w:val="3"/>
                <w:color w:val="FFFFFF"/>
              </w:rPr>
              <w:t>necessarily mean</w:t>
            </w:r>
          </w:p>
        </w:tc>
        <w:tc>
          <w:tcPr>
            <w:tcW w:w="10020" w:type="dxa"/>
            <w:vAlign w:val="bottom"/>
            <w:gridSpan w:val="3"/>
          </w:tcPr>
          <w:p>
            <w:pPr>
              <w:spacing w:after="0"/>
              <w:rPr>
                <w:sz w:val="20"/>
                <w:szCs w:val="20"/>
                <w:color w:val="auto"/>
              </w:rPr>
            </w:pPr>
            <w:r>
              <w:rPr>
                <w:rFonts w:ascii="Arial" w:cs="Arial" w:eastAsia="Arial" w:hAnsi="Arial"/>
                <w:sz w:val="3"/>
                <w:szCs w:val="3"/>
                <w:color w:val="FFFFFF"/>
              </w:rPr>
              <w:t>a written contract. Courts sometimes find an illegal agreement based onexample,conversation, even if the conversation occurred on a golf course or another semi-private location.</w:t>
            </w:r>
          </w:p>
        </w:tc>
        <w:tc>
          <w:tcPr>
            <w:tcW w:w="0" w:type="dxa"/>
            <w:vAlign w:val="bottom"/>
          </w:tcPr>
          <w:p>
            <w:pPr>
              <w:spacing w:after="0"/>
              <w:rPr>
                <w:sz w:val="1"/>
                <w:szCs w:val="1"/>
                <w:color w:val="auto"/>
              </w:rPr>
            </w:pPr>
          </w:p>
        </w:tc>
      </w:tr>
      <w:tr>
        <w:trPr>
          <w:trHeight w:val="0"/>
        </w:trPr>
        <w:tc>
          <w:tcPr>
            <w:tcW w:w="1360" w:type="dxa"/>
            <w:vAlign w:val="bottom"/>
          </w:tcPr>
          <w:p>
            <w:pPr>
              <w:ind w:left="80"/>
              <w:spacing w:after="0" w:line="80" w:lineRule="exact"/>
              <w:rPr>
                <w:sz w:val="20"/>
                <w:szCs w:val="20"/>
                <w:color w:val="auto"/>
              </w:rPr>
            </w:pPr>
            <w:r>
              <w:rPr>
                <w:rFonts w:ascii="Arial" w:cs="Arial" w:eastAsia="Arial" w:hAnsi="Arial"/>
                <w:sz w:val="9"/>
                <w:szCs w:val="9"/>
                <w:color w:val="FFFFFF"/>
              </w:rPr>
              <w:t>Benchmarking withhaving</w:t>
            </w:r>
          </w:p>
        </w:tc>
        <w:tc>
          <w:tcPr>
            <w:tcW w:w="4180" w:type="dxa"/>
            <w:vAlign w:val="bottom"/>
          </w:tcPr>
          <w:p>
            <w:pPr>
              <w:ind w:left="540"/>
              <w:spacing w:after="0" w:line="80" w:lineRule="exact"/>
              <w:rPr>
                <w:sz w:val="20"/>
                <w:szCs w:val="20"/>
                <w:color w:val="auto"/>
              </w:rPr>
            </w:pPr>
            <w:r>
              <w:rPr>
                <w:rFonts w:ascii="Arial" w:cs="Arial" w:eastAsia="Arial" w:hAnsi="Arial"/>
                <w:sz w:val="9"/>
                <w:szCs w:val="9"/>
                <w:color w:val="FFFFFF"/>
              </w:rPr>
              <w:t>may be risky, so get legal and business approval before doing  .</w:t>
            </w:r>
          </w:p>
        </w:tc>
        <w:tc>
          <w:tcPr>
            <w:tcW w:w="1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w:t>
      </w:r>
      <w:r>
        <w:rPr>
          <w:rFonts w:ascii="Arial" w:cs="Arial" w:eastAsia="Arial" w:hAnsi="Arial"/>
          <w:sz w:val="1"/>
          <w:szCs w:val="1"/>
          <w:color w:val="FFFFFF"/>
        </w:rPr>
        <w:t xml:space="preserve"> Competitive analysis iscompetitorvitalAllison, but don’</w:t>
      </w:r>
      <w:r>
        <w:rPr>
          <w:rFonts w:ascii="Arial" w:cs="Arial" w:eastAsia="Arial" w:hAnsi="Arial"/>
          <w:sz w:val="1"/>
          <w:szCs w:val="1"/>
          <w:color w:val="FFFFFF"/>
          <w:vertAlign w:val="subscript"/>
        </w:rPr>
        <w:t>costs</w:t>
      </w:r>
      <w:r>
        <w:rPr>
          <w:rFonts w:ascii="Arial" w:cs="Arial" w:eastAsia="Arial" w:hAnsi="Arial"/>
          <w:sz w:val="1"/>
          <w:szCs w:val="1"/>
          <w:color w:val="FFFFFF"/>
        </w:rPr>
        <w:t xml:space="preserve"> exch</w:t>
      </w:r>
      <w:r>
        <w:rPr>
          <w:rFonts w:ascii="Arial" w:cs="Arial" w:eastAsia="Arial" w:hAnsi="Arial"/>
          <w:sz w:val="1"/>
          <w:szCs w:val="1"/>
          <w:color w:val="FFFFFF"/>
          <w:vertAlign w:val="subscript"/>
        </w:rPr>
        <w:t>marketing</w:t>
      </w:r>
      <w:r>
        <w:rPr>
          <w:rFonts w:ascii="Arial" w:cs="Arial" w:eastAsia="Arial" w:hAnsi="Arial"/>
          <w:sz w:val="1"/>
          <w:szCs w:val="1"/>
          <w:color w:val="FFFFFF"/>
        </w:rPr>
        <w:t>ngecompetitive information directly with competitors. Customers, suppliers or experts may be able to provide marketplace intelligence.</w:t>
      </w:r>
    </w:p>
    <w:p>
      <w:pPr>
        <w:ind w:left="80"/>
        <w:spacing w:after="0"/>
        <w:tabs>
          <w:tab w:leader="none" w:pos="2760" w:val="left"/>
          <w:tab w:leader="none" w:pos="3500" w:val="left"/>
        </w:tabs>
        <w:rPr>
          <w:sz w:val="20"/>
          <w:szCs w:val="20"/>
          <w:color w:val="auto"/>
        </w:rPr>
      </w:pPr>
      <w:r>
        <w:rPr>
          <w:rFonts w:ascii="Arial" w:cs="Arial" w:eastAsia="Arial" w:hAnsi="Arial"/>
          <w:sz w:val="14"/>
          <w:szCs w:val="14"/>
          <w:color w:val="FFFFFF"/>
        </w:rPr>
        <w:t>Avoid discussing sensitive topics like price,</w:t>
      </w:r>
      <w:r>
        <w:rPr>
          <w:sz w:val="20"/>
          <w:szCs w:val="20"/>
          <w:color w:val="auto"/>
        </w:rPr>
        <w:tab/>
      </w:r>
      <w:r>
        <w:rPr>
          <w:rFonts w:ascii="Arial" w:cs="Arial" w:eastAsia="Arial" w:hAnsi="Arial"/>
          <w:sz w:val="14"/>
          <w:szCs w:val="14"/>
          <w:color w:val="FFFFFF"/>
        </w:rPr>
        <w:t>or</w:t>
      </w:r>
      <w:r>
        <w:rPr>
          <w:sz w:val="20"/>
          <w:szCs w:val="20"/>
          <w:color w:val="auto"/>
        </w:rPr>
        <w:tab/>
      </w:r>
      <w:r>
        <w:rPr>
          <w:rFonts w:ascii="Arial" w:cs="Arial" w:eastAsia="Arial" w:hAnsi="Arial"/>
          <w:sz w:val="11"/>
          <w:szCs w:val="11"/>
          <w:color w:val="FFFFFF"/>
        </w:rPr>
        <w:t>plans at trade association meetings.</w:t>
      </w:r>
    </w:p>
    <w:p>
      <w:pPr>
        <w:sectPr>
          <w:pgSz w:w="11900" w:h="16838" w:orient="portrait"/>
          <w:cols w:equalWidth="0" w:num="1">
            <w:col w:w="11380"/>
          </w:cols>
          <w:pgMar w:left="240" w:top="1440" w:right="27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FFFFFF"/>
        </w:rPr>
        <w:t>“Allis</w:t>
      </w:r>
      <w:r>
        <w:rPr>
          <w:rFonts w:ascii="Arial" w:cs="Arial" w:eastAsia="Arial" w:hAnsi="Arial"/>
          <w:sz w:val="27"/>
          <w:szCs w:val="27"/>
          <w:color w:val="FFFFFF"/>
          <w:vertAlign w:val="subscript"/>
        </w:rPr>
        <w:t>Relations</w:t>
      </w:r>
      <w:r>
        <w:rPr>
          <w:rFonts w:ascii="Arial" w:cs="Arial" w:eastAsia="Arial" w:hAnsi="Arial"/>
          <w:sz w:val="14"/>
          <w:szCs w:val="14"/>
          <w:color w:val="FFFFFF"/>
        </w:rPr>
        <w:t>isWithcommittedDealers,toDistributorscompeting within the law.”</w:t>
      </w:r>
    </w:p>
    <w:p>
      <w:pPr>
        <w:spacing w:after="0"/>
        <w:rPr>
          <w:sz w:val="20"/>
          <w:szCs w:val="20"/>
          <w:color w:val="auto"/>
        </w:rPr>
      </w:pPr>
      <w:r>
        <w:rPr>
          <w:rFonts w:ascii="Arial" w:cs="Arial" w:eastAsia="Arial" w:hAnsi="Arial"/>
          <w:sz w:val="3"/>
          <w:szCs w:val="3"/>
          <w:color w:val="FFFFFF"/>
        </w:rPr>
        <w:t>and Resellers</w:t>
      </w:r>
    </w:p>
    <w:p>
      <w:pPr>
        <w:spacing w:after="0" w:line="6" w:lineRule="exact"/>
        <w:rPr>
          <w:sz w:val="20"/>
          <w:szCs w:val="20"/>
          <w:color w:val="auto"/>
        </w:rPr>
      </w:pPr>
    </w:p>
    <w:p>
      <w:pPr>
        <w:ind w:right="200"/>
        <w:spacing w:after="0" w:line="211" w:lineRule="auto"/>
        <w:rPr>
          <w:sz w:val="20"/>
          <w:szCs w:val="20"/>
          <w:color w:val="auto"/>
        </w:rPr>
      </w:pPr>
      <w:r>
        <w:rPr>
          <w:rFonts w:ascii="Arial" w:cs="Arial" w:eastAsia="Arial" w:hAnsi="Arial"/>
          <w:sz w:val="8"/>
          <w:szCs w:val="8"/>
          <w:color w:val="FFFFFF"/>
        </w:rPr>
        <w:t>It is against Allison policy and illegal in most countries, to force any dealer, distributor or retailer to sell at a particular price. We can set a suggested retail price, but each dealer must remain free to set the sale price with customers. Consult the Legal department if you have questions about a non-price restriction.</w:t>
      </w:r>
    </w:p>
    <w:p>
      <w:pPr>
        <w:spacing w:after="0"/>
        <w:rPr>
          <w:sz w:val="20"/>
          <w:szCs w:val="20"/>
          <w:color w:val="auto"/>
        </w:rPr>
      </w:pPr>
      <w:r>
        <w:rPr>
          <w:rFonts w:ascii="Arial" w:cs="Arial" w:eastAsia="Arial" w:hAnsi="Arial"/>
          <w:sz w:val="3"/>
          <w:szCs w:val="3"/>
          <w:color w:val="FFFFFF"/>
        </w:rPr>
        <w:t>International Consideration</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U.S. antitrust laws apply to activity that hurts the competitive process in the U.S. so actions by Allison subsidiaries around the world could be challenged by U.S. authorities. Most countries around the world also have their own competition laws.</w:t>
      </w:r>
    </w:p>
    <w:p>
      <w:pPr>
        <w:sectPr>
          <w:pgSz w:w="11900" w:h="16838" w:orient="portrait"/>
          <w:cols w:equalWidth="0" w:num="1">
            <w:col w:w="11420"/>
          </w:cols>
          <w:pgMar w:left="240" w:top="1440" w:right="2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ind w:left="540"/>
              <w:spacing w:after="0"/>
              <w:rPr>
                <w:sz w:val="20"/>
                <w:szCs w:val="20"/>
                <w:color w:val="auto"/>
              </w:rPr>
            </w:pPr>
            <w:r>
              <w:rPr>
                <w:rFonts w:ascii="Arial" w:cs="Arial" w:eastAsia="Arial" w:hAnsi="Arial"/>
                <w:sz w:val="14"/>
                <w:szCs w:val="14"/>
                <w:color w:val="FFFFFF"/>
              </w:rPr>
              <w:t>Trading</w:t>
            </w:r>
          </w:p>
        </w:tc>
        <w:tc>
          <w:tcPr>
            <w:tcW w:w="10140" w:type="dxa"/>
            <w:vAlign w:val="bottom"/>
          </w:tcPr>
          <w:p>
            <w:pPr>
              <w:spacing w:after="0"/>
              <w:rPr>
                <w:sz w:val="14"/>
                <w:szCs w:val="14"/>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27Insiderthecourse of our work, we may acquire important information about Allison Transmission or other companies, which has not yet become publicly available. Never trade   Allison securities or those of any</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other company while in possession of material, nonpublic information. Material information is any information that an investor would reasonably consider important in making investment decisions. Examples</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include knowledge of acquisitions or divestitures, new product launches, financial information, production schedules or management changes. These situations are fact and circumstances specific so consult with</w:t>
            </w:r>
          </w:p>
        </w:tc>
      </w:tr>
      <w:tr>
        <w:trPr>
          <w:trHeight w:val="41"/>
        </w:trPr>
        <w:tc>
          <w:tcPr>
            <w:tcW w:w="1240" w:type="dxa"/>
            <w:vAlign w:val="bottom"/>
            <w:gridSpan w:val="2"/>
          </w:tcPr>
          <w:p>
            <w:pPr>
              <w:spacing w:after="0"/>
              <w:rPr>
                <w:sz w:val="20"/>
                <w:szCs w:val="20"/>
                <w:color w:val="auto"/>
              </w:rPr>
            </w:pPr>
            <w:r>
              <w:rPr>
                <w:rFonts w:ascii="Arial" w:cs="Arial" w:eastAsia="Arial" w:hAnsi="Arial"/>
                <w:sz w:val="3"/>
                <w:szCs w:val="3"/>
                <w:color w:val="FFFFFF"/>
              </w:rPr>
              <w:t>the Legal department.</w:t>
            </w:r>
          </w:p>
        </w:tc>
        <w:tc>
          <w:tcPr>
            <w:tcW w:w="1014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If you learn something that could reasonably be exp cted to affect the price of Allison stock (or the stock of another company), do not buy or sell the stock – or disclose the information to others – until the</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information has been released to the public. Anytime you trade in Allison stock you must make sure the trading window is open.</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For any questions on Allison’s Insider Trading Policy, contact the Legal department.</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Do</w:t>
            </w:r>
          </w:p>
        </w:tc>
        <w:tc>
          <w:tcPr>
            <w:tcW w:w="520" w:type="dxa"/>
            <w:vAlign w:val="bottom"/>
          </w:tcPr>
          <w:p>
            <w:pPr>
              <w:spacing w:after="0"/>
              <w:rPr>
                <w:sz w:val="3"/>
                <w:szCs w:val="3"/>
                <w:color w:val="auto"/>
              </w:rPr>
            </w:pPr>
          </w:p>
        </w:tc>
        <w:tc>
          <w:tcPr>
            <w:tcW w:w="1014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Read and understand Allison’s Insider Trading Policy before trading in Allison securities.</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If the nature of your position and business activities subjects you to additional requirements relating to transacting in Allison stock, consult the Legal department and learn and follow any additional</w:t>
            </w:r>
          </w:p>
        </w:tc>
      </w:tr>
      <w:tr>
        <w:trPr>
          <w:trHeight w:val="81"/>
        </w:trPr>
        <w:tc>
          <w:tcPr>
            <w:tcW w:w="720" w:type="dxa"/>
            <w:vAlign w:val="bottom"/>
          </w:tcPr>
          <w:p>
            <w:pPr>
              <w:spacing w:after="0" w:line="81" w:lineRule="exact"/>
              <w:rPr>
                <w:sz w:val="20"/>
                <w:szCs w:val="20"/>
                <w:color w:val="auto"/>
              </w:rPr>
            </w:pPr>
            <w:r>
              <w:rPr>
                <w:rFonts w:ascii="Arial" w:cs="Arial" w:eastAsia="Arial" w:hAnsi="Arial"/>
                <w:sz w:val="9"/>
                <w:szCs w:val="9"/>
                <w:color w:val="FFFFFF"/>
                <w:w w:val="98"/>
              </w:rPr>
              <w:t>requirementsDon’</w:t>
            </w:r>
          </w:p>
        </w:tc>
        <w:tc>
          <w:tcPr>
            <w:tcW w:w="520" w:type="dxa"/>
            <w:vAlign w:val="bottom"/>
          </w:tcPr>
          <w:p>
            <w:pPr>
              <w:jc w:val="right"/>
              <w:ind w:right="494"/>
              <w:spacing w:after="0"/>
              <w:rPr>
                <w:sz w:val="20"/>
                <w:szCs w:val="20"/>
                <w:color w:val="auto"/>
              </w:rPr>
            </w:pPr>
            <w:r>
              <w:rPr>
                <w:rFonts w:ascii="Arial" w:cs="Arial" w:eastAsia="Arial" w:hAnsi="Arial"/>
                <w:sz w:val="1"/>
                <w:szCs w:val="1"/>
                <w:color w:val="FFFFFF"/>
                <w:w w:val="4294967279"/>
              </w:rPr>
              <w:t>.</w:t>
            </w:r>
          </w:p>
        </w:tc>
        <w:tc>
          <w:tcPr>
            <w:tcW w:w="10140" w:type="dxa"/>
            <w:vAlign w:val="bottom"/>
          </w:tcPr>
          <w:p>
            <w:pPr>
              <w:spacing w:after="0"/>
              <w:rPr>
                <w:sz w:val="7"/>
                <w:szCs w:val="7"/>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Share material, nonpublic information about any company with anyone who might trade that company’s securities.</w:t>
            </w:r>
          </w:p>
        </w:tc>
      </w:tr>
      <w:tr>
        <w:trPr>
          <w:trHeight w:val="0"/>
        </w:trPr>
        <w:tc>
          <w:tcPr>
            <w:tcW w:w="1240" w:type="dxa"/>
            <w:vAlign w:val="bottom"/>
            <w:gridSpan w:val="2"/>
          </w:tcPr>
          <w:p>
            <w:pPr>
              <w:spacing w:after="0" w:line="80" w:lineRule="exact"/>
              <w:rPr>
                <w:sz w:val="20"/>
                <w:szCs w:val="20"/>
                <w:color w:val="auto"/>
              </w:rPr>
            </w:pPr>
            <w:r>
              <w:rPr>
                <w:rFonts w:ascii="Arial" w:cs="Arial" w:eastAsia="Arial" w:hAnsi="Arial"/>
                <w:sz w:val="9"/>
                <w:szCs w:val="9"/>
                <w:color w:val="FFFFFF"/>
              </w:rPr>
              <w:t>Assume insider</w:t>
            </w:r>
          </w:p>
        </w:tc>
        <w:tc>
          <w:tcPr>
            <w:tcW w:w="10140" w:type="dxa"/>
            <w:vAlign w:val="bottom"/>
          </w:tcPr>
          <w:p>
            <w:pPr>
              <w:ind w:left="60"/>
              <w:spacing w:after="0" w:line="80" w:lineRule="exact"/>
              <w:rPr>
                <w:sz w:val="20"/>
                <w:szCs w:val="20"/>
                <w:color w:val="auto"/>
              </w:rPr>
            </w:pPr>
            <w:r>
              <w:rPr>
                <w:rFonts w:ascii="Arial" w:cs="Arial" w:eastAsia="Arial" w:hAnsi="Arial"/>
                <w:sz w:val="9"/>
                <w:szCs w:val="9"/>
                <w:color w:val="FFFFFF"/>
              </w:rPr>
              <w:t>rules only apply to trading in Allison stock.</w:t>
            </w:r>
          </w:p>
        </w:tc>
      </w:tr>
    </w:tbl>
    <w:p>
      <w:pPr>
        <w:ind w:left="880"/>
        <w:spacing w:after="0" w:line="25" w:lineRule="auto"/>
        <w:rPr>
          <w:sz w:val="20"/>
          <w:szCs w:val="20"/>
          <w:color w:val="auto"/>
        </w:rPr>
      </w:pPr>
      <w:r>
        <w:rPr>
          <w:rFonts w:ascii="Arial" w:cs="Arial" w:eastAsia="Arial" w:hAnsi="Arial"/>
          <w:sz w:val="1"/>
          <w:szCs w:val="1"/>
          <w:color w:val="FFFFFF"/>
        </w:rPr>
        <w:t>trading</w:t>
      </w:r>
    </w:p>
    <w:p>
      <w:pPr>
        <w:spacing w:after="0"/>
        <w:rPr>
          <w:sz w:val="20"/>
          <w:szCs w:val="20"/>
          <w:color w:val="auto"/>
        </w:rPr>
      </w:pPr>
      <w:r>
        <w:rPr>
          <w:rFonts w:ascii="Arial" w:cs="Arial" w:eastAsia="Arial" w:hAnsi="Arial"/>
          <w:sz w:val="3"/>
          <w:szCs w:val="3"/>
          <w:color w:val="FFFFFF"/>
        </w:rPr>
        <w:t>DiscussTradewhenAllisonthe businesswindowwithfamilyisclosed.and friends.</w:t>
      </w:r>
    </w:p>
    <w:p>
      <w:pPr>
        <w:spacing w:after="0" w:line="194" w:lineRule="auto"/>
        <w:rPr>
          <w:sz w:val="20"/>
          <w:szCs w:val="20"/>
          <w:color w:val="auto"/>
        </w:rPr>
      </w:pPr>
      <w:r>
        <w:rPr>
          <w:rFonts w:ascii="Arial" w:cs="Arial" w:eastAsia="Arial" w:hAnsi="Arial"/>
          <w:sz w:val="5"/>
          <w:szCs w:val="5"/>
          <w:color w:val="FFFFFF"/>
        </w:rPr>
        <w:t>Talk about what you’re working on or where you’re going on company business or who is visiting Allison.</w:t>
      </w:r>
    </w:p>
    <w:p>
      <w:pPr>
        <w:ind w:right="60"/>
        <w:spacing w:after="0" w:line="187" w:lineRule="auto"/>
        <w:rPr>
          <w:sz w:val="20"/>
          <w:szCs w:val="20"/>
          <w:color w:val="auto"/>
        </w:rPr>
      </w:pPr>
      <w:r>
        <w:rPr>
          <w:rFonts w:ascii="Arial" w:cs="Arial" w:eastAsia="Arial" w:hAnsi="Arial"/>
          <w:sz w:val="9"/>
          <w:szCs w:val="9"/>
          <w:color w:val="FFFFFF"/>
        </w:rPr>
        <w:t>Buy or sell the securities of any company, including Allison, either directly or through family members or other persons or entities, while you are aware of inside information about the company. (This is known as insider “trading” and is illegal.)</w:t>
      </w:r>
    </w:p>
    <w:p>
      <w:pPr>
        <w:spacing w:after="0"/>
        <w:rPr>
          <w:sz w:val="20"/>
          <w:szCs w:val="20"/>
          <w:color w:val="auto"/>
        </w:rPr>
      </w:pPr>
      <w:r>
        <w:rPr>
          <w:rFonts w:ascii="Arial" w:cs="Arial" w:eastAsia="Arial" w:hAnsi="Arial"/>
          <w:sz w:val="12"/>
          <w:szCs w:val="12"/>
          <w:color w:val="FFFFFF"/>
        </w:rPr>
        <w:t>Recommend or suggest that anyone else buy or sell the securities of any company, including Allison, while you have inside information about the company. (This is known as “tipping” and is illegal.)</w:t>
      </w:r>
    </w:p>
    <w:p>
      <w:pPr>
        <w:sectPr>
          <w:pgSz w:w="11900" w:h="16838" w:orient="portrait"/>
          <w:cols w:equalWidth="0" w:num="1">
            <w:col w:w="11380"/>
          </w:cols>
          <w:pgMar w:left="240" w:top="1440" w:right="279" w:bottom="1440"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INTEGRITY IN OUR SOCIETIES AND COMMUNITIES’s borders to their own residents and to organizations that are organized under their laws, such as Allison subsidiaries or other controlled entities.</w:t>
      </w:r>
    </w:p>
    <w:p>
      <w:pPr>
        <w:ind w:left="440" w:right="160" w:hanging="423"/>
        <w:spacing w:after="0" w:line="181" w:lineRule="auto"/>
        <w:rPr>
          <w:sz w:val="20"/>
          <w:szCs w:val="20"/>
          <w:color w:val="auto"/>
        </w:rPr>
      </w:pPr>
      <w:r>
        <w:rPr>
          <w:rFonts w:ascii="Arial" w:cs="Arial" w:eastAsia="Arial" w:hAnsi="Arial"/>
          <w:sz w:val="7"/>
          <w:szCs w:val="7"/>
          <w:color w:val="FFFFFF"/>
        </w:rPr>
        <w:t>resolveinThetances,referencesthereinmayAllisonbea conflictpolicies betweentothelawstheofapplicablethe.. andlawstheof othertwoorlocationsmorecountries.whereweIf doyoubusinessencounterreflectsuchtheaconflict,realitythatitis especiallyglobalcompanyimportantisregulatedtoconsultbytheseveralAllisondifferentLegal departmentlawsatthe sametounderstandtime.In somehowto the situation properly.</w:t>
      </w:r>
    </w:p>
    <w:p>
      <w:pPr>
        <w:spacing w:after="0" w:line="181" w:lineRule="auto"/>
        <w:rPr>
          <w:sz w:val="20"/>
          <w:szCs w:val="20"/>
          <w:color w:val="auto"/>
        </w:rPr>
      </w:pPr>
      <w:r>
        <w:rPr>
          <w:rFonts w:ascii="Arial" w:cs="Arial" w:eastAsia="Arial" w:hAnsi="Arial"/>
          <w:sz w:val="7"/>
          <w:szCs w:val="7"/>
          <w:color w:val="FFFFFF"/>
        </w:rPr>
        <w:t>AnImproperimproperGiftsgiftandor Paymentspaymentto gain advantage in any situation is unacceptable and exposes you and Allison to possible criminal and civil prosecution. Allison policy expressly prohibits improper payments in all business dealings, in every country worldwide, with both governments and the private sector, evengifts,itmay be seen as “customary in some countries.”</w:t>
      </w:r>
    </w:p>
    <w:p>
      <w:pPr>
        <w:ind w:right="60"/>
        <w:spacing w:after="0"/>
        <w:rPr>
          <w:sz w:val="20"/>
          <w:szCs w:val="20"/>
          <w:color w:val="auto"/>
        </w:rPr>
      </w:pPr>
      <w:r>
        <w:rPr>
          <w:rFonts w:ascii="Arial" w:cs="Arial" w:eastAsia="Arial" w:hAnsi="Arial"/>
          <w:sz w:val="7"/>
          <w:szCs w:val="7"/>
          <w:color w:val="FFFFFF"/>
        </w:rPr>
        <w:t>executionImproper giftsofa contract.andpaymentsTheseshouldpaymentsnot beareconfusedacceptable,withsubjectreasonabletospecificandlimitedAllisonexpenditurescorporateandforbusinessbusinessguidelines.entertainment and customer travel directly related to the promotion of products or services or the Conflicts with Laws</w:t>
      </w:r>
    </w:p>
    <w:p>
      <w:pPr>
        <w:spacing w:after="0" w:line="41" w:lineRule="exact"/>
        <w:rPr>
          <w:sz w:val="20"/>
          <w:szCs w:val="20"/>
          <w:color w:val="auto"/>
        </w:rPr>
      </w:pPr>
    </w:p>
    <w:p>
      <w:pPr>
        <w:ind w:left="10860"/>
        <w:spacing w:after="0"/>
        <w:rPr>
          <w:sz w:val="20"/>
          <w:szCs w:val="20"/>
          <w:color w:val="auto"/>
        </w:rPr>
      </w:pPr>
      <w:r>
        <w:rPr>
          <w:rFonts w:ascii="Arial" w:cs="Arial" w:eastAsia="Arial" w:hAnsi="Arial"/>
          <w:sz w:val="1"/>
          <w:szCs w:val="1"/>
          <w:color w:val="FFFFFF"/>
        </w:rPr>
        <w:t>countries,AllisonTransmissionprovinces, statesconductsand businessmunicipalitiesinmore thanorganizations100countriessucharoundasthetheEuropeanglobeandUnion.our employees are citizens of many different countries. As a result, our business is subject to the laws of many different</w:t>
      </w:r>
    </w:p>
    <w:p>
      <w:pPr>
        <w:ind w:right="100"/>
        <w:spacing w:after="0"/>
        <w:rPr>
          <w:sz w:val="20"/>
          <w:szCs w:val="20"/>
          <w:color w:val="auto"/>
        </w:rPr>
      </w:pPr>
      <w:r>
        <w:rPr>
          <w:rFonts w:ascii="Arial" w:cs="Arial" w:eastAsia="Arial" w:hAnsi="Arial"/>
          <w:sz w:val="11"/>
          <w:szCs w:val="11"/>
          <w:color w:val="FFFFFF"/>
        </w:rPr>
        <w:t>An important challenge for all of us is to understand these laws and how they may apply to our business. Allison is a corporation organized under the laws of the U.S. These U.S. laws regularly extend to the business activities of Allison and its affiliates throughout the world, as well as to the business activities of Allison employees and Allison Representatives globally. Other countries may also apply their laws and regulations outside of their nation</w:t>
      </w:r>
    </w:p>
    <w:p>
      <w:pPr>
        <w:sectPr>
          <w:pgSz w:w="11900" w:h="16838" w:orient="portrait"/>
          <w:cols w:equalWidth="0" w:num="1">
            <w:col w:w="11420"/>
          </w:cols>
          <w:pgMar w:left="240" w:top="1440" w:right="2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60"/>
        <w:spacing w:after="0" w:line="199" w:lineRule="auto"/>
        <w:rPr>
          <w:sz w:val="20"/>
          <w:szCs w:val="20"/>
          <w:color w:val="auto"/>
        </w:rPr>
      </w:pPr>
      <w:r>
        <w:rPr>
          <w:rFonts w:ascii="Arial" w:cs="Arial" w:eastAsia="Arial" w:hAnsi="Arial"/>
          <w:sz w:val="7"/>
          <w:szCs w:val="7"/>
          <w:color w:val="FFFFFF"/>
        </w:rPr>
        <w:t>ForThe additionalAllisonGlobalinformationAnticorruptionaboutrequirementsComplianceinPolicythisarea,appliespleasetoallcontactemployees,theLegalAllisondepartment.RepresentativesIfyoubelieveanditsthatcontrolledyoumayaffiliates,haveprovidedwhetheraninimpropertheU.S. giftoroutsidetoagovernmenttheU.S. official, it is important that you contact the Legal department immediately.</w:t>
      </w:r>
    </w:p>
    <w:p>
      <w:pPr>
        <w:spacing w:after="0" w:line="181" w:lineRule="auto"/>
        <w:rPr>
          <w:sz w:val="20"/>
          <w:szCs w:val="20"/>
          <w:color w:val="auto"/>
        </w:rPr>
      </w:pPr>
      <w:r>
        <w:rPr>
          <w:rFonts w:ascii="Arial" w:cs="Arial" w:eastAsia="Arial" w:hAnsi="Arial"/>
          <w:sz w:val="14"/>
          <w:szCs w:val="14"/>
          <w:color w:val="FFFFFF"/>
        </w:rPr>
        <w:t>ContactDosult withmanagementtheLegalordepartmenttheLegaldepartmenttounderstandarrangeifAllisongovernmentanticorruptionofficialsolicitsrequirements.something of value.</w:t>
      </w:r>
    </w:p>
    <w:p>
      <w:pPr>
        <w:spacing w:after="0"/>
        <w:rPr>
          <w:sz w:val="20"/>
          <w:szCs w:val="20"/>
          <w:color w:val="auto"/>
        </w:rPr>
      </w:pPr>
      <w:r>
        <w:rPr>
          <w:rFonts w:ascii="Arial" w:cs="Arial" w:eastAsia="Arial" w:hAnsi="Arial"/>
          <w:sz w:val="7"/>
          <w:szCs w:val="7"/>
          <w:color w:val="FFFFFF"/>
        </w:rPr>
        <w:t>Make sure,youbeforeunderstandhiring representativeapplicablelegaltorequirements,businessthe customer’forAllison,ownthat rulestherepresentativeandAllisoncorporateisinformedandaboutbusinessU.S.guidelineslawandAllisonbeforepolicygivingrestrictionsagift,providingonpaymentscustomerto entertainmentforeignofficials.or reimbursing customer travel expenses.</w:t>
      </w:r>
    </w:p>
    <w:p>
      <w:pPr>
        <w:spacing w:after="0" w:line="189" w:lineRule="auto"/>
        <w:rPr>
          <w:sz w:val="20"/>
          <w:szCs w:val="20"/>
          <w:color w:val="auto"/>
        </w:rPr>
      </w:pPr>
      <w:r>
        <w:rPr>
          <w:rFonts w:ascii="Arial" w:cs="Arial" w:eastAsia="Arial" w:hAnsi="Arial"/>
          <w:sz w:val="9"/>
          <w:szCs w:val="9"/>
          <w:color w:val="FFFFFF"/>
        </w:rPr>
        <w:t>Make sure records of any expenditure are accurately recorded to reflect the true nature of the transaction.</w:t>
      </w:r>
    </w:p>
    <w:p>
      <w:pPr>
        <w:spacing w:after="0" w:line="188" w:lineRule="auto"/>
        <w:rPr>
          <w:sz w:val="20"/>
          <w:szCs w:val="20"/>
          <w:color w:val="auto"/>
        </w:rPr>
      </w:pPr>
      <w:r>
        <w:rPr>
          <w:rFonts w:ascii="Arial" w:cs="Arial" w:eastAsia="Arial" w:hAnsi="Arial"/>
          <w:sz w:val="9"/>
          <w:szCs w:val="9"/>
          <w:color w:val="FFFFFF"/>
        </w:rPr>
        <w:t>FollowRequiretheanyAllisonpersondueorfirmdiligencewhoisproceduresanAllisonwhenRepresentativeselectingAllisontocomplyRepresentatives.withthispolicy and related laws.</w:t>
      </w:r>
    </w:p>
    <w:p>
      <w:pPr>
        <w:spacing w:after="0"/>
        <w:rPr>
          <w:sz w:val="20"/>
          <w:szCs w:val="20"/>
          <w:color w:val="auto"/>
        </w:rPr>
      </w:pPr>
      <w:r>
        <w:rPr>
          <w:rFonts w:ascii="Arial" w:cs="Arial" w:eastAsia="Arial" w:hAnsi="Arial"/>
          <w:sz w:val="3"/>
          <w:szCs w:val="3"/>
          <w:color w:val="FFFFFF"/>
        </w:rPr>
        <w:t>Don’t</w:t>
      </w:r>
    </w:p>
    <w:p>
      <w:pPr>
        <w:spacing w:after="0" w:line="181" w:lineRule="auto"/>
        <w:rPr>
          <w:sz w:val="20"/>
          <w:szCs w:val="20"/>
          <w:color w:val="auto"/>
        </w:rPr>
      </w:pPr>
      <w:r>
        <w:rPr>
          <w:rFonts w:ascii="Arial" w:cs="Arial" w:eastAsia="Arial" w:hAnsi="Arial"/>
          <w:sz w:val="10"/>
          <w:szCs w:val="10"/>
          <w:color w:val="FFFFFF"/>
        </w:rPr>
        <w:t>AssumeOfferabusinessapotentialracticecourtesy,isacceptablesuchasbecausepoliticalanotherorcharitablecompanycontributionhasor entertainment,doneitorithasunderbeen circumstancesdoneinthepast.that might create the appearance of impropriety.</w:t>
      </w:r>
    </w:p>
    <w:p>
      <w:pPr>
        <w:ind w:left="9820"/>
        <w:spacing w:after="0" w:line="6" w:lineRule="auto"/>
        <w:rPr>
          <w:sz w:val="20"/>
          <w:szCs w:val="20"/>
          <w:color w:val="auto"/>
        </w:rPr>
      </w:pPr>
      <w:r>
        <w:rPr>
          <w:rFonts w:ascii="Arial" w:cs="Arial" w:eastAsia="Arial" w:hAnsi="Arial"/>
          <w:sz w:val="1"/>
          <w:szCs w:val="1"/>
          <w:color w:val="FFFFFF"/>
        </w:rPr>
        <w:t>Offer, promise, pay representativeoranythingoragentofwillvalueknow(money,thelawreportedlygoodsAllisonservices)expectationstogovernmentinthisareaofficial–discussoremployeeitbefore enteringofcustomerarelationship.toobtain or retain business. You can never buy the business.</w:t>
      </w:r>
    </w:p>
    <w:p>
      <w:pPr>
        <w:spacing w:after="0"/>
        <w:rPr>
          <w:sz w:val="20"/>
          <w:szCs w:val="20"/>
          <w:color w:val="auto"/>
        </w:rPr>
      </w:pPr>
      <w:r>
        <w:rPr>
          <w:rFonts w:ascii="Arial" w:cs="Arial" w:eastAsia="Arial" w:hAnsi="Arial"/>
          <w:sz w:val="14"/>
          <w:szCs w:val="14"/>
          <w:color w:val="FFFFFF"/>
        </w:rPr>
        <w:t>Contribute Allison fundsauthorizeother Allison assets for political purposes without the prior written approval of the Managing Director for Government and Community Relations.</w:t>
      </w:r>
    </w:p>
    <w:p>
      <w:pPr>
        <w:sectPr>
          <w:pgSz w:w="11900" w:h="16838" w:orient="portrait"/>
          <w:cols w:equalWidth="0" w:num="1">
            <w:col w:w="11320"/>
          </w:cols>
          <w:pgMar w:left="240" w:top="1440" w:right="33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Export Compliance</w:t>
      </w:r>
    </w:p>
    <w:p>
      <w:pPr>
        <w:ind w:left="11000"/>
        <w:spacing w:after="0"/>
        <w:rPr>
          <w:sz w:val="20"/>
          <w:szCs w:val="20"/>
          <w:color w:val="auto"/>
        </w:rPr>
      </w:pPr>
      <w:r>
        <w:rPr>
          <w:rFonts w:ascii="Arial" w:cs="Arial" w:eastAsia="Arial" w:hAnsi="Arial"/>
          <w:sz w:val="1"/>
          <w:szCs w:val="1"/>
          <w:color w:val="FFFFFF"/>
        </w:rPr>
        <w:t>areSeverallocated,U.S.andlawsprandductsregulations governaroundhowwetheconductworldusingcertainU.S.transactions-originpartswithor technology.foreigncountriesOtherandcountriesspecifichaveparties.similarTheselaws.laws apply not only to U.S. operations, but also to U.S. persons, wherever they</w:t>
      </w:r>
    </w:p>
    <w:p>
      <w:pPr>
        <w:ind w:left="400" w:right="4560" w:hanging="400"/>
        <w:spacing w:after="0" w:line="181" w:lineRule="auto"/>
        <w:rPr>
          <w:sz w:val="20"/>
          <w:szCs w:val="20"/>
          <w:color w:val="auto"/>
        </w:rPr>
      </w:pPr>
      <w:r>
        <w:rPr>
          <w:rFonts w:ascii="Arial" w:cs="Arial" w:eastAsia="Arial" w:hAnsi="Arial"/>
          <w:sz w:val="14"/>
          <w:szCs w:val="14"/>
          <w:color w:val="FFFFFF"/>
          <w:vertAlign w:val="subscript"/>
        </w:rPr>
        <w:t>“’Export’</w:t>
      </w:r>
      <w:r>
        <w:rPr>
          <w:rFonts w:ascii="Arial" w:cs="Arial" w:eastAsia="Arial" w:hAnsi="Arial"/>
          <w:sz w:val="9"/>
          <w:szCs w:val="9"/>
          <w:color w:val="FFFFFF"/>
        </w:rPr>
        <w:t xml:space="preserve"> means not only manufacturedshippingitem outside the country, but also sharing data with a foreign person inside the country.” Controls</w:t>
      </w:r>
    </w:p>
    <w:p>
      <w:pPr>
        <w:ind w:right="60"/>
        <w:spacing w:after="0"/>
        <w:rPr>
          <w:sz w:val="20"/>
          <w:szCs w:val="20"/>
          <w:color w:val="auto"/>
        </w:rPr>
      </w:pPr>
      <w:r>
        <w:rPr>
          <w:rFonts w:ascii="Arial" w:cs="Arial" w:eastAsia="Arial" w:hAnsi="Arial"/>
          <w:sz w:val="6"/>
          <w:szCs w:val="6"/>
          <w:color w:val="FFFFFF"/>
        </w:rPr>
        <w:t>The law requires an export license before certain categories of products or data can be exported or re-exported. “Export” means not only shipping an item outside the country, but also sharing data with a foreign person inside the country. Examples of products requiring export licenses are numerically controlled machines, night vision equipment, computers, military products, software and related technical data.</w:t>
      </w:r>
    </w:p>
    <w:p>
      <w:pPr>
        <w:spacing w:after="0" w:line="182" w:lineRule="auto"/>
        <w:rPr>
          <w:sz w:val="20"/>
          <w:szCs w:val="20"/>
          <w:color w:val="auto"/>
        </w:rPr>
      </w:pPr>
      <w:r>
        <w:rPr>
          <w:rFonts w:ascii="Arial" w:cs="Arial" w:eastAsia="Arial" w:hAnsi="Arial"/>
          <w:sz w:val="3"/>
          <w:szCs w:val="3"/>
          <w:color w:val="FFFFFF"/>
        </w:rPr>
        <w:t>If you have knowledge or even suspicion that a transaction may involve</w:t>
      </w:r>
      <w:r>
        <w:rPr>
          <w:rFonts w:ascii="Arial" w:cs="Arial" w:eastAsia="Arial" w:hAnsi="Arial"/>
          <w:sz w:val="6"/>
          <w:szCs w:val="6"/>
          <w:color w:val="FFFFFF"/>
          <w:vertAlign w:val="subscript"/>
        </w:rPr>
        <w:t>transaction</w:t>
      </w:r>
      <w:r>
        <w:rPr>
          <w:rFonts w:ascii="Arial" w:cs="Arial" w:eastAsia="Arial" w:hAnsi="Arial"/>
          <w:sz w:val="3"/>
          <w:szCs w:val="3"/>
          <w:color w:val="FFFFFF"/>
        </w:rPr>
        <w:t>violation of export regulations, immediately report it to the Allison Transmission Office of Export Compliance or your business unit</w:t>
      </w:r>
    </w:p>
    <w:p>
      <w:pPr>
        <w:spacing w:after="0" w:line="190" w:lineRule="auto"/>
        <w:rPr>
          <w:sz w:val="20"/>
          <w:szCs w:val="20"/>
          <w:color w:val="auto"/>
        </w:rPr>
      </w:pPr>
      <w:r>
        <w:rPr>
          <w:rFonts w:ascii="Arial" w:cs="Arial" w:eastAsia="Arial" w:hAnsi="Arial"/>
          <w:sz w:val="11"/>
          <w:szCs w:val="11"/>
          <w:color w:val="FFFFFF"/>
        </w:rPr>
        <w:t>Export Compliance Officer. Be alert to a “red flag” indicating that a may not be what it seems. For example, the product’s characteristics may not fit the buyer’s business or the buyer may be reluctant to offer information about the product’s intended end use. When in doubt, don’t enter into the transaction.</w:t>
      </w:r>
    </w:p>
    <w:p>
      <w:pPr>
        <w:sectPr>
          <w:pgSz w:w="11900" w:h="16838" w:orient="portrait"/>
          <w:cols w:equalWidth="0" w:num="1">
            <w:col w:w="11400"/>
          </w:cols>
          <w:pgMar w:left="240" w:top="1440" w:right="25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1"/>
          <w:szCs w:val="11"/>
          <w:color w:val="FFFFFF"/>
        </w:rPr>
        <w:t>Foreign Assetasset controlsControlsare economic sanctions or embargoes the U.S. places on certain countries or groups to motivate them to change certain practices. These controls apply to U.S. citizens, residents, companies</w:t>
      </w:r>
    </w:p>
    <w:p>
      <w:pPr>
        <w:spacing w:after="0" w:line="7" w:lineRule="exact"/>
        <w:rPr>
          <w:sz w:val="20"/>
          <w:szCs w:val="20"/>
          <w:color w:val="auto"/>
        </w:rPr>
      </w:pPr>
    </w:p>
    <w:p>
      <w:pPr>
        <w:ind w:right="120"/>
        <w:spacing w:after="0" w:line="181" w:lineRule="auto"/>
        <w:rPr>
          <w:sz w:val="20"/>
          <w:szCs w:val="20"/>
          <w:color w:val="auto"/>
        </w:rPr>
      </w:pPr>
      <w:r>
        <w:rPr>
          <w:rFonts w:ascii="Arial" w:cs="Arial" w:eastAsia="Arial" w:hAnsi="Arial"/>
          <w:sz w:val="7"/>
          <w:szCs w:val="7"/>
          <w:color w:val="FFFFFF"/>
        </w:rPr>
        <w:t>EmployeesandsometimesmusttogetinternationalguidancefromsubsidiariestheAllisanctionedofU.S.Officecompanies.ofExportTheCompliancerulesvary,beforebuttheydealingtend withtobeabroad.sanctioned country or entity. Currently, the U.S. has imposed broad based sanctions against Cuba, Iran, North Korea, Sudan and Syria. A complete list of countries and entities can found at the Allison Office of Export Compliance website under Embargoed Countries.</w:t>
      </w:r>
    </w:p>
    <w:p>
      <w:pPr>
        <w:ind w:right="180"/>
        <w:spacing w:after="0"/>
        <w:rPr>
          <w:sz w:val="20"/>
          <w:szCs w:val="20"/>
          <w:color w:val="auto"/>
        </w:rPr>
      </w:pPr>
      <w:r>
        <w:rPr>
          <w:rFonts w:ascii="Arial" w:cs="Arial" w:eastAsia="Arial" w:hAnsi="Arial"/>
          <w:sz w:val="3"/>
          <w:szCs w:val="3"/>
          <w:color w:val="FFFFFF"/>
        </w:rPr>
        <w:t>U.S.Anti-antiboycott-boycottRegulationslawsand regulations prohibit participatingbusinessforeign boycotts that are unsanctioned by the U.S. These regulations apply to U.S. companies, their domestic and foreign controlled subsidiaries and U.S. persons. Prohibited acts include refusing to do with a country or with a in a country, or requiring anyone else to refuse to do business at the request of a boycotting country or</w:t>
      </w:r>
    </w:p>
    <w:p>
      <w:pPr>
        <w:spacing w:after="0" w:line="6" w:lineRule="exact"/>
        <w:rPr>
          <w:sz w:val="20"/>
          <w:szCs w:val="20"/>
          <w:color w:val="auto"/>
        </w:rPr>
      </w:pPr>
    </w:p>
    <w:p>
      <w:pPr>
        <w:ind w:right="60"/>
        <w:spacing w:after="0" w:line="230" w:lineRule="auto"/>
        <w:rPr>
          <w:sz w:val="20"/>
          <w:szCs w:val="20"/>
          <w:color w:val="auto"/>
        </w:rPr>
      </w:pPr>
      <w:r>
        <w:rPr>
          <w:rFonts w:ascii="Arial" w:cs="Arial" w:eastAsia="Arial" w:hAnsi="Arial"/>
          <w:sz w:val="11"/>
          <w:szCs w:val="11"/>
          <w:color w:val="FFFFFF"/>
        </w:rPr>
        <w:t>business. They also prohibit supplying information about the religion, sex or nationality ofcompanyemployee or supplier, as well as doing anything that would support an unsanctioned boycott of a country friendly to the U.S.</w:t>
      </w:r>
    </w:p>
    <w:p>
      <w:pPr>
        <w:spacing w:after="0"/>
        <w:rPr>
          <w:sz w:val="20"/>
          <w:szCs w:val="20"/>
          <w:color w:val="auto"/>
        </w:rPr>
      </w:pPr>
      <w:r>
        <w:rPr>
          <w:rFonts w:ascii="Arial" w:cs="Arial" w:eastAsia="Arial" w:hAnsi="Arial"/>
          <w:sz w:val="14"/>
          <w:szCs w:val="14"/>
          <w:color w:val="FFFFFF"/>
        </w:rPr>
        <w:t>If you receive any request to take any of these actions, contact the Allison Office of Export Compliance immediately.</w:t>
      </w:r>
    </w:p>
    <w:p>
      <w:pPr>
        <w:sectPr>
          <w:pgSz w:w="11900" w:h="16838" w:orient="portrait"/>
          <w:cols w:equalWidth="0" w:num="1">
            <w:col w:w="11400"/>
          </w:cols>
          <w:pgMar w:left="240" w:top="1440" w:right="25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3820" w:type="dxa"/>
            <w:vAlign w:val="bottom"/>
            <w:gridSpan w:val="2"/>
          </w:tcPr>
          <w:p>
            <w:pPr>
              <w:ind w:left="540"/>
              <w:spacing w:after="0"/>
              <w:rPr>
                <w:sz w:val="20"/>
                <w:szCs w:val="20"/>
                <w:color w:val="auto"/>
              </w:rPr>
            </w:pPr>
            <w:r>
              <w:rPr>
                <w:rFonts w:ascii="Arial" w:cs="Arial" w:eastAsia="Arial" w:hAnsi="Arial"/>
                <w:sz w:val="14"/>
                <w:szCs w:val="14"/>
                <w:color w:val="FFFFFF"/>
              </w:rPr>
              <w:t>TOWARD THE ENVIRONMENT</w:t>
            </w:r>
          </w:p>
        </w:tc>
        <w:tc>
          <w:tcPr>
            <w:tcW w:w="7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040" w:type="dxa"/>
            <w:vAlign w:val="bottom"/>
            <w:gridSpan w:val="3"/>
          </w:tcPr>
          <w:p>
            <w:pPr>
              <w:spacing w:after="0"/>
              <w:rPr>
                <w:sz w:val="20"/>
                <w:szCs w:val="20"/>
                <w:color w:val="auto"/>
              </w:rPr>
            </w:pPr>
            <w:r>
              <w:rPr>
                <w:rFonts w:ascii="Arial" w:cs="Arial" w:eastAsia="Arial" w:hAnsi="Arial"/>
                <w:sz w:val="3"/>
                <w:szCs w:val="3"/>
                <w:color w:val="FFFFFF"/>
              </w:rPr>
              <w:t>INTEGRITYllisonransmission Environmental Principles</w:t>
            </w:r>
          </w:p>
        </w:tc>
        <w:tc>
          <w:tcPr>
            <w:tcW w:w="7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As</w:t>
            </w:r>
          </w:p>
        </w:tc>
        <w:tc>
          <w:tcPr>
            <w:tcW w:w="11000" w:type="dxa"/>
            <w:vAlign w:val="bottom"/>
            <w:gridSpan w:val="3"/>
          </w:tcPr>
          <w:p>
            <w:pPr>
              <w:ind w:left="60"/>
              <w:spacing w:after="0"/>
              <w:rPr>
                <w:sz w:val="20"/>
                <w:szCs w:val="20"/>
                <w:color w:val="auto"/>
              </w:rPr>
            </w:pPr>
            <w:r>
              <w:rPr>
                <w:rFonts w:ascii="Arial" w:cs="Arial" w:eastAsia="Arial" w:hAnsi="Arial"/>
                <w:sz w:val="3"/>
                <w:szCs w:val="3"/>
                <w:color w:val="FFFFFF"/>
              </w:rPr>
              <w:t>responsible corporate citiz  , Allison is committed to protecting human health, natural resources and the global environment. First and foremost, Allison operating units are responsible for understanding</w:t>
            </w:r>
          </w:p>
        </w:tc>
        <w:tc>
          <w:tcPr>
            <w:tcW w:w="0" w:type="dxa"/>
            <w:vAlign w:val="bottom"/>
          </w:tcPr>
          <w:p>
            <w:pPr>
              <w:spacing w:after="0"/>
              <w:rPr>
                <w:sz w:val="1"/>
                <w:szCs w:val="1"/>
                <w:color w:val="auto"/>
              </w:rPr>
            </w:pPr>
          </w:p>
        </w:tc>
      </w:tr>
      <w:tr>
        <w:trPr>
          <w:trHeight w:val="41"/>
        </w:trPr>
        <w:tc>
          <w:tcPr>
            <w:tcW w:w="11220" w:type="dxa"/>
            <w:vAlign w:val="bottom"/>
            <w:gridSpan w:val="4"/>
          </w:tcPr>
          <w:p>
            <w:pPr>
              <w:spacing w:after="0"/>
              <w:rPr>
                <w:sz w:val="20"/>
                <w:szCs w:val="20"/>
                <w:color w:val="auto"/>
              </w:rPr>
            </w:pPr>
            <w:r>
              <w:rPr>
                <w:rFonts w:ascii="Arial" w:cs="Arial" w:eastAsia="Arial" w:hAnsi="Arial"/>
                <w:sz w:val="3"/>
                <w:szCs w:val="3"/>
                <w:color w:val="FFFFFF"/>
              </w:rPr>
              <w:t>a d complying with applicable environmental laws, regulations and Allison policies and standards. This commitment reaches further than compliance with the law to encompass the integration of sound</w:t>
            </w:r>
          </w:p>
        </w:tc>
        <w:tc>
          <w:tcPr>
            <w:tcW w:w="0" w:type="dxa"/>
            <w:vAlign w:val="bottom"/>
          </w:tcPr>
          <w:p>
            <w:pPr>
              <w:spacing w:after="0"/>
              <w:rPr>
                <w:sz w:val="1"/>
                <w:szCs w:val="1"/>
                <w:color w:val="auto"/>
              </w:rPr>
            </w:pPr>
          </w:p>
        </w:tc>
      </w:tr>
      <w:tr>
        <w:trPr>
          <w:trHeight w:val="41"/>
        </w:trPr>
        <w:tc>
          <w:tcPr>
            <w:tcW w:w="4040" w:type="dxa"/>
            <w:vAlign w:val="bottom"/>
            <w:gridSpan w:val="3"/>
          </w:tcPr>
          <w:p>
            <w:pPr>
              <w:spacing w:after="0"/>
              <w:rPr>
                <w:sz w:val="20"/>
                <w:szCs w:val="20"/>
                <w:color w:val="auto"/>
              </w:rPr>
            </w:pPr>
            <w:r>
              <w:rPr>
                <w:rFonts w:ascii="Arial" w:cs="Arial" w:eastAsia="Arial" w:hAnsi="Arial"/>
                <w:sz w:val="3"/>
                <w:szCs w:val="3"/>
                <w:color w:val="FFFFFF"/>
              </w:rPr>
              <w:t>environmental practices into our business decisions.</w:t>
            </w:r>
          </w:p>
        </w:tc>
        <w:tc>
          <w:tcPr>
            <w:tcW w:w="7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20" w:type="dxa"/>
            <w:vAlign w:val="bottom"/>
            <w:gridSpan w:val="4"/>
          </w:tcPr>
          <w:p>
            <w:pPr>
              <w:spacing w:after="0"/>
              <w:rPr>
                <w:sz w:val="20"/>
                <w:szCs w:val="20"/>
                <w:color w:val="auto"/>
              </w:rPr>
            </w:pPr>
            <w:r>
              <w:rPr>
                <w:rFonts w:ascii="Arial" w:cs="Arial" w:eastAsia="Arial" w:hAnsi="Arial"/>
                <w:sz w:val="3"/>
                <w:szCs w:val="3"/>
                <w:color w:val="FFFFFF"/>
              </w:rPr>
              <w:t>The following Allison Environmental Principles provide guidance to Allison personnel worldwide:</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72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are committ</w:t>
            </w:r>
          </w:p>
        </w:tc>
        <w:tc>
          <w:tcPr>
            <w:tcW w:w="3100" w:type="dxa"/>
            <w:vAlign w:val="bottom"/>
          </w:tcPr>
          <w:p>
            <w:pPr>
              <w:ind w:left="300"/>
              <w:spacing w:after="0"/>
              <w:rPr>
                <w:sz w:val="20"/>
                <w:szCs w:val="20"/>
                <w:color w:val="auto"/>
              </w:rPr>
            </w:pPr>
            <w:r>
              <w:rPr>
                <w:rFonts w:ascii="Arial" w:cs="Arial" w:eastAsia="Arial" w:hAnsi="Arial"/>
                <w:sz w:val="3"/>
                <w:szCs w:val="3"/>
                <w:color w:val="FFFFFF"/>
              </w:rPr>
              <w:t>actions to restore and preserve the environment.</w:t>
            </w:r>
          </w:p>
        </w:tc>
        <w:tc>
          <w:tcPr>
            <w:tcW w:w="7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0280" w:type="dxa"/>
            <w:vAlign w:val="bottom"/>
            <w:gridSpan w:val="2"/>
          </w:tcPr>
          <w:p>
            <w:pPr>
              <w:ind w:left="60"/>
              <w:spacing w:after="0"/>
              <w:rPr>
                <w:sz w:val="20"/>
                <w:szCs w:val="20"/>
                <w:color w:val="auto"/>
              </w:rPr>
            </w:pPr>
            <w:r>
              <w:rPr>
                <w:rFonts w:ascii="Arial" w:cs="Arial" w:eastAsia="Arial" w:hAnsi="Arial"/>
                <w:sz w:val="3"/>
                <w:szCs w:val="3"/>
                <w:color w:val="FFFFFF"/>
              </w:rPr>
              <w:t>d to reducing waste and pollutants, conserving resources and recycling materials at every stage of the product life cycle.</w:t>
            </w:r>
          </w:p>
        </w:tc>
        <w:tc>
          <w:tcPr>
            <w:tcW w:w="0" w:type="dxa"/>
            <w:vAlign w:val="bottom"/>
          </w:tcPr>
          <w:p>
            <w:pPr>
              <w:spacing w:after="0"/>
              <w:rPr>
                <w:sz w:val="1"/>
                <w:szCs w:val="1"/>
                <w:color w:val="auto"/>
              </w:rPr>
            </w:pPr>
          </w:p>
        </w:tc>
      </w:tr>
      <w:tr>
        <w:trPr>
          <w:trHeight w:val="0"/>
        </w:trPr>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00" w:type="dxa"/>
            <w:vAlign w:val="bottom"/>
          </w:tcPr>
          <w:p>
            <w:pPr>
              <w:spacing w:after="0" w:line="80" w:lineRule="exact"/>
              <w:rPr>
                <w:sz w:val="20"/>
                <w:szCs w:val="20"/>
                <w:color w:val="auto"/>
              </w:rPr>
            </w:pPr>
            <w:r>
              <w:rPr>
                <w:rFonts w:ascii="Arial" w:cs="Arial" w:eastAsia="Arial" w:hAnsi="Arial"/>
                <w:sz w:val="9"/>
                <w:szCs w:val="9"/>
                <w:color w:val="FFFFFF"/>
              </w:rPr>
              <w:t>e to pursue vigorously the development and</w:t>
            </w:r>
          </w:p>
        </w:tc>
        <w:tc>
          <w:tcPr>
            <w:tcW w:w="7180" w:type="dxa"/>
            <w:vAlign w:val="bottom"/>
          </w:tcPr>
          <w:p>
            <w:pPr>
              <w:ind w:left="180"/>
              <w:spacing w:after="0" w:line="80" w:lineRule="exact"/>
              <w:rPr>
                <w:sz w:val="20"/>
                <w:szCs w:val="20"/>
                <w:color w:val="auto"/>
              </w:rPr>
            </w:pPr>
            <w:r>
              <w:rPr>
                <w:rFonts w:ascii="Arial" w:cs="Arial" w:eastAsia="Arial" w:hAnsi="Arial"/>
                <w:sz w:val="9"/>
                <w:szCs w:val="9"/>
                <w:color w:val="FFFFFF"/>
              </w:rPr>
              <w:t>of technologies for minimizing pollutant emissions and improving fuel economy.</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 We will continuously assess the impact of our plants and productsimplementationtheenvironment and the communities in which we live and operate with a goal of continuous improvement.</w:t>
      </w:r>
    </w:p>
    <w:p>
      <w:pPr>
        <w:sectPr>
          <w:pgSz w:w="11900" w:h="16838" w:orient="portrait"/>
          <w:cols w:equalWidth="0" w:num="1">
            <w:col w:w="11220"/>
          </w:cols>
          <w:pgMar w:left="240" w:top="1440" w:right="4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FFFFFF"/>
        </w:rPr>
        <w:t>Compliance With the Law</w:t>
      </w:r>
    </w:p>
    <w:p>
      <w:pPr>
        <w:spacing w:after="0"/>
        <w:rPr>
          <w:sz w:val="20"/>
          <w:szCs w:val="20"/>
          <w:color w:val="auto"/>
        </w:rPr>
      </w:pPr>
      <w:r>
        <w:rPr>
          <w:rFonts w:ascii="Arial" w:cs="Arial" w:eastAsia="Arial" w:hAnsi="Arial"/>
          <w:sz w:val="3"/>
          <w:szCs w:val="3"/>
          <w:color w:val="FFFFFF"/>
        </w:rPr>
        <w:t>DoFor more information about Allison policies relating to environmental matters, see the Allison intranet.</w:t>
      </w:r>
    </w:p>
    <w:p>
      <w:pPr>
        <w:spacing w:after="0" w:line="194" w:lineRule="auto"/>
        <w:rPr>
          <w:sz w:val="20"/>
          <w:szCs w:val="20"/>
          <w:color w:val="auto"/>
        </w:rPr>
      </w:pPr>
      <w:r>
        <w:rPr>
          <w:rFonts w:ascii="Arial" w:cs="Arial" w:eastAsia="Arial" w:hAnsi="Arial"/>
          <w:sz w:val="5"/>
          <w:szCs w:val="5"/>
          <w:color w:val="FFFFFF"/>
          <w:vertAlign w:val="superscript"/>
        </w:rPr>
        <w:t>Report</w:t>
      </w:r>
      <w:r>
        <w:rPr>
          <w:rFonts w:ascii="Arial" w:cs="Arial" w:eastAsia="Arial" w:hAnsi="Arial"/>
          <w:sz w:val="3"/>
          <w:szCs w:val="3"/>
          <w:color w:val="FFFFFF"/>
        </w:rPr>
        <w:t>Bcome familiar with Allison’s Environmental Principles and Policies.</w:t>
      </w:r>
    </w:p>
    <w:p>
      <w:pPr>
        <w:spacing w:after="0" w:line="188" w:lineRule="auto"/>
        <w:tabs>
          <w:tab w:leader="none" w:pos="380" w:val="left"/>
        </w:tabs>
        <w:rPr>
          <w:sz w:val="20"/>
          <w:szCs w:val="20"/>
          <w:color w:val="auto"/>
        </w:rPr>
      </w:pPr>
      <w:r>
        <w:rPr>
          <w:rFonts w:ascii="Arial" w:cs="Arial" w:eastAsia="Arial" w:hAnsi="Arial"/>
          <w:sz w:val="6"/>
          <w:szCs w:val="6"/>
          <w:color w:val="FFFFFF"/>
        </w:rPr>
        <w:t>Don’</w:t>
      </w:r>
      <w:r>
        <w:rPr>
          <w:sz w:val="20"/>
          <w:szCs w:val="20"/>
          <w:color w:val="auto"/>
        </w:rPr>
        <w:tab/>
      </w:r>
      <w:r>
        <w:rPr>
          <w:rFonts w:ascii="Arial" w:cs="Arial" w:eastAsia="Arial" w:hAnsi="Arial"/>
          <w:sz w:val="9"/>
          <w:szCs w:val="9"/>
          <w:color w:val="FFFFFF"/>
        </w:rPr>
        <w:t>to leadership any incident or practice inconsistent with our Environmental Principles and Policies.</w:t>
      </w:r>
    </w:p>
    <w:p>
      <w:pPr>
        <w:spacing w:after="0"/>
        <w:rPr>
          <w:sz w:val="20"/>
          <w:szCs w:val="20"/>
          <w:color w:val="auto"/>
        </w:rPr>
      </w:pPr>
      <w:r>
        <w:rPr>
          <w:rFonts w:ascii="Arial" w:cs="Arial" w:eastAsia="Arial" w:hAnsi="Arial"/>
          <w:sz w:val="3"/>
          <w:szCs w:val="3"/>
          <w:color w:val="FFFFFF"/>
        </w:rPr>
        <w:t>Assume environmental issues are the concern only of the experts.</w:t>
      </w:r>
    </w:p>
    <w:p>
      <w:pPr>
        <w:spacing w:after="0" w:line="194" w:lineRule="auto"/>
        <w:rPr>
          <w:sz w:val="20"/>
          <w:szCs w:val="20"/>
          <w:color w:val="auto"/>
        </w:rPr>
      </w:pPr>
      <w:r>
        <w:rPr>
          <w:rFonts w:ascii="Arial" w:cs="Arial" w:eastAsia="Arial" w:hAnsi="Arial"/>
          <w:sz w:val="5"/>
          <w:szCs w:val="5"/>
          <w:color w:val="FFFFFF"/>
        </w:rPr>
        <w:t>Ignore any practice you see that violates the law or Allison policies.</w:t>
      </w:r>
    </w:p>
    <w:p>
      <w:pPr>
        <w:spacing w:after="0"/>
        <w:rPr>
          <w:sz w:val="20"/>
          <w:szCs w:val="20"/>
          <w:color w:val="auto"/>
        </w:rPr>
      </w:pPr>
      <w:r>
        <w:rPr>
          <w:rFonts w:ascii="Arial" w:cs="Arial" w:eastAsia="Arial" w:hAnsi="Arial"/>
          <w:sz w:val="12"/>
          <w:szCs w:val="12"/>
          <w:color w:val="FFFFFF"/>
        </w:rPr>
        <w:t>Fail to address with appropriate leadership any inaccurate report on an environmental issue.</w:t>
      </w:r>
    </w:p>
    <w:p>
      <w:pPr>
        <w:sectPr>
          <w:pgSz w:w="11900" w:h="16838" w:orient="portrait"/>
          <w:cols w:equalWidth="0" w:num="1">
            <w:col w:w="10219"/>
          </w:cols>
          <w:pgMar w:left="240" w:top="1440" w:right="1440"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FFFFFF"/>
              </w:rPr>
              <w:t>CONCLUSIONS</w:t>
            </w:r>
          </w:p>
        </w:tc>
        <w:tc>
          <w:tcPr>
            <w:tcW w:w="1260" w:type="dxa"/>
            <w:vAlign w:val="bottom"/>
          </w:tcPr>
          <w:p>
            <w:pPr>
              <w:spacing w:after="0"/>
              <w:rPr>
                <w:sz w:val="14"/>
                <w:szCs w:val="14"/>
                <w:color w:val="auto"/>
              </w:rPr>
            </w:pPr>
          </w:p>
        </w:tc>
        <w:tc>
          <w:tcPr>
            <w:tcW w:w="4860" w:type="dxa"/>
            <w:vAlign w:val="bottom"/>
            <w:vMerge w:val="restart"/>
          </w:tcPr>
          <w:p>
            <w:pPr>
              <w:ind w:left="180"/>
              <w:spacing w:after="0"/>
              <w:rPr>
                <w:sz w:val="20"/>
                <w:szCs w:val="20"/>
                <w:color w:val="auto"/>
              </w:rPr>
            </w:pPr>
            <w:r>
              <w:rPr>
                <w:rFonts w:ascii="Arial" w:cs="Arial" w:eastAsia="Arial" w:hAnsi="Arial"/>
                <w:sz w:val="14"/>
                <w:szCs w:val="14"/>
                <w:color w:val="FFFFFF"/>
                <w:w w:val="91"/>
              </w:rPr>
              <w:t>integrity in the workplace, the marketplace and the communities where we live. We</w:t>
            </w:r>
          </w:p>
        </w:tc>
        <w:tc>
          <w:tcPr>
            <w:tcW w:w="4100" w:type="dxa"/>
            <w:vAlign w:val="bottom"/>
            <w:vMerge w:val="restart"/>
          </w:tcPr>
          <w:p>
            <w:pPr>
              <w:ind w:left="160"/>
              <w:spacing w:after="0"/>
              <w:rPr>
                <w:sz w:val="20"/>
                <w:szCs w:val="20"/>
                <w:color w:val="auto"/>
              </w:rPr>
            </w:pPr>
            <w:r>
              <w:rPr>
                <w:rFonts w:ascii="Arial" w:cs="Arial" w:eastAsia="Arial" w:hAnsi="Arial"/>
                <w:sz w:val="14"/>
                <w:szCs w:val="14"/>
                <w:color w:val="FFFFFF"/>
                <w:w w:val="95"/>
              </w:rPr>
              <w:t>all understand and apply our values and policies to ensure that we</w:t>
            </w: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W strive to act with personal and</w:t>
            </w:r>
          </w:p>
        </w:tc>
        <w:tc>
          <w:tcPr>
            <w:tcW w:w="4860" w:type="dxa"/>
            <w:vAlign w:val="bottom"/>
            <w:vMerge w:val="continue"/>
          </w:tcPr>
          <w:p>
            <w:pPr>
              <w:spacing w:after="0"/>
              <w:rPr>
                <w:sz w:val="3"/>
                <w:szCs w:val="3"/>
                <w:color w:val="auto"/>
              </w:rPr>
            </w:pPr>
          </w:p>
        </w:tc>
        <w:tc>
          <w:tcPr>
            <w:tcW w:w="4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compete fairly and maintain our statusinstitutionalasglobal symbol of excellence. “Driving Integrity Worldwide” poses a challenge to each ofmust. It requires strength of character to act when the easier course would be to</w:t>
            </w:r>
          </w:p>
        </w:tc>
        <w:tc>
          <w:tcPr>
            <w:tcW w:w="0" w:type="dxa"/>
            <w:vAlign w:val="bottom"/>
          </w:tcPr>
          <w:p>
            <w:pPr>
              <w:spacing w:after="0"/>
              <w:rPr>
                <w:sz w:val="1"/>
                <w:szCs w:val="1"/>
                <w:color w:val="auto"/>
              </w:rPr>
            </w:pPr>
          </w:p>
        </w:tc>
      </w:tr>
      <w:tr>
        <w:trPr>
          <w:trHeight w:val="41"/>
        </w:trPr>
        <w:tc>
          <w:tcPr>
            <w:tcW w:w="1120" w:type="dxa"/>
            <w:vAlign w:val="bottom"/>
          </w:tcPr>
          <w:p>
            <w:pPr>
              <w:ind w:left="380"/>
              <w:spacing w:after="0"/>
              <w:rPr>
                <w:sz w:val="20"/>
                <w:szCs w:val="20"/>
                <w:color w:val="auto"/>
              </w:rPr>
            </w:pPr>
            <w:r>
              <w:rPr>
                <w:rFonts w:ascii="Arial" w:cs="Arial" w:eastAsia="Arial" w:hAnsi="Arial"/>
                <w:sz w:val="3"/>
                <w:szCs w:val="3"/>
                <w:color w:val="FFFFFF"/>
              </w:rPr>
              <w:t>the problem.</w:t>
            </w:r>
          </w:p>
        </w:tc>
        <w:tc>
          <w:tcPr>
            <w:tcW w:w="1260" w:type="dxa"/>
            <w:vAlign w:val="bottom"/>
          </w:tcPr>
          <w:p>
            <w:pPr>
              <w:spacing w:after="0"/>
              <w:rPr>
                <w:sz w:val="3"/>
                <w:szCs w:val="3"/>
                <w:color w:val="auto"/>
              </w:rPr>
            </w:pPr>
          </w:p>
        </w:tc>
        <w:tc>
          <w:tcPr>
            <w:tcW w:w="486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ignoreWcan all fulfill our responsibilities by:</w:t>
            </w:r>
          </w:p>
        </w:tc>
        <w:tc>
          <w:tcPr>
            <w:tcW w:w="4860" w:type="dxa"/>
            <w:vAlign w:val="bottom"/>
          </w:tcPr>
          <w:p>
            <w:pPr>
              <w:spacing w:after="0"/>
              <w:rPr>
                <w:sz w:val="3"/>
                <w:szCs w:val="3"/>
                <w:color w:val="auto"/>
              </w:rPr>
            </w:pP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40" w:type="dxa"/>
            <w:vAlign w:val="bottom"/>
            <w:gridSpan w:val="3"/>
          </w:tcPr>
          <w:p>
            <w:pPr>
              <w:ind w:left="80"/>
              <w:spacing w:after="0"/>
              <w:rPr>
                <w:sz w:val="20"/>
                <w:szCs w:val="20"/>
                <w:color w:val="auto"/>
              </w:rPr>
            </w:pPr>
            <w:r>
              <w:rPr>
                <w:rFonts w:ascii="Arial" w:cs="Arial" w:eastAsia="Arial" w:hAnsi="Arial"/>
                <w:sz w:val="3"/>
                <w:szCs w:val="3"/>
                <w:color w:val="FFFFFF"/>
              </w:rPr>
              <w:t>Following “Driving Integrity Worldwide”, Allison Transmission’ Code of Business Conduct.</w:t>
            </w: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40" w:type="dxa"/>
            <w:vAlign w:val="bottom"/>
            <w:gridSpan w:val="3"/>
          </w:tcPr>
          <w:p>
            <w:pPr>
              <w:ind w:left="80"/>
              <w:spacing w:after="0"/>
              <w:rPr>
                <w:sz w:val="20"/>
                <w:szCs w:val="20"/>
                <w:color w:val="auto"/>
              </w:rPr>
            </w:pPr>
            <w:r>
              <w:rPr>
                <w:rFonts w:ascii="Arial" w:cs="Arial" w:eastAsia="Arial" w:hAnsi="Arial"/>
                <w:sz w:val="3"/>
                <w:szCs w:val="3"/>
                <w:color w:val="FFFFFF"/>
              </w:rPr>
              <w:t>Speaking out and raising potential instances of misconduct to leadership.</w:t>
            </w:r>
          </w:p>
        </w:tc>
        <w:tc>
          <w:tcPr>
            <w:tcW w:w="4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120" w:type="dxa"/>
            <w:vAlign w:val="bottom"/>
          </w:tcPr>
          <w:p>
            <w:pPr>
              <w:ind w:left="80"/>
              <w:spacing w:after="0" w:line="80" w:lineRule="exact"/>
              <w:rPr>
                <w:sz w:val="20"/>
                <w:szCs w:val="20"/>
                <w:color w:val="auto"/>
              </w:rPr>
            </w:pPr>
            <w:r>
              <w:rPr>
                <w:rFonts w:ascii="Arial" w:cs="Arial" w:eastAsia="Arial" w:hAnsi="Arial"/>
                <w:sz w:val="9"/>
                <w:szCs w:val="9"/>
                <w:color w:val="FFFFFF"/>
              </w:rPr>
              <w:t>Giving feedback</w:t>
            </w:r>
          </w:p>
        </w:tc>
        <w:tc>
          <w:tcPr>
            <w:tcW w:w="6120" w:type="dxa"/>
            <w:vAlign w:val="bottom"/>
            <w:gridSpan w:val="2"/>
          </w:tcPr>
          <w:p>
            <w:pPr>
              <w:ind w:left="60"/>
              <w:spacing w:after="0" w:line="80" w:lineRule="exact"/>
              <w:rPr>
                <w:sz w:val="20"/>
                <w:szCs w:val="20"/>
                <w:color w:val="auto"/>
              </w:rPr>
            </w:pPr>
            <w:r>
              <w:rPr>
                <w:rFonts w:ascii="Arial" w:cs="Arial" w:eastAsia="Arial" w:hAnsi="Arial"/>
                <w:sz w:val="9"/>
                <w:szCs w:val="9"/>
                <w:color w:val="FFFFFF"/>
              </w:rPr>
              <w:t>problem areas and suggesting improvements to leadership.</w:t>
            </w: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tabs>
          <w:tab w:leader="none" w:pos="960" w:val="left"/>
        </w:tabs>
        <w:rPr>
          <w:sz w:val="20"/>
          <w:szCs w:val="20"/>
          <w:color w:val="auto"/>
        </w:rPr>
      </w:pPr>
      <w:r>
        <w:rPr>
          <w:rFonts w:ascii="Arial" w:cs="Arial" w:eastAsia="Arial" w:hAnsi="Arial"/>
          <w:sz w:val="1"/>
          <w:szCs w:val="1"/>
          <w:color w:val="FFFFFF"/>
          <w:vertAlign w:val="superscript"/>
        </w:rPr>
        <w:t>•</w:t>
      </w:r>
      <w:r>
        <w:rPr>
          <w:sz w:val="20"/>
          <w:szCs w:val="20"/>
          <w:color w:val="auto"/>
        </w:rPr>
        <w:tab/>
      </w:r>
      <w:r>
        <w:rPr>
          <w:rFonts w:ascii="Arial" w:cs="Arial" w:eastAsia="Arial" w:hAnsi="Arial"/>
          <w:sz w:val="1"/>
          <w:szCs w:val="1"/>
          <w:color w:val="FFFFFF"/>
        </w:rPr>
        <w:t>concerns</w:t>
      </w:r>
    </w:p>
    <w:p>
      <w:pPr>
        <w:ind w:left="80"/>
        <w:spacing w:after="0"/>
        <w:rPr>
          <w:sz w:val="20"/>
          <w:szCs w:val="20"/>
          <w:color w:val="auto"/>
        </w:rPr>
      </w:pPr>
      <w:r>
        <w:rPr>
          <w:rFonts w:ascii="Arial" w:cs="Arial" w:eastAsia="Arial" w:hAnsi="Arial"/>
          <w:sz w:val="3"/>
          <w:szCs w:val="3"/>
          <w:color w:val="FFFFFF"/>
        </w:rPr>
        <w:t>ConductingListeningto ourselvesthe withofthecustomers,highestethicalco-workers,standards.dealers and suppliers – and making sure this information gets proper attention.</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Employees who violate this policy are subject to disciplinary action that, in the judgment of management, is appropriate to the nature of the violation, which may include termination of employment. Employees may also be subject to civil and criminal penalties if the law has been violated.</w:t>
      </w:r>
    </w:p>
    <w:p>
      <w:pPr>
        <w:sectPr>
          <w:pgSz w:w="11900" w:h="16838" w:orient="portrait"/>
          <w:cols w:equalWidth="0" w:num="1">
            <w:col w:w="11340"/>
          </w:cols>
          <w:pgMar w:left="240" w:top="1440" w:right="31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15" w:lineRule="auto"/>
        <w:rPr>
          <w:sz w:val="20"/>
          <w:szCs w:val="20"/>
          <w:color w:val="auto"/>
        </w:rPr>
      </w:pPr>
      <w:r>
        <w:rPr>
          <w:rFonts w:ascii="Arial" w:cs="Arial" w:eastAsia="Arial" w:hAnsi="Arial"/>
          <w:sz w:val="9"/>
          <w:szCs w:val="9"/>
          <w:color w:val="FFFFFF"/>
        </w:rPr>
        <w:t>At the same time, it is important that everyone feel confident they can speak up and report a concern or violation of the Allison Code of Business Conduct without fear of retaliation and that the concerns or violations will be fully investigated in a timely manner.</w:t>
      </w:r>
    </w:p>
    <w:p>
      <w:pPr>
        <w:ind w:right="40"/>
        <w:spacing w:after="0" w:line="187" w:lineRule="auto"/>
        <w:rPr>
          <w:sz w:val="20"/>
          <w:szCs w:val="20"/>
          <w:color w:val="auto"/>
        </w:rPr>
      </w:pPr>
      <w:r>
        <w:rPr>
          <w:rFonts w:ascii="Arial" w:cs="Arial" w:eastAsia="Arial" w:hAnsi="Arial"/>
          <w:sz w:val="7"/>
          <w:szCs w:val="7"/>
          <w:color w:val="FFFFFF"/>
        </w:rPr>
        <w:t xml:space="preserve">Allison has established the Allison Whistleblower Policy safeguarding employees from retaliations for reporting suspected concerns or violations of the Allison Code of Business Conduct. Allison has also </w:t>
      </w:r>
      <w:r>
        <w:rPr>
          <w:rFonts w:ascii="Arial" w:cs="Arial" w:eastAsia="Arial" w:hAnsi="Arial"/>
          <w:sz w:val="9"/>
          <w:szCs w:val="9"/>
          <w:color w:val="FFFFFF"/>
          <w:vertAlign w:val="subscript"/>
        </w:rPr>
        <w:t>established</w:t>
      </w:r>
      <w:r>
        <w:rPr>
          <w:rFonts w:ascii="Arial" w:cs="Arial" w:eastAsia="Arial" w:hAnsi="Arial"/>
          <w:sz w:val="7"/>
          <w:szCs w:val="7"/>
          <w:color w:val="FFFFFF"/>
        </w:rPr>
        <w:t xml:space="preserve"> several ways for reporting concerns, including anonymous reporting via the Allison Care Line where allowed by law.</w:t>
      </w:r>
    </w:p>
    <w:p>
      <w:pPr>
        <w:spacing w:after="0"/>
        <w:rPr>
          <w:sz w:val="20"/>
          <w:szCs w:val="20"/>
          <w:color w:val="auto"/>
        </w:rPr>
      </w:pPr>
      <w:r>
        <w:rPr>
          <w:rFonts w:ascii="Arial" w:cs="Arial" w:eastAsia="Arial" w:hAnsi="Arial"/>
          <w:sz w:val="14"/>
          <w:szCs w:val="14"/>
          <w:color w:val="FFFFFF"/>
        </w:rPr>
        <w:t>“W strive to act with personal and institutional integrity in the workplace, the marketplace and the communities where we live.”</w:t>
      </w:r>
    </w:p>
    <w:p>
      <w:pPr>
        <w:sectPr>
          <w:pgSz w:w="11900" w:h="16838" w:orient="portrait"/>
          <w:cols w:equalWidth="0" w:num="1">
            <w:col w:w="11080"/>
          </w:cols>
          <w:pgMar w:left="240" w:top="1440" w:right="57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color w:val="FFFFFF"/>
              </w:rPr>
              <w:t>Resources and Contact Information:</w:t>
            </w:r>
          </w:p>
        </w:tc>
        <w:tc>
          <w:tcPr>
            <w:tcW w:w="8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ind w:left="100"/>
              <w:spacing w:after="0"/>
              <w:rPr>
                <w:sz w:val="20"/>
                <w:szCs w:val="20"/>
                <w:color w:val="auto"/>
              </w:rPr>
            </w:pPr>
            <w:r>
              <w:rPr>
                <w:rFonts w:ascii="Arial" w:cs="Arial" w:eastAsia="Arial" w:hAnsi="Arial"/>
                <w:sz w:val="3"/>
                <w:szCs w:val="3"/>
                <w:color w:val="FFFFFF"/>
              </w:rPr>
              <w:t>ORPORATE POLICIES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Corporate Policies are located on Process Central ALLISON CARE LINE</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Anonymous reports can be made via email to aticare@wackenhut.g4s.com, through the internet to http://aticare.safe2say.info/ or for calls originating in the U.S. or Canada 1-866-296-8176; for calls originating</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from foreign countries please check below.</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Canada Brazil Hungary Netherlands Russia</w:t>
            </w:r>
          </w:p>
        </w:tc>
        <w:tc>
          <w:tcPr>
            <w:tcW w:w="888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0800 0222 316 Access # - 8*10 800</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(866) 296 8176 0800 891 5325 06 800</w:t>
            </w:r>
          </w:p>
        </w:tc>
        <w:tc>
          <w:tcPr>
            <w:tcW w:w="8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Argentina China (North) India Singapore1670310 2011 (Rostelecom)</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0800 666 3627 10800 713 1339 000 800 100 3528 800 1301 695 OR Access # - 747 3324</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Australia China (South) Japan South Africa (Rostelecom ASVT.</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1800 051 651 10800 130 1296 005131 13 1410 0800 981 588 Outside of Moscow dial</w:t>
            </w:r>
          </w:p>
        </w:tc>
        <w:tc>
          <w:tcPr>
            <w:tcW w:w="0" w:type="dxa"/>
            <w:vAlign w:val="bottom"/>
          </w:tcPr>
          <w:p>
            <w:pPr>
              <w:spacing w:after="0"/>
              <w:rPr>
                <w:sz w:val="1"/>
                <w:szCs w:val="1"/>
                <w:color w:val="auto"/>
              </w:rPr>
            </w:pPr>
          </w:p>
        </w:tc>
      </w:tr>
      <w:tr>
        <w:trPr>
          <w:trHeight w:val="41"/>
        </w:trPr>
        <w:tc>
          <w:tcPr>
            <w:tcW w:w="11300" w:type="dxa"/>
            <w:vAlign w:val="bottom"/>
            <w:gridSpan w:val="3"/>
          </w:tcPr>
          <w:p>
            <w:pPr>
              <w:ind w:left="100"/>
              <w:spacing w:after="0"/>
              <w:rPr>
                <w:sz w:val="20"/>
                <w:szCs w:val="20"/>
                <w:color w:val="auto"/>
              </w:rPr>
            </w:pPr>
            <w:r>
              <w:rPr>
                <w:rFonts w:ascii="Arial" w:cs="Arial" w:eastAsia="Arial" w:hAnsi="Arial"/>
                <w:sz w:val="3"/>
                <w:szCs w:val="3"/>
                <w:color w:val="FFFFFF"/>
              </w:rPr>
              <w:t>ustria France Korea Sweden 8095 before number.</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Access# - 0800 912 279 00308 132 163 020 796 520 Local charges apply)</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0800 200 236 Germany Mexico United Kingdom AND + 8662968176</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+ 866296-8176 0800 181 4475 001 866 296 8176 0808 101 2237</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HUMAN RESOURCES LEGAL DEPAR</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For Human Resources questions, please contact  ravis Bonnell, Chief Compliance Officer</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y ur local Human Resources leader. If youTMENTareel: U.S. 317-242-3113</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not able to contact your local Human Resources Email: travis.bonnell@allisontransmission.com</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leader, you can call</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Mary Anne Hoffman, Managing Director, Eric Scroggins, VP and General Counsel</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Human Resources Tel: U.S. 317-242-7017</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Tel: U.S. 317-242-2311 Email: eric.scroggins@allisontransmission.com</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Email: MaryAnne.Hoffman@allisontransmission.com</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INVESTOR RELATIONS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GOVERNMENT AND COMMUNITY RELATIONS Tel: U.S. 317-242-3078</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Melissa Sauer, Managing Director, Government Email: ir@allisontransmission.com</w:t>
            </w: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and Community Relations</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Tel: U.S. 317-242-3855 ALLISON GLOBAL HEADQUARTERS</w:t>
            </w:r>
          </w:p>
        </w:tc>
        <w:tc>
          <w:tcPr>
            <w:tcW w:w="0" w:type="dxa"/>
            <w:vAlign w:val="bottom"/>
          </w:tcPr>
          <w:p>
            <w:pPr>
              <w:spacing w:after="0"/>
              <w:rPr>
                <w:sz w:val="1"/>
                <w:szCs w:val="1"/>
                <w:color w:val="auto"/>
              </w:rPr>
            </w:pPr>
          </w:p>
        </w:tc>
      </w:tr>
      <w:tr>
        <w:trPr>
          <w:trHeight w:val="41"/>
        </w:trPr>
        <w:tc>
          <w:tcPr>
            <w:tcW w:w="11300" w:type="dxa"/>
            <w:vAlign w:val="bottom"/>
            <w:gridSpan w:val="3"/>
          </w:tcPr>
          <w:p>
            <w:pPr>
              <w:spacing w:after="0"/>
              <w:rPr>
                <w:sz w:val="20"/>
                <w:szCs w:val="20"/>
                <w:color w:val="auto"/>
              </w:rPr>
            </w:pPr>
            <w:r>
              <w:rPr>
                <w:rFonts w:ascii="Arial" w:cs="Arial" w:eastAsia="Arial" w:hAnsi="Arial"/>
                <w:sz w:val="3"/>
                <w:szCs w:val="3"/>
                <w:color w:val="FFFFFF"/>
              </w:rPr>
              <w:t>Email: melissa.sauer@allisontransmission.com One Allison Way</w:t>
            </w:r>
          </w:p>
        </w:tc>
        <w:tc>
          <w:tcPr>
            <w:tcW w:w="0" w:type="dxa"/>
            <w:vAlign w:val="bottom"/>
          </w:tcPr>
          <w:p>
            <w:pPr>
              <w:spacing w:after="0"/>
              <w:rPr>
                <w:sz w:val="1"/>
                <w:szCs w:val="1"/>
                <w:color w:val="auto"/>
              </w:rPr>
            </w:pPr>
          </w:p>
        </w:tc>
      </w:tr>
      <w:tr>
        <w:trPr>
          <w:trHeight w:val="41"/>
        </w:trPr>
        <w:tc>
          <w:tcPr>
            <w:tcW w:w="2420" w:type="dxa"/>
            <w:vAlign w:val="bottom"/>
            <w:gridSpan w:val="2"/>
          </w:tcPr>
          <w:p>
            <w:pPr>
              <w:ind w:left="60"/>
              <w:spacing w:after="0"/>
              <w:rPr>
                <w:sz w:val="20"/>
                <w:szCs w:val="20"/>
                <w:color w:val="auto"/>
              </w:rPr>
            </w:pPr>
            <w:r>
              <w:rPr>
                <w:rFonts w:ascii="Arial" w:cs="Arial" w:eastAsia="Arial" w:hAnsi="Arial"/>
                <w:sz w:val="3"/>
                <w:szCs w:val="3"/>
                <w:color w:val="FFFFFF"/>
              </w:rPr>
              <w:t>ndianapolis, IN</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INTERNAL AUDIT 46222-5200</w:t>
            </w:r>
          </w:p>
        </w:tc>
        <w:tc>
          <w:tcPr>
            <w:tcW w:w="8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500" w:type="dxa"/>
            <w:vAlign w:val="bottom"/>
          </w:tcPr>
          <w:p>
            <w:pPr>
              <w:spacing w:after="0"/>
              <w:rPr>
                <w:sz w:val="20"/>
                <w:szCs w:val="20"/>
                <w:color w:val="auto"/>
              </w:rPr>
            </w:pPr>
            <w:r>
              <w:rPr>
                <w:rFonts w:ascii="Arial" w:cs="Arial" w:eastAsia="Arial" w:hAnsi="Arial"/>
                <w:sz w:val="14"/>
                <w:szCs w:val="14"/>
                <w:color w:val="FFFFFF"/>
              </w:rPr>
              <w:t>Scott</w:t>
            </w:r>
          </w:p>
        </w:tc>
        <w:tc>
          <w:tcPr>
            <w:tcW w:w="10800" w:type="dxa"/>
            <w:vAlign w:val="bottom"/>
            <w:gridSpan w:val="2"/>
          </w:tcPr>
          <w:p>
            <w:pPr>
              <w:ind w:left="220"/>
              <w:spacing w:after="0"/>
              <w:rPr>
                <w:sz w:val="20"/>
                <w:szCs w:val="20"/>
                <w:color w:val="auto"/>
              </w:rPr>
            </w:pPr>
            <w:r>
              <w:rPr>
                <w:rFonts w:ascii="Arial" w:cs="Arial" w:eastAsia="Arial" w:hAnsi="Arial"/>
                <w:sz w:val="14"/>
                <w:szCs w:val="14"/>
                <w:color w:val="FFFFFF"/>
              </w:rPr>
              <w:t>Director, Internal Audit United States of America</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Tel: USmale,..317-242-2015 Tel: U.S. 317-242-5000</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FFFFFF"/>
        </w:rPr>
        <w:t>Email: scott.smale@allisontransmission.com</w:t>
      </w:r>
    </w:p>
    <w:p>
      <w:pPr>
        <w:sectPr>
          <w:pgSz w:w="11900" w:h="16838" w:orient="portrait"/>
          <w:cols w:equalWidth="0" w:num="1">
            <w:col w:w="11300"/>
          </w:cols>
          <w:pgMar w:left="240" w:top="1440" w:right="3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984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9840" w:type="dxa"/>
            <w:vAlign w:val="bottom"/>
          </w:tcPr>
          <w:p>
            <w:pPr>
              <w:ind w:left="4540"/>
              <w:spacing w:after="0"/>
              <w:rPr>
                <w:sz w:val="20"/>
                <w:szCs w:val="20"/>
                <w:color w:val="auto"/>
              </w:rPr>
            </w:pPr>
            <w:r>
              <w:rPr>
                <w:rFonts w:ascii="Arial" w:cs="Arial" w:eastAsia="Arial" w:hAnsi="Arial"/>
                <w:sz w:val="18"/>
                <w:szCs w:val="18"/>
                <w:b w:val="1"/>
                <w:bCs w:val="1"/>
                <w:color w:val="auto"/>
              </w:rPr>
              <w:t>List of Subsidiaries*</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840" w:type="dxa"/>
            <w:vAlign w:val="bottom"/>
            <w:vMerge w:val="restart"/>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State or Country of</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984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Organization</w:t>
            </w:r>
          </w:p>
        </w:tc>
        <w:tc>
          <w:tcPr>
            <w:tcW w:w="0" w:type="dxa"/>
            <w:vAlign w:val="bottom"/>
          </w:tcPr>
          <w:p>
            <w:pPr>
              <w:spacing w:after="0"/>
              <w:rPr>
                <w:sz w:val="1"/>
                <w:szCs w:val="1"/>
                <w:color w:val="auto"/>
              </w:rPr>
            </w:pPr>
          </w:p>
        </w:tc>
      </w:tr>
      <w:tr>
        <w:trPr>
          <w:trHeight w:val="318"/>
        </w:trPr>
        <w:tc>
          <w:tcPr>
            <w:tcW w:w="10220" w:type="dxa"/>
            <w:vAlign w:val="bottom"/>
            <w:gridSpan w:val="2"/>
          </w:tcPr>
          <w:p>
            <w:pPr>
              <w:spacing w:after="0"/>
              <w:rPr>
                <w:sz w:val="20"/>
                <w:szCs w:val="20"/>
                <w:color w:val="auto"/>
              </w:rPr>
            </w:pPr>
            <w:r>
              <w:rPr>
                <w:rFonts w:ascii="Arial" w:cs="Arial" w:eastAsia="Arial" w:hAnsi="Arial"/>
                <w:sz w:val="18"/>
                <w:szCs w:val="18"/>
                <w:color w:val="auto"/>
              </w:rPr>
              <w:t>Allison Transmission, Inc.</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459"/>
        </w:trPr>
        <w:tc>
          <w:tcPr>
            <w:tcW w:w="10220" w:type="dxa"/>
            <w:vAlign w:val="bottom"/>
            <w:gridSpan w:val="2"/>
          </w:tcPr>
          <w:p>
            <w:pPr>
              <w:spacing w:after="0"/>
              <w:rPr>
                <w:sz w:val="20"/>
                <w:szCs w:val="20"/>
                <w:color w:val="auto"/>
              </w:rPr>
            </w:pPr>
            <w:r>
              <w:rPr>
                <w:rFonts w:ascii="Arial" w:cs="Arial" w:eastAsia="Arial" w:hAnsi="Arial"/>
                <w:sz w:val="18"/>
                <w:szCs w:val="18"/>
                <w:color w:val="auto"/>
              </w:rPr>
              <w:t>*  Omits names of subsidiaries that as of December 31, 2014 were not, in the aggregate, a “significant subsidiary.”</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333-180285) and on Form S-3 (No. 333-187903) of Allison Transmission Holdings, Inc. of our report dated February 20, 2015 relating to the financial statements, financial statement schedule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2015</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Lawrence E. Dewey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8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David S. Graziosi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w w:val="92"/>
              </w:rPr>
              <w:t>Executive Vice President, Chief Financial Officer and</w:t>
            </w:r>
          </w:p>
        </w:tc>
      </w:tr>
      <w:tr>
        <w:trPr>
          <w:trHeight w:val="230"/>
        </w:trPr>
        <w:tc>
          <w:tcPr>
            <w:tcW w:w="58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Treasurer (Principal Financial Officer)</w:t>
            </w:r>
          </w:p>
        </w:tc>
      </w:tr>
    </w:tbl>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Annual Report of Allison Transmission Holdings, Inc. (the “Company”) on Form 10-K for the fiscal year ended December 31, 2014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§1350 as adopted pursuant to §906 of the Sarbanes-Oxley Act of 2002, that:</w:t>
      </w:r>
    </w:p>
    <w:p>
      <w:pPr>
        <w:spacing w:after="0" w:line="9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2019-12-29T18:10:58Z</dcterms:created>
  <dcterms:modified xsi:type="dcterms:W3CDTF">2019-12-29T18:10:58Z</dcterms:modified>
</cp:coreProperties>
</file>