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Bohley G Frederick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ALLISON TRANSMISSION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ALLISON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Allison Transmission Holdings Inc</w:t>
              </w:r>
            </w:hyperlink>
            <w:r>
              <w:rPr/>
              <w:t xml:space="preserve"> [ </w:t>
            </w:r>
            <w:r>
              <w:rPr>
                <w:rFonts w:ascii="Times;serif" w:hAnsi="Times;serif"/>
                <w:color w:val="0000FF"/>
                <w:sz w:val="24"/>
                <w:shd w:fill="FFFFFF" w:val="clear"/>
              </w:rPr>
              <w:t>ALSN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previously awarded restricted stock units ("RSUs") and vest proportionately with the RSUs to which they relate. Each dividend equivalent right is the economic equivalent of one share of Allison Transmission Holdings, Inc.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President and Business Unit Leader Allison Transmission and Allison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Preston B. Ray,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1824" TargetMode="External"/><Relationship Id="rId5" Type="http://schemas.openxmlformats.org/officeDocument/2006/relationships/hyperlink" Target="http://www.sec.gov/cgi-bin/browse-edgar?action=getcompany&amp;CIK=00014112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3465</Characters>
  <CharactersWithSpaces>4020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