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53340</wp:posOffset>
            </wp:positionV>
            <wp:extent cx="184404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404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00" w:type="dxa"/>
            <w:vAlign w:val="bottom"/>
          </w:tcPr>
          <w:p>
            <w:pPr>
              <w:jc w:val="right"/>
              <w:ind w:right="164"/>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3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One Allison Way</w:t>
            </w:r>
          </w:p>
        </w:tc>
        <w:tc>
          <w:tcPr>
            <w:tcW w:w="520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Indianapolis, IN</w:t>
            </w:r>
          </w:p>
        </w:tc>
        <w:tc>
          <w:tcPr>
            <w:tcW w:w="5200" w:type="dxa"/>
            <w:vAlign w:val="bottom"/>
          </w:tcPr>
          <w:p>
            <w:pPr>
              <w:jc w:val="right"/>
              <w:ind w:right="364"/>
              <w:spacing w:after="0"/>
              <w:rPr>
                <w:sz w:val="20"/>
                <w:szCs w:val="20"/>
                <w:color w:val="auto"/>
              </w:rPr>
            </w:pPr>
            <w:r>
              <w:rPr>
                <w:rFonts w:ascii="Arial" w:cs="Arial" w:eastAsia="Arial" w:hAnsi="Arial"/>
                <w:sz w:val="18"/>
                <w:szCs w:val="18"/>
                <w:b w:val="1"/>
                <w:bCs w:val="1"/>
                <w:color w:val="auto"/>
              </w:rPr>
              <w:t>46222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80" w:type="dxa"/>
            <w:vAlign w:val="bottom"/>
          </w:tcPr>
          <w:p>
            <w:pPr>
              <w:spacing w:after="0"/>
              <w:rPr>
                <w:sz w:val="24"/>
                <w:szCs w:val="24"/>
                <w:color w:val="auto"/>
              </w:rPr>
            </w:pPr>
          </w:p>
        </w:tc>
        <w:tc>
          <w:tcPr>
            <w:tcW w:w="5200" w:type="dxa"/>
            <w:vAlign w:val="bottom"/>
          </w:tcPr>
          <w:p>
            <w:pPr>
              <w:jc w:val="right"/>
              <w:ind w:right="2984"/>
              <w:spacing w:after="0"/>
              <w:rPr>
                <w:sz w:val="20"/>
                <w:szCs w:val="20"/>
                <w:color w:val="auto"/>
              </w:rPr>
            </w:pPr>
            <w:r>
              <w:rPr>
                <w:rFonts w:ascii="Arial" w:cs="Arial" w:eastAsia="Arial" w:hAnsi="Arial"/>
                <w:sz w:val="18"/>
                <w:szCs w:val="18"/>
                <w:b w:val="1"/>
                <w:bCs w:val="1"/>
                <w:color w:val="auto"/>
              </w:rPr>
              <w:t>(317) 242-5000</w:t>
            </w:r>
          </w:p>
        </w:tc>
      </w:tr>
      <w:tr>
        <w:trPr>
          <w:trHeight w:val="174"/>
        </w:trPr>
        <w:tc>
          <w:tcPr>
            <w:tcW w:w="2380" w:type="dxa"/>
            <w:vAlign w:val="bottom"/>
          </w:tcPr>
          <w:p>
            <w:pPr>
              <w:spacing w:after="0"/>
              <w:rPr>
                <w:sz w:val="15"/>
                <w:szCs w:val="15"/>
                <w:color w:val="auto"/>
              </w:rPr>
            </w:pPr>
          </w:p>
        </w:tc>
        <w:tc>
          <w:tcPr>
            <w:tcW w:w="5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July 14, 2014, there were 176,685,429 shares of Common Stock and 1,185 shares of Non-voting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20" w:type="dxa"/>
            <w:vAlign w:val="bottom"/>
            <w:gridSpan w:val="9"/>
            <w:vMerge w:val="restart"/>
          </w:tcPr>
          <w:p>
            <w:pPr>
              <w:jc w:val="center"/>
              <w:ind w:right="36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20" w:type="dxa"/>
            <w:vAlign w:val="bottom"/>
            <w:gridSpan w:val="9"/>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35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980" w:type="dxa"/>
            <w:vAlign w:val="bottom"/>
            <w:tcBorders>
              <w:top w:val="single" w:sz="8" w:color="0000EE"/>
            </w:tcBorders>
            <w:gridSpan w:val="8"/>
          </w:tcPr>
          <w:p>
            <w:pPr>
              <w:spacing w:after="0"/>
              <w:rPr>
                <w:sz w:val="24"/>
                <w:szCs w:val="24"/>
                <w:color w:val="auto"/>
              </w:rPr>
            </w:pPr>
          </w:p>
        </w:tc>
        <w:tc>
          <w:tcPr>
            <w:tcW w:w="36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Comprehensive Income</w:t>
              </w:r>
            </w:hyperlink>
          </w:p>
        </w:tc>
        <w:tc>
          <w:tcPr>
            <w:tcW w:w="524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6-19</w:t>
            </w: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20-29</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30-31</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4"/>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37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16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884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1A.</w:t>
            </w:r>
          </w:p>
        </w:tc>
        <w:tc>
          <w:tcPr>
            <w:tcW w:w="16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Risk Factors</w:t>
              </w:r>
            </w:hyperlink>
          </w:p>
        </w:tc>
        <w:tc>
          <w:tcPr>
            <w:tcW w:w="926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00" w:type="dxa"/>
            <w:vAlign w:val="bottom"/>
            <w:gridSpan w:val="9"/>
            <w:shd w:val="clear" w:color="auto" w:fill="0000EE"/>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Signatures</w:t>
              </w:r>
            </w:hyperlink>
          </w:p>
        </w:tc>
        <w:tc>
          <w:tcPr>
            <w:tcW w:w="940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83"/>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5"/>
          </w:tcPr>
          <w:p>
            <w:pPr>
              <w:ind w:left="48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Accounts receivables — net of allowance for doubtful accounts of $0.6 and $0.4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227.0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169.5</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647.5</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538.2</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1,561.4</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1,941.0</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4,771.9</w:t>
            </w:r>
          </w:p>
        </w:tc>
        <w:tc>
          <w:tcPr>
            <w:tcW w:w="7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378.3</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2,651.5</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171.7</w:t>
            </w: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3,477.9</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3,373.8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O)</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$0.01 par value, 1,880,000,000 shares authorized, 176,577,025 and 183,375,436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Non-voting common stock, $0.01 par value, 20,000,000 shares authorized, 1,185 shares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1,598.0</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(286.7)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(19.1)</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1,294.0</w:t>
            </w:r>
          </w:p>
        </w:tc>
        <w:tc>
          <w:tcPr>
            <w:tcW w:w="7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4,771.9</w:t>
            </w:r>
          </w:p>
        </w:tc>
        <w:tc>
          <w:tcPr>
            <w:tcW w:w="7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Three months ended June 30,</w:t>
            </w:r>
          </w:p>
        </w:tc>
        <w:tc>
          <w:tcPr>
            <w:tcW w:w="18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1,029.7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297.6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568.7</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461.0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85.1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168.3</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132.2</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(36.8)</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(72.1)</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(64.7)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0.59</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3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111.2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2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derivatives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loss on investment in technology-related initiatives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Additions of long-lived assets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technology-related initiatives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Collateral for interest rate derivatives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assets</w:t>
            </w:r>
          </w:p>
        </w:tc>
        <w:tc>
          <w:tcPr>
            <w:tcW w:w="2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Net cash used for investing activities</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payments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debt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 related to net share settlement of equity awards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Debt financing fees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for financing activities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(decrease) increase in cash and cash equivalents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Income taxes paid</w:t>
            </w: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or “Allison”), design and manufacture commercial and defense fully-automatic transmissions.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13 different transmission product lines. Although approximately 77% of revenues were generated in North America in 2013, the Company has a global presence by serving customers in Europe, Asia, South America and Africa. The Company serves customers through an independent network of approximately 1,400 independent distributor and dealer locations worldwide.</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condensed consolidated financial statements as of and for the three and six months ended June 30, 2014 and 2013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These condensed consolidated financial statements present the financial position, results of operations and cash flows of the Company. The condensed consolidated financial statements should be read in conjunction with the audited consolidated financial statements included in the Company’s Form 10-K for the year ended December 31, 2013 as filed with the Securities and Exchange Commission (“SEC”) on February 24, 2014. The interim period financial results for the three and six month periods presented are not necessarily indicative of results to be expected for any other interim period or for the entire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May 2014, the Financial Accounting Standards Board (“FASB”) issued authoritative accounting guidance on a company’s accounting for revenue from contracts with customers. The guidance applies to all companies that enter into contracts with customers to transfer goods, service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improved disclosures regarding the nature, timing, amount and uncertainty of revenue that is recognized. The guidance is effective prospectively for fiscal years beginning after December 15, 2016. Management is currently assessing the potential impact of the adoption of this guidance on the Company’s consolidated financial statements.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July 2013, the FASB issued authoritative accounting guidance on the presentation of an unrecognized tax benefit when net operating loss (“NOL”) carryforwards exist. The guidance requires presentation of an unrecognized tax benefit, or a portion of an unrecognized tax benefit, in the financial statements as a reduction to a deferred tax asset for an NOL carryforward, a similar tax loss or a tax credit carryforward. The guidance became effective for fiscal years beginning after December 15, 2013. The adoption of this guidance did not have a material effect on the Company’s condensed consolidated financial statements.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March 2013, the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became effective for fiscal years beginning after December 15, 2013. The adoption of this guidance did not have an effect on the Company’s condensed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52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2014</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Work in progress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Finished goods</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169.5</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in which the Company has an obligation to buy back, are included in purchased parts and raw materials, with an offsetting liability in Other current liabilities.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June 30, 2014 and December 31, 2013, the carrying amount of the Company’s Goodwill was $1,941.0 million. The following presents a summary of other intangible assets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Intangible</w:t>
            </w: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Intangible</w:t>
            </w: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3"/>
              </w:rPr>
              <w:t>assets, gross</w:t>
            </w:r>
          </w:p>
        </w:tc>
        <w:tc>
          <w:tcPr>
            <w:tcW w:w="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assets, net</w:t>
            </w:r>
          </w:p>
        </w:tc>
        <w:tc>
          <w:tcPr>
            <w:tcW w:w="3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75"/>
              </w:rPr>
              <w:t>assets, gross</w:t>
            </w:r>
          </w:p>
        </w:tc>
        <w:tc>
          <w:tcPr>
            <w:tcW w:w="3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00" w:type="dxa"/>
            <w:vAlign w:val="bottom"/>
            <w:gridSpan w:val="2"/>
          </w:tcPr>
          <w:p>
            <w:pPr>
              <w:ind w:left="30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98"/>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(400.9)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430.9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Tooling rights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2,551.0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(989.6</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1,561.4</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2,551.0</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June 30, 2014 and December 31, 2013, the net carrying value of our Goodwill and other intangibles was $3,502.4 million and $3,551.8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28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87.2</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85.7</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189.9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4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2014 and December 31, 2013, the Company did not have any Level 3 financial assets or liabilities.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43"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2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0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2014 and December 31, 2013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2040" w:type="dxa"/>
            <w:vAlign w:val="bottom"/>
            <w:gridSpan w:val="6"/>
          </w:tcPr>
          <w:p>
            <w:pPr>
              <w:jc w:val="center"/>
              <w:ind w:right="360"/>
              <w:spacing w:after="0" w:line="129" w:lineRule="exact"/>
              <w:rPr>
                <w:sz w:val="20"/>
                <w:szCs w:val="20"/>
                <w:color w:val="auto"/>
              </w:rPr>
            </w:pPr>
            <w:r>
              <w:rPr>
                <w:rFonts w:ascii="Arial" w:cs="Arial" w:eastAsia="Arial" w:hAnsi="Arial"/>
                <w:sz w:val="14"/>
                <w:szCs w:val="14"/>
                <w:b w:val="1"/>
                <w:bCs w:val="1"/>
                <w:color w:val="auto"/>
                <w:w w:val="86"/>
              </w:rPr>
              <w:t>Quoted Prices in Active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320" w:type="dxa"/>
            <w:vAlign w:val="bottom"/>
          </w:tcPr>
          <w:p>
            <w:pPr>
              <w:spacing w:after="0"/>
              <w:rPr>
                <w:sz w:val="12"/>
                <w:szCs w:val="12"/>
                <w:color w:val="auto"/>
              </w:rPr>
            </w:pPr>
          </w:p>
        </w:tc>
        <w:tc>
          <w:tcPr>
            <w:tcW w:w="20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120" w:type="dxa"/>
            <w:vAlign w:val="bottom"/>
          </w:tcPr>
          <w:p>
            <w:pPr>
              <w:spacing w:after="0"/>
              <w:rPr>
                <w:sz w:val="12"/>
                <w:szCs w:val="12"/>
                <w:color w:val="auto"/>
              </w:rPr>
            </w:pPr>
          </w:p>
        </w:tc>
        <w:tc>
          <w:tcPr>
            <w:tcW w:w="2140" w:type="dxa"/>
            <w:vAlign w:val="bottom"/>
            <w:gridSpan w:val="5"/>
          </w:tcPr>
          <w:p>
            <w:pPr>
              <w:ind w:left="320"/>
              <w:spacing w:after="0" w:line="149" w:lineRule="exact"/>
              <w:rPr>
                <w:sz w:val="20"/>
                <w:szCs w:val="20"/>
                <w:color w:val="auto"/>
              </w:rPr>
            </w:pPr>
            <w:r>
              <w:rPr>
                <w:rFonts w:ascii="Arial" w:cs="Arial" w:eastAsia="Arial" w:hAnsi="Arial"/>
                <w:sz w:val="14"/>
                <w:szCs w:val="14"/>
                <w:b w:val="1"/>
                <w:bCs w:val="1"/>
                <w:color w:val="auto"/>
              </w:rPr>
              <w:t>Significant Other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320" w:type="dxa"/>
            <w:vAlign w:val="bottom"/>
          </w:tcPr>
          <w:p>
            <w:pPr>
              <w:spacing w:after="0"/>
              <w:rPr>
                <w:sz w:val="14"/>
                <w:szCs w:val="14"/>
                <w:color w:val="auto"/>
              </w:rPr>
            </w:pPr>
          </w:p>
        </w:tc>
        <w:tc>
          <w:tcPr>
            <w:tcW w:w="20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4"/>
              </w:rPr>
              <w:t>Assets (Level 1)</w:t>
            </w:r>
          </w:p>
        </w:tc>
        <w:tc>
          <w:tcPr>
            <w:tcW w:w="12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Observable Inputs (Level 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2"/>
              </w:rPr>
              <w:t>June 30,</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1"/>
                <w:szCs w:val="11"/>
                <w:color w:val="auto"/>
              </w:rPr>
            </w:pPr>
          </w:p>
        </w:tc>
        <w:tc>
          <w:tcPr>
            <w:tcW w:w="9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8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53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77"/>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(12.2)</w:t>
            </w: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7"/>
        </w:trPr>
        <w:tc>
          <w:tcPr>
            <w:tcW w:w="5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137.9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(11.8)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126.1</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r>
        <w:trPr>
          <w:trHeight w:val="20"/>
        </w:trPr>
        <w:tc>
          <w:tcPr>
            <w:tcW w:w="5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Of the available Cash and cash equivalents, approximately $125.7 million and $179.7 million was deposited in operating accounts while approximately $1.0 million and $5.0 million was invested in U.S. government backed securities as of June 30, 2014 and December 31, 2013,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6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423.5</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1,774.6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1,783.5</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Senior Notes, fixed 7.125%, due 2019</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2,669.4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2,678.3</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2,651.5</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2,660.4</w:t>
            </w:r>
          </w:p>
        </w:tc>
        <w:tc>
          <w:tcPr>
            <w:tcW w:w="100" w:type="dxa"/>
            <w:vAlign w:val="bottom"/>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June 30, 2014, the Company had $423.5 million of indebtedness associated with Allison Transmission, Inc.’s (“ATI”), the Company’s wholly-owned subsidiary, Senior Secured Credit Facility Term B-2 Loan due 2017 (“Term B-2 Loan”) and $1,774.6 million of indebtedness associated with ATI’s Senior Secured Credit Facility Term B-3 Loan due 2019 (“Term B-3 Loan”) (together the Term B-2 Loan, Term B-3 Loan and revolving credit facility defined as the “Senior Secured Credit Facility”). The Company also had indebtedness of $471.3 million of ATI’s 7.125% senior cash pay notes due May 2019 (“7.125% Senior Notes”).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June 30, 2014 was $2,705.8 million. The fair value is based on quoted Level 1 market prices of the Company’s debt as of June 30, 2014.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capital stock or other equity interest held by the Company, ATI and each of the Company’s existing and future U.S. subsidiary guarantors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for equity interests of foreign subsidiaries and other exceptions set forth in the terms of the Senior Secured Credit Facility). In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ATI entered into an amendment with the term loan lenders under its Senior Secured Credit Facility to refinance Term B-2 Loan. The interest rate margin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to such refinanced loan is at the Company’s option, either (a) 2.75% over the LIBOR or (b) 1.75% over the greater of the prime lending rate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British Banking Association or the federal funds effective rate published by the Federal Reserve Bank of New York plus 0.50%.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$0.3 million of new deferred financing fees in the condensed consolidated financial statements. Interest on the Term B-3 Loan, as of June 30, 2014, is equal to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LIBOR (which may not be less than 1.00%) plus 2.75% based on the Company’s total leverage ratio. As of June 30, 2014, these rates were approximately 2.91%</w:t>
      </w:r>
    </w:p>
    <w:p>
      <w:pPr>
        <w:spacing w:after="0" w:line="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and 3.75% on the Term B-2 Loan and Term B-3 Loan, respectively, and the weighted average rate on the Senior Secured Credit Facility was approximately 3.59%.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The minimum required quarterly principal payment on the Term B-3 Loan is $4.5 million and remains through its maturity date of 2019. As of June 30, 2014, there had been no payments required for certain net cash proceeds of non-ordinary course asset sales and casualty and condemnation events. The remaining principal balance on each loan is due upon maturity.</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Senior Secured Credit Facility also provides for revolving credit borrowings. In the first quarter of 2014, ATI increased the revolving commitments available under the revolving portion of the Senior Secured Credit Facility to $465.0 million, net of an allowance for up to $75.0 million in outstanding letters of credit commitments. The increase was treated as a modification of debt under GAAP, and thus the Company recorded $0.6 million of new deferred financing fees in the condensed consolidated financial statements. Throughout the six months ended June 30, 2014, the Company made one withdrawal and payment on the revolving credit facility as part of its debt management plans. The maximum amount outstanding at any time on the revolving credit facility was $40.0 million, and the entire balance was repaid within the quarter it was borrowed. As of June 30, 2014, the Company had $453.0 million available under the revolving credit facility, net of $12.0 million in letters of credit. Revolving credit borrowings bear interest at a variable base rate plus an applicable margin based on the Company’s total leverage ratio. As of June 30, 2014, this rate would have been between approximately 2.16% and 4.25%. In addition, there is an annual commitment fee, based on the Company’s total leverage ratio, which as of June 30, 2014, was equal to 0.375%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revolving portion of the Senior Secured Credit Facility requires the Company to maintain a specified maximum total senior secured leverage ratio of 5.50x when revolving loan commitments remain outstanding at the end of a fiscal quarter. On March 12,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June 30, 2014, the Company had no revolving loans outstanding, however the Company would have been in compliance with the maximum total senior secured leverage ratio, achieving a 3.11x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June 30, 2014, the total leverage ratio was 3.82x.</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June 30, 2014, the Company is in compliance with all covenants under the Senior Secured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96"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June 30, 2014 and December 31, 2013 follows (dollars in millions):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360"/>
              <w:spacing w:after="0"/>
              <w:rPr>
                <w:sz w:val="20"/>
                <w:szCs w:val="20"/>
                <w:color w:val="auto"/>
              </w:rPr>
            </w:pPr>
            <w:r>
              <w:rPr>
                <w:rFonts w:ascii="Arial" w:cs="Arial" w:eastAsia="Arial" w:hAnsi="Arial"/>
                <w:sz w:val="14"/>
                <w:szCs w:val="14"/>
                <w:b w:val="1"/>
                <w:bCs w:val="1"/>
                <w:color w:val="auto"/>
                <w:w w:val="90"/>
              </w:rPr>
              <w:t>June 30, 2014</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120" w:type="dxa"/>
            <w:vAlign w:val="bottom"/>
            <w:tcBorders>
              <w:top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3.75%</w:t>
            </w:r>
          </w:p>
        </w:tc>
        <w:tc>
          <w:tcPr>
            <w:tcW w:w="598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Rate Swap H, due August 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3.77%</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I, due August 2014</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2.96%</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J, due August 2014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3.05%</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K, due August 2014</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3.44%</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L, due August 2019*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3.43%</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M, due August 2019*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3.37%</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due August 2019*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3.19%</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O, due August 2019*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3.08%</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due August 2019*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(0.9)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2.99%</w:t>
            </w:r>
          </w:p>
        </w:tc>
        <w:tc>
          <w:tcPr>
            <w:tcW w:w="5980" w:type="dxa"/>
            <w:vAlign w:val="bottom"/>
          </w:tcPr>
          <w:p>
            <w:pPr>
              <w:ind w:left="20"/>
              <w:spacing w:after="0"/>
              <w:rPr>
                <w:sz w:val="20"/>
                <w:szCs w:val="20"/>
                <w:color w:val="auto"/>
              </w:rPr>
            </w:pPr>
            <w:r>
              <w:rPr>
                <w:rFonts w:ascii="Arial" w:cs="Arial" w:eastAsia="Arial" w:hAnsi="Arial"/>
                <w:sz w:val="18"/>
                <w:szCs w:val="18"/>
                <w:color w:val="auto"/>
              </w:rPr>
              <w:t>Interest Rate Swap Q, due August 2019*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2.98%</w:t>
            </w: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due August 2019*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b w:val="1"/>
                <w:bCs w:val="1"/>
                <w:color w:val="auto"/>
              </w:rPr>
              <w:t>(0.5)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 include LIBOR floor of 1.00%</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ind w:right="358"/>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1,450.0</w:t>
            </w:r>
          </w:p>
        </w:tc>
        <w:tc>
          <w:tcPr>
            <w:tcW w:w="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7"/>
              </w:rPr>
              <w:t>(11.5</w:t>
            </w: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1,450.0</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2014 and December 31, 2013, the Company had recorded cash collateral of $0.0 million and $1.7 million, respectively, in Other current assets in the Condensed Consolidated Balance Sheets, as the balances are subject to frequent change. The Company has also posted $2.0 million of collateral in the form of letters of credit.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foreign currency forward contracts as of June 30, 2014 and December 31, 2013 (amounts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20" w:type="dxa"/>
            <w:vAlign w:val="bottom"/>
            <w:gridSpan w:val="4"/>
          </w:tcPr>
          <w:p>
            <w:pPr>
              <w:ind w:left="440"/>
              <w:spacing w:after="0"/>
              <w:rPr>
                <w:sz w:val="20"/>
                <w:szCs w:val="20"/>
                <w:color w:val="auto"/>
              </w:rPr>
            </w:pPr>
            <w:r>
              <w:rPr>
                <w:rFonts w:ascii="Arial" w:cs="Arial" w:eastAsia="Arial" w:hAnsi="Arial"/>
                <w:sz w:val="14"/>
                <w:szCs w:val="14"/>
                <w:b w:val="1"/>
                <w:bCs w:val="1"/>
                <w:color w:val="auto"/>
                <w:w w:val="94"/>
              </w:rPr>
              <w:t>June 30, 2014</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2013</w:t>
            </w:r>
          </w:p>
        </w:tc>
      </w:tr>
      <w:tr>
        <w:trPr>
          <w:trHeight w:val="129"/>
        </w:trPr>
        <w:tc>
          <w:tcPr>
            <w:tcW w:w="656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5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r>
      <w:tr>
        <w:trPr>
          <w:trHeight w:val="210"/>
        </w:trPr>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¥600.0</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¥600.0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6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June 30, 2014 and December 31, 2013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 2014</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2013</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Notional</w:t>
            </w: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Quantity</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Quantity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$ 18.5</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9,350 metric tons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$ 23.8</w:t>
            </w: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11,875 metric tons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Natural Gas</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N/A</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N/A</w:t>
            </w:r>
          </w:p>
        </w:tc>
        <w:tc>
          <w:tcPr>
            <w:tcW w:w="2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90,000 MMBtu</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7"/>
        </w:trPr>
        <w:tc>
          <w:tcPr>
            <w:tcW w:w="5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5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98"/>
              </w:rPr>
              <w:t>June 30, 2014</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Fair Value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0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Foreign currency contracts</w:t>
            </w:r>
          </w:p>
        </w:tc>
        <w:tc>
          <w:tcPr>
            <w:tcW w:w="2880" w:type="dxa"/>
            <w:vAlign w:val="bottom"/>
            <w:gridSpan w:val="3"/>
            <w:vMerge w:val="restart"/>
          </w:tcPr>
          <w:p>
            <w:pPr>
              <w:ind w:left="1060"/>
              <w:spacing w:after="0"/>
              <w:rPr>
                <w:sz w:val="20"/>
                <w:szCs w:val="20"/>
                <w:color w:val="auto"/>
              </w:rPr>
            </w:pPr>
            <w:r>
              <w:rPr>
                <w:rFonts w:ascii="Arial" w:cs="Arial" w:eastAsia="Arial" w:hAnsi="Arial"/>
                <w:sz w:val="18"/>
                <w:szCs w:val="18"/>
                <w:b w:val="1"/>
                <w:bCs w:val="1"/>
                <w:color w:val="auto"/>
              </w:rPr>
              <w:t>Other current assets</w:t>
            </w:r>
          </w:p>
        </w:tc>
        <w:tc>
          <w:tcPr>
            <w:tcW w:w="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0.2</w:t>
            </w: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880" w:type="dxa"/>
            <w:vAlign w:val="bottom"/>
            <w:gridSpan w:val="3"/>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contracts</w:t>
            </w:r>
          </w:p>
        </w:tc>
        <w:tc>
          <w:tcPr>
            <w:tcW w:w="2880" w:type="dxa"/>
            <w:vAlign w:val="bottom"/>
            <w:gridSpan w:val="3"/>
            <w:shd w:val="clear" w:color="auto" w:fill="CCEEFF"/>
          </w:tcPr>
          <w:p>
            <w:pPr>
              <w:ind w:left="1060"/>
              <w:spacing w:after="0"/>
              <w:rPr>
                <w:sz w:val="20"/>
                <w:szCs w:val="20"/>
                <w:color w:val="auto"/>
              </w:rPr>
            </w:pPr>
            <w:r>
              <w:rPr>
                <w:rFonts w:ascii="Arial" w:cs="Arial" w:eastAsia="Arial" w:hAnsi="Arial"/>
                <w:sz w:val="18"/>
                <w:szCs w:val="18"/>
                <w:b w:val="1"/>
                <w:bCs w:val="1"/>
                <w:color w:val="auto"/>
              </w:rPr>
              <w:t>Other current and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and</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1060"/>
              <w:spacing w:after="0"/>
              <w:rPr>
                <w:sz w:val="20"/>
                <w:szCs w:val="20"/>
                <w:color w:val="auto"/>
              </w:rPr>
            </w:pPr>
            <w:r>
              <w:rPr>
                <w:rFonts w:ascii="Arial" w:cs="Arial" w:eastAsia="Arial" w:hAnsi="Arial"/>
                <w:sz w:val="18"/>
                <w:szCs w:val="18"/>
                <w:b w:val="1"/>
                <w:bCs w:val="1"/>
                <w:color w:val="auto"/>
              </w:rPr>
              <w:t>non-current assets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0.2</w:t>
            </w: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880" w:type="dxa"/>
            <w:vAlign w:val="bottom"/>
            <w:gridSpan w:val="3"/>
          </w:tcPr>
          <w:p>
            <w:pPr>
              <w:ind w:left="1060"/>
              <w:spacing w:after="0"/>
              <w:rPr>
                <w:sz w:val="20"/>
                <w:szCs w:val="20"/>
                <w:color w:val="auto"/>
              </w:rPr>
            </w:pPr>
            <w:r>
              <w:rPr>
                <w:rFonts w:ascii="Arial" w:cs="Arial" w:eastAsia="Arial" w:hAnsi="Arial"/>
                <w:sz w:val="18"/>
                <w:szCs w:val="18"/>
                <w:b w:val="1"/>
                <w:bCs w:val="1"/>
                <w:color w:val="auto"/>
              </w:rPr>
              <w:t>Other current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80" w:type="dxa"/>
            <w:vAlign w:val="bottom"/>
            <w:gridSpan w:val="3"/>
          </w:tcPr>
          <w:p>
            <w:pPr>
              <w:ind w:left="1060"/>
              <w:spacing w:after="0"/>
              <w:rPr>
                <w:sz w:val="20"/>
                <w:szCs w:val="20"/>
                <w:color w:val="auto"/>
              </w:rPr>
            </w:pPr>
            <w:r>
              <w:rPr>
                <w:rFonts w:ascii="Arial" w:cs="Arial" w:eastAsia="Arial" w:hAnsi="Arial"/>
                <w:sz w:val="18"/>
                <w:szCs w:val="18"/>
                <w:b w:val="1"/>
                <w:bCs w:val="1"/>
                <w:color w:val="auto"/>
                <w:w w:val="98"/>
              </w:rPr>
              <w:t>non-current liabilities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(0.7)</w:t>
            </w: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Interest rate contracts</w:t>
            </w:r>
          </w:p>
        </w:tc>
        <w:tc>
          <w:tcPr>
            <w:tcW w:w="2880" w:type="dxa"/>
            <w:vAlign w:val="bottom"/>
            <w:gridSpan w:val="3"/>
            <w:shd w:val="clear" w:color="auto" w:fill="CCEEFF"/>
          </w:tcPr>
          <w:p>
            <w:pPr>
              <w:ind w:left="1060"/>
              <w:spacing w:after="0" w:line="203" w:lineRule="exact"/>
              <w:rPr>
                <w:sz w:val="20"/>
                <w:szCs w:val="20"/>
                <w:color w:val="auto"/>
              </w:rPr>
            </w:pPr>
            <w:r>
              <w:rPr>
                <w:rFonts w:ascii="Arial" w:cs="Arial" w:eastAsia="Arial" w:hAnsi="Arial"/>
                <w:sz w:val="18"/>
                <w:szCs w:val="18"/>
                <w:b w:val="1"/>
                <w:bCs w:val="1"/>
                <w:color w:val="auto"/>
              </w:rPr>
              <w:t>Other non-current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10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0.0</w:t>
            </w: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880" w:type="dxa"/>
            <w:vAlign w:val="bottom"/>
            <w:gridSpan w:val="3"/>
          </w:tcPr>
          <w:p>
            <w:pPr>
              <w:ind w:left="1060"/>
              <w:spacing w:after="0" w:line="201" w:lineRule="exact"/>
              <w:rPr>
                <w:sz w:val="20"/>
                <w:szCs w:val="20"/>
                <w:color w:val="auto"/>
              </w:rPr>
            </w:pPr>
            <w:r>
              <w:rPr>
                <w:rFonts w:ascii="Arial" w:cs="Arial" w:eastAsia="Arial" w:hAnsi="Arial"/>
                <w:sz w:val="18"/>
                <w:szCs w:val="18"/>
                <w:b w:val="1"/>
                <w:bCs w:val="1"/>
                <w:color w:val="auto"/>
              </w:rPr>
              <w:t>Other current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880" w:type="dxa"/>
            <w:vAlign w:val="bottom"/>
            <w:gridSpan w:val="3"/>
          </w:tcPr>
          <w:p>
            <w:pPr>
              <w:ind w:left="1060"/>
              <w:spacing w:after="0"/>
              <w:rPr>
                <w:sz w:val="20"/>
                <w:szCs w:val="20"/>
                <w:color w:val="auto"/>
              </w:rPr>
            </w:pPr>
            <w:r>
              <w:rPr>
                <w:rFonts w:ascii="Arial" w:cs="Arial" w:eastAsia="Arial" w:hAnsi="Arial"/>
                <w:sz w:val="18"/>
                <w:szCs w:val="18"/>
                <w:b w:val="1"/>
                <w:bCs w:val="1"/>
                <w:color w:val="auto"/>
                <w:w w:val="98"/>
              </w:rPr>
              <w:t>non-current liabilities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2060" w:type="dxa"/>
            <w:vAlign w:val="bottom"/>
            <w:gridSpan w:val="3"/>
          </w:tcPr>
          <w:p>
            <w:pPr>
              <w:ind w:left="20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0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60" w:type="dxa"/>
            <w:vAlign w:val="bottom"/>
            <w:vMerge w:val="restart"/>
          </w:tcPr>
          <w:p>
            <w:pPr>
              <w:ind w:left="860"/>
              <w:spacing w:after="0"/>
              <w:rPr>
                <w:sz w:val="20"/>
                <w:szCs w:val="20"/>
                <w:color w:val="auto"/>
              </w:rPr>
            </w:pPr>
            <w:r>
              <w:rPr>
                <w:rFonts w:ascii="Arial" w:cs="Arial" w:eastAsia="Arial" w:hAnsi="Arial"/>
                <w:sz w:val="18"/>
                <w:szCs w:val="18"/>
                <w:color w:val="auto"/>
                <w:w w:val="89"/>
              </w:rPr>
              <w:t>12</w:t>
            </w: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June 30, 2014, the amount recorded to Other current assets for foreign currency contracts was $0.2 million. The amount recorded to Other non-current assets for commodity contracts was $0.2 million and the amount recorded to Other current liabilities for commodity contracts was ($0.7) million. The amounts recorded to Other current and non-current liabilities for interest rate contracts were ($2.8) million and ($8.7) million, respectively.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2013, the amount recorded to Other current liabilities for foreign currency contracts was ($0.3) million. The amounts recorded to Other current and non-current assets for commodity contracts were $0.1 million and $0.0 million, respectively. The amounts recorded to Other current and non-current liabilities for commodity contracts were ($1.5) million and ($0.2) million, respectively. The amount recorded to Other non-current assets for interest rate contracts was $1.5 million. The amounts recorded to Other current and non-current liabilities for interest rate contracts were ($18.5) million and ($1.0) million, respectively.</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impact on the Company’s Condensed Consolidated Statements of Comprehensive Income related to foreign currency and commodity contracts can be found in NOTE J, and the following tabular disclosure describes the location and impact on the Company’s results of operations related to unrealized gain on interest rate derivatives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7"/>
          </w:tcPr>
          <w:p>
            <w:pPr>
              <w:ind w:left="80"/>
              <w:spacing w:after="0"/>
              <w:rPr>
                <w:sz w:val="20"/>
                <w:szCs w:val="20"/>
                <w:color w:val="auto"/>
              </w:rPr>
            </w:pPr>
            <w:r>
              <w:rPr>
                <w:rFonts w:ascii="Arial" w:cs="Arial" w:eastAsia="Arial" w:hAnsi="Arial"/>
                <w:sz w:val="14"/>
                <w:szCs w:val="14"/>
                <w:b w:val="1"/>
                <w:bCs w:val="1"/>
                <w:color w:val="auto"/>
                <w:w w:val="84"/>
              </w:rPr>
              <w:t>Three months ended June 30,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9"/>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61"/>
        </w:trPr>
        <w:tc>
          <w:tcPr>
            <w:tcW w:w="4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gridSpan w:val="2"/>
            <w:shd w:val="clear" w:color="auto" w:fill="CCEEFF"/>
          </w:tcPr>
          <w:p>
            <w:pPr>
              <w:jc w:val="center"/>
              <w:ind w:left="226"/>
              <w:spacing w:after="0"/>
              <w:rPr>
                <w:sz w:val="20"/>
                <w:szCs w:val="20"/>
                <w:color w:val="auto"/>
              </w:rPr>
            </w:pPr>
            <w:r>
              <w:rPr>
                <w:rFonts w:ascii="Arial" w:cs="Arial" w:eastAsia="Arial" w:hAnsi="Arial"/>
                <w:sz w:val="18"/>
                <w:szCs w:val="18"/>
                <w:b w:val="1"/>
                <w:bCs w:val="1"/>
                <w:color w:val="auto"/>
                <w:w w:val="87"/>
              </w:rPr>
              <w:t>2.6</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8.9</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Borders>
              <w:top w:val="single" w:sz="8" w:color="CCEEFF"/>
            </w:tcBorders>
            <w:shd w:val="clear" w:color="auto" w:fill="CCEEFF"/>
          </w:tcPr>
          <w:p>
            <w:pPr>
              <w:spacing w:after="0"/>
              <w:rPr>
                <w:sz w:val="18"/>
                <w:szCs w:val="18"/>
                <w:color w:val="auto"/>
              </w:rPr>
            </w:pPr>
          </w:p>
        </w:tc>
      </w:tr>
      <w:tr>
        <w:trPr>
          <w:trHeight w:val="457"/>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NOTE H. PRODUCT WARRANTY LIABILITIES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6220" w:type="dxa"/>
            <w:vAlign w:val="bottom"/>
            <w:gridSpan w:val="4"/>
          </w:tcPr>
          <w:p>
            <w:pPr>
              <w:ind w:left="460"/>
              <w:spacing w:after="0"/>
              <w:rPr>
                <w:sz w:val="20"/>
                <w:szCs w:val="20"/>
                <w:color w:val="auto"/>
              </w:rPr>
            </w:pPr>
            <w:r>
              <w:rPr>
                <w:rFonts w:ascii="Arial" w:cs="Arial" w:eastAsia="Arial" w:hAnsi="Arial"/>
                <w:sz w:val="18"/>
                <w:szCs w:val="18"/>
                <w:color w:val="auto"/>
                <w:w w:val="93"/>
              </w:rPr>
              <w:t>Product warranty liability activities consist of the following (dollars in millions):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84"/>
              </w:rPr>
              <w:t>Three months ended 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85"/>
              </w:rPr>
              <w:t>Six months ended June 30,</w:t>
            </w:r>
          </w:p>
        </w:tc>
      </w:tr>
      <w:tr>
        <w:trPr>
          <w:trHeight w:val="161"/>
        </w:trPr>
        <w:tc>
          <w:tcPr>
            <w:tcW w:w="46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Payments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r>
      <w:tr>
        <w:trPr>
          <w:trHeight w:val="216"/>
        </w:trPr>
        <w:tc>
          <w:tcPr>
            <w:tcW w:w="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adjustment to liability</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ind w:left="460"/>
              <w:spacing w:after="0"/>
              <w:rPr>
                <w:sz w:val="20"/>
                <w:szCs w:val="20"/>
                <w:color w:val="auto"/>
              </w:rPr>
            </w:pPr>
            <w:r>
              <w:rPr>
                <w:rFonts w:ascii="Arial" w:cs="Arial" w:eastAsia="Arial" w:hAnsi="Arial"/>
                <w:sz w:val="18"/>
                <w:szCs w:val="18"/>
                <w:color w:val="auto"/>
              </w:rPr>
              <w:t>Ending balance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86.7</w:t>
            </w:r>
          </w:p>
        </w:tc>
        <w:tc>
          <w:tcPr>
            <w:tcW w:w="140" w:type="dxa"/>
            <w:vAlign w:val="bottom"/>
          </w:tcPr>
          <w:p>
            <w:pPr>
              <w:spacing w:after="0"/>
              <w:rPr>
                <w:sz w:val="19"/>
                <w:szCs w:val="19"/>
                <w:color w:val="auto"/>
              </w:rPr>
            </w:pPr>
          </w:p>
        </w:tc>
        <w:tc>
          <w:tcPr>
            <w:tcW w:w="560" w:type="dxa"/>
            <w:vAlign w:val="bottom"/>
            <w:gridSpan w:val="3"/>
          </w:tcPr>
          <w:p>
            <w:pPr>
              <w:jc w:val="center"/>
              <w:ind w:left="16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u w:val="single" w:color="auto"/>
                <w:color w:val="auto"/>
              </w:rPr>
              <w:t>6</w:t>
            </w: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86.7</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June 30, 2014, the current and non-current liabilities were $23.2 million and $63.5 million, respectively. As of June 30, 2013, the current and non-current liabilities were $35.8 million and $69.8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June 30, 2014, the current and non-current liabilities related to deferred revenue for Extended Transmission Coverage (“ETC”) were $19.7 million and $47.1 million, respectively. As of June 30, 2013, the current and non-current liabilities related to deferred revenue for ETC were $20.9 million and $40.2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87"/>
              </w:rPr>
              <w:t>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6"/>
              </w:rPr>
              <w:t>Six months ended June 30,</w:t>
            </w:r>
          </w:p>
        </w:tc>
      </w:tr>
      <w:tr>
        <w:trPr>
          <w:trHeight w:val="161"/>
        </w:trPr>
        <w:tc>
          <w:tcPr>
            <w:tcW w:w="5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Increases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Deferred revenue recorded in current liabilities related to unearned net sales for defense contracts as of June 30, 2014 and 2013 was approximately $2.3 million and $0.4 million, respectively. During 2013 and 2014, the Company recorded deferred revenue for payments received from the U.S. government for certain tracked transmissions that were not shipped at the request of the U.S. government.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consists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Six months ended June 30,</w:t>
            </w:r>
          </w:p>
        </w:tc>
      </w:tr>
      <w:tr>
        <w:trPr>
          <w:trHeight w:val="16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2014</w:t>
            </w: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intercompany foreign exchange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Unrealized gain (loss) on derivative contracts (see NOTE G)</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Grant program income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contracts (see NOTE G)</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Loss on foreign exchange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(0.5)</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During the second quarter of 2014, the Company recorded a loss of $1.8 million resulting from intercompany financing transactions related to our India facility, of which $0.2 million was foreign exchange loss on intercompany payment and $1.6 million was from the revaluation of the remaining intercompany liability.</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six months ended June 30, 2014, the Company completed three secondary public offerings of 35,000,000, 25,000,000 and 28,750,000 shares of its common stock held by investment funds affiliated with The Carlyle Group and Onex Corporation (collectively, the “Sponsors”) at public offering prices, less underwriting discounts and commissions, of $29.95, $29.78 and $29.17 per share, respectively. In connection with the offerings, the Company repurchased from the underwriters 5,000,000 shares in June 2014 and 3,428,179 shares in February 2014 at the prices paid by the underwriters and subsequently retired those shares. In addition, as part of the June offering, the underwriters exercised its option to purchase an additional 5,250,000 shares from the Sponsors at an offering price of $29.95 per share, the same price at which the 35,000,000 shares of common stock were sold to the underwriter. For the three and six months ended June 30, 2014, the Company incurred $0.8 million and $1.1 million, respectively, of expenses related to these public offerings.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 research and development while the Government’s matching reimbursement is recorded to Other expense, net in the Condensed Consolidated Statements of Comprehensive Income. Since inception of the Grant Program, the Company has recorded $47.4 million of Grant Program income to Other expense, net in the Condensed Consolidated Statements of Comprehensive Income.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June 30, 2014 and 2013, the Company recorded $0.0 million and $1.3 million, respectively, as a reduction of the basis of capital assets purchased under the Grant Program. For the six months ended June 30, 2014 and 2013, the Company recorded $0.0 million and $2.7 million, respectively, as a reduction of the basis of capital assets purchased under the Grant Program. Under the Grant Program, the Company has acquired approximately $7.1 million of assets that have been placed in service, resulting in related depreciation of $0.0 million and $0.0 million for the three months ended June 30, 2014 and 2013, respectively, and $0.1 million and $0.1 million for the six months ended June 30, 2014 and 2013, respectively.</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79"/>
              </w:rPr>
              <w:t>As of</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June 30,</w:t>
            </w:r>
          </w:p>
        </w:tc>
        <w:tc>
          <w:tcPr>
            <w:tcW w:w="154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2014</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Defense price reduction reserve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Research and development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140.8</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EMPLOYEE BENEFIT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3"/>
              </w:rPr>
              <w:t>Pension Plans</w:t>
            </w:r>
          </w:p>
        </w:tc>
        <w:tc>
          <w:tcPr>
            <w:tcW w:w="6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86"/>
              </w:rPr>
              <w:t>Post-retirement Benefits</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5"/>
          </w:tcPr>
          <w:p>
            <w:pPr>
              <w:jc w:val="center"/>
              <w:ind w:right="35"/>
              <w:spacing w:after="0" w:line="129" w:lineRule="exact"/>
              <w:rPr>
                <w:sz w:val="20"/>
                <w:szCs w:val="20"/>
                <w:color w:val="auto"/>
              </w:rPr>
            </w:pPr>
            <w:r>
              <w:rPr>
                <w:rFonts w:ascii="Arial" w:cs="Arial" w:eastAsia="Arial" w:hAnsi="Arial"/>
                <w:sz w:val="14"/>
                <w:szCs w:val="14"/>
                <w:b w:val="1"/>
                <w:bCs w:val="1"/>
                <w:color w:val="auto"/>
                <w:w w:val="84"/>
              </w:rPr>
              <w:t>Three months ended June 30,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4"/>
          </w:tcPr>
          <w:p>
            <w:pPr>
              <w:jc w:val="center"/>
              <w:ind w:left="39"/>
              <w:spacing w:after="0" w:line="129" w:lineRule="exact"/>
              <w:rPr>
                <w:sz w:val="20"/>
                <w:szCs w:val="20"/>
                <w:color w:val="auto"/>
              </w:rPr>
            </w:pPr>
            <w:r>
              <w:rPr>
                <w:rFonts w:ascii="Arial" w:cs="Arial" w:eastAsia="Arial" w:hAnsi="Arial"/>
                <w:sz w:val="14"/>
                <w:szCs w:val="14"/>
                <w:b w:val="1"/>
                <w:bCs w:val="1"/>
                <w:color w:val="auto"/>
                <w:w w:val="86"/>
              </w:rPr>
              <w:t>Three months ended June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1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0.6</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(0.9)</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(gain)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(0.2)</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0.9</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3"/>
              </w:rPr>
              <w:t>Pension Plans</w:t>
            </w:r>
          </w:p>
        </w:tc>
        <w:tc>
          <w:tcPr>
            <w:tcW w:w="60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86"/>
              </w:rPr>
              <w:t>Post-retirement Benefits</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5"/>
          </w:tcPr>
          <w:p>
            <w:pPr>
              <w:jc w:val="center"/>
              <w:ind w:right="35"/>
              <w:spacing w:after="0" w:line="129" w:lineRule="exact"/>
              <w:rPr>
                <w:sz w:val="20"/>
                <w:szCs w:val="20"/>
                <w:color w:val="auto"/>
              </w:rPr>
            </w:pPr>
            <w:r>
              <w:rPr>
                <w:rFonts w:ascii="Arial" w:cs="Arial" w:eastAsia="Arial" w:hAnsi="Arial"/>
                <w:sz w:val="14"/>
                <w:szCs w:val="14"/>
                <w:b w:val="1"/>
                <w:bCs w:val="1"/>
                <w:color w:val="auto"/>
                <w:w w:val="84"/>
              </w:rPr>
              <w:t>Six months ended June 30,</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4"/>
          </w:tcPr>
          <w:p>
            <w:pPr>
              <w:jc w:val="center"/>
              <w:ind w:left="59"/>
              <w:spacing w:after="0" w:line="129" w:lineRule="exact"/>
              <w:rPr>
                <w:sz w:val="20"/>
                <w:szCs w:val="20"/>
                <w:color w:val="auto"/>
              </w:rPr>
            </w:pPr>
            <w:r>
              <w:rPr>
                <w:rFonts w:ascii="Arial" w:cs="Arial" w:eastAsia="Arial" w:hAnsi="Arial"/>
                <w:sz w:val="14"/>
                <w:szCs w:val="14"/>
                <w:b w:val="1"/>
                <w:bCs w:val="1"/>
                <w:color w:val="auto"/>
                <w:w w:val="84"/>
              </w:rPr>
              <w:t>Six months ended June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1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8.2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2.9</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(gain)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(0.4)</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1.8</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277"/>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and six months ended June 30, 2014, the Company recorded total tax expense of $37.5 million and $64.7 million, respectively. The effective tax rate for the three and six months ended June 30, 2014 was (39.6%) and (37.2%), respectively. For the three and six months ended June 30, 2013, the Company recorded a total tax expense of $31.3 million and $48.2 million, respectively. The effective rate for the three and six months ended June 30, 2013 was (38.3%) and (38.2%),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2014, the Company incurred an ownership change resulting in a limitation on the utilization of the Company’s net operating losses.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reviewed the limitation and determined there is no concern about the Company’s ability to utilize the tax attributes in the future.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the domestic valuation allowance is not necessary and that it is more likely than not that the deferred tax assets are fully realizable. The Company has reached a sustained period of profitability and objectively measured positive evidence outweighed the negative evidence. The Company continues to provide for a valuation allowance on certain of its foreign deferred tax assets.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accordance with the FASB’s authoritative guidance on accounting for uncertainty in income taxes, the Company recorded a liability of $2.3 million for unrecognized tax benefits related to the 2010 Research &amp; Development Credit as of June 30, 2014 and December 31, 2013. The accounting guidance prescribes a recognition threshold and measurement attributes for the financial statement recognition and measurement of a tax position taken or expected to be taken in a tax return. For the year ended December 31, 2013, the return will remain subject to examination by the various taxing authorities for the duration of the applicable statute of limitations (generally three years from the later of the date of filing or the due date of the return).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changes in Accumulated other comprehensive loss (“AOCL”) by component (net of tax, dollars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157"/>
              <w:spacing w:after="0"/>
              <w:rPr>
                <w:sz w:val="20"/>
                <w:szCs w:val="20"/>
                <w:color w:val="auto"/>
              </w:rPr>
            </w:pPr>
            <w:r>
              <w:rPr>
                <w:rFonts w:ascii="Arial" w:cs="Arial" w:eastAsia="Arial" w:hAnsi="Arial"/>
                <w:sz w:val="14"/>
                <w:szCs w:val="14"/>
                <w:b w:val="1"/>
                <w:bCs w:val="1"/>
                <w:color w:val="auto"/>
                <w:w w:val="85"/>
              </w:rPr>
              <w:t>Three months ended</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Defined</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Available-for-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benefit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0"/>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2"/>
              </w:rPr>
              <w:t>pension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AOCL as of March 31, 2013</w:t>
            </w:r>
          </w:p>
        </w:tc>
        <w:tc>
          <w:tcPr>
            <w:tcW w:w="5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w:t>
            </w: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 before reclassifications</w:t>
            </w: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loss</w:t>
            </w: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AOCL as of June 30, 2013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(53.0)</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AOCL as of March 31, 2014</w:t>
            </w:r>
          </w:p>
        </w:tc>
        <w:tc>
          <w:tcPr>
            <w:tcW w:w="5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(18.9)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Other comprehensive (loss) income before reclassifications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Amounts reclassified from AOCL</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AOCL as of June 30, 2014</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7"/>
              <w:spacing w:after="0"/>
              <w:rPr>
                <w:sz w:val="20"/>
                <w:szCs w:val="20"/>
                <w:color w:val="auto"/>
              </w:rPr>
            </w:pPr>
            <w:r>
              <w:rPr>
                <w:rFonts w:ascii="Arial" w:cs="Arial" w:eastAsia="Arial" w:hAnsi="Arial"/>
                <w:sz w:val="14"/>
                <w:szCs w:val="14"/>
                <w:b w:val="1"/>
                <w:bCs w:val="1"/>
                <w:color w:val="auto"/>
                <w:w w:val="84"/>
              </w:rPr>
              <w:t>Six months ended</w:t>
            </w: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Defined</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Available-for-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benefit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0"/>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2"/>
              </w:rPr>
              <w:t>pension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AOCL as of December 31, 2012</w:t>
            </w:r>
          </w:p>
        </w:tc>
        <w:tc>
          <w:tcPr>
            <w:tcW w:w="5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 before reclassifications</w:t>
            </w: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loss</w:t>
            </w: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AOCL as of June 30, 2013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(53.0)</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AOCL as of December 31, 2013</w:t>
            </w:r>
          </w:p>
        </w:tc>
        <w:tc>
          <w:tcPr>
            <w:tcW w:w="5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(7.9)</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Other comprehensive (loss) income before reclassifications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Amounts reclassified from AOCL</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AOCL as of June 30, 2014</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80" w:type="dxa"/>
            <w:vAlign w:val="bottom"/>
            <w:vMerge w:val="restart"/>
          </w:tcPr>
          <w:p>
            <w:pPr>
              <w:jc w:val="right"/>
              <w:ind w:right="3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shows the location in the Condensed Consolidated Statements of Comprehensive Income affected by reclassifications from AOCL (dollars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center"/>
              <w:ind w:right="2"/>
              <w:spacing w:after="0"/>
              <w:rPr>
                <w:sz w:val="20"/>
                <w:szCs w:val="20"/>
                <w:color w:val="auto"/>
              </w:rPr>
            </w:pPr>
            <w:r>
              <w:rPr>
                <w:rFonts w:ascii="Arial" w:cs="Arial" w:eastAsia="Arial" w:hAnsi="Arial"/>
                <w:sz w:val="14"/>
                <w:szCs w:val="14"/>
                <w:b w:val="1"/>
                <w:bCs w:val="1"/>
                <w:color w:val="auto"/>
                <w:w w:val="85"/>
              </w:rPr>
              <w:t>Amounts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right="2"/>
              <w:spacing w:after="0" w:line="141" w:lineRule="exact"/>
              <w:rPr>
                <w:sz w:val="20"/>
                <w:szCs w:val="20"/>
                <w:color w:val="auto"/>
              </w:rPr>
            </w:pPr>
            <w:r>
              <w:rPr>
                <w:rFonts w:ascii="Arial" w:cs="Arial" w:eastAsia="Arial" w:hAnsi="Arial"/>
                <w:sz w:val="14"/>
                <w:szCs w:val="14"/>
                <w:b w:val="1"/>
                <w:bCs w:val="1"/>
                <w:color w:val="auto"/>
                <w:w w:val="89"/>
              </w:rPr>
              <w:t>reclassified from AOCL</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line="141" w:lineRule="exact"/>
              <w:rPr>
                <w:sz w:val="20"/>
                <w:szCs w:val="20"/>
                <w:color w:val="auto"/>
              </w:rPr>
            </w:pPr>
            <w:r>
              <w:rPr>
                <w:rFonts w:ascii="Arial" w:cs="Arial" w:eastAsia="Arial" w:hAnsi="Arial"/>
                <w:sz w:val="14"/>
                <w:szCs w:val="14"/>
                <w:b w:val="1"/>
                <w:bCs w:val="1"/>
                <w:color w:val="auto"/>
                <w:w w:val="85"/>
              </w:rPr>
              <w:t>Affected line item in the Condensed</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3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Three months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Consolidated Statements of</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ind w:left="1760"/>
              <w:spacing w:after="0" w:line="142" w:lineRule="exact"/>
              <w:rPr>
                <w:sz w:val="20"/>
                <w:szCs w:val="20"/>
                <w:color w:val="auto"/>
              </w:rPr>
            </w:pPr>
            <w:r>
              <w:rPr>
                <w:rFonts w:ascii="Arial" w:cs="Arial" w:eastAsia="Arial" w:hAnsi="Arial"/>
                <w:sz w:val="14"/>
                <w:szCs w:val="14"/>
                <w:b w:val="1"/>
                <w:bCs w:val="1"/>
                <w:color w:val="auto"/>
              </w:rPr>
              <w:t>AOCL Components</w:t>
            </w:r>
          </w:p>
        </w:tc>
        <w:tc>
          <w:tcPr>
            <w:tcW w:w="1180" w:type="dxa"/>
            <w:vAlign w:val="bottom"/>
            <w:tcBorders>
              <w:top w:val="single" w:sz="8" w:color="auto"/>
              <w:bottom w:val="single" w:sz="8" w:color="auto"/>
            </w:tcBorders>
            <w:gridSpan w:val="4"/>
          </w:tcPr>
          <w:p>
            <w:pPr>
              <w:jc w:val="right"/>
              <w:ind w:right="117"/>
              <w:spacing w:after="0" w:line="142" w:lineRule="exact"/>
              <w:rPr>
                <w:sz w:val="20"/>
                <w:szCs w:val="20"/>
                <w:color w:val="auto"/>
              </w:rPr>
            </w:pPr>
            <w:r>
              <w:rPr>
                <w:rFonts w:ascii="Arial" w:cs="Arial" w:eastAsia="Arial" w:hAnsi="Arial"/>
                <w:sz w:val="14"/>
                <w:szCs w:val="14"/>
                <w:b w:val="1"/>
                <w:bCs w:val="1"/>
                <w:color w:val="auto"/>
              </w:rPr>
              <w:t>June 30, 2014</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87"/>
              </w:rPr>
              <w:t>June 30, 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Comprehensive Income</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60" w:type="dxa"/>
            <w:vAlign w:val="bottom"/>
          </w:tcPr>
          <w:p>
            <w:pPr>
              <w:spacing w:after="0"/>
              <w:rPr>
                <w:sz w:val="18"/>
                <w:szCs w:val="18"/>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2"/>
              </w:rPr>
              <w:t>Engineering – research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loss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Engineering – research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 reclassifications, before tax</w:t>
            </w: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8"/>
                <w:szCs w:val="18"/>
                <w:color w:val="auto"/>
                <w:w w:val="90"/>
              </w:rPr>
              <w:t>Income before income taxes</w:t>
            </w: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6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 reclassifications</w:t>
            </w: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6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5"/>
          </w:tcPr>
          <w:p>
            <w:pPr>
              <w:jc w:val="center"/>
              <w:ind w:left="157"/>
              <w:spacing w:after="0"/>
              <w:rPr>
                <w:sz w:val="20"/>
                <w:szCs w:val="20"/>
                <w:color w:val="auto"/>
              </w:rPr>
            </w:pPr>
            <w:r>
              <w:rPr>
                <w:rFonts w:ascii="Arial" w:cs="Arial" w:eastAsia="Arial" w:hAnsi="Arial"/>
                <w:sz w:val="14"/>
                <w:szCs w:val="14"/>
                <w:b w:val="1"/>
                <w:bCs w:val="1"/>
                <w:color w:val="auto"/>
                <w:w w:val="85"/>
              </w:rPr>
              <w:t>Amounts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left="157"/>
              <w:spacing w:after="0" w:line="141" w:lineRule="exact"/>
              <w:rPr>
                <w:sz w:val="20"/>
                <w:szCs w:val="20"/>
                <w:color w:val="auto"/>
              </w:rPr>
            </w:pPr>
            <w:r>
              <w:rPr>
                <w:rFonts w:ascii="Arial" w:cs="Arial" w:eastAsia="Arial" w:hAnsi="Arial"/>
                <w:sz w:val="14"/>
                <w:szCs w:val="14"/>
                <w:b w:val="1"/>
                <w:bCs w:val="1"/>
                <w:color w:val="auto"/>
                <w:w w:val="89"/>
              </w:rPr>
              <w:t>reclassified from AOCL</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line="141" w:lineRule="exact"/>
              <w:rPr>
                <w:sz w:val="20"/>
                <w:szCs w:val="20"/>
                <w:color w:val="auto"/>
              </w:rPr>
            </w:pPr>
            <w:r>
              <w:rPr>
                <w:rFonts w:ascii="Arial" w:cs="Arial" w:eastAsia="Arial" w:hAnsi="Arial"/>
                <w:sz w:val="14"/>
                <w:szCs w:val="14"/>
                <w:b w:val="1"/>
                <w:bCs w:val="1"/>
                <w:color w:val="auto"/>
                <w:w w:val="85"/>
              </w:rPr>
              <w:t>Affected line item in the Condensed</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1"/>
              </w:rPr>
              <w:t>Six months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Six months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Consolidated Statements of</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ind w:left="1920"/>
              <w:spacing w:after="0" w:line="142" w:lineRule="exact"/>
              <w:rPr>
                <w:sz w:val="20"/>
                <w:szCs w:val="20"/>
                <w:color w:val="auto"/>
              </w:rPr>
            </w:pPr>
            <w:r>
              <w:rPr>
                <w:rFonts w:ascii="Arial" w:cs="Arial" w:eastAsia="Arial" w:hAnsi="Arial"/>
                <w:sz w:val="14"/>
                <w:szCs w:val="14"/>
                <w:b w:val="1"/>
                <w:bCs w:val="1"/>
                <w:color w:val="auto"/>
              </w:rPr>
              <w:t>AOCL Components</w:t>
            </w: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5"/>
              </w:rPr>
              <w:t>June 30, 2014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June 30, 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Comprehensive Income</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420" w:type="dxa"/>
            <w:vAlign w:val="bottom"/>
            <w:gridSpan w:val="3"/>
          </w:tcPr>
          <w:p>
            <w:pPr>
              <w:ind w:left="32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4"/>
              </w:rPr>
              <w:t>Engineering –research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loss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Engineering –research and</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w w:val="90"/>
              </w:rPr>
              <w:t>Income before income taxes</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(0.8)</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2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service cost and actuarial loss are included in the computation of the Company’s net periodic benefit cost. Please see NOTE L for additional details.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CERTAIN RELATIONSHIPS AND RELATED PARTY TRANSACTIONS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June 30, 2014, the Sponsors owned approximately 3% of the Company’s outstanding common stock. Pursuant to an amended and restated stockholders agreement, a majority of the Board of Directors was designated by the Sponsors and is affiliated with the Sponsors. As a result, the Sponsors or their nominees to the Board of Directors have the ability to control the appointment of management, the entering into of mergers, sales of substantially all of the Company’s assets and other extraordinary transactions and influence amendments to the Company’s certificate of incorporation. The interests of the Sponsors could conflict with those of the Company’s other stockholders. In addition, the Sponsors may in the future own businesses that directly compete with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As of June 30, 2014,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six months ended June 30, 2014, the Company completed three secondary public offerings of 35,000,000, 25,000,000 and 28,750,000 shares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held by investment funds affiliated with the Sponsors at public offering prices, less underwriting discounts and commissions, of $29.95,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$29.78 and $29.17 per share, respectively. In connection with the offerings, the Company repurchased from the underwriters 5,000,000 shares in June 2014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3,428,179 shares in February 2014 at the prices paid by the underwriters and subsequently retired those shares. In addition, as part of the June offering,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exercised its option to purchase an additional 5,250,000 shares from the Sponsors at an offering price of $29.95 per share, the same price at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35,000,000 shares of common stock were sold to the underwriter. The sales by the Sponsors resulted in their ownership decreasing to 3% of our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as of June 30, 2014.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86"/>
              </w:rPr>
              <w:t>Three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61"/>
        </w:trPr>
        <w:tc>
          <w:tcPr>
            <w:tcW w:w="50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109.3</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178.8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180.5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440"/>
              <w:spacing w:after="0"/>
              <w:rPr>
                <w:sz w:val="20"/>
                <w:szCs w:val="20"/>
                <w:color w:val="auto"/>
              </w:rPr>
            </w:pPr>
            <w:r>
              <w:rPr>
                <w:rFonts w:ascii="Arial" w:cs="Arial" w:eastAsia="Arial" w:hAnsi="Arial"/>
                <w:sz w:val="18"/>
                <w:szCs w:val="18"/>
                <w:color w:val="auto"/>
                <w:w w:val="91"/>
              </w:rPr>
              <w:t>Diluted weighted average shares of common stock outstanding</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181.6</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440"/>
              <w:spacing w:after="0"/>
              <w:rPr>
                <w:sz w:val="20"/>
                <w:szCs w:val="20"/>
                <w:color w:val="auto"/>
              </w:rPr>
            </w:pPr>
            <w:r>
              <w:rPr>
                <w:rFonts w:ascii="Arial" w:cs="Arial" w:eastAsia="Arial" w:hAnsi="Arial"/>
                <w:sz w:val="18"/>
                <w:szCs w:val="18"/>
                <w:color w:val="auto"/>
                <w:w w:val="90"/>
              </w:rPr>
              <w:t>Diluted earnings per share attributable to common stockholders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6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0.59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0" w:type="dxa"/>
            <w:vAlign w:val="bottom"/>
            <w:vMerge w:val="restart"/>
          </w:tcPr>
          <w:p>
            <w:pPr>
              <w:jc w:val="right"/>
              <w:ind w:right="81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Allison Transmission Holdings, Inc. and its subsidiaries (“our,” “us,” “we” or the “Company”) design and manufacture fully-automatic transmissions for medium- and heavy-duty commercial vehicles, medium- and heavy-tactical U.S. defense vehicles and hybrid-propulsion systems for transit buses. We generate our net sales primarily from the sale of transmissions, transmission parts, support equipment, defense kits, engineering services and extended transmission coverage to a wide array of original equipment manufacturers (“OEMs”), distributors and the U.S. government. Although approximately 77% of our net sales were generated in North America in 2013, we have a global presence, serving customers in Europe, Asia, South America and Africa. We have 13 different transmission product lines and serve customers through an established network of approximately 1,400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America’s Commercial Transportation Research, commercial truck and bus production volumes in our North American on-highway markets are projected to grow, but to remain below the 1998-2008 average production levels through 2015. In the second half of 2014 we expect net sales to increase on a year-over-year basis principally driven by improved second half year-over-year demand conditions in the North America On-Highway and Off-Highway end markets, partially offset by weakness in the Outside North America On-Highway end market and previously considered reductions in Defense net sales.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Second Quarter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438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Q2 2014</w:t>
            </w:r>
          </w:p>
        </w:tc>
        <w:tc>
          <w:tcPr>
            <w:tcW w:w="7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Q2 2013</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79"/>
              </w:rPr>
              <w:t>Net Sales</w:t>
            </w:r>
          </w:p>
        </w:tc>
        <w:tc>
          <w:tcPr>
            <w:tcW w:w="720" w:type="dxa"/>
            <w:vAlign w:val="bottom"/>
          </w:tcPr>
          <w:p>
            <w:pPr>
              <w:spacing w:after="0"/>
              <w:rPr>
                <w:sz w:val="12"/>
                <w:szCs w:val="12"/>
                <w:color w:val="auto"/>
              </w:rPr>
            </w:pPr>
          </w:p>
        </w:tc>
        <w:tc>
          <w:tcPr>
            <w:tcW w:w="5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Net Sales</w:t>
            </w:r>
          </w:p>
        </w:tc>
        <w:tc>
          <w:tcPr>
            <w:tcW w:w="72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5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9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243</w:t>
            </w:r>
          </w:p>
        </w:tc>
        <w:tc>
          <w:tcPr>
            <w:tcW w:w="7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w:t>
            </w:r>
          </w:p>
        </w:tc>
        <w:tc>
          <w:tcPr>
            <w:tcW w:w="72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16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16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16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9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512</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North America On-Highway end market net sales were up 13% for the second quarter 2014 compared to the second quarter 2013, principally driven by higher demand for Rugged Duty Series and Pupil Transport/Shuttle Series models.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North America Hybrid-Propulsion Systems for Transit Bus end market net sales were up 4% for the second quarter 2014 compared to the second quarter 2013, principally driven by intra-year movement in the timing of orders.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North America Off-Highway end market net sales were up 188% for the second quarter 2014 compared to the second quarter of 2013, principally driven by higher demand from hydraulic fracturing applications.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Defense end market net sales were down 16% for the second quarter 2014 compared to the second quarter 2013, principally driven by previously considered reductions in U.S. defense spending to longer term averages experienced during periods without active conflicts, partially offset by the recognition of previously deferred revenue totaling $15.8 million commensurate with the shipment of certain tracked transmissions at the request of the U.S. government.</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Outside North America On-Highway end market net sales were down 17% for the second quarter 2014 compared to the second quarter 2013, reflecting weakness in China, Europe and South America.</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down 33% for the second quarter 2014 compared to the second quarter 2013, driven by weak demand conditions in the energy sector, partially offset by higher demand from the mining sector.</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Service parts, support equipment and other end market net sales were up 16% for the second quarter 2014 compared to the second quarter 2013, principally driven by higher demand for North America service parts and North America On-Highway support equipment commensurate with increased transmission unit volumes.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2014 and 2013, the Company recorded deferred revenue for payments received from the U.S. government for certain tracked transmissions that were not shipped at the request of the U.S. government.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second quarter of 2014, the Company shipped all tracked transmissions previously recorded as deferred revenue and recognized approximately $15.8 million in net sales for the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six months ended June 30, 2014, direct material costs were approximately 67%, overhead costs were approximately 27%, and direct labor costs were approximately 6%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U.S.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Condensed Consolidated Statements of Comprehensive Income, included in Part I, Item 1 of this Quarterly Report on Form 10-Q, or in the case of capital expenditure, as a reduction in the cost basis of the capital asset.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87"/>
              </w:rPr>
              <w:t>For the six</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right"/>
              <w:ind w:right="740"/>
              <w:spacing w:after="0" w:line="149" w:lineRule="exact"/>
              <w:rPr>
                <w:sz w:val="20"/>
                <w:szCs w:val="20"/>
                <w:color w:val="auto"/>
              </w:rPr>
            </w:pPr>
            <w:r>
              <w:rPr>
                <w:rFonts w:ascii="Arial" w:cs="Arial" w:eastAsia="Arial" w:hAnsi="Arial"/>
                <w:sz w:val="14"/>
                <w:szCs w:val="14"/>
                <w:b w:val="1"/>
                <w:bCs w:val="1"/>
                <w:color w:val="auto"/>
              </w:rPr>
              <w:t>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235"/>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335"/>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2013</w:t>
            </w: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plus: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w w:val="93"/>
              </w:rPr>
              <w:t>(39.2)</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(49.6)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(68.6)</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(79.6)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Cash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Technology-related investments expense (a)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Public offering expenses (b)</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24.7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116.6</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224.5</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interest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Cash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Restructuring charge (c)</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(gain) on foreign exchange (d)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Unrealized (gain) loss on commodity hedge contracts (e)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186.1</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171.6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351.9</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312.3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excluding technology-related license expenses (g)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84"/>
              </w:rPr>
              <w:t>186.1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171.6</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536.1</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512.1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1,029.7</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969.5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34.7%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34.2%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w w:val="94"/>
              </w:rPr>
              <w:t>Adjusted EBITDA margin excluding technology-related licenses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34.7%</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84"/>
              </w:rPr>
              <w:t>143.4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129.7</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b w:val="1"/>
                <w:bCs w:val="1"/>
                <w:color w:val="auto"/>
                <w:w w:val="93"/>
              </w:rPr>
              <w:t>(11.6)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(25.8)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Fee to terminate services agreement with Sponsors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license expenses (g)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131.8</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116.5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516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impairment charge (recorded in Other expense, net) for investments in co-development agreements to expand our position in transmission technologies.</w:t>
      </w:r>
    </w:p>
    <w:p>
      <w:pPr>
        <w:ind w:left="460" w:right="6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our secondary offerings in June 2014, April 2014 and February 2014, and proposed secondary offering in April 2013.</w:t>
      </w:r>
    </w:p>
    <w:p>
      <w:pPr>
        <w:ind w:left="460" w:right="6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and Engineering – research and development) related to employee headcount reductions in the second quarter of 2014 and second quarter of 2013.</w:t>
      </w:r>
    </w:p>
    <w:p>
      <w:pPr>
        <w:ind w:left="460" w:right="1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net) on the mark-to-market of our foreign currency hedge contracts and on intercompany financing transactions related to our India facility.</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(gains) losses (recorded in Other expense, net) on the mark-to-market of our commodity hedge contracts.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expenses, and Engineering – research and development).</w:t>
      </w: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June 30, 2014 and 2013. The following table and discussion should be read in conjunction with the information contained in our condensed consolidated financial statements and the notes thereto included in Part I, Item 1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2014 and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0"/>
              </w:rPr>
              <w:t>Three months ended 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(unaudited, 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536.1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512.1</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238.5</w:t>
            </w:r>
          </w:p>
        </w:tc>
        <w:tc>
          <w:tcPr>
            <w:tcW w:w="5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226.1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85.1</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85.6</w:t>
            </w: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106.3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108.4</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132.2</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(36.6)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(33.3)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(0.9)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(37.5)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(35.9)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(37.5)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(31.3)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50.5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sales for the quarter ended June 30, 2014 were $536.1 million compared to $512.1 million for the quarter ended June 30, 2013, an increase of 4.7%. The increase was principally driven by a $27.0 million, or 13%, increase in net sales of North American on-highway commercial products driven by higher demand from Rugged Duty Series and Pupil Transport/Shuttle Series models, a $15.0 million, or 188%, increase in net sales of North American off-highway products driven by higher demand from natural gas fracturing applications, a $15.0 million, or 16%, increase in net sales of parts and other products driven by higher demand for North America service parts and North America on-highway support equipment commensurate with increased transmission unit volumes, and a $1.0 million, or 4%, increase in net sales of North America hybrid-propulsion systems for transit buses driven by intra-year movement in the timing of orders, partially offset by a $13.0 million, or 17%, decrease in net sales of Outside North America on-highway products driven by weakness in China, Europe and South America, a $12.0 million, or 33%, decrease in net sales of Outside North America off-highway products driven by lower demand from the energy sector and a $9.0 million, or 16%, decrease in net sales of defense products due to lower U.S. defense spending. See “Trends Impacting Our Business” above for additional information on net sales by end markets.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Gross profit for the quarter ended June 30, 2014 was $238.5 million compared to $226.1 million for the quarter ended June 30, 2013, an increase of 5.5%. The increase was principally driven by $12.0 million related to increased net sales, $2.0 million of price increases on certain products and $1.0 million of favorable foreign exchange, partially offset by $3.0 million of unfavorable material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Selling, general and administrative expenses for the quarter ended June 30, 2014 were $85.1 million compared to $85.6 million for the quarter ended June 30, 2013, a decrease of 0.6%. The decrease was principally driven by $0.4 million of lower intangible asset amortization and reduced global commercial spending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Engineering expenses for the quarter ended June 30, 2014 were $21.2 million compared to $22.8 million for the quarter ended June 30, 2013, a decrease of 7.0%. The decrease was principally driven by reduced product initiatives spending.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net for the quarter ended June 30, 2014 was $36.6 million compared to $33.3 million for the quarter ended June 30, 2013, an increase of 9.9%. The increase was principally driven by $6.3 million of less favorable mark-to-market adjustments for our interest rate derivatives and $0.3 million of higher amortization of deferred financing charges, partially offset by $1.3 million of lower interest expense as a result of debt repayments and purchases, $1.3 million of lower interest expense related to our interest rate swaps and $0.7 million of lower expense as a result of lower interest rates on ATI’s Senior Secured Credit Facility Term B-2 Loan due 2017 (“Term B-2 Loan”) and ATI’s Senior Secured Credit Facility Term B-3 Loan due 2019 (“Term B-3 Loan”).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Other expense, net for the quarter ended June 30, 2014 was $0.9 million compared to $2.6 million for the quarter ended June 30, 2013, a decrease of 65.4%. The decrease in expense was principally driven by $2.5 million of favorable foreign exchange, $1.8 million of unrealized gains on derivative contracts, and $0.6 million realized gains on derivative contracts, partially offset by $1.8 million of foreign exchange loss on intercompany financing, $1.2 million of lower Grant Program income and $0.2 million of higher public offering fees and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Income tax expense for the second quarter of 2014 was $37.5 million resulting in an effective tax rate of 39.6% versus an effective tax rate of 38.3% in the second quarter of 2013. The change in effective tax rate was principally driven by the change in discrete activity.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2014 and 2013</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six months ended June 30, 2014 and 2013.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1"/>
              </w:rPr>
              <w:t>Six months ended 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gridSpan w:val="2"/>
          </w:tcPr>
          <w:p>
            <w:pPr>
              <w:spacing w:after="0"/>
              <w:rPr>
                <w:sz w:val="20"/>
                <w:szCs w:val="20"/>
                <w:color w:val="auto"/>
              </w:rPr>
            </w:pPr>
            <w:r>
              <w:rPr>
                <w:rFonts w:ascii="Arial" w:cs="Arial" w:eastAsia="Arial" w:hAnsi="Arial"/>
                <w:sz w:val="14"/>
                <w:szCs w:val="14"/>
                <w:i w:val="1"/>
                <w:iCs w:val="1"/>
                <w:color w:val="auto"/>
              </w:rPr>
              <w:t>(unaudited, dollars in millions)</w:t>
            </w: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1,029.7</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969.5</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461.0</w:t>
            </w:r>
          </w:p>
        </w:tc>
        <w:tc>
          <w:tcPr>
            <w:tcW w:w="4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424.4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168.3</w:t>
            </w:r>
          </w:p>
        </w:tc>
        <w:tc>
          <w:tcPr>
            <w:tcW w:w="4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173.5</w:t>
            </w: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214.0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225.3</w:t>
            </w: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199.1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(71.7)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(67.2)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(72.9)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126.2</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(64.7)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(48.2)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78.0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sales for the six months ended June 30, 2014 were $1,029.7 million compared to $969.5 million for the six months ended June 30, 2013, an increase of 6.2%. The increase was principally driven by a $72.0 million, or 18%, increase in net sales of North American on-highway commercial products driven by higher demand from Rugged Duty Series, Highway Series and Pupil Transport/Shuttle Series models, a $31.0 million, or 17%, increase in net sales of parts and other products driven by higher demand for global service parts and global on-highway support equipment commensurate with increased transmission unit volumes, and a $19.0 million, or 119%, increase in net sales of North American off-highway products driven by higher demand from natural gas fracturing applications, partially offset by a $32.0 million, or 28%, decrease in net sales of defense products due to lower U.S. defense spending, a $12.0 million, or 21%, decrease in net sales of Outside North America off-highway products driven by lower demand from the energy sector, a $11.0 million, or 8%, decrease in net sales of Outside North America on-highway products driven by weakness in Europe and South America, and a $6.0 million, or 10%, decrease in net sales of North America hybrid-propulsion systems for transit buses driven by lower demand due to engine emissions improvements and non-hybrid alternatives that generally require a fully-automatic transmission (e.g. xNG).</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Gross profit for the six months ended June 30, 2014 was $461.0 million compared to $424.4 million for the six months ended June 30, 2013, an increase of 8.6%. The increase was principally driven by $36.0 million related to increased net sales, $2.0 million of price increases on certain products and $3.0 million of favorable foreign exchange, partially offset by $4.0 million of higher manufacturing expense commensurate with increased net sales and $1.0 million of unfavorable material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Selling, general and administrative expenses for the six months ended June 30, 2014 were $168.3 million compared to $173.5 million for the six months ended June 30, 2013, a decrease of 3.0%. The decrease was principally driven by $5.6 million of lower intangible asset amortization and reduced global commercial spending activities and lower stock compensation expense.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Engineering expenses for the six months ended June 30, 2014 were $45.7 million compared to $51.8 million for the six months ended June 30, 2013, a decrease of 11.8%. The decrease was principally driven by $3.7 million of lower technology-related license expenses to expand our position in transmission technologies and reduced product initiatives spending.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net for the six months ended June 30, 2014 was $71.7 million compared to $67.2 million for the six months ended June 30, 2013, an increase of 6.7%. The increase was principally driven by $11.6 million of less favorable mark-to-market adjustments for our interest rate derivatives, partially offset by $2.6 million of lower interest expense as a result of debt repayments and purchases, $2.4 million of lower interest expense related to our interest rate swaps, $1.3 million of lower interest expense due to lower interest rates on ATI’s Senior Secured Credit Facility Term B-2 Loan due 2017 (“Term B-2 Loan”) and AT’s Senior Secured Credit Facility Term B-3 Loan due 2019 (“Term B-3 Loan”), and 0.8 million of lower amortization of deferred financing charges.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expense, net for the six months ended June 30, 2014 was $1.3 million compared to $5.7 million for the six months ended June 30, 2013, a decrease of 77.2%. The decrease in expense was principally driven by $3.9 million of unrealized gains on derivative contracts, a $2.5 million loss in 2013 on investments in technology-related initiatives, $1.4 million of favorable foreign exchange, $0.6 million realized gains on derivative contracts and $0.1 million of higher miscellaneous income, partially offset by $1.8 million of lower Grant Program income, $1.8 million of foreign exchange loss on intercompany financing and $0.5 million of higher public offering fees and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Income tax expense for the six months ended June 30, 2014 was $64.7 million resulting in an effective tax rate of 37.2% versus an effective tax rate of 38.2% for the six months ended June 30, 2013. The change in effective tax rate was principally driven by the change in discrete activity.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generate cash primarily from our operating activities. We had total available cash and cash equivalents of $126.7 million and $184.7 million as of June 30, 2014 and December 31, 2013, respectively. Of the available cash and cash equivalents, approximately $125.7 million and $179.7 million was deposited in operating accounts while approximately $1.0 million and $5.0 million was invested in U.S. government backed securities as of June 30, 2014 and December 31, 2013, respectively.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first quarter of 2014, we increased the revolving commitments available under the revolving portion of the Senior Secured Credit Facility (defined as the Term B-2 Loan, Term B-3 Loan and revolving credit facility) to $465.0 million, net of an allowance for up to $75.0 million in outstanding letters of credit commitments. We had $453.0 million and $395.0 million available under the revolving portion of our Senior Secured Credit Facility, net of approximately $12.0 million and $15.0 million in letters of credit issued and outstanding as of June 30, 2014 and December 31, 2013, respectively. As of June 30, 2014 and December 31, 2013, we had no outstanding borrowings on our revolving credit facility.</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dividends on common stock and working capital needs. The following table shows our sources and uses of funds for the six months ended June 30, 2014 and 2013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90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242.0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184.4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2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(24.7)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(273.1)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Operating activities for the six months ended June 30, 2014 generated $242.0 million of cash compared to $184.4 million for the six months ended June 30,</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2013. The increase was principally driven by increased net sales, higher 2013 payments related to technology-related licenses and higher other liabilities, net, partially offset by lower accounts payable, and higher accounts receivable commensurate with increased net sales.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Investing activities for the six months ended June 30, 2014 used $24.7 million of cash compared to $30.6 million for the six months ended June 30, 2013. The decrease was principally driven by a decrease of $3.1 million in capital expenditures and $2.5 million of lower 2014 investments in technology-related initiatives. The decrease in capital expenditures was principally driven by lower product initiatives spending, partially offset by increased investments in productivity and replacement programs.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Financing activities for the six months ended June 30, 2014 used $273.1 million of cash compared to $17.7 million of cash for the six months ended June 30, 2013. The increase was principally driven by $249.8 million related to the repurchase of our common stock in connection with the February 2014 and June 2014 secondary offerings by funds affiliated with The Carlyle Group and Onex Corporation (collectively, the “Sponsors”) and $10.0 million of increased dividend payments, partially offset by $2.9 million of decreased payments on our long-term debt and $2.8 million of decreased proceeds from the exercise of stock options.</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liquidity requirements are significant, primarily due to our debt service requirements. A one-eighth percent change in assumed interest rates for the Senior Secured Credit Facility, if fully drawn, as of June 30, 2014 would have no impact on interest expense due to the 1.00% LIBOR floor on our Term B-3 Loan and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revolving portion of the Senior Secured Credit Facility requires us to maintain a specified maximum total senior secured leverage ratio of 5.50x when revolving loan commitments remain outstanding at the end of a fiscal quarter. On March 12, 2014, however, the revolving lenders holding a majority of the revolving loan commitments permanently waived and agreed that no event of default would result from any non-compliance so long as there were no revolving loans outstanding as of the last day of any fiscal quarter. Throughout the six months ended June 30, 2014, we made one withdrawal and payment on the revolving credit facility as part of our debt management plans. The maximum amount outstanding at any time on the revolving credit facility was $40.0 million, and the entire balance was repaid within the quarter it was borrowed. As of June 30, 2014, we had no revolving loans outstanding, however, we would have been in compliance with the maximum total senior secured leverage ratio, achieving a 3.11x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June 30, 2014, the total leverage ratio was 3.82x.</w:t>
      </w:r>
    </w:p>
    <w:p>
      <w:pPr>
        <w:spacing w:after="0" w:line="12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to the maximum total senior secured leverage ratio for the revolving portion of the Senior Secured Credit Facility, the Senior Secured Credit Facility and the indenture governing the 7.125% Senior Notes include, among other things, customary restrictions (subject to certain exceptions) on our ability to incur certain indebtedness or liens, make certain investments or declare or pay certain dividends. As of June 30, 2014, we are in compliance with all covenants under the Senior Secured Credit Facility.</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 May 15, 2015, we may redeem some or all of the 7.125% Senior Notes at specified redemption prices in the governing indenture.</w:t>
      </w:r>
    </w:p>
    <w:p>
      <w:pPr>
        <w:spacing w:after="0" w:line="85"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To manage interest rate risk associated with our variable rate debt, we currently have eleven interest rate swap contracts as of June 30, 2014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Despite the fact that we have elected a mark-to-market approach as opposed to hedge accounting treatment, the contracts are used strictly as an economic hedge and not for speculative purposes.</w:t>
      </w:r>
    </w:p>
    <w:p>
      <w:pPr>
        <w:spacing w:after="0" w:line="13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June 30, 2014, certain of our interest rate derivatives contain credit-risk and collateral contingent features. Certain interest rate derivatives contain provisions under which downgrades in our credit rating could require us to increase our collateral. Certain interest rate derivatives also contain provisions under which we may be required to post additional collateral if LIBOR reaches certain levels. As of June 30, 2014, we have been required to post collateral of $0.0 million in cash and $2.0 million in letters of credit as a result of changes in interest rates. As of June 30, 2014, as these interest rate derivatives are close to maturity which results in the LIBOR cure reaching zero, there will be no change to the collateral requirement.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O of our condensed consolidated financial statements included in Part I, Item 1 of this Quarterly Report on Form 10-Q.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principal accounting policies are described in the “Basis of Presentation and Principles of Consolidation” section in the notes to the consolidated financial statements in Part II, Item 8 of our Annual Report on Form 10-K for the year ended December 31, 2013 as filed with the Securities and Exchange Commission on February 24, 2014.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June 30, 2014, our Sponsors each owned approximately 3% of our outstanding common stock. Pursuant to an amended and restated stockholders agreement, a majority of the Board of Directors was designated by our Sponsors and is affiliated with our Sponsors. As a result, our Sponsors or their nominees to the Board of Directors have the ability to control the appointment of our management, the entering into of mergers, sales of substantially all of our assets and other extraordinary transactions and influence amendments to our certificate of incorporation. The interests of our Sponsors could conflict with those of our other stockholders. In addition, our Sponsors may in the future own businesses that directly compete with ours.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six months ended June 30, 2014, we completed three secondary public offerings of 35,000,000, 25,000,000 and 28,750,000 shares of our common stock held by investment funds affiliated with the Sponsors at public offering prices, less underwriting discounts and commissions, of $29.95, $29.78 and $29.17 per share, respectively. In connection with the offerings, we repurchased from the underwriters 5,000,000 shares in June 2014 and 3,428,179 shares in February 2014 at the prices paid by the underwriters and subsequently retired those shares. In addition, as part of the June offering, the underwriters exercised its option to purchase an additional 5,250,000 shares from the Sponsors at an offering price of $29.95 per share, the same price at which the 35,000,000 shares of common stock were sold to the underwriter. The sales by the Sponsors resulted in their ownership decreasing to 3% of our outstanding common stock as of June 30, 2014.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As of June 30, 2014,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and changing customer needs; risks associated with our international operations; and labor strikes, work stoppages or similar labor disputes, which could significantly disrupt our operations or those of our principal customers.</w:t>
      </w:r>
    </w:p>
    <w:p>
      <w:pPr>
        <w:spacing w:after="0" w:line="12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2013 as filed with the Securities and Exchange Commission on February 24, 2014.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$2,651.1 million including $453.0 million under our revolving credit facility, net of $12.0 million of letters of credit. A one-eighth percent change in assumed interest rates for the Senior Secured Credit Facility, if fully drawn, as of June 30, 2014 would have no impact on interest expense due to the 1.00% LIBOR floor on our Term B-3 Loan and partial offset of our interest rate swaps. As of June 30, 2014, we had no outstanding borrowings against the revolving credit facility.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Notional</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4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6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12"/>
                <w:szCs w:val="12"/>
                <w:color w:val="auto"/>
              </w:rPr>
            </w:pPr>
          </w:p>
        </w:tc>
        <w:tc>
          <w:tcPr>
            <w:tcW w:w="10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43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54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millions)</w:t>
            </w:r>
          </w:p>
        </w:tc>
        <w:tc>
          <w:tcPr>
            <w:tcW w:w="6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Fixed Rate</w:t>
            </w:r>
          </w:p>
        </w:tc>
        <w:tc>
          <w:tcPr>
            <w:tcW w:w="28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H</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 Capital</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Aug 2011-Aug 2014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3.75%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I</w:t>
            </w: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Deutsche Bank</w:t>
            </w: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Aug 2011-Aug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350.0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3.77%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UBS</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2013-Aug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K</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UBS</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2013-Aug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3.05%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9"/>
              </w:rPr>
              <w:t>Barclays</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3.44%*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M</w:t>
            </w: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JP Morgan</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3.43%*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Bank of America</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3.37%*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O</w:t>
            </w: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Deutsche Bank</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3.19%*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9"/>
              </w:rPr>
              <w:t>Barclays</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3.08%*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Rate Swap Q</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Barclays</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2.99%*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Deutsche Bank</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2016-Aug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2.98%*</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 LIBOR floor of 1.00%</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F and NOTE G of the notes to our condensed consolidated financial statements included in Part I, Item 1 of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June 30, 2014, we hold hedging contracts in the Japanese Yen, which are intended to hedge either known or forecasted cash flow payments denominated in the currency. We do not hold financial instruments for trading or speculative purposes.</w:t>
      </w:r>
    </w:p>
    <w:p>
      <w:pPr>
        <w:spacing w:after="0" w:line="1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by an estimated $2 million per year. This includes the partial offset of our hedging contracts described above.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2014, 2015 and 2016, as of June 30, 2014, the hedge contracts cover approximately 44%, 29% and 6% of our aluminum requirements, respectively. We do not hold financial instruments for trading or speculative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$1 million and $4 million per year, respectively. This includes the partial offset of our hedging contracts described above.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O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2013 as filed with the Securities and Exchange Commission on 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repurchases of common stock settled during the three month period ended June 30, 2014:</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78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78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7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78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90"/>
              </w:rPr>
              <w:t>Paid per</w:t>
            </w:r>
          </w:p>
        </w:tc>
        <w:tc>
          <w:tcPr>
            <w:tcW w:w="8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7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Purchased*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42"/>
              <w:spacing w:after="0"/>
              <w:rPr>
                <w:sz w:val="20"/>
                <w:szCs w:val="20"/>
                <w:color w:val="auto"/>
              </w:rPr>
            </w:pPr>
            <w:r>
              <w:rPr>
                <w:rFonts w:ascii="Arial" w:cs="Arial" w:eastAsia="Arial" w:hAnsi="Arial"/>
                <w:sz w:val="14"/>
                <w:szCs w:val="14"/>
                <w:b w:val="1"/>
                <w:bCs w:val="1"/>
                <w:color w:val="auto"/>
              </w:rPr>
              <w:t>Share</w:t>
            </w: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7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Under Plans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April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7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May 2014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780" w:type="dxa"/>
            <w:vAlign w:val="bottom"/>
          </w:tcPr>
          <w:p>
            <w:pPr>
              <w:spacing w:after="0"/>
              <w:rPr>
                <w:sz w:val="18"/>
                <w:szCs w:val="18"/>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29.95</w:t>
            </w:r>
          </w:p>
        </w:tc>
        <w:tc>
          <w:tcPr>
            <w:tcW w:w="80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78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60" w:right="20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9, 2014, upon the completion of an offering by the Sponsors of 35,000,000 shares, we repurchased from the underwriter in the offering approximately $150.0 million, or 5,000,000 shares, of our common stock sold by the Sponsors in the offering at a price per share equal to the price at which the underwriter purchased such shares from the Sponsors.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97"/>
        </w:trPr>
        <w:tc>
          <w:tcPr>
            <w:tcW w:w="10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r>
      <w:tr>
        <w:trPr>
          <w:trHeight w:val="370"/>
        </w:trPr>
        <w:tc>
          <w:tcPr>
            <w:tcW w:w="100" w:type="dxa"/>
            <w:vAlign w:val="bottom"/>
          </w:tcPr>
          <w:p>
            <w:pPr>
              <w:spacing w:after="0"/>
              <w:rPr>
                <w:sz w:val="24"/>
                <w:szCs w:val="24"/>
                <w:color w:val="auto"/>
              </w:rPr>
            </w:pPr>
          </w:p>
        </w:tc>
        <w:tc>
          <w:tcPr>
            <w:tcW w:w="11320" w:type="dxa"/>
            <w:vAlign w:val="bottom"/>
            <w:gridSpan w:val="4"/>
          </w:tcPr>
          <w:p>
            <w:pPr>
              <w:ind w:left="360"/>
              <w:spacing w:after="0"/>
              <w:rPr>
                <w:sz w:val="20"/>
                <w:szCs w:val="20"/>
                <w:color w:val="auto"/>
              </w:rPr>
            </w:pPr>
            <w:r>
              <w:rPr>
                <w:rFonts w:ascii="Arial" w:cs="Arial" w:eastAsia="Arial" w:hAnsi="Arial"/>
                <w:sz w:val="18"/>
                <w:szCs w:val="18"/>
                <w:color w:val="auto"/>
              </w:rPr>
              <w:t>(a) Exhibits</w:t>
            </w:r>
          </w:p>
        </w:tc>
      </w:tr>
      <w:tr>
        <w:trPr>
          <w:trHeight w:val="340"/>
        </w:trPr>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80" w:type="dxa"/>
            <w:vAlign w:val="bottom"/>
          </w:tcPr>
          <w:p>
            <w:pPr>
              <w:spacing w:after="0"/>
              <w:rPr>
                <w:sz w:val="14"/>
                <w:szCs w:val="14"/>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00"/>
              <w:spacing w:after="0"/>
              <w:rPr>
                <w:sz w:val="20"/>
                <w:szCs w:val="20"/>
                <w:color w:val="auto"/>
              </w:rPr>
            </w:pPr>
            <w:r>
              <w:rPr>
                <w:rFonts w:ascii="Arial" w:cs="Arial" w:eastAsia="Arial" w:hAnsi="Arial"/>
                <w:sz w:val="18"/>
                <w:szCs w:val="18"/>
                <w:color w:val="auto"/>
              </w:rPr>
              <w:t>10.36</w:t>
            </w:r>
          </w:p>
        </w:tc>
        <w:tc>
          <w:tcPr>
            <w:tcW w:w="10540" w:type="dxa"/>
            <w:vAlign w:val="bottom"/>
          </w:tcPr>
          <w:p>
            <w:pPr>
              <w:ind w:left="120"/>
              <w:spacing w:after="0"/>
              <w:rPr>
                <w:sz w:val="20"/>
                <w:szCs w:val="20"/>
                <w:color w:val="auto"/>
              </w:rPr>
            </w:pPr>
            <w:r>
              <w:rPr>
                <w:rFonts w:ascii="Arial" w:cs="Arial" w:eastAsia="Arial" w:hAnsi="Arial"/>
                <w:sz w:val="18"/>
                <w:szCs w:val="18"/>
                <w:color w:val="auto"/>
                <w:w w:val="89"/>
              </w:rPr>
              <w:t>Amendment No. 10 to the Credit Agreement, dated as of April 14, 2014, among Allison Transmission Holdings, Inc., Allison Transmission, Inc., as</w:t>
            </w:r>
          </w:p>
        </w:tc>
      </w:tr>
      <w:tr>
        <w:trPr>
          <w:trHeight w:val="216"/>
        </w:trPr>
        <w:tc>
          <w:tcPr>
            <w:tcW w:w="8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w w:val="89"/>
              </w:rPr>
              <w:t>Borrower, the several banks and other financial institutions or entities from time to time parties thereto as Lenders, Citicorp North America, Inc., as</w:t>
            </w:r>
          </w:p>
        </w:tc>
      </w:tr>
      <w:tr>
        <w:trPr>
          <w:trHeight w:val="216"/>
        </w:trPr>
        <w:tc>
          <w:tcPr>
            <w:tcW w:w="800" w:type="dxa"/>
            <w:vAlign w:val="bottom"/>
          </w:tcPr>
          <w:p>
            <w:pPr>
              <w:spacing w:after="0"/>
              <w:rPr>
                <w:sz w:val="18"/>
                <w:szCs w:val="18"/>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w w:val="89"/>
              </w:rPr>
              <w:t>Administrative Agent and the other agents and arrangers party thereto (incorporated by reference to Exhibit 10.1 to the Registrant’s Current Report</w:t>
            </w:r>
          </w:p>
        </w:tc>
      </w:tr>
      <w:tr>
        <w:trPr>
          <w:trHeight w:val="222"/>
        </w:trPr>
        <w:tc>
          <w:tcPr>
            <w:tcW w:w="800" w:type="dxa"/>
            <w:vAlign w:val="bottom"/>
          </w:tcPr>
          <w:p>
            <w:pPr>
              <w:spacing w:after="0"/>
              <w:rPr>
                <w:sz w:val="19"/>
                <w:szCs w:val="19"/>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rPr>
              <w:t>on Form 8-K filed April 15, 2014)</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10.37</w:t>
            </w:r>
          </w:p>
        </w:tc>
        <w:tc>
          <w:tcPr>
            <w:tcW w:w="10540" w:type="dxa"/>
            <w:vAlign w:val="bottom"/>
          </w:tcPr>
          <w:p>
            <w:pPr>
              <w:ind w:left="120"/>
              <w:spacing w:after="0"/>
              <w:rPr>
                <w:sz w:val="20"/>
                <w:szCs w:val="20"/>
                <w:color w:val="auto"/>
              </w:rPr>
            </w:pPr>
            <w:r>
              <w:rPr>
                <w:rFonts w:ascii="Arial" w:cs="Arial" w:eastAsia="Arial" w:hAnsi="Arial"/>
                <w:sz w:val="18"/>
                <w:szCs w:val="18"/>
                <w:color w:val="auto"/>
                <w:w w:val="92"/>
              </w:rPr>
              <w:t>Employment Agreement between Allison Transmission, Inc. and Lawrence E. Dewey, dated as of April 15, 2014 (incorporated by reference to</w:t>
            </w:r>
          </w:p>
        </w:tc>
      </w:tr>
      <w:tr>
        <w:trPr>
          <w:trHeight w:val="222"/>
        </w:trPr>
        <w:tc>
          <w:tcPr>
            <w:tcW w:w="800" w:type="dxa"/>
            <w:vAlign w:val="bottom"/>
          </w:tcPr>
          <w:p>
            <w:pPr>
              <w:spacing w:after="0"/>
              <w:rPr>
                <w:sz w:val="19"/>
                <w:szCs w:val="19"/>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rPr>
              <w:t>Exhibit 10.2 to the Registrant’s Current Report on Form 8-K filed April 15, 2014)*</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10.38</w:t>
            </w:r>
          </w:p>
        </w:tc>
        <w:tc>
          <w:tcPr>
            <w:tcW w:w="10540" w:type="dxa"/>
            <w:vAlign w:val="bottom"/>
          </w:tcPr>
          <w:p>
            <w:pPr>
              <w:ind w:left="120"/>
              <w:spacing w:after="0"/>
              <w:rPr>
                <w:sz w:val="20"/>
                <w:szCs w:val="20"/>
                <w:color w:val="auto"/>
              </w:rPr>
            </w:pPr>
            <w:r>
              <w:rPr>
                <w:rFonts w:ascii="Arial" w:cs="Arial" w:eastAsia="Arial" w:hAnsi="Arial"/>
                <w:sz w:val="18"/>
                <w:szCs w:val="18"/>
                <w:color w:val="auto"/>
                <w:w w:val="89"/>
              </w:rPr>
              <w:t>Employment Agreement between Allison Transmission, Inc. and David S. Graziosi, dated as of April 15, 2014 (incorporated by reference to Exhibit</w:t>
            </w:r>
          </w:p>
        </w:tc>
      </w:tr>
      <w:tr>
        <w:trPr>
          <w:trHeight w:val="222"/>
        </w:trPr>
        <w:tc>
          <w:tcPr>
            <w:tcW w:w="800" w:type="dxa"/>
            <w:vAlign w:val="bottom"/>
          </w:tcPr>
          <w:p>
            <w:pPr>
              <w:spacing w:after="0"/>
              <w:rPr>
                <w:sz w:val="19"/>
                <w:szCs w:val="19"/>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rPr>
              <w:t>10.3 to the Registrant’s Current Report on Form 8-K filed April 15, 2014)*</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10.39</w:t>
            </w:r>
          </w:p>
        </w:tc>
        <w:tc>
          <w:tcPr>
            <w:tcW w:w="10540" w:type="dxa"/>
            <w:vAlign w:val="bottom"/>
          </w:tcPr>
          <w:p>
            <w:pPr>
              <w:ind w:left="120"/>
              <w:spacing w:after="0"/>
              <w:rPr>
                <w:sz w:val="20"/>
                <w:szCs w:val="20"/>
                <w:color w:val="auto"/>
              </w:rPr>
            </w:pPr>
            <w:r>
              <w:rPr>
                <w:rFonts w:ascii="Arial" w:cs="Arial" w:eastAsia="Arial" w:hAnsi="Arial"/>
                <w:sz w:val="18"/>
                <w:szCs w:val="18"/>
                <w:color w:val="auto"/>
              </w:rPr>
              <w:t>Amended and Restated Non-Employee Director Compensation Policy*</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10.40</w:t>
            </w:r>
          </w:p>
        </w:tc>
        <w:tc>
          <w:tcPr>
            <w:tcW w:w="10540" w:type="dxa"/>
            <w:vAlign w:val="bottom"/>
          </w:tcPr>
          <w:p>
            <w:pPr>
              <w:ind w:left="120"/>
              <w:spacing w:after="0"/>
              <w:rPr>
                <w:sz w:val="20"/>
                <w:szCs w:val="20"/>
                <w:color w:val="auto"/>
              </w:rPr>
            </w:pPr>
            <w:r>
              <w:rPr>
                <w:rFonts w:ascii="Arial" w:cs="Arial" w:eastAsia="Arial" w:hAnsi="Arial"/>
                <w:sz w:val="18"/>
                <w:szCs w:val="18"/>
                <w:color w:val="auto"/>
              </w:rPr>
              <w:t>Form of 2011 Equity Incentive Award Plan Restricted Stock Unit Agreement for Non-Employee Directors for 2014 Compensation*</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054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Rule 13a-14(a)/15d-14(a) as adopted pursuant to</w:t>
            </w:r>
          </w:p>
        </w:tc>
      </w:tr>
      <w:tr>
        <w:trPr>
          <w:trHeight w:val="222"/>
        </w:trPr>
        <w:tc>
          <w:tcPr>
            <w:tcW w:w="800" w:type="dxa"/>
            <w:vAlign w:val="bottom"/>
          </w:tcPr>
          <w:p>
            <w:pPr>
              <w:spacing w:after="0"/>
              <w:rPr>
                <w:sz w:val="19"/>
                <w:szCs w:val="19"/>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054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Rule 13a-14(a)/15d-14(a) as adopted pursuant to</w:t>
            </w:r>
          </w:p>
        </w:tc>
      </w:tr>
      <w:tr>
        <w:trPr>
          <w:trHeight w:val="222"/>
        </w:trPr>
        <w:tc>
          <w:tcPr>
            <w:tcW w:w="800" w:type="dxa"/>
            <w:vAlign w:val="bottom"/>
          </w:tcPr>
          <w:p>
            <w:pPr>
              <w:spacing w:after="0"/>
              <w:rPr>
                <w:sz w:val="19"/>
                <w:szCs w:val="19"/>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0540" w:type="dxa"/>
            <w:vAlign w:val="bottom"/>
          </w:tcPr>
          <w:p>
            <w:pPr>
              <w:ind w:left="120"/>
              <w:spacing w:after="0"/>
              <w:rPr>
                <w:sz w:val="20"/>
                <w:szCs w:val="20"/>
                <w:color w:val="auto"/>
              </w:rPr>
            </w:pPr>
            <w:r>
              <w:rPr>
                <w:rFonts w:ascii="Arial" w:cs="Arial" w:eastAsia="Arial" w:hAnsi="Arial"/>
                <w:sz w:val="18"/>
                <w:szCs w:val="18"/>
                <w:color w:val="auto"/>
                <w:w w:val="89"/>
              </w:rPr>
              <w:t>Certification of Periodic Report by Chief Executive Officer and Chief Financial Officer pursuant to 18 U.S.C. Section 1350, as adopted pursuant to</w:t>
            </w:r>
          </w:p>
        </w:tc>
      </w:tr>
      <w:tr>
        <w:trPr>
          <w:trHeight w:val="222"/>
        </w:trPr>
        <w:tc>
          <w:tcPr>
            <w:tcW w:w="800" w:type="dxa"/>
            <w:vAlign w:val="bottom"/>
          </w:tcPr>
          <w:p>
            <w:pPr>
              <w:spacing w:after="0"/>
              <w:rPr>
                <w:sz w:val="19"/>
                <w:szCs w:val="19"/>
                <w:color w:val="auto"/>
              </w:rPr>
            </w:pPr>
          </w:p>
        </w:tc>
        <w:tc>
          <w:tcPr>
            <w:tcW w:w="1054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 (filed herewith)</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7980" w:type="dxa"/>
            <w:vAlign w:val="bottom"/>
            <w:gridSpan w:val="3"/>
          </w:tcPr>
          <w:p>
            <w:pPr>
              <w:ind w:left="206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3"/>
        </w:trPr>
        <w:tc>
          <w:tcPr>
            <w:tcW w:w="3440" w:type="dxa"/>
            <w:vAlign w:val="bottom"/>
          </w:tcPr>
          <w:p>
            <w:pPr>
              <w:spacing w:after="0"/>
              <w:rPr>
                <w:sz w:val="20"/>
                <w:szCs w:val="20"/>
                <w:color w:val="auto"/>
              </w:rPr>
            </w:pPr>
            <w:r>
              <w:rPr>
                <w:rFonts w:ascii="Arial" w:cs="Arial" w:eastAsia="Arial" w:hAnsi="Arial"/>
                <w:sz w:val="18"/>
                <w:szCs w:val="18"/>
                <w:color w:val="auto"/>
              </w:rPr>
              <w:t>Date: July 25, 2014</w:t>
            </w: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r>
      <w:tr>
        <w:trPr>
          <w:trHeight w:val="216"/>
        </w:trPr>
        <w:tc>
          <w:tcPr>
            <w:tcW w:w="3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Name:  Lawrence E. Dewey</w:t>
            </w:r>
          </w:p>
        </w:tc>
      </w:tr>
      <w:tr>
        <w:trPr>
          <w:trHeight w:val="222"/>
        </w:trPr>
        <w:tc>
          <w:tcPr>
            <w:tcW w:w="3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Chairman, President and Chief Executive Officer</w:t>
            </w:r>
          </w:p>
        </w:tc>
      </w:tr>
      <w:tr>
        <w:trPr>
          <w:trHeight w:val="433"/>
        </w:trPr>
        <w:tc>
          <w:tcPr>
            <w:tcW w:w="3440" w:type="dxa"/>
            <w:vAlign w:val="bottom"/>
          </w:tcPr>
          <w:p>
            <w:pPr>
              <w:spacing w:after="0"/>
              <w:rPr>
                <w:sz w:val="20"/>
                <w:szCs w:val="20"/>
                <w:color w:val="auto"/>
              </w:rPr>
            </w:pPr>
            <w:r>
              <w:rPr>
                <w:rFonts w:ascii="Arial" w:cs="Arial" w:eastAsia="Arial" w:hAnsi="Arial"/>
                <w:sz w:val="18"/>
                <w:szCs w:val="18"/>
                <w:color w:val="auto"/>
              </w:rPr>
              <w:t>Date: July 25, 2014</w:t>
            </w: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r>
      <w:tr>
        <w:trPr>
          <w:trHeight w:val="216"/>
        </w:trPr>
        <w:tc>
          <w:tcPr>
            <w:tcW w:w="3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Name:  David S. Graziosi</w:t>
            </w:r>
          </w:p>
        </w:tc>
      </w:tr>
      <w:tr>
        <w:trPr>
          <w:trHeight w:val="216"/>
        </w:trPr>
        <w:tc>
          <w:tcPr>
            <w:tcW w:w="3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00"/>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3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Financial Officer and Treasurer</w:t>
            </w:r>
          </w:p>
        </w:tc>
      </w:tr>
      <w:tr>
        <w:trPr>
          <w:trHeight w:val="222"/>
        </w:trPr>
        <w:tc>
          <w:tcPr>
            <w:tcW w:w="3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440" w:type="dxa"/>
            <w:vAlign w:val="bottom"/>
          </w:tcPr>
          <w:p>
            <w:pPr>
              <w:spacing w:after="0"/>
              <w:rPr>
                <w:sz w:val="24"/>
                <w:szCs w:val="24"/>
                <w:color w:val="auto"/>
              </w:rPr>
            </w:pP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10.39</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ALLISON TRANSMISSION HOLDINGS, INC.</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65" w:lineRule="exact"/>
        <w:rPr>
          <w:sz w:val="20"/>
          <w:szCs w:val="20"/>
          <w:color w:val="auto"/>
        </w:rPr>
      </w:pPr>
    </w:p>
    <w:p>
      <w:pPr>
        <w:ind w:right="60" w:firstLine="464"/>
        <w:spacing w:after="0" w:line="283"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This Amended and Restated Non-Employee Director Compensation Policy (the “</w:t>
      </w:r>
      <w:r>
        <w:rPr>
          <w:rFonts w:ascii="Arial" w:cs="Arial" w:eastAsia="Arial" w:hAnsi="Arial"/>
          <w:sz w:val="16"/>
          <w:szCs w:val="16"/>
          <w:u w:val="single" w:color="auto"/>
          <w:color w:val="auto"/>
        </w:rPr>
        <w:t>Policy</w:t>
      </w:r>
      <w:r>
        <w:rPr>
          <w:rFonts w:ascii="Arial" w:cs="Arial" w:eastAsia="Arial" w:hAnsi="Arial"/>
          <w:sz w:val="16"/>
          <w:szCs w:val="16"/>
          <w:color w:val="auto"/>
        </w:rPr>
        <w:t>”) as set forth herein, amends and restates that certain Non-Employee Director Compensation Policy, previously adopted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Allison Transmission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but undefined terms used herein shall have the meanings provided for in the Allison Transmission Holdings, Inc. 2011 Equity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Notwithstanding any provision of this Policy to the contrary, other than Thomas Rabaut (beginning as of the date of the Company’s</w:t>
      </w:r>
    </w:p>
    <w:p>
      <w:pPr>
        <w:spacing w:after="0" w:line="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2014 annual shareholders meeting), no member of the Board who is a representative of TC Group, L.L.C. or Onex Corporation (as determined by the Board) shall be eligible to receive any compensation hereunder unless or until otherwise determined by the Board.</w:t>
      </w:r>
    </w:p>
    <w:p>
      <w:pPr>
        <w:spacing w:after="0" w:line="137" w:lineRule="exact"/>
        <w:rPr>
          <w:rFonts w:ascii="Arial" w:cs="Arial" w:eastAsia="Arial" w:hAnsi="Arial"/>
          <w:sz w:val="16"/>
          <w:szCs w:val="16"/>
          <w:color w:val="auto"/>
        </w:rPr>
      </w:pPr>
    </w:p>
    <w:p>
      <w:pPr>
        <w:ind w:right="280" w:firstLine="464"/>
        <w:spacing w:after="0" w:line="268"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Annual Retainer and Other Fees</w:t>
      </w:r>
      <w:r>
        <w:rPr>
          <w:rFonts w:ascii="Arial" w:cs="Arial" w:eastAsia="Arial" w:hAnsi="Arial"/>
          <w:sz w:val="18"/>
          <w:szCs w:val="18"/>
          <w:color w:val="auto"/>
        </w:rPr>
        <w:t>. Each member of the Board who is not or has not been employed by the Company or one of its subsidiaries (a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be entitled to an annual retainer and other fee(s) as follows: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annual retainer fee for service on the Board until the Company’s 2015 annual shareholders meeting shall be $100,000 (such amount,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Retainer</w:t>
      </w:r>
      <w:r>
        <w:rPr>
          <w:rFonts w:ascii="Arial" w:cs="Arial" w:eastAsia="Arial" w:hAnsi="Arial"/>
          <w:sz w:val="16"/>
          <w:szCs w:val="16"/>
          <w:color w:val="auto"/>
        </w:rPr>
        <w:t xml:space="preserve">”), with $75,000 of the Annual Retainer payable pursuant to the Non-Employee Director’s election made in calendar year 2013 </w:t>
      </w:r>
      <w:r>
        <w:rPr>
          <w:rFonts w:ascii="Arial" w:cs="Arial" w:eastAsia="Arial" w:hAnsi="Arial"/>
          <w:sz w:val="16"/>
          <w:szCs w:val="16"/>
          <w:i w:val="1"/>
          <w:iCs w:val="1"/>
          <w:color w:val="auto"/>
        </w:rPr>
        <w:t>either</w:t>
      </w:r>
      <w:r>
        <w:rPr>
          <w:rFonts w:ascii="Arial" w:cs="Arial" w:eastAsia="Arial" w:hAnsi="Arial"/>
          <w:sz w:val="16"/>
          <w:szCs w:val="16"/>
          <w:color w:val="auto"/>
        </w:rPr>
        <w:t xml:space="preserve"> 100%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fully vested Common Stock granted under the Plan (valued based on the Fair Market Value of the Common Stock on the date of grant), </w:t>
      </w:r>
      <w:r>
        <w:rPr>
          <w:rFonts w:ascii="Arial" w:cs="Arial" w:eastAsia="Arial" w:hAnsi="Arial"/>
          <w:sz w:val="16"/>
          <w:szCs w:val="16"/>
          <w:i w:val="1"/>
          <w:iCs w:val="1"/>
          <w:color w:val="auto"/>
        </w:rPr>
        <w:t>or</w:t>
      </w:r>
      <w:r>
        <w:rPr>
          <w:rFonts w:ascii="Arial" w:cs="Arial" w:eastAsia="Arial" w:hAnsi="Arial"/>
          <w:sz w:val="16"/>
          <w:szCs w:val="16"/>
          <w:color w:val="auto"/>
        </w:rPr>
        <w:t xml:space="preserve"> 50% in fully vested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Common Stock granted under the Plan and 50% in cash, and with $25,000 of the Annual Retainer payable 100% in fully vested Common Stock granted under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Plan (valued based on the Fair Market Value of the Common Stock on the date of grant);</w:t>
      </w:r>
    </w:p>
    <w:p>
      <w:pPr>
        <w:spacing w:after="0" w:line="165"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b. Beginning with the Company’s 2015 annual shareholders meeting, the annual retainer fee for service on the Board shall be $75,000 (such amount shall also be referred to as, the “</w:t>
      </w:r>
      <w:r>
        <w:rPr>
          <w:rFonts w:ascii="Arial" w:cs="Arial" w:eastAsia="Arial" w:hAnsi="Arial"/>
          <w:sz w:val="16"/>
          <w:szCs w:val="16"/>
          <w:u w:val="single" w:color="auto"/>
          <w:color w:val="auto"/>
        </w:rPr>
        <w:t>Annual Retainer</w:t>
      </w:r>
      <w:r>
        <w:rPr>
          <w:rFonts w:ascii="Arial" w:cs="Arial" w:eastAsia="Arial" w:hAnsi="Arial"/>
          <w:sz w:val="16"/>
          <w:szCs w:val="16"/>
          <w:color w:val="auto"/>
        </w:rPr>
        <w:t xml:space="preserve">”), with the Annual Retainer payable at the Non-Employee Director’s election </w:t>
      </w:r>
      <w:r>
        <w:rPr>
          <w:rFonts w:ascii="Arial" w:cs="Arial" w:eastAsia="Arial" w:hAnsi="Arial"/>
          <w:sz w:val="16"/>
          <w:szCs w:val="16"/>
          <w:i w:val="1"/>
          <w:iCs w:val="1"/>
          <w:color w:val="auto"/>
        </w:rPr>
        <w:t>either</w:t>
      </w:r>
      <w:r>
        <w:rPr>
          <w:rFonts w:ascii="Arial" w:cs="Arial" w:eastAsia="Arial" w:hAnsi="Arial"/>
          <w:sz w:val="16"/>
          <w:szCs w:val="16"/>
          <w:color w:val="auto"/>
        </w:rPr>
        <w:t xml:space="preserve"> 100% in fully vested Common Stock granted under the Plan (valued based on the Fair Market Value of the Common Stock on the date of grant), 100% in cash, </w:t>
      </w:r>
      <w:r>
        <w:rPr>
          <w:rFonts w:ascii="Arial" w:cs="Arial" w:eastAsia="Arial" w:hAnsi="Arial"/>
          <w:sz w:val="16"/>
          <w:szCs w:val="16"/>
          <w:i w:val="1"/>
          <w:iCs w:val="1"/>
          <w:color w:val="auto"/>
        </w:rPr>
        <w:t>or</w:t>
      </w:r>
      <w:r>
        <w:rPr>
          <w:rFonts w:ascii="Arial" w:cs="Arial" w:eastAsia="Arial" w:hAnsi="Arial"/>
          <w:sz w:val="16"/>
          <w:szCs w:val="16"/>
          <w:color w:val="auto"/>
        </w:rPr>
        <w:t xml:space="preserve"> 50% in fully vested Common Stock granted under the Plan and 50% in cash (if no election is made, the Annual Retainer will be paid 100% in cash);</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The annual retainer fee for service as Chair of the Audit Committee shall be an additional $20,000, payable in cash (the “</w:t>
      </w:r>
      <w:r>
        <w:rPr>
          <w:rFonts w:ascii="Arial" w:cs="Arial" w:eastAsia="Arial" w:hAnsi="Arial"/>
          <w:sz w:val="16"/>
          <w:szCs w:val="16"/>
          <w:u w:val="single" w:color="auto"/>
          <w:color w:val="auto"/>
        </w:rPr>
        <w:t>Audit Chair Fee</w:t>
      </w:r>
      <w:r>
        <w:rPr>
          <w:rFonts w:ascii="Arial" w:cs="Arial" w:eastAsia="Arial" w:hAnsi="Arial"/>
          <w:sz w:val="16"/>
          <w:szCs w:val="16"/>
          <w:color w:val="auto"/>
        </w:rPr>
        <w:t>”);</w:t>
      </w:r>
    </w:p>
    <w:p>
      <w:pPr>
        <w:spacing w:after="0" w:line="194"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d. The annual retainer fee for service as a Chair of a committee of the Board (other than the Audit Committee) shall be an additional $10,000, payable in cash (the “</w:t>
      </w:r>
      <w:r>
        <w:rPr>
          <w:rFonts w:ascii="Arial" w:cs="Arial" w:eastAsia="Arial" w:hAnsi="Arial"/>
          <w:sz w:val="18"/>
          <w:szCs w:val="18"/>
          <w:u w:val="single" w:color="auto"/>
          <w:color w:val="auto"/>
        </w:rPr>
        <w:t>Other Chair Fee</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35" w:name="page36"/>
    <w:bookmarkEnd w:id="35"/>
    <w:p>
      <w:pPr>
        <w:ind w:right="4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 The annual retainer fee for service as a Non-Employee Director on the Audit Committee or the Government Security Committee shall be an additional $10,000, payable in cash (the “Audit and </w:t>
      </w:r>
      <w:r>
        <w:rPr>
          <w:rFonts w:ascii="Arial" w:cs="Arial" w:eastAsia="Arial" w:hAnsi="Arial"/>
          <w:sz w:val="18"/>
          <w:szCs w:val="18"/>
          <w:u w:val="single" w:color="auto"/>
          <w:color w:val="auto"/>
        </w:rPr>
        <w:t>Government Security Committee Service Fee</w:t>
      </w:r>
      <w:r>
        <w:rPr>
          <w:rFonts w:ascii="Arial" w:cs="Arial" w:eastAsia="Arial" w:hAnsi="Arial"/>
          <w:sz w:val="18"/>
          <w:szCs w:val="18"/>
          <w:color w:val="auto"/>
        </w:rPr>
        <w:t>”);</w:t>
      </w:r>
    </w:p>
    <w:p>
      <w:pPr>
        <w:spacing w:after="0" w:line="132"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f. The annual retainer fee for service on a committee of the Board other than the Audit or Government Security Committee shall be an additional $5,000, payable in cash (the “</w:t>
      </w:r>
      <w:r>
        <w:rPr>
          <w:rFonts w:ascii="Arial" w:cs="Arial" w:eastAsia="Arial" w:hAnsi="Arial"/>
          <w:sz w:val="18"/>
          <w:szCs w:val="18"/>
          <w:u w:val="single" w:color="auto"/>
          <w:color w:val="auto"/>
        </w:rPr>
        <w:t>Other Committee Service Fee</w:t>
      </w:r>
      <w:r>
        <w:rPr>
          <w:rFonts w:ascii="Arial" w:cs="Arial" w:eastAsia="Arial" w:hAnsi="Arial"/>
          <w:sz w:val="18"/>
          <w:szCs w:val="18"/>
          <w:color w:val="auto"/>
        </w:rPr>
        <w:t>”); and</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g. The Board leadership fee for service as the Non-Executive Chairman of the Board shall be an additional $75,000, payable in cash (the “Non-Executive Chairman Fee”); and</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h. The Board leadership fee for service as the Lead Director of the Board shall be an additional $15,000 (the “Lead Director Fee,” and together with the fees in clauses (c) through (g), the “</w:t>
      </w: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In no event shall a Non-Employee Director receive a fee pursuant to clause (e) or (f) with respect to a committee that the Non-Employee Director serves as its Chair for the applicable year.</w:t>
      </w:r>
    </w:p>
    <w:p>
      <w:pPr>
        <w:spacing w:after="0" w:line="132" w:lineRule="exact"/>
        <w:rPr>
          <w:sz w:val="20"/>
          <w:szCs w:val="20"/>
          <w:color w:val="auto"/>
        </w:rPr>
      </w:pPr>
    </w:p>
    <w:p>
      <w:pPr>
        <w:ind w:right="20" w:firstLine="464"/>
        <w:spacing w:after="0" w:line="290"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Timing of Payment of Annual Retainer and Other Fees</w:t>
      </w:r>
      <w:r>
        <w:rPr>
          <w:rFonts w:ascii="Arial" w:cs="Arial" w:eastAsia="Arial" w:hAnsi="Arial"/>
          <w:sz w:val="16"/>
          <w:szCs w:val="16"/>
          <w:color w:val="auto"/>
        </w:rPr>
        <w:t>. The Annual Retainer and Other Fees payable hereunder are intended to cover service from one regular annual shareholders meeting to the next and, unless a deferral election is made as provided below, the Annual Retainer and Other Fees shall be paid quarterly in arrears in equal installments following the date of the Company’s annual shareholders meeting, without any requirement of additional Board action in connection therewith; provided, however, the Annual Retainer and Other Fees for the service period that begins at the Company’s 2014 annual shareholders meeting and ends at the next annual shareholders meeting shall be paid in full (instead of in arrears) on the next business day following the date of the Company’s 2014 annual shareholders meeting, without any requirement of additional Board action in connection therewith. The Annual Retainer and Other Fees shall be subject to the Non-Employee Director’s continued service on the Board on each applicable payment date.</w:t>
      </w:r>
    </w:p>
    <w:p>
      <w:pPr>
        <w:spacing w:after="0" w:line="118" w:lineRule="exact"/>
        <w:rPr>
          <w:rFonts w:ascii="Arial" w:cs="Arial" w:eastAsia="Arial" w:hAnsi="Arial"/>
          <w:sz w:val="16"/>
          <w:szCs w:val="16"/>
          <w:color w:val="auto"/>
        </w:rPr>
      </w:pPr>
    </w:p>
    <w:p>
      <w:pPr>
        <w:ind w:firstLine="464"/>
        <w:spacing w:after="0" w:line="288" w:lineRule="auto"/>
        <w:tabs>
          <w:tab w:leader="none" w:pos="6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Annual Equity Award</w:t>
      </w:r>
      <w:r>
        <w:rPr>
          <w:rFonts w:ascii="Arial" w:cs="Arial" w:eastAsia="Arial" w:hAnsi="Arial"/>
          <w:sz w:val="16"/>
          <w:szCs w:val="16"/>
          <w:color w:val="auto"/>
        </w:rPr>
        <w:t>. Each Non-Employee Director shall be entitled to an annual grant of Restricted Stock Units under the Plan covering shares of Common Stock with a grant date Fair Market Value of $100,000 (the “</w:t>
      </w:r>
      <w:r>
        <w:rPr>
          <w:rFonts w:ascii="Arial" w:cs="Arial" w:eastAsia="Arial" w:hAnsi="Arial"/>
          <w:sz w:val="16"/>
          <w:szCs w:val="16"/>
          <w:u w:val="single" w:color="auto"/>
          <w:color w:val="auto"/>
        </w:rPr>
        <w:t>Annual Equity Award</w:t>
      </w:r>
      <w:r>
        <w:rPr>
          <w:rFonts w:ascii="Arial" w:cs="Arial" w:eastAsia="Arial" w:hAnsi="Arial"/>
          <w:sz w:val="16"/>
          <w:szCs w:val="16"/>
          <w:color w:val="auto"/>
        </w:rPr>
        <w:t>”). The Annual Equity Award shall be granted as of the next business day after the date of the Company’s annual shareholders meeting, without any requirement of additional Board action in connection therewith, and will vest on the first to occur of (A) date of the Company’s next regular annual shareholders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w:t>
      </w:r>
    </w:p>
    <w:p>
      <w:pPr>
        <w:sectPr>
          <w:pgSz w:w="11900" w:h="16838" w:orient="portrait"/>
          <w:cols w:equalWidth="0" w:num="1">
            <w:col w:w="11400"/>
          </w:cols>
          <w:pgMar w:left="240" w:top="280" w:right="259" w:bottom="1440" w:gutter="0" w:footer="0" w:header="0"/>
        </w:sectPr>
      </w:pPr>
    </w:p>
    <w:bookmarkStart w:id="36" w:name="page37"/>
    <w:bookmarkEnd w:id="36"/>
    <w:p>
      <w:pPr>
        <w:ind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actual shares of Common Stock, or, at the Company’s election, cash, in either case promptly (within 30 days) upon vesting. Notwithstanding the foregoing, the first Annual Equity Award shall only have a grant date Fair Market Value of $75,000 and Richard Reynolds’ firs Annual Equity Award shall only have a grant dare Fair Market Value of $37,500. Mr. Reynolds’ shall be entitled to a cash payment equal to $37,500 as an advance for meeting fees for service between the Company’s 2014 annual shareholders meeting and the Company’s 2015 annual shareholders meeting. Such cash payment shall be paid in a single lump sum on the next business day after the date of the Company’s 2014 annual shareholders meeting. In the event that Mr. Reynolds ceases to serve as a Non-Employee Director prior to the date of the Company’s 2015 annual shareholders meeting, the $37,500 cash payment may be subject to clawback or recoupment, as determined by the Board.</w:t>
      </w:r>
    </w:p>
    <w:p>
      <w:pPr>
        <w:spacing w:after="0" w:line="118" w:lineRule="exact"/>
        <w:rPr>
          <w:sz w:val="20"/>
          <w:szCs w:val="20"/>
          <w:color w:val="auto"/>
        </w:rPr>
      </w:pPr>
    </w:p>
    <w:p>
      <w:pPr>
        <w:ind w:right="40" w:firstLine="464"/>
        <w:spacing w:after="0" w:line="285"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Deferral Elections</w:t>
      </w:r>
      <w:r>
        <w:rPr>
          <w:rFonts w:ascii="Arial" w:cs="Arial" w:eastAsia="Arial" w:hAnsi="Arial"/>
          <w:sz w:val="16"/>
          <w:szCs w:val="16"/>
          <w:color w:val="auto"/>
        </w:rPr>
        <w:t>. A Non-Employee Director may elect to receive deferred stock units (“</w:t>
      </w:r>
      <w:r>
        <w:rPr>
          <w:rFonts w:ascii="Arial" w:cs="Arial" w:eastAsia="Arial" w:hAnsi="Arial"/>
          <w:sz w:val="16"/>
          <w:szCs w:val="16"/>
          <w:u w:val="single" w:color="auto"/>
          <w:color w:val="auto"/>
        </w:rPr>
        <w:t>Deferred Stock</w:t>
      </w:r>
      <w:r>
        <w:rPr>
          <w:rFonts w:ascii="Arial" w:cs="Arial" w:eastAsia="Arial" w:hAnsi="Arial"/>
          <w:sz w:val="16"/>
          <w:szCs w:val="16"/>
          <w:color w:val="auto"/>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Arial" w:cs="Arial" w:eastAsia="Arial" w:hAnsi="Arial"/>
          <w:sz w:val="16"/>
          <w:szCs w:val="16"/>
          <w:u w:val="single" w:color="auto"/>
          <w:color w:val="auto"/>
        </w:rPr>
        <w:t>Director Deferred Compensation Plan</w:t>
      </w:r>
      <w:r>
        <w:rPr>
          <w:rFonts w:ascii="Arial" w:cs="Arial" w:eastAsia="Arial" w:hAnsi="Arial"/>
          <w:sz w:val="16"/>
          <w:szCs w:val="16"/>
          <w:color w:val="auto"/>
        </w:rPr>
        <w:t>”). All deferral elections must be made in accordance with and are subject to the terms and conditions of the Director Deferred Compensation Plan. As used in this paragraph and in paragraph 5(i), the terms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and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have meanings assigned to them in the Director Deferred Compensation Plan. Elections regarding the deferral of compensation made by a Non-Employee Director in calendar year 2013 with respect to Annual Retainers and Other Fees shall apply to all Annual Retainers and Other Fees payable in calendar year 2014, including the additional Other Fees. In addition, Elections regarding the deferral of compensation made by a Non-Employee Director in calendar year 2013 with respect to “Meeting Fees” shall apply to the Annual Equity Award granted in 2014.</w:t>
      </w:r>
    </w:p>
    <w:p>
      <w:pPr>
        <w:spacing w:after="0" w:line="128" w:lineRule="exact"/>
        <w:rPr>
          <w:rFonts w:ascii="Arial" w:cs="Arial" w:eastAsia="Arial" w:hAnsi="Arial"/>
          <w:sz w:val="16"/>
          <w:szCs w:val="16"/>
          <w:color w:val="auto"/>
        </w:rPr>
      </w:pPr>
    </w:p>
    <w:p>
      <w:pPr>
        <w:ind w:firstLine="464"/>
        <w:spacing w:after="0" w:line="254"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Directors Commencing Service After the Annual Shareholders Meeting; Partial Year Roles</w:t>
      </w:r>
      <w:r>
        <w:rPr>
          <w:rFonts w:ascii="Arial" w:cs="Arial" w:eastAsia="Arial" w:hAnsi="Arial"/>
          <w:sz w:val="18"/>
          <w:szCs w:val="18"/>
          <w:color w:val="auto"/>
        </w:rPr>
        <w:t>. If a Non-Employee Director commences service on the Board after the date of the Company’s regular annual shareholders meeting, the Non-Employee Director will receive a pro-rated portion the Annual Retainer, Other Fees, as applicable, and the Annual Equity Grant (based on the numbers of whole months elapsed since the most recent regular annual shareholders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ectPr>
          <w:pgSz w:w="11900" w:h="16838" w:orient="portrait"/>
          <w:cols w:equalWidth="0" w:num="1">
            <w:col w:w="11380"/>
          </w:cols>
          <w:pgMar w:left="240" w:top="280" w:right="279" w:bottom="1440" w:gutter="0" w:footer="0" w:header="0"/>
        </w:sectPr>
      </w:pPr>
    </w:p>
    <w:bookmarkStart w:id="37" w:name="page38"/>
    <w:bookmarkEnd w:id="37"/>
    <w:p>
      <w:pPr>
        <w:ind w:left="-464" w:right="240" w:firstLine="464"/>
        <w:spacing w:after="0" w:line="268"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Other Plan Provisions</w:t>
      </w:r>
      <w:r>
        <w:rPr>
          <w:rFonts w:ascii="Arial" w:cs="Arial" w:eastAsia="Arial" w:hAnsi="Arial"/>
          <w:sz w:val="18"/>
          <w:szCs w:val="18"/>
          <w:color w:val="auto"/>
        </w:rPr>
        <w:t>. All of the provisions of the Plan shall apply to the Awards granted automatically pursuant to this Policy, except to the extent such provisions are inconsistent with this Policy.</w:t>
      </w:r>
    </w:p>
    <w:p>
      <w:pPr>
        <w:spacing w:after="0" w:line="131" w:lineRule="exact"/>
        <w:rPr>
          <w:rFonts w:ascii="Arial" w:cs="Arial" w:eastAsia="Arial" w:hAnsi="Arial"/>
          <w:sz w:val="18"/>
          <w:szCs w:val="18"/>
          <w:color w:val="auto"/>
        </w:rPr>
      </w:pPr>
    </w:p>
    <w:p>
      <w:pPr>
        <w:jc w:val="both"/>
        <w:ind w:left="-464" w:firstLine="464"/>
        <w:spacing w:after="0" w:line="259" w:lineRule="auto"/>
        <w:tabs>
          <w:tab w:leader="none" w:pos="1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Policy Subject to Amendment, Modification and Termination</w:t>
      </w:r>
      <w:r>
        <w:rPr>
          <w:rFonts w:ascii="Arial" w:cs="Arial" w:eastAsia="Arial" w:hAnsi="Arial"/>
          <w:sz w:val="18"/>
          <w:szCs w:val="18"/>
          <w:color w:val="auto"/>
        </w:rPr>
        <w:t>. This Policy may be amended, modified or terminated by the Board in the future at its sole discretion. Without limiting the generality of the foregoing, the Board hereby expressly reserves the authority to terminate this Policy during any year up and until the election of directors at a given annual meeting of stockholders.</w:t>
      </w:r>
    </w:p>
    <w:p>
      <w:pPr>
        <w:spacing w:after="0" w:line="140" w:lineRule="exact"/>
        <w:rPr>
          <w:rFonts w:ascii="Arial" w:cs="Arial" w:eastAsia="Arial" w:hAnsi="Arial"/>
          <w:sz w:val="18"/>
          <w:szCs w:val="18"/>
          <w:color w:val="auto"/>
        </w:rPr>
      </w:pPr>
    </w:p>
    <w:p>
      <w:pPr>
        <w:ind w:left="4676"/>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0936"/>
          </w:cols>
          <w:pgMar w:left="704" w:top="280"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INCENTIVE AWARD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Allison Transmission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2011 Equity Incentive Award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holder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the number of Restricted Stock Units (the “</w:t>
      </w:r>
      <w:r>
        <w:rPr>
          <w:rFonts w:ascii="Arial" w:cs="Arial" w:eastAsia="Arial" w:hAnsi="Arial"/>
          <w:sz w:val="16"/>
          <w:szCs w:val="16"/>
          <w:u w:val="single" w:color="auto"/>
          <w:color w:val="auto"/>
        </w:rPr>
        <w:t>RSUs</w:t>
      </w:r>
      <w:r>
        <w:rPr>
          <w:rFonts w:ascii="Arial" w:cs="Arial" w:eastAsia="Arial" w:hAnsi="Arial"/>
          <w:sz w:val="16"/>
          <w:szCs w:val="16"/>
          <w:color w:val="auto"/>
        </w:rPr>
        <w:t>”) set forth below. The RSUs are subject to the terms and conditions set forth in this Restricted Stock Unit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and the Restricted Stock Unit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which are incorporated herein by reference. Unless otherwise defined herein, the terms defined in the Plan shall have the same defined meanings in the Grant Notice and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RSUs:</w:t>
      </w:r>
    </w:p>
    <w:p>
      <w:pPr>
        <w:spacing w:after="0" w:line="117"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Type of Shares Issuable:</w:t>
      </w:r>
      <w:r>
        <w:rPr>
          <w:sz w:val="20"/>
          <w:szCs w:val="20"/>
          <w:color w:val="auto"/>
        </w:rPr>
        <w:tab/>
      </w:r>
      <w:r>
        <w:rPr>
          <w:rFonts w:ascii="Arial" w:cs="Arial" w:eastAsia="Arial" w:hAnsi="Arial"/>
          <w:sz w:val="16"/>
          <w:szCs w:val="16"/>
          <w:color w:val="auto"/>
        </w:rPr>
        <w:t>Common Stock of Allison Transmission Holdings, Inc.</w:t>
      </w:r>
    </w:p>
    <w:p>
      <w:pPr>
        <w:spacing w:after="0" w:line="117" w:lineRule="exact"/>
        <w:rPr>
          <w:sz w:val="20"/>
          <w:szCs w:val="20"/>
          <w:color w:val="auto"/>
        </w:rPr>
      </w:pPr>
    </w:p>
    <w:p>
      <w:pPr>
        <w:ind w:left="2280" w:right="100" w:hanging="2268"/>
        <w:spacing w:after="0" w:line="259" w:lineRule="auto"/>
        <w:tabs>
          <w:tab w:leader="none" w:pos="226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The RSUs will vest on the first to occur of (A) date of the Company’s next regular annual shareholders meeting in the year following the year of grant, (B) the date of the Non-Employee Director’s Separation from Service, or (C) the date of a Change in Control, in each case as follows:</w:t>
      </w:r>
    </w:p>
    <w:p>
      <w:pPr>
        <w:spacing w:after="0" w:line="92" w:lineRule="exact"/>
        <w:rPr>
          <w:sz w:val="20"/>
          <w:szCs w:val="20"/>
          <w:color w:val="auto"/>
        </w:rPr>
      </w:pPr>
    </w:p>
    <w:p>
      <w:pPr>
        <w:ind w:left="2420" w:right="60"/>
        <w:spacing w:after="0" w:line="289" w:lineRule="auto"/>
        <w:rPr>
          <w:sz w:val="20"/>
          <w:szCs w:val="20"/>
          <w:color w:val="auto"/>
        </w:rPr>
      </w:pPr>
      <w:r>
        <w:rPr>
          <w:rFonts w:ascii="Arial" w:cs="Arial" w:eastAsia="Arial" w:hAnsi="Arial"/>
          <w:sz w:val="16"/>
          <w:szCs w:val="16"/>
          <w:color w:val="auto"/>
        </w:rPr>
        <w:t>the number of Restricted Stock Units that vest is equal to the number of Restricted Stock Units granted multiplied by the fraction of Board meetings the Non-Employee Director attended in the applicable year, where the numerator is the number of meetings attended and the denominator is the number of meetings held, provided that (x) if vesting occurs as a result of a Change in Control or the Non-Employee Director’s Separation from Service due to death or Disability, 100% of the Restricted Stock Units shall vest and (y) if vesting occurs as a result of a Separation from Service other than due to death or Disability, the number of Restricted Stock Units that vest shall be determined by the Company in good faith based on the number of meetings held and attended by the Non-Employee Director prior to such Separation from Service and the number of remaining meetings expected to be held during the applicable year.</w:t>
      </w:r>
    </w:p>
    <w:p>
      <w:pPr>
        <w:spacing w:after="0" w:line="6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Any Restricted Stock Units that do not vest shall be immediately forfeited as of the applicable vesting date.</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ALLISON TRANSMISSION HOLDINGS, INC.</w:t>
            </w:r>
          </w:p>
        </w:tc>
        <w:tc>
          <w:tcPr>
            <w:tcW w:w="6060" w:type="dxa"/>
            <w:vAlign w:val="bottom"/>
            <w:gridSpan w:val="2"/>
          </w:tcPr>
          <w:p>
            <w:pPr>
              <w:ind w:left="72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4"/>
                <w:szCs w:val="24"/>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Print Name:</w:t>
            </w:r>
          </w:p>
        </w:tc>
        <w:tc>
          <w:tcPr>
            <w:tcW w:w="4220" w:type="dxa"/>
            <w:vAlign w:val="bottom"/>
            <w:tcBorders>
              <w:bottom w:val="single" w:sz="8" w:color="auto"/>
            </w:tcBorders>
          </w:tcPr>
          <w:p>
            <w:pPr>
              <w:spacing w:after="0"/>
              <w:rPr>
                <w:sz w:val="19"/>
                <w:szCs w:val="19"/>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Print Name:</w:t>
            </w:r>
          </w:p>
        </w:tc>
        <w:tc>
          <w:tcPr>
            <w:tcW w:w="4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8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auto"/>
            </w:tcBorders>
          </w:tcPr>
          <w:p>
            <w:pPr>
              <w:spacing w:after="0"/>
              <w:rPr>
                <w:sz w:val="19"/>
                <w:szCs w:val="19"/>
                <w:color w:val="auto"/>
              </w:rPr>
            </w:pPr>
          </w:p>
        </w:tc>
        <w:tc>
          <w:tcPr>
            <w:tcW w:w="6060" w:type="dxa"/>
            <w:vAlign w:val="bottom"/>
            <w:gridSpan w:val="2"/>
          </w:tcPr>
          <w:p>
            <w:pPr>
              <w:ind w:left="7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40" w:type="dxa"/>
            <w:vAlign w:val="bottom"/>
            <w:vMerge w:val="restart"/>
          </w:tcPr>
          <w:p>
            <w:pPr>
              <w:ind w:left="320"/>
              <w:spacing w:after="0"/>
              <w:rPr>
                <w:sz w:val="20"/>
                <w:szCs w:val="20"/>
                <w:color w:val="auto"/>
              </w:rPr>
            </w:pPr>
            <w:r>
              <w:rPr>
                <w:rFonts w:ascii="Arial" w:cs="Arial" w:eastAsia="Arial" w:hAnsi="Arial"/>
                <w:sz w:val="18"/>
                <w:szCs w:val="18"/>
                <w:color w:val="auto"/>
              </w:rPr>
              <w:t>2</w:t>
            </w: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RESTRICTED STOCK UNIT GRANT NOTICE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AGREEMENT</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the number of RSUs set forth in the Grant Notice.</w:t>
      </w: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and the shares of Common Stock (“</w:t>
      </w:r>
      <w:r>
        <w:rPr>
          <w:rFonts w:ascii="Arial" w:cs="Arial" w:eastAsia="Arial" w:hAnsi="Arial"/>
          <w:sz w:val="18"/>
          <w:szCs w:val="18"/>
          <w:u w:val="single" w:color="auto"/>
          <w:color w:val="auto"/>
        </w:rPr>
        <w:t>Stock</w:t>
      </w:r>
      <w:r>
        <w:rPr>
          <w:rFonts w:ascii="Arial" w:cs="Arial" w:eastAsia="Arial" w:hAnsi="Arial"/>
          <w:sz w:val="18"/>
          <w:szCs w:val="18"/>
          <w:color w:val="auto"/>
        </w:rPr>
        <w:t>”) issued to Participant hereunder (“</w:t>
      </w:r>
      <w:r>
        <w:rPr>
          <w:rFonts w:ascii="Arial" w:cs="Arial" w:eastAsia="Arial" w:hAnsi="Arial"/>
          <w:sz w:val="18"/>
          <w:szCs w:val="18"/>
          <w:u w:val="single" w:color="auto"/>
          <w:color w:val="auto"/>
        </w:rPr>
        <w:t>Shares</w:t>
      </w:r>
      <w:r>
        <w:rPr>
          <w:rFonts w:ascii="Arial" w:cs="Arial" w:eastAsia="Arial" w:hAnsi="Arial"/>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AWARD OF RESTRICTED STOCK UNITS AND DIVIDEND EQUIVALENTS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0" w:lineRule="auto"/>
        <w:tabs>
          <w:tab w:leader="none" w:pos="11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Participant the number of RSUs set forth in the Grant Notice, upon the terms and conditions set forth in the Grant Notice, the Plan and this Agreement, subject to adjustments as provided in Section 12.2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18" w:lineRule="exact"/>
        <w:rPr>
          <w:rFonts w:ascii="Arial" w:cs="Arial" w:eastAsia="Arial" w:hAnsi="Arial"/>
          <w:sz w:val="16"/>
          <w:szCs w:val="16"/>
          <w:color w:val="auto"/>
        </w:rPr>
      </w:pPr>
    </w:p>
    <w:p>
      <w:pPr>
        <w:ind w:right="60" w:firstLine="921"/>
        <w:spacing w:after="0" w:line="290" w:lineRule="auto"/>
        <w:tabs>
          <w:tab w:leader="none" w:pos="116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hereby grants to Participant an Award of Dividend Equivalents with respect to each RSU granted pursuant to the Grant Notice for all ordinary cash dividends which are paid to all or substantially all holders of the outstanding shares of Stock between the Grant Date and the date when the applicable RSU is distributed or paid to Participant or is forfeited or expires. The Dividend Equivalents for each RSU shall be equal to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ectPr>
          <w:pgSz w:w="11900" w:h="16838" w:orient="portrait"/>
          <w:cols w:equalWidth="0" w:num="1">
            <w:col w:w="11380"/>
          </w:cols>
          <w:pgMar w:left="240" w:top="274" w:right="27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56" w:lineRule="auto"/>
        <w:tabs>
          <w:tab w:leader="none" w:pos="1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43" w:lineRule="exact"/>
        <w:rPr>
          <w:rFonts w:ascii="Arial" w:cs="Arial" w:eastAsia="Arial" w:hAnsi="Arial"/>
          <w:sz w:val="18"/>
          <w:szCs w:val="18"/>
          <w:color w:val="auto"/>
        </w:rPr>
      </w:pPr>
    </w:p>
    <w:p>
      <w:pPr>
        <w:ind w:right="40" w:firstLine="921"/>
        <w:spacing w:after="0" w:line="256" w:lineRule="auto"/>
        <w:tabs>
          <w:tab w:leader="none" w:pos="11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171" w:lineRule="exact"/>
        <w:rPr>
          <w:sz w:val="20"/>
          <w:szCs w:val="20"/>
          <w:color w:val="auto"/>
        </w:rPr>
      </w:pPr>
    </w:p>
    <w:p>
      <w:pPr>
        <w:ind w:right="120" w:firstLine="921"/>
        <w:spacing w:after="0" w:line="268" w:lineRule="auto"/>
        <w:tabs>
          <w:tab w:leader="none" w:pos="11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Participant’s RSUs shall be distributed in Shares (either in book-entry form or otherwise) or, at the option of the Company, paid in an amount of cash as set forth in Section 2.3(b), in either case, as follows:</w:t>
      </w:r>
    </w:p>
    <w:p>
      <w:pPr>
        <w:spacing w:after="0" w:line="131" w:lineRule="exact"/>
        <w:rPr>
          <w:rFonts w:ascii="Arial" w:cs="Arial" w:eastAsia="Arial" w:hAnsi="Arial"/>
          <w:sz w:val="18"/>
          <w:szCs w:val="18"/>
          <w:color w:val="auto"/>
        </w:rPr>
      </w:pPr>
    </w:p>
    <w:p>
      <w:pPr>
        <w:ind w:right="100" w:firstLine="1492"/>
        <w:spacing w:after="0" w:line="306" w:lineRule="auto"/>
        <w:tabs>
          <w:tab w:leader="none" w:pos="1693" w:val="left"/>
        </w:tabs>
        <w:numPr>
          <w:ilvl w:val="1"/>
          <w:numId w:val="11"/>
        </w:numPr>
        <w:rPr>
          <w:rFonts w:ascii="Arial" w:cs="Arial" w:eastAsia="Arial" w:hAnsi="Arial"/>
          <w:sz w:val="16"/>
          <w:szCs w:val="16"/>
          <w:color w:val="auto"/>
        </w:rPr>
      </w:pPr>
      <w:r>
        <w:rPr>
          <w:rFonts w:ascii="Arial" w:cs="Arial" w:eastAsia="Arial" w:hAnsi="Arial"/>
          <w:sz w:val="16"/>
          <w:szCs w:val="16"/>
          <w:color w:val="auto"/>
        </w:rPr>
        <w:t>Subject to subsection (ii) below, Participant’s RSUs shall be distributed or paid in the calendar year following the calendar year in which the Grant Date occurs (the “</w:t>
      </w:r>
      <w:r>
        <w:rPr>
          <w:rFonts w:ascii="Arial" w:cs="Arial" w:eastAsia="Arial" w:hAnsi="Arial"/>
          <w:sz w:val="16"/>
          <w:szCs w:val="16"/>
          <w:u w:val="single" w:color="auto"/>
          <w:color w:val="auto"/>
        </w:rPr>
        <w:t>Payment Year</w:t>
      </w:r>
      <w:r>
        <w:rPr>
          <w:rFonts w:ascii="Arial" w:cs="Arial" w:eastAsia="Arial" w:hAnsi="Arial"/>
          <w:sz w:val="16"/>
          <w:szCs w:val="16"/>
          <w:color w:val="auto"/>
        </w:rPr>
        <w:t>”). More specifically, the RSUs shall be distributed or paid within 30 days after the date of the Company’s regular annual shareholders meeting occurring in the Payment Year and in all events prior to December 31 of the Payment Year.</w:t>
      </w:r>
    </w:p>
    <w:p>
      <w:pPr>
        <w:spacing w:after="0" w:line="106" w:lineRule="exact"/>
        <w:rPr>
          <w:rFonts w:ascii="Arial" w:cs="Arial" w:eastAsia="Arial" w:hAnsi="Arial"/>
          <w:sz w:val="16"/>
          <w:szCs w:val="16"/>
          <w:color w:val="auto"/>
        </w:rPr>
      </w:pPr>
    </w:p>
    <w:p>
      <w:pPr>
        <w:ind w:firstLine="1492"/>
        <w:spacing w:after="0" w:line="259" w:lineRule="auto"/>
        <w:tabs>
          <w:tab w:leader="none" w:pos="17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a Change in Control or the Participant’s Separation from Service occurs prior to the date the RSUs would be distributed or paid pursuant to subsection (i) above, the RSUs shall be distributed or paid as soon as practicable and in all events within 30 days after the first to occur of a Change in Control or the Participant’s Separation from Service.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purposes of this Agreement, (i) “</w:t>
      </w:r>
      <w:r>
        <w:rPr>
          <w:rFonts w:ascii="Arial" w:cs="Arial" w:eastAsia="Arial" w:hAnsi="Arial"/>
          <w:sz w:val="18"/>
          <w:szCs w:val="18"/>
          <w:u w:val="single" w:color="auto"/>
          <w:color w:val="auto"/>
        </w:rPr>
        <w:t>Grant Date</w:t>
      </w:r>
      <w:r>
        <w:rPr>
          <w:rFonts w:ascii="Arial" w:cs="Arial" w:eastAsia="Arial" w:hAnsi="Arial"/>
          <w:sz w:val="18"/>
          <w:szCs w:val="18"/>
          <w:color w:val="auto"/>
        </w:rPr>
        <w:t>” shall be the date identified in the Grant Notice above and (ii) the terms “</w:t>
      </w:r>
      <w:r>
        <w:rPr>
          <w:rFonts w:ascii="Arial" w:cs="Arial" w:eastAsia="Arial" w:hAnsi="Arial"/>
          <w:sz w:val="18"/>
          <w:szCs w:val="18"/>
          <w:u w:val="single" w:color="auto"/>
          <w:color w:val="auto"/>
        </w:rPr>
        <w:t>Change in Control</w:t>
      </w:r>
      <w:r>
        <w:rPr>
          <w:rFonts w:ascii="Arial" w:cs="Arial" w:eastAsia="Arial" w:hAnsi="Arial"/>
          <w:sz w:val="18"/>
          <w:szCs w:val="18"/>
          <w:color w:val="auto"/>
        </w:rPr>
        <w:t>” and “</w:t>
      </w:r>
      <w:r>
        <w:rPr>
          <w:rFonts w:ascii="Arial" w:cs="Arial" w:eastAsia="Arial" w:hAnsi="Arial"/>
          <w:sz w:val="18"/>
          <w:szCs w:val="18"/>
          <w:u w:val="single" w:color="auto"/>
          <w:color w:val="auto"/>
        </w:rPr>
        <w:t>Separation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from Service</w:t>
      </w:r>
      <w:r>
        <w:rPr>
          <w:rFonts w:ascii="Arial" w:cs="Arial" w:eastAsia="Arial" w:hAnsi="Arial"/>
          <w:sz w:val="18"/>
          <w:szCs w:val="18"/>
          <w:color w:val="auto"/>
        </w:rPr>
        <w:t>” shall have meanings assigned to them in the Company’s Director Deferred Compensation Plan.</w:t>
      </w:r>
    </w:p>
    <w:p>
      <w:pPr>
        <w:spacing w:after="0" w:line="132" w:lineRule="exact"/>
        <w:rPr>
          <w:sz w:val="20"/>
          <w:szCs w:val="20"/>
          <w:color w:val="auto"/>
        </w:rPr>
      </w:pPr>
    </w:p>
    <w:p>
      <w:pPr>
        <w:ind w:right="100" w:firstLine="921"/>
        <w:spacing w:after="0" w:line="298" w:lineRule="auto"/>
        <w:tabs>
          <w:tab w:leader="none" w:pos="1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12" w:lineRule="exact"/>
        <w:rPr>
          <w:rFonts w:ascii="Arial" w:cs="Arial" w:eastAsia="Arial" w:hAnsi="Arial"/>
          <w:sz w:val="16"/>
          <w:szCs w:val="16"/>
          <w:color w:val="auto"/>
        </w:rPr>
      </w:pPr>
    </w:p>
    <w:p>
      <w:pPr>
        <w:ind w:right="360" w:firstLine="921"/>
        <w:spacing w:after="0" w:line="259" w:lineRule="auto"/>
        <w:tabs>
          <w:tab w:leader="none" w:pos="11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foregoing provisions of this Section 2.3 shall be subject to any valid deferral election made in accordance with the terms of the Allison Transmission Holdings, Inc. Non-Employee Director Compensation Policy and/or the Allison Transmission Holdings, Inc. Non-Employee Director Deferred Compensation Plan or any successor plans and/or policies.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Conditions to Issuance of Certificates</w:t>
      </w:r>
      <w:r>
        <w:rPr>
          <w:rFonts w:ascii="Arial" w:cs="Arial" w:eastAsia="Arial" w:hAnsi="Arial"/>
          <w:sz w:val="18"/>
          <w:szCs w:val="18"/>
          <w:color w:val="auto"/>
        </w:rPr>
        <w:t>. The Company shall not be required to issue or deliver any certificate or certificates for any Shares prior to the fulfillment of all of the following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42" w:name="page43"/>
    <w:bookmarkEnd w:id="4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171" w:lineRule="exact"/>
        <w:rPr>
          <w:sz w:val="20"/>
          <w:szCs w:val="20"/>
          <w:color w:val="auto"/>
        </w:rPr>
      </w:pPr>
    </w:p>
    <w:p>
      <w:pPr>
        <w:ind w:right="160" w:firstLine="921"/>
        <w:spacing w:after="0" w:line="256"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143" w:lineRule="exact"/>
        <w:rPr>
          <w:rFonts w:ascii="Arial" w:cs="Arial" w:eastAsia="Arial" w:hAnsi="Arial"/>
          <w:sz w:val="18"/>
          <w:szCs w:val="18"/>
          <w:color w:val="auto"/>
        </w:rPr>
      </w:pPr>
    </w:p>
    <w:p>
      <w:pPr>
        <w:ind w:left="1700" w:hanging="208"/>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171" w:lineRule="exact"/>
        <w:rPr>
          <w:rFonts w:ascii="Arial" w:cs="Arial" w:eastAsia="Arial" w:hAnsi="Arial"/>
          <w:sz w:val="18"/>
          <w:szCs w:val="18"/>
          <w:color w:val="auto"/>
        </w:rPr>
      </w:pPr>
    </w:p>
    <w:p>
      <w:pPr>
        <w:jc w:val="both"/>
        <w:ind w:right="120" w:firstLine="1492"/>
        <w:spacing w:after="0" w:line="298" w:lineRule="auto"/>
        <w:tabs>
          <w:tab w:leader="none" w:pos="17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with respect to any withholding taxes arising in connection with the distribution of the RSUs, with the consent of the Administrator, by requesting that the Company and its Subsidiaries withhold a net number of vested shares of Stock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12" w:lineRule="exact"/>
        <w:rPr>
          <w:rFonts w:ascii="Arial" w:cs="Arial" w:eastAsia="Arial" w:hAnsi="Arial"/>
          <w:sz w:val="16"/>
          <w:szCs w:val="16"/>
          <w:color w:val="auto"/>
        </w:rPr>
      </w:pPr>
    </w:p>
    <w:p>
      <w:pPr>
        <w:ind w:right="120" w:firstLine="1492"/>
        <w:spacing w:after="0" w:line="256" w:lineRule="auto"/>
        <w:tabs>
          <w:tab w:leader="none" w:pos="1781"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with the consent of the Administrator, by tendering to the Company vested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43" w:lineRule="exact"/>
        <w:rPr>
          <w:rFonts w:ascii="Arial" w:cs="Arial" w:eastAsia="Arial" w:hAnsi="Arial"/>
          <w:sz w:val="18"/>
          <w:szCs w:val="18"/>
          <w:color w:val="auto"/>
        </w:rPr>
      </w:pPr>
    </w:p>
    <w:p>
      <w:pPr>
        <w:ind w:right="100" w:firstLine="1492"/>
        <w:spacing w:after="0" w:line="294" w:lineRule="auto"/>
        <w:tabs>
          <w:tab w:leader="none" w:pos="1732"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15" w:lineRule="exact"/>
        <w:rPr>
          <w:rFonts w:ascii="Arial" w:cs="Arial" w:eastAsia="Arial" w:hAnsi="Arial"/>
          <w:sz w:val="16"/>
          <w:szCs w:val="16"/>
          <w:color w:val="auto"/>
        </w:rPr>
      </w:pPr>
    </w:p>
    <w:p>
      <w:pPr>
        <w:ind w:left="1780" w:hanging="288"/>
        <w:spacing w:after="0"/>
        <w:tabs>
          <w:tab w:leader="none" w:pos="1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171" w:lineRule="exact"/>
        <w:rPr>
          <w:rFonts w:ascii="Arial" w:cs="Arial" w:eastAsia="Arial" w:hAnsi="Arial"/>
          <w:sz w:val="18"/>
          <w:szCs w:val="18"/>
          <w:color w:val="auto"/>
        </w:rPr>
      </w:pPr>
    </w:p>
    <w:p>
      <w:pPr>
        <w:ind w:firstLine="921"/>
        <w:spacing w:after="0" w:line="259"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43" w:name="page44"/>
    <w:bookmarkEnd w:id="43"/>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2.5(a)(ii) or Section 2.5(a)(iii)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13" w:lineRule="exact"/>
        <w:rPr>
          <w:sz w:val="20"/>
          <w:szCs w:val="20"/>
          <w:color w:val="auto"/>
        </w:rPr>
      </w:pPr>
    </w:p>
    <w:p>
      <w:pPr>
        <w:ind w:firstLine="921"/>
        <w:spacing w:after="0" w:line="289" w:lineRule="auto"/>
        <w:tabs>
          <w:tab w:leader="none" w:pos="11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RSUs to Participant until the foregoing tax withholding obligations are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payment shall be delayed under this Section 2.5(c) if such delay will result in a violation of Section 409A of the Code.</w:t>
      </w:r>
    </w:p>
    <w:p>
      <w:pPr>
        <w:spacing w:after="0" w:line="118" w:lineRule="exact"/>
        <w:rPr>
          <w:rFonts w:ascii="Arial" w:cs="Arial" w:eastAsia="Arial" w:hAnsi="Arial"/>
          <w:sz w:val="16"/>
          <w:szCs w:val="16"/>
          <w:color w:val="auto"/>
        </w:rPr>
      </w:pPr>
    </w:p>
    <w:p>
      <w:pPr>
        <w:ind w:right="80" w:firstLine="921"/>
        <w:spacing w:after="0" w:line="255"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143"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Rights as Stockholder</w:t>
      </w:r>
      <w:r>
        <w:rPr>
          <w:rFonts w:ascii="Arial" w:cs="Arial" w:eastAsia="Arial" w:hAnsi="Arial"/>
          <w:sz w:val="15"/>
          <w:szCs w:val="15"/>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44" w:name="page45"/>
    <w:bookmarkEnd w:id="44"/>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RSUs Not Transferable</w:t>
      </w:r>
      <w:r>
        <w:rPr>
          <w:rFonts w:ascii="Arial" w:cs="Arial" w:eastAsia="Arial" w:hAnsi="Arial"/>
          <w:sz w:val="16"/>
          <w:szCs w:val="16"/>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Section 12.2 of the Plan.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45" w:name="page46"/>
    <w:bookmarkEnd w:id="45"/>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3.10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1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8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Section 409A</w:t>
      </w:r>
      <w:r>
        <w:rPr>
          <w:rFonts w:ascii="Arial" w:cs="Arial" w:eastAsia="Arial" w:hAnsi="Arial"/>
          <w:sz w:val="16"/>
          <w:szCs w:val="16"/>
          <w:color w:val="auto"/>
        </w:rPr>
        <w:t>. The intent of the parties is that the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and, accordingly, to the maximum extent permitted, this Agreement shall be interpreted to be in compliance therewith. If at any time the Administrator determines that this Award (or any portion thereof) may result in adverse tax consequences as a result of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w:t>
      </w:r>
    </w:p>
    <w:p>
      <w:pPr>
        <w:ind w:right="60"/>
        <w:spacing w:after="0" w:line="290" w:lineRule="auto"/>
        <w:rPr>
          <w:sz w:val="20"/>
          <w:szCs w:val="20"/>
          <w:color w:val="auto"/>
        </w:rPr>
      </w:pPr>
      <w:r>
        <w:rPr>
          <w:rFonts w:ascii="Arial" w:cs="Arial" w:eastAsia="Arial" w:hAnsi="Arial"/>
          <w:sz w:val="16"/>
          <w:szCs w:val="16"/>
          <w:color w:val="auto"/>
        </w:rPr>
        <w:t>Section 409A. Notwithstanding anything in this Agreement to the contrary, if the Participant is deemed by the Company at the time of Participant’s Separation from Service to be a “specified employee” for purposes of Section 409A, to the extent delayed payment or distribution of the RSUs is required in order to avoid a prohibited distribution under Section 409A, such payment or distribution shall not be made prior to the earlier of (a) the expiration of the six-month period measured from the date of Participant’s Separation from Service or (b) the date of Participant’s death. Notwithstanding any provisions of this Agreement or the Plan to the contrary, the time of distribution of the RSUs under this Agreement may not be changed except as may be permitted by the Administrator in accordance with Section 409A of the Code and the applicable Treasury Regulations promulgated thereunder.</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46" w:name="page47"/>
    <w:bookmarkEnd w:id="46"/>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any broker-assisted sale of shares of Stock in connection with the payment of withholding taxes as provided in Section 2.5(a)(iii) or Section 2.5(a)(v):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23"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073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June 30, 2014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7"/>
    </w:lvl>
    <w:lvl w:ilvl="1">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lvl w:ilvl="1">
      <w:lvlJc w:val="left"/>
      <w:lvlText w:val="(%2)"/>
      <w:numFmt w:val="lowerRoman"/>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2019-12-07T16:31:44Z</dcterms:created>
  <dcterms:modified xsi:type="dcterms:W3CDTF">2019-12-07T16:31:44Z</dcterms:modified>
</cp:coreProperties>
</file>