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4915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1553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Ostojic Sasha</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line="279" w:lineRule="auto"/>
        <w:rPr>
          <w:sz w:val="20"/>
          <w:szCs w:val="20"/>
          <w:color w:val="auto"/>
        </w:rPr>
      </w:pPr>
      <w:r>
        <w:rPr>
          <w:rFonts w:ascii="Times New Roman" w:cs="Times New Roman" w:eastAsia="Times New Roman" w:hAnsi="Times New Roman"/>
          <w:sz w:val="17"/>
          <w:szCs w:val="17"/>
          <w:color w:val="0000FF"/>
        </w:rPr>
        <w:t>C/O ALLISON TRANSMISSION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Allison Transmission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ALSN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4"/>
          <w:szCs w:val="24"/>
          <w:color w:val="auto"/>
        </w:rPr>
      </w:pPr>
      <w:r>
        <w:rPr>
          <w:sz w:val="24"/>
          <w:szCs w:val="24"/>
          <w:color w:val="auto"/>
        </w:rPr>
        <w:br w:type="column"/>
      </w: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7" w:lineRule="exact"/>
        <w:rPr>
          <w:sz w:val="24"/>
          <w:szCs w:val="24"/>
          <w:color w:val="auto"/>
        </w:rPr>
      </w:pPr>
    </w:p>
    <w:p>
      <w:pPr>
        <w:sectPr>
          <w:pgSz w:w="11900" w:h="16838" w:orient="portrait"/>
          <w:cols w:equalWidth="0" w:num="3">
            <w:col w:w="3420" w:space="500"/>
            <w:col w:w="3640" w:space="184"/>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3"/>
          </w:tcPr>
          <w:p>
            <w:pPr>
              <w:ind w:left="20"/>
              <w:spacing w:after="0" w:line="190" w:lineRule="exact"/>
              <w:rPr>
                <w:sz w:val="20"/>
                <w:szCs w:val="20"/>
                <w:color w:val="auto"/>
              </w:rPr>
            </w:pPr>
            <w:r>
              <w:rPr>
                <w:rFonts w:ascii="Times New Roman" w:cs="Times New Roman" w:eastAsia="Times New Roman" w:hAnsi="Times New Roman"/>
                <w:sz w:val="17"/>
                <w:szCs w:val="17"/>
                <w:color w:val="0000FF"/>
              </w:rPr>
              <w:t>ONE ALLISON WAY</w:t>
            </w: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80" w:type="dxa"/>
            <w:vAlign w:val="bottom"/>
            <w:tcBorders>
              <w:top w:val="single" w:sz="8" w:color="2C2C2C"/>
            </w:tcBorders>
            <w:gridSpan w:val="8"/>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540" w:type="dxa"/>
            <w:vAlign w:val="bottom"/>
            <w:tcBorders>
              <w:top w:val="single" w:sz="8" w:color="2C2C2C"/>
            </w:tcBorders>
            <w:gridSpan w:val="8"/>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INDIANAPOLIS IN</w:t>
            </w:r>
          </w:p>
        </w:tc>
        <w:tc>
          <w:tcPr>
            <w:tcW w:w="980" w:type="dxa"/>
            <w:vAlign w:val="bottom"/>
          </w:tcPr>
          <w:p>
            <w:pPr>
              <w:spacing w:after="0"/>
              <w:rPr>
                <w:sz w:val="9"/>
                <w:szCs w:val="9"/>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46222</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gridSpan w:val="2"/>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6"/>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4"/>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6"/>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6"/>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40" w:type="dxa"/>
            <w:vAlign w:val="bottom"/>
            <w:gridSpan w:val="13"/>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8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840" w:type="dxa"/>
            <w:vAlign w:val="bottom"/>
            <w:vMerge w:val="continue"/>
          </w:tcPr>
          <w:p>
            <w:pPr>
              <w:spacing w:after="0"/>
              <w:rPr>
                <w:sz w:val="5"/>
                <w:szCs w:val="5"/>
                <w:color w:val="auto"/>
              </w:rPr>
            </w:pPr>
          </w:p>
        </w:tc>
        <w:tc>
          <w:tcPr>
            <w:tcW w:w="98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rPr>
              <w:t>05/29/2026</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restart"/>
          </w:tcPr>
          <w:p>
            <w:pPr>
              <w:ind w:left="2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5"/>
                <w:szCs w:val="5"/>
                <w:color w:val="auto"/>
              </w:rPr>
            </w:pPr>
          </w:p>
        </w:tc>
        <w:tc>
          <w:tcPr>
            <w:tcW w:w="78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3</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3</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340" w:firstLine="3"/>
        <w:spacing w:after="0" w:line="251"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previously awarded restricted stock units ("RSUs") and vest proportionately with the RSUs to which they relate. Each dividend equivalent right is the economic equivalent of one share of Allison Transmission Holdings, Inc. common stock.</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Preston B. Ray, attorney-in- </w:t>
      </w:r>
      <w:r>
        <w:rPr>
          <w:rFonts w:ascii="Times New Roman" w:cs="Times New Roman" w:eastAsia="Times New Roman" w:hAnsi="Times New Roman"/>
          <w:sz w:val="32"/>
          <w:szCs w:val="32"/>
          <w:color w:val="0000FF"/>
          <w:vertAlign w:val="subscript"/>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612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12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2133" TargetMode="External"/><Relationship Id="rId14" Type="http://schemas.openxmlformats.org/officeDocument/2006/relationships/hyperlink" Target="http://www.sec.gov/cgi-bin/browse-edgar?action=getcompany&amp;CIK=00014112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2026-06-02T15:13:20Z</dcterms:created>
  <dcterms:modified xsi:type="dcterms:W3CDTF">2026-06-02T15:13:20Z</dcterms:modified>
</cp:coreProperties>
</file>