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alsn-20260331.htm"/>
        <w:bookmarkStart w:id="1" w:name="ksalsn202603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spacing w:before="60" w:after="283"/>
        <w:jc w:val="center"/>
        <w:rPr>
          <w:rFonts w:ascii="Arial" w:hAnsi="Arial"/>
          <w:b/>
          <w:color w:val="000000"/>
          <w:sz w:val="36"/>
        </w:rPr>
      </w:pPr>
      <w:r>
        <w:rPr>
          <w:rFonts w:ascii="Arial" w:hAnsi="Arial"/>
          <w:b/>
          <w:color w:val="000000"/>
          <w:sz w:val="36"/>
        </w:rPr>
        <w:t>SECURITIES AND EXCHANGE COMMISSION</w:t>
      </w:r>
    </w:p>
    <w:p>
      <w:pPr>
        <w:pStyle w:val="TextBody"/>
        <w:bidi w:val="0"/>
        <w:spacing w:before="60" w:after="283"/>
        <w:jc w:val="center"/>
        <w:rPr>
          <w:rFonts w:ascii="Arial" w:hAnsi="Arial"/>
          <w:b/>
          <w:color w:val="000000"/>
          <w:sz w:val="24"/>
        </w:rPr>
      </w:pPr>
      <w:r>
        <w:rPr>
          <w:rFonts w:ascii="Arial" w:hAnsi="Arial"/>
          <w:b/>
          <w:color w:val="000000"/>
          <w:sz w:val="24"/>
        </w:rPr>
        <w:t>WASHINGTON, D.C. 20549</w:t>
      </w:r>
    </w:p>
    <w:p>
      <w:pPr>
        <w:pStyle w:val="TextBody"/>
        <w:bidi w:val="0"/>
        <w:spacing w:before="60" w:after="283"/>
        <w:jc w:val="center"/>
        <w:rPr>
          <w:rFonts w:ascii="Arial" w:hAnsi="Arial"/>
          <w:b/>
          <w:color w:val="000000"/>
          <w:sz w:val="36"/>
        </w:rPr>
      </w:pPr>
      <w:r>
        <w:rPr>
          <w:rFonts w:ascii="Arial" w:hAnsi="Arial"/>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Arial" w:hAnsi="Arial"/>
                <w:b/>
                <w:color w:val="000000"/>
                <w:sz w:val="24"/>
              </w:rPr>
            </w:pPr>
            <w:r>
              <w:rPr>
                <w:rFonts w:ascii="Arial" w:hAnsi="Arial"/>
                <w:b/>
                <w:color w:val="000000"/>
                <w:sz w:val="24"/>
              </w:rPr>
              <w:t>QUARTERLY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For the quarterly period ended March 31, 2026</w:t>
      </w:r>
    </w:p>
    <w:p>
      <w:pPr>
        <w:pStyle w:val="TextBody"/>
        <w:bidi w:val="0"/>
        <w:spacing w:before="6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Arial" w:hAnsi="Arial"/>
                <w:b/>
                <w:color w:val="000000"/>
                <w:sz w:val="24"/>
              </w:rPr>
            </w:pPr>
            <w:r>
              <w:rPr>
                <w:rFonts w:ascii="Arial" w:hAnsi="Arial"/>
                <w:b/>
                <w:color w:val="000000"/>
                <w:sz w:val="24"/>
              </w:rPr>
              <w:t>TRANSITION REPORT PURSUANT TO SECTION 13 OR 15(d) OF THE SECURITIES EXCHANGE ACT OF 1934</w:t>
            </w:r>
          </w:p>
        </w:tc>
      </w:tr>
    </w:tbl>
    <w:p>
      <w:pPr>
        <w:pStyle w:val="TextBody"/>
        <w:bidi w:val="0"/>
        <w:spacing w:before="60" w:after="283"/>
        <w:jc w:val="center"/>
        <w:rPr>
          <w:rFonts w:ascii="Arial" w:hAnsi="Arial"/>
          <w:b/>
          <w:color w:val="000000"/>
          <w:sz w:val="20"/>
        </w:rPr>
      </w:pPr>
      <w:r>
        <w:rPr>
          <w:rFonts w:ascii="Arial" w:hAnsi="Arial"/>
          <w:b/>
          <w:color w:val="000000"/>
          <w:sz w:val="20"/>
        </w:rPr>
        <w:t>Commission File Number 001-35456</w:t>
      </w:r>
    </w:p>
    <w:p>
      <w:pPr>
        <w:pStyle w:val="TextBody"/>
        <w:bidi w:val="0"/>
        <w:spacing w:before="60" w:after="283"/>
        <w:jc w:val="center"/>
        <w:rPr>
          <w:rFonts w:ascii="Arial" w:hAnsi="Arial"/>
          <w:b/>
          <w:color w:val="000000"/>
          <w:sz w:val="48"/>
        </w:rPr>
      </w:pPr>
      <w:r>
        <w:rPr>
          <w:rFonts w:ascii="Arial" w:hAnsi="Arial"/>
          <w:b/>
          <w:color w:val="000000"/>
          <w:sz w:val="48"/>
        </w:rPr>
        <w:t>ALLISON TRANSMISSION HOLDINGS, INC.</w:t>
      </w:r>
    </w:p>
    <w:p>
      <w:pPr>
        <w:pStyle w:val="TextBody"/>
        <w:bidi w:val="0"/>
        <w:spacing w:before="60" w:after="283"/>
        <w:jc w:val="center"/>
        <w:rPr>
          <w:rFonts w:ascii="Arial" w:hAnsi="Arial"/>
          <w:color w:val="000000"/>
          <w:sz w:val="20"/>
        </w:rPr>
      </w:pPr>
      <w:r>
        <w:rPr>
          <w:rFonts w:ascii="Arial" w:hAnsi="Arial"/>
          <w:color w:val="000000"/>
          <w:sz w:val="20"/>
        </w:rPr>
        <w:t>(Exact name of registrant as specified in its charter)</w:t>
      </w:r>
    </w:p>
    <w:p>
      <w:pPr>
        <w:pStyle w:val="TextBody"/>
        <w:bidi w:val="0"/>
        <w:jc w:val="center"/>
        <w:rPr/>
      </w:pPr>
      <w:r>
        <w:rPr/>
        <w:t> </w:t>
      </w:r>
    </w:p>
    <w:p>
      <w:pPr>
        <w:pStyle w:val="TextBody"/>
        <w:bidi w:val="0"/>
        <w:jc w:val="center"/>
        <w:rPr/>
      </w:pPr>
      <w:r>
        <w:rPr/>
        <w:drawing>
          <wp:inline distT="0" distB="0" distL="0" distR="0">
            <wp:extent cx="19240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581025"/>
                    </a:xfrm>
                    <a:prstGeom prst="rect">
                      <a:avLst/>
                    </a:prstGeom>
                  </pic:spPr>
                </pic:pic>
              </a:graphicData>
            </a:graphic>
          </wp:inline>
        </w:drawing>
      </w:r>
    </w:p>
    <w:p>
      <w:pPr>
        <w:pStyle w:val="TextBody"/>
        <w:bidi w:val="0"/>
        <w:jc w:val="left"/>
        <w:rPr/>
      </w:pPr>
      <w:r>
        <w:rPr/>
        <w:t> </w:t>
      </w:r>
    </w:p>
    <w:tbl>
      <w:tblPr>
        <w:tblW w:w="5087" w:type="dxa"/>
        <w:jc w:val="left"/>
        <w:tblInd w:w="0" w:type="dxa"/>
        <w:tblLayout w:type="fixed"/>
        <w:tblCellMar>
          <w:top w:w="28" w:type="dxa"/>
          <w:left w:w="28" w:type="dxa"/>
          <w:bottom w:w="28" w:type="dxa"/>
          <w:right w:w="28" w:type="dxa"/>
        </w:tblCellMar>
      </w:tblPr>
      <w:tblGrid>
        <w:gridCol w:w="3346"/>
        <w:gridCol w:w="1741"/>
      </w:tblGrid>
      <w:tr>
        <w:trPr/>
        <w:tc>
          <w:tcPr>
            <w:tcW w:w="33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Delaware</w:t>
            </w:r>
          </w:p>
        </w:tc>
        <w:tc>
          <w:tcPr>
            <w:tcW w:w="174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26-0414014</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6"/>
              </w:rPr>
            </w:pPr>
            <w:r>
              <w:rPr>
                <w:rFonts w:ascii="Arial" w:hAnsi="Arial"/>
                <w:color w:val="000000"/>
                <w:sz w:val="16"/>
              </w:rPr>
              <w:t>(State or other jurisdiction of incorporation or</w:t>
            </w:r>
          </w:p>
          <w:p>
            <w:pPr>
              <w:pStyle w:val="TableContents"/>
              <w:bidi w:val="0"/>
              <w:spacing w:before="0" w:after="40"/>
              <w:jc w:val="center"/>
              <w:rPr>
                <w:rFonts w:ascii="Arial" w:hAnsi="Arial"/>
                <w:color w:val="000000"/>
                <w:sz w:val="16"/>
              </w:rPr>
            </w:pPr>
            <w:r>
              <w:rPr>
                <w:rFonts w:ascii="Arial" w:hAnsi="Arial"/>
                <w:color w:val="000000"/>
                <w:sz w:val="16"/>
              </w:rPr>
              <w:t>organization)</w:t>
            </w:r>
          </w:p>
        </w:tc>
        <w:tc>
          <w:tcPr>
            <w:tcW w:w="174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16"/>
              </w:rPr>
            </w:pPr>
            <w:r>
              <w:rPr>
                <w:rFonts w:ascii="Arial" w:hAnsi="Arial"/>
                <w:color w:val="000000"/>
                <w:sz w:val="16"/>
              </w:rPr>
              <w:t>(I.R.S. Employer</w:t>
            </w:r>
          </w:p>
          <w:p>
            <w:pPr>
              <w:pStyle w:val="TableContents"/>
              <w:bidi w:val="0"/>
              <w:spacing w:before="0" w:after="40"/>
              <w:jc w:val="center"/>
              <w:rPr>
                <w:rFonts w:ascii="Arial" w:hAnsi="Arial"/>
                <w:color w:val="000000"/>
                <w:sz w:val="16"/>
              </w:rPr>
            </w:pPr>
            <w:r>
              <w:rPr>
                <w:rFonts w:ascii="Arial" w:hAnsi="Arial"/>
                <w:color w:val="000000"/>
                <w:sz w:val="16"/>
              </w:rPr>
              <w:t>Identification Number)</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One Allison Way</w:t>
            </w:r>
          </w:p>
        </w:tc>
        <w:tc>
          <w:tcPr>
            <w:tcW w:w="174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Indianapolis, IN</w:t>
            </w:r>
          </w:p>
        </w:tc>
        <w:tc>
          <w:tcPr>
            <w:tcW w:w="174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rPr>
            </w:pPr>
            <w:r>
              <w:rPr>
                <w:rFonts w:ascii="Arial" w:hAnsi="Arial"/>
                <w:b/>
                <w:color w:val="000000"/>
                <w:sz w:val="20"/>
              </w:rPr>
              <w:t>46222</w:t>
            </w:r>
          </w:p>
        </w:tc>
      </w:tr>
      <w:tr>
        <w:trPr/>
        <w:tc>
          <w:tcPr>
            <w:tcW w:w="334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6"/>
              </w:rPr>
            </w:pPr>
            <w:r>
              <w:rPr>
                <w:rFonts w:ascii="Arial" w:hAnsi="Arial"/>
                <w:color w:val="000000"/>
                <w:sz w:val="16"/>
              </w:rPr>
              <w:t>(Address of principal executive offices)</w:t>
            </w:r>
          </w:p>
        </w:tc>
        <w:tc>
          <w:tcPr>
            <w:tcW w:w="174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6"/>
              </w:rPr>
            </w:pPr>
            <w:r>
              <w:rPr>
                <w:rFonts w:ascii="Arial" w:hAnsi="Arial"/>
                <w:color w:val="000000"/>
                <w:sz w:val="16"/>
              </w:rPr>
              <w:t>(Zip Code)</w:t>
            </w:r>
          </w:p>
        </w:tc>
      </w:tr>
    </w:tbl>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(317) 242-5000</w:t>
      </w:r>
    </w:p>
    <w:p>
      <w:pPr>
        <w:pStyle w:val="TextBody"/>
        <w:bidi w:val="0"/>
        <w:spacing w:before="40" w:after="283"/>
        <w:jc w:val="center"/>
        <w:rPr>
          <w:rFonts w:ascii="Arial" w:hAnsi="Arial"/>
          <w:color w:val="000000"/>
          <w:sz w:val="16"/>
        </w:rPr>
      </w:pPr>
      <w:r>
        <w:rPr>
          <w:rFonts w:ascii="Arial" w:hAnsi="Arial"/>
          <w:color w:val="000000"/>
          <w:sz w:val="16"/>
        </w:rPr>
        <w:t>(Registrant’s telephone number, including area code)</w:t>
      </w:r>
    </w:p>
    <w:p>
      <w:pPr>
        <w:pStyle w:val="TextBody"/>
        <w:bidi w:val="0"/>
        <w:spacing w:before="120" w:after="283"/>
        <w:jc w:val="center"/>
        <w:rPr>
          <w:rFonts w:ascii="Arial" w:hAnsi="Arial"/>
          <w:color w:val="000000"/>
          <w:sz w:val="20"/>
        </w:rPr>
      </w:pPr>
      <w:r>
        <w:rPr>
          <w:rFonts w:ascii="Arial" w:hAnsi="Arial"/>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2611"/>
        <w:gridCol w:w="146"/>
        <w:gridCol w:w="1576"/>
        <w:gridCol w:w="146"/>
        <w:gridCol w:w="366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Name of each exchange on which registered</w:t>
            </w:r>
          </w:p>
        </w:tc>
      </w:tr>
      <w:tr>
        <w:trPr/>
        <w:tc>
          <w:tcPr>
            <w:tcW w:w="2611"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17"/>
              </w:rPr>
            </w:pPr>
            <w:r>
              <w:rPr>
                <w:rFonts w:ascii="Arial" w:hAnsi="Arial"/>
                <w:b/>
                <w:color w:val="000000"/>
                <w:sz w:val="17"/>
              </w:rPr>
              <w:t>Common Stock, $0.01 par value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576"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17"/>
              </w:rPr>
            </w:pPr>
            <w:r>
              <w:rPr>
                <w:rFonts w:ascii="Arial" w:hAnsi="Arial"/>
                <w:b/>
                <w:color w:val="000000"/>
                <w:sz w:val="17"/>
              </w:rPr>
              <w:t>ALSN</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17"/>
              </w:rPr>
            </w:pPr>
            <w:r>
              <w:rPr>
                <w:rFonts w:ascii="Arial" w:hAnsi="Arial"/>
                <w:b/>
                <w:color w:val="000000"/>
                <w:sz w:val="17"/>
              </w:rPr>
              <w:t>New York Stock Exchange</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No</w:t>
      </w:r>
      <w:r>
        <w:rPr>
          <w:rFonts w:ascii="Times New Roman" w:hAnsi="Times New Roman"/>
          <w:color w:val="000000"/>
          <w:sz w:val="20"/>
        </w:rPr>
        <w:t xml:space="preserve"> ☐</w:t>
      </w:r>
    </w:p>
    <w:p>
      <w:pPr>
        <w:pStyle w:val="TextBody"/>
        <w:bidi w:val="0"/>
        <w:spacing w:before="6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60" w:after="283"/>
        <w:jc w:val="left"/>
        <w:rPr/>
      </w:pPr>
      <w:r>
        <w:rPr/>
        <w:t> </w:t>
      </w:r>
    </w:p>
    <w:tbl>
      <w:tblPr>
        <w:tblW w:w="5295" w:type="dxa"/>
        <w:jc w:val="left"/>
        <w:tblInd w:w="0" w:type="dxa"/>
        <w:tblLayout w:type="fixed"/>
        <w:tblCellMar>
          <w:top w:w="28" w:type="dxa"/>
          <w:left w:w="28" w:type="dxa"/>
          <w:bottom w:w="28" w:type="dxa"/>
          <w:right w:w="28" w:type="dxa"/>
        </w:tblCellMar>
      </w:tblPr>
      <w:tblGrid>
        <w:gridCol w:w="2041"/>
        <w:gridCol w:w="316"/>
        <w:gridCol w:w="146"/>
        <w:gridCol w:w="243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Arial" w:hAnsi="Arial"/>
          <w:color w:val="000000"/>
          <w:sz w:val="20"/>
        </w:rPr>
        <w:t>Indicate by check mark whether the registrant is a shell company (as defined in Rule 12b-2 of the Exchange Act). Yes</w:t>
      </w:r>
      <w:r>
        <w:rPr>
          <w:rFonts w:ascii="Times New Roman" w:hAnsi="Times New Roman"/>
          <w:color w:val="000000"/>
          <w:sz w:val="20"/>
        </w:rPr>
        <w:t xml:space="preserve"> ☐ </w:t>
      </w:r>
      <w:r>
        <w:rPr>
          <w:rFonts w:ascii="Arial" w:hAnsi="Arial"/>
          <w:color w:val="000000"/>
          <w:sz w:val="20"/>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Arial" w:hAnsi="Arial"/>
          <w:color w:val="000000"/>
          <w:sz w:val="20"/>
        </w:rPr>
        <w:t>As of April 23, 2026, there were 82,935,981</w:t>
      </w:r>
      <w:r>
        <w:rPr>
          <w:rFonts w:ascii="Times New Roman" w:hAnsi="Times New Roman"/>
          <w:color w:val="000000"/>
          <w:sz w:val="20"/>
        </w:rPr>
        <w:t xml:space="preserve"> </w:t>
      </w:r>
      <w:r>
        <w:rPr>
          <w:rFonts w:ascii="Arial" w:hAnsi="Arial"/>
          <w:color w:val="000000"/>
          <w:sz w:val="20"/>
        </w:rPr>
        <w:t>shares of Common Stock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2" w:name="toc_page"/>
      <w:bookmarkStart w:id="3" w:name="table_of_contents"/>
      <w:bookmarkEnd w:id="2"/>
      <w:bookmarkEnd w:id="3"/>
      <w:r>
        <w:rPr>
          <w:rFonts w:ascii="Arial" w:hAnsi="Arial"/>
          <w:b/>
          <w:color w:val="000000"/>
          <w:sz w:val="20"/>
        </w:rPr>
        <w:t>TABLE OF CONTENTS</w:t>
      </w:r>
    </w:p>
    <w:p>
      <w:pPr>
        <w:pStyle w:val="TextBody"/>
        <w:bidi w:val="0"/>
        <w:spacing w:before="0" w:after="140"/>
        <w:jc w:val="left"/>
        <w:rPr/>
      </w:pPr>
      <w:r>
        <w:rPr/>
        <w:t> </w:t>
      </w:r>
    </w:p>
    <w:tbl>
      <w:tblPr>
        <w:tblW w:w="9318" w:type="dxa"/>
        <w:jc w:val="left"/>
        <w:tblInd w:w="0" w:type="dxa"/>
        <w:tblLayout w:type="fixed"/>
        <w:tblCellMar>
          <w:top w:w="28" w:type="dxa"/>
          <w:left w:w="28" w:type="dxa"/>
          <w:bottom w:w="28" w:type="dxa"/>
          <w:right w:w="28" w:type="dxa"/>
        </w:tblCellMar>
      </w:tblPr>
      <w:tblGrid>
        <w:gridCol w:w="871"/>
        <w:gridCol w:w="7846"/>
        <w:gridCol w:w="601"/>
      </w:tblGrid>
      <w:tr>
        <w:trPr/>
        <w:tc>
          <w:tcPr>
            <w:tcW w:w="871"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Arial" w:hAnsi="Arial"/>
                  <w:b/>
                  <w:color w:val="0000FF"/>
                  <w:sz w:val="20"/>
                  <w:u w:val="single"/>
                </w:rPr>
                <w:t>PART I. FINANCIAL INFORMATION</w:t>
              </w:r>
            </w:hyperlink>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Item 1.</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1_financial_statements">
              <w:r>
                <w:rPr>
                  <w:rStyle w:val="InternetLink"/>
                  <w:rFonts w:ascii="Arial" w:hAnsi="Arial"/>
                  <w:color w:val="0000FF"/>
                  <w:sz w:val="20"/>
                  <w:u w:val="single"/>
                </w:rPr>
                <w:t>3</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balance_sheets">
              <w:r>
                <w:rPr>
                  <w:rStyle w:val="InternetLink"/>
                  <w:rFonts w:ascii="Arial" w:hAnsi="Arial"/>
                  <w:color w:val="0000FF"/>
                  <w:sz w:val="20"/>
                  <w:u w:val="single"/>
                </w:rPr>
                <w:t>3</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Arial" w:hAnsi="Arial"/>
                  <w:color w:val="0000FF"/>
                  <w:sz w:val="20"/>
                  <w:u w:val="single"/>
                </w:rPr>
                <w:t>Condensed Consolidated Statements of Comprehensive Income</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statements_compre">
              <w:r>
                <w:rPr>
                  <w:rStyle w:val="InternetLink"/>
                  <w:rFonts w:ascii="Arial" w:hAnsi="Arial"/>
                  <w:color w:val="0000FF"/>
                  <w:sz w:val="20"/>
                  <w:u w:val="single"/>
                </w:rPr>
                <w:t>4</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statements_cash_f">
              <w:r>
                <w:rPr>
                  <w:rStyle w:val="InternetLink"/>
                  <w:rFonts w:ascii="Arial" w:hAnsi="Arial"/>
                  <w:color w:val="0000FF"/>
                  <w:sz w:val="20"/>
                  <w:u w:val="single"/>
                </w:rPr>
                <w:t>5</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Arial" w:hAnsi="Arial"/>
                  <w:color w:val="0000FF"/>
                  <w:sz w:val="20"/>
                  <w:u w:val="single"/>
                </w:rPr>
                <w:t>Condensed Consolidated Statements of Stockholders’ Equity</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densed_consolidated_statements_equity">
              <w:r>
                <w:rPr>
                  <w:rStyle w:val="InternetLink"/>
                  <w:rFonts w:ascii="Arial" w:hAnsi="Arial"/>
                  <w:color w:val="0000FF"/>
                  <w:sz w:val="20"/>
                  <w:u w:val="single"/>
                </w:rPr>
                <w:t>6</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Arial" w:hAnsi="Arial"/>
                  <w:color w:val="0000FF"/>
                  <w:sz w:val="20"/>
                  <w:u w:val="single"/>
                </w:rPr>
                <w:t>Notes to Condensed Consolidated Financial Statements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notes_to_condensed_consolidated_financia">
              <w:r>
                <w:rPr>
                  <w:rStyle w:val="InternetLink"/>
                  <w:rFonts w:ascii="Arial" w:hAnsi="Arial"/>
                  <w:color w:val="0000FF"/>
                  <w:sz w:val="20"/>
                  <w:u w:val="single"/>
                </w:rPr>
                <w:t>7</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managements_discussion_analysis_financia">
              <w:r>
                <w:rPr>
                  <w:rStyle w:val="InternetLink"/>
                  <w:rFonts w:ascii="Arial" w:hAnsi="Arial"/>
                  <w:color w:val="0000FF"/>
                  <w:sz w:val="20"/>
                  <w:u w:val="single"/>
                </w:rPr>
                <w:t>Item 2.</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managements_discussion_analysis_financia">
              <w:r>
                <w:rPr>
                  <w:rStyle w:val="InternetLink"/>
                  <w:rFonts w:ascii="Arial" w:hAnsi="Arial"/>
                  <w:color w:val="0000FF"/>
                  <w:sz w:val="20"/>
                  <w:u w:val="single"/>
                </w:rPr>
                <w:t>Management’s Discussion and Analysis of Financial Condition and Results of Operations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managements_discussion_analysis_financia">
              <w:r>
                <w:rPr>
                  <w:rStyle w:val="InternetLink"/>
                  <w:rFonts w:ascii="Arial" w:hAnsi="Arial"/>
                  <w:color w:val="0000FF"/>
                  <w:sz w:val="20"/>
                  <w:u w:val="single"/>
                </w:rPr>
                <w:t>28</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quantitativeandqualitativedisclosures">
              <w:r>
                <w:rPr>
                  <w:rStyle w:val="InternetLink"/>
                  <w:rFonts w:ascii="Arial" w:hAnsi="Arial"/>
                  <w:color w:val="0000FF"/>
                  <w:sz w:val="20"/>
                  <w:u w:val="single"/>
                </w:rPr>
                <w:t>Item 3.</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quantitativeandqualitativedisclosures">
              <w:r>
                <w:rPr>
                  <w:rStyle w:val="InternetLink"/>
                  <w:rFonts w:ascii="Arial" w:hAnsi="Arial"/>
                  <w:color w:val="0000FF"/>
                  <w:sz w:val="20"/>
                  <w:u w:val="single"/>
                </w:rPr>
                <w:t>Quantitative and Qualitative Disclosures About Market Risk</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quantitativeandqualitativedisclosures">
              <w:r>
                <w:rPr>
                  <w:rStyle w:val="InternetLink"/>
                  <w:rFonts w:ascii="Arial" w:hAnsi="Arial"/>
                  <w:color w:val="0000FF"/>
                  <w:sz w:val="20"/>
                  <w:u w:val="single"/>
                </w:rPr>
                <w:t>43</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controlsandprocedures">
              <w:r>
                <w:rPr>
                  <w:rStyle w:val="InternetLink"/>
                  <w:rFonts w:ascii="Arial" w:hAnsi="Arial"/>
                  <w:color w:val="0000FF"/>
                  <w:sz w:val="20"/>
                  <w:u w:val="single"/>
                </w:rPr>
                <w:t>Item 4.</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trolsandprocedures">
              <w:r>
                <w:rPr>
                  <w:rStyle w:val="InternetLink"/>
                  <w:rFonts w:ascii="Arial" w:hAnsi="Arial"/>
                  <w:color w:val="0000FF"/>
                  <w:sz w:val="20"/>
                  <w:u w:val="single"/>
                </w:rPr>
                <w:t>Controls and Procedures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controlsandprocedures">
              <w:r>
                <w:rPr>
                  <w:rStyle w:val="InternetLink"/>
                  <w:rFonts w:ascii="Arial" w:hAnsi="Arial"/>
                  <w:color w:val="0000FF"/>
                  <w:sz w:val="20"/>
                  <w:u w:val="single"/>
                </w:rPr>
                <w:t>44</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Arial" w:hAnsi="Arial"/>
                  <w:b/>
                  <w:color w:val="0000FF"/>
                  <w:sz w:val="20"/>
                  <w:u w:val="single"/>
                </w:rPr>
                <w:t>PART II. OTHER INFORMATION</w:t>
              </w:r>
            </w:hyperlink>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Item 1.</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1_legal_proceedings">
              <w:r>
                <w:rPr>
                  <w:rStyle w:val="InternetLink"/>
                  <w:rFonts w:ascii="Arial" w:hAnsi="Arial"/>
                  <w:color w:val="0000FF"/>
                  <w:sz w:val="20"/>
                  <w:u w:val="single"/>
                </w:rPr>
                <w:t>45</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Item 1A.</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1a_risk_factors">
              <w:r>
                <w:rPr>
                  <w:rStyle w:val="InternetLink"/>
                  <w:rFonts w:ascii="Arial" w:hAnsi="Arial"/>
                  <w:color w:val="0000FF"/>
                  <w:sz w:val="20"/>
                  <w:u w:val="single"/>
                </w:rPr>
                <w:t>45</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Item 2.</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2_unregistered_sales_equity_securit">
              <w:r>
                <w:rPr>
                  <w:rStyle w:val="InternetLink"/>
                  <w:rFonts w:ascii="Arial" w:hAnsi="Arial"/>
                  <w:color w:val="0000FF"/>
                  <w:sz w:val="20"/>
                  <w:u w:val="single"/>
                </w:rPr>
                <w:t>45</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item_5_other_info">
              <w:r>
                <w:rPr>
                  <w:rStyle w:val="InternetLink"/>
                  <w:rFonts w:ascii="Arial" w:hAnsi="Arial"/>
                  <w:color w:val="0000FF"/>
                  <w:sz w:val="20"/>
                  <w:u w:val="single"/>
                </w:rPr>
                <w:t>Item 5.</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5_other_info">
              <w:r>
                <w:rPr>
                  <w:rStyle w:val="InternetLink"/>
                  <w:rFonts w:ascii="Arial" w:hAnsi="Arial"/>
                  <w:color w:val="0000FF"/>
                  <w:sz w:val="20"/>
                  <w:u w:val="single"/>
                </w:rPr>
                <w:t>Other Information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item_5_other_info">
              <w:r>
                <w:rPr>
                  <w:rStyle w:val="InternetLink"/>
                  <w:rFonts w:ascii="Arial" w:hAnsi="Arial"/>
                  <w:color w:val="0000FF"/>
                  <w:sz w:val="20"/>
                  <w:u w:val="single"/>
                </w:rPr>
                <w:t>46</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Item 6.</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Exhibits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exhibits">
              <w:r>
                <w:rPr>
                  <w:rStyle w:val="InternetLink"/>
                  <w:rFonts w:ascii="Arial" w:hAnsi="Arial"/>
                  <w:color w:val="0000FF"/>
                  <w:sz w:val="20"/>
                  <w:u w:val="single"/>
                </w:rPr>
                <w:t>47</w:t>
              </w:r>
            </w:hyperlink>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601" w:type="dxa"/>
            <w:tcBorders/>
            <w:tcMar>
              <w:top w:w="0" w:type="dxa"/>
              <w:left w:w="0" w:type="dxa"/>
              <w:bottom w:w="0" w:type="dxa"/>
              <w:right w:w="0" w:type="dxa"/>
            </w:tcMar>
            <w:vAlign w:val="center"/>
          </w:tcPr>
          <w:p>
            <w:pPr>
              <w:pStyle w:val="TableContents"/>
              <w:bidi w:val="0"/>
              <w:spacing w:before="0" w:after="283"/>
              <w:jc w:val="center"/>
              <w:rPr/>
            </w:pPr>
            <w:hyperlink w:anchor="signatures">
              <w:r>
                <w:rPr>
                  <w:rStyle w:val="InternetLink"/>
                  <w:rFonts w:ascii="Arial" w:hAnsi="Arial"/>
                  <w:color w:val="0000FF"/>
                  <w:sz w:val="20"/>
                  <w:u w:val="single"/>
                </w:rPr>
                <w:t>48</w:t>
              </w:r>
            </w:hyperlink>
          </w:p>
        </w:tc>
      </w:tr>
    </w:tbl>
    <w:p>
      <w:pPr>
        <w:pStyle w:val="TextBody"/>
        <w:bidi w:val="0"/>
        <w:spacing w:before="40" w:after="283"/>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left"/>
              <w:rPr>
                <w:sz w:val="4"/>
                <w:szCs w:val="4"/>
              </w:rPr>
            </w:pPr>
            <w:r>
              <w:rPr>
                <w:sz w:val="4"/>
                <w:szCs w:val="4"/>
              </w:rPr>
            </w:r>
          </w:p>
        </w:tc>
      </w:tr>
      <w:tr>
        <w:trPr/>
        <w:tc>
          <w:tcPr>
            <w:tcW w:w="339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20"/>
              </w:rPr>
            </w:pPr>
            <w:bookmarkStart w:id="4" w:name="part_i_financial_information"/>
            <w:bookmarkEnd w:id="4"/>
            <w:r>
              <w:rPr>
                <w:rFonts w:ascii="Arial" w:hAnsi="Arial"/>
                <w:b/>
                <w:color w:val="000000"/>
                <w:sz w:val="20"/>
              </w:rPr>
              <w:t>PART I. FINANCIAL INFORMATION</w:t>
            </w:r>
          </w:p>
        </w:tc>
      </w:tr>
    </w:tbl>
    <w:p>
      <w:pPr>
        <w:pStyle w:val="TextBody"/>
        <w:bidi w:val="0"/>
        <w:spacing w:before="200" w:after="283"/>
        <w:jc w:val="left"/>
        <w:rPr>
          <w:rFonts w:ascii="Arial" w:hAnsi="Arial"/>
          <w:b/>
          <w:color w:val="000000"/>
          <w:sz w:val="20"/>
        </w:rPr>
      </w:pPr>
      <w:bookmarkStart w:id="5" w:name="item_1_financial_statements"/>
      <w:bookmarkEnd w:id="5"/>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Allison Transmission Holdings, Inc.</w:t>
      </w:r>
    </w:p>
    <w:p>
      <w:pPr>
        <w:pStyle w:val="TextBody"/>
        <w:bidi w:val="0"/>
        <w:jc w:val="center"/>
        <w:rPr>
          <w:rFonts w:ascii="Arial" w:hAnsi="Arial"/>
          <w:b/>
          <w:color w:val="000000"/>
          <w:sz w:val="20"/>
        </w:rPr>
      </w:pPr>
      <w:bookmarkStart w:id="6" w:name="condensed_consolidated_balance_sheets"/>
      <w:bookmarkEnd w:id="6"/>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 dollars in millions, except share and per share data)</w:t>
      </w:r>
    </w:p>
    <w:tbl>
      <w:tblPr>
        <w:tblW w:w="10205" w:type="dxa"/>
        <w:jc w:val="left"/>
        <w:tblInd w:w="0" w:type="dxa"/>
        <w:tblLayout w:type="fixed"/>
        <w:tblCellMar>
          <w:top w:w="28" w:type="dxa"/>
          <w:left w:w="28" w:type="dxa"/>
          <w:bottom w:w="28" w:type="dxa"/>
          <w:right w:w="28" w:type="dxa"/>
        </w:tblCellMar>
      </w:tblPr>
      <w:tblGrid>
        <w:gridCol w:w="7422"/>
        <w:gridCol w:w="146"/>
        <w:gridCol w:w="217"/>
        <w:gridCol w:w="603"/>
        <w:gridCol w:w="166"/>
        <w:gridCol w:w="146"/>
        <w:gridCol w:w="267"/>
        <w:gridCol w:w="744"/>
        <w:gridCol w:w="494"/>
      </w:tblGrid>
      <w:tr>
        <w:trPr/>
        <w:tc>
          <w:tcPr>
            <w:tcW w:w="7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Accounts receivable – net of allowance for doubtful accounts of $11</w:t>
            </w:r>
            <w:r>
              <w:rPr>
                <w:rFonts w:ascii="Times New Roman" w:hAnsi="Times New Roman"/>
                <w:color w:val="000000"/>
                <w:sz w:val="20"/>
              </w:rPr>
              <w:t> </w:t>
            </w:r>
            <w:r>
              <w:rPr>
                <w:rFonts w:ascii="Arial" w:hAnsi="Arial"/>
                <w:color w:val="000000"/>
                <w:sz w:val="20"/>
              </w:rPr>
              <w:t>and $1,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2,233</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794</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2,075</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6,082</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warranty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warranty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2,885</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4,215</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Commitments and contingencies</w:t>
            </w:r>
            <w:r>
              <w:rPr>
                <w:rFonts w:ascii="Times New Roman" w:hAnsi="Times New Roman"/>
                <w:color w:val="000000"/>
                <w:sz w:val="20"/>
              </w:rPr>
              <w:t> </w:t>
            </w:r>
            <w:r>
              <w:rPr>
                <w:rFonts w:ascii="Arial" w:hAnsi="Arial"/>
                <w:color w:val="000000"/>
                <w:sz w:val="20"/>
              </w:rPr>
              <w:t>(see Note 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$0.01</w:t>
            </w:r>
            <w:r>
              <w:rPr>
                <w:rFonts w:ascii="Times New Roman" w:hAnsi="Times New Roman"/>
                <w:color w:val="000000"/>
                <w:sz w:val="20"/>
              </w:rPr>
              <w:t> </w:t>
            </w:r>
            <w:r>
              <w:rPr>
                <w:rFonts w:ascii="Arial" w:hAnsi="Arial"/>
                <w:color w:val="000000"/>
                <w:sz w:val="20"/>
              </w:rPr>
              <w:t>par value, 1,880,000,000</w:t>
            </w:r>
            <w:r>
              <w:rPr>
                <w:rFonts w:ascii="Times New Roman" w:hAnsi="Times New Roman"/>
                <w:color w:val="000000"/>
                <w:sz w:val="20"/>
              </w:rPr>
              <w:t> </w:t>
            </w:r>
            <w:r>
              <w:rPr>
                <w:rFonts w:ascii="Arial" w:hAnsi="Arial"/>
                <w:color w:val="000000"/>
                <w:sz w:val="20"/>
              </w:rPr>
              <w:t>shares authorized, 83,029,983</w:t>
            </w:r>
            <w:r>
              <w:rPr>
                <w:rFonts w:ascii="Times New Roman" w:hAnsi="Times New Roman"/>
                <w:color w:val="000000"/>
                <w:sz w:val="20"/>
              </w:rPr>
              <w:t> </w:t>
            </w:r>
            <w:r>
              <w:rPr>
                <w:rFonts w:ascii="Arial" w:hAnsi="Arial"/>
                <w:color w:val="000000"/>
                <w:sz w:val="20"/>
              </w:rPr>
              <w:t>shares issued and outstanding and 82,828,704</w:t>
            </w:r>
            <w:r>
              <w:rPr>
                <w:rFonts w:ascii="Times New Roman" w:hAnsi="Times New Roman"/>
                <w:color w:val="000000"/>
                <w:sz w:val="20"/>
              </w:rPr>
              <w:t> </w:t>
            </w:r>
            <w:r>
              <w:rPr>
                <w:rFonts w:ascii="Arial" w:hAnsi="Arial"/>
                <w:color w:val="000000"/>
                <w:sz w:val="20"/>
              </w:rPr>
              <w:t>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Non-voting common stock, $0.01</w:t>
            </w:r>
            <w:r>
              <w:rPr>
                <w:rFonts w:ascii="Times New Roman" w:hAnsi="Times New Roman"/>
                <w:color w:val="000000"/>
                <w:sz w:val="20"/>
              </w:rPr>
              <w:t> </w:t>
            </w:r>
            <w:r>
              <w:rPr>
                <w:rFonts w:ascii="Arial" w:hAnsi="Arial"/>
                <w:color w:val="000000"/>
                <w:sz w:val="20"/>
              </w:rPr>
              <w:t>par value, 20,000,000</w:t>
            </w:r>
            <w:r>
              <w:rPr>
                <w:rFonts w:ascii="Times New Roman" w:hAnsi="Times New Roman"/>
                <w:color w:val="000000"/>
                <w:sz w:val="20"/>
              </w:rPr>
              <w:t> </w:t>
            </w:r>
            <w:r>
              <w:rPr>
                <w:rFonts w:ascii="Arial" w:hAnsi="Arial"/>
                <w:color w:val="000000"/>
                <w:sz w:val="20"/>
              </w:rPr>
              <w:t>shares</w:t>
              <w:br/>
              <w:t>   authorized, none</w:t>
            </w:r>
            <w:r>
              <w:rPr>
                <w:rFonts w:ascii="Times New Roman" w:hAnsi="Times New Roman"/>
                <w:color w:val="000000"/>
                <w:sz w:val="20"/>
              </w:rPr>
              <w:t> </w:t>
            </w:r>
            <w:r>
              <w:rPr>
                <w:rFonts w:ascii="Arial" w:hAnsi="Arial"/>
                <w:color w:val="000000"/>
                <w:sz w:val="20"/>
              </w:rPr>
              <w:t>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Preferred stock, $0.01</w:t>
            </w:r>
            <w:r>
              <w:rPr>
                <w:rFonts w:ascii="Times New Roman" w:hAnsi="Times New Roman"/>
                <w:color w:val="000000"/>
                <w:sz w:val="20"/>
              </w:rPr>
              <w:t> </w:t>
            </w:r>
            <w:r>
              <w:rPr>
                <w:rFonts w:ascii="Arial" w:hAnsi="Arial"/>
                <w:color w:val="000000"/>
                <w:sz w:val="20"/>
              </w:rPr>
              <w:t>par value, 100,000,000</w:t>
            </w:r>
            <w:r>
              <w:rPr>
                <w:rFonts w:ascii="Times New Roman" w:hAnsi="Times New Roman"/>
                <w:color w:val="000000"/>
                <w:sz w:val="20"/>
              </w:rPr>
              <w:t> </w:t>
            </w:r>
            <w:r>
              <w:rPr>
                <w:rFonts w:ascii="Arial" w:hAnsi="Arial"/>
                <w:color w:val="000000"/>
                <w:sz w:val="20"/>
              </w:rPr>
              <w:t>shares authorized, none</w:t>
              <w:br/>
              <w:t>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Paid 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1,960</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Retained earnings (accumulated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1,867</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&amp;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6,082</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Allison Transmission Holdings, Inc.</w:t>
      </w:r>
    </w:p>
    <w:p>
      <w:pPr>
        <w:pStyle w:val="TextBody"/>
        <w:bidi w:val="0"/>
        <w:jc w:val="center"/>
        <w:rPr>
          <w:rFonts w:ascii="Arial" w:hAnsi="Arial"/>
          <w:b/>
          <w:color w:val="000000"/>
          <w:sz w:val="20"/>
        </w:rPr>
      </w:pPr>
      <w:bookmarkStart w:id="7" w:name="condensed_consolidated_statements_compre"/>
      <w:bookmarkEnd w:id="7"/>
      <w:r>
        <w:rPr>
          <w:rFonts w:ascii="Arial" w:hAnsi="Arial"/>
          <w:b/>
          <w:color w:val="000000"/>
          <w:sz w:val="20"/>
        </w:rPr>
        <w:t>Condensed Consolidated Statements of Comprehensive Income</w:t>
      </w:r>
    </w:p>
    <w:p>
      <w:pPr>
        <w:pStyle w:val="TextBody"/>
        <w:bidi w:val="0"/>
        <w:jc w:val="center"/>
        <w:rPr>
          <w:rFonts w:ascii="Arial" w:hAnsi="Arial"/>
          <w:b/>
          <w:color w:val="000000"/>
          <w:sz w:val="20"/>
        </w:rPr>
      </w:pPr>
      <w:r>
        <w:rPr>
          <w:rFonts w:ascii="Arial" w:hAnsi="Arial"/>
          <w:b/>
          <w:color w:val="000000"/>
          <w:sz w:val="20"/>
        </w:rPr>
        <w:t>(unaudited, dollars in millions, except per share data)</w:t>
      </w:r>
    </w:p>
    <w:p>
      <w:pPr>
        <w:pStyle w:val="TextBody"/>
        <w:bidi w:val="0"/>
        <w:jc w:val="left"/>
        <w:rPr/>
      </w:pPr>
      <w:r>
        <w:rPr/>
        <w:t> </w:t>
      </w:r>
    </w:p>
    <w:tbl>
      <w:tblPr>
        <w:tblW w:w="8981" w:type="dxa"/>
        <w:jc w:val="left"/>
        <w:tblInd w:w="0" w:type="dxa"/>
        <w:tblLayout w:type="fixed"/>
        <w:tblCellMar>
          <w:top w:w="28" w:type="dxa"/>
          <w:left w:w="28" w:type="dxa"/>
          <w:bottom w:w="28" w:type="dxa"/>
          <w:right w:w="28" w:type="dxa"/>
        </w:tblCellMar>
      </w:tblPr>
      <w:tblGrid>
        <w:gridCol w:w="6076"/>
        <w:gridCol w:w="146"/>
        <w:gridCol w:w="298"/>
        <w:gridCol w:w="830"/>
        <w:gridCol w:w="235"/>
        <w:gridCol w:w="206"/>
        <w:gridCol w:w="298"/>
        <w:gridCol w:w="681"/>
        <w:gridCol w:w="211"/>
      </w:tblGrid>
      <w:tr>
        <w:trPr/>
        <w:tc>
          <w:tcPr>
            <w:tcW w:w="6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1,406</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1,000</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406</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Engineering —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132</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Basic earnings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earnings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Allison Transmission Holdings, Inc.</w:t>
      </w:r>
    </w:p>
    <w:p>
      <w:pPr>
        <w:pStyle w:val="TextBody"/>
        <w:bidi w:val="0"/>
        <w:jc w:val="center"/>
        <w:rPr>
          <w:rFonts w:ascii="Arial" w:hAnsi="Arial"/>
          <w:b/>
          <w:color w:val="000000"/>
          <w:sz w:val="20"/>
        </w:rPr>
      </w:pPr>
      <w:bookmarkStart w:id="8" w:name="condensed_consolidated_statements_cash_f"/>
      <w:bookmarkEnd w:id="8"/>
      <w:r>
        <w:rPr>
          <w:rFonts w:ascii="Arial" w:hAnsi="Arial"/>
          <w:b/>
          <w:color w:val="000000"/>
          <w:sz w:val="20"/>
        </w:rPr>
        <w:t>Condensed Consolidated Statements of Cash Flows</w:t>
      </w:r>
    </w:p>
    <w:p>
      <w:pPr>
        <w:pStyle w:val="TextBody"/>
        <w:bidi w:val="0"/>
        <w:jc w:val="center"/>
        <w:rPr>
          <w:rFonts w:ascii="Arial" w:hAnsi="Arial"/>
          <w:b/>
          <w:color w:val="000000"/>
          <w:sz w:val="20"/>
        </w:rPr>
      </w:pPr>
      <w:r>
        <w:rPr>
          <w:rFonts w:ascii="Arial" w:hAnsi="Arial"/>
          <w:b/>
          <w:color w:val="000000"/>
          <w:sz w:val="20"/>
        </w:rPr>
        <w:t>(unaudited,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14"/>
        <w:gridCol w:w="146"/>
        <w:gridCol w:w="280"/>
        <w:gridCol w:w="858"/>
        <w:gridCol w:w="220"/>
        <w:gridCol w:w="194"/>
        <w:gridCol w:w="280"/>
        <w:gridCol w:w="639"/>
        <w:gridCol w:w="774"/>
      </w:tblGrid>
      <w:tr>
        <w:trPr/>
        <w:tc>
          <w:tcPr>
            <w:tcW w:w="6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 net of effects of the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Business acquisition,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(2,563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used for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(2,616</w:t>
            </w:r>
          </w:p>
        </w:tc>
        <w:tc>
          <w:tcPr>
            <w:tcW w:w="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7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Payments on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Dividend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Debt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Taxes paid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(used for)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(1,184</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1,495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311</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77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Interest received from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81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Capital expenditures in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9" w:name="condensed_consolidated_statements_equity"/>
      <w:bookmarkEnd w:id="9"/>
      <w:r>
        <w:rPr>
          <w:rFonts w:ascii="Arial" w:hAnsi="Arial"/>
          <w:b/>
          <w:color w:val="000000"/>
          <w:sz w:val="20"/>
        </w:rPr>
        <w:t>Allison Transmission Holdings, Inc.</w:t>
      </w:r>
    </w:p>
    <w:p>
      <w:pPr>
        <w:pStyle w:val="TextBody"/>
        <w:bidi w:val="0"/>
        <w:jc w:val="center"/>
        <w:rPr>
          <w:rFonts w:ascii="Arial" w:hAnsi="Arial"/>
          <w:b/>
          <w:color w:val="000000"/>
          <w:sz w:val="20"/>
        </w:rPr>
      </w:pPr>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(unaudited, dollars in millions)</w:t>
      </w:r>
    </w:p>
    <w:p>
      <w:pPr>
        <w:pStyle w:val="TextBody"/>
        <w:bidi w:val="0"/>
        <w:jc w:val="left"/>
        <w:rPr/>
      </w:pPr>
      <w:r>
        <w:rPr/>
        <w:t> </w:t>
      </w:r>
    </w:p>
    <w:tbl>
      <w:tblPr>
        <w:tblW w:w="11273" w:type="dxa"/>
        <w:jc w:val="left"/>
        <w:tblInd w:w="0" w:type="dxa"/>
        <w:tblLayout w:type="fixed"/>
        <w:tblCellMar>
          <w:top w:w="28" w:type="dxa"/>
          <w:left w:w="28" w:type="dxa"/>
          <w:bottom w:w="28" w:type="dxa"/>
          <w:right w:w="28" w:type="dxa"/>
        </w:tblCellMar>
      </w:tblPr>
      <w:tblGrid>
        <w:gridCol w:w="1616"/>
        <w:gridCol w:w="146"/>
        <w:gridCol w:w="318"/>
        <w:gridCol w:w="523"/>
        <w:gridCol w:w="146"/>
        <w:gridCol w:w="146"/>
        <w:gridCol w:w="381"/>
        <w:gridCol w:w="625"/>
        <w:gridCol w:w="146"/>
        <w:gridCol w:w="146"/>
        <w:gridCol w:w="312"/>
        <w:gridCol w:w="514"/>
        <w:gridCol w:w="146"/>
        <w:gridCol w:w="146"/>
        <w:gridCol w:w="211"/>
        <w:gridCol w:w="586"/>
        <w:gridCol w:w="166"/>
        <w:gridCol w:w="146"/>
        <w:gridCol w:w="361"/>
        <w:gridCol w:w="825"/>
        <w:gridCol w:w="166"/>
        <w:gridCol w:w="146"/>
        <w:gridCol w:w="485"/>
        <w:gridCol w:w="866"/>
        <w:gridCol w:w="166"/>
        <w:gridCol w:w="146"/>
        <w:gridCol w:w="317"/>
        <w:gridCol w:w="884"/>
        <w:gridCol w:w="49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Retained earnings (accumulated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Other Comprehensive (Loss) Income, 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 Equity</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and OPEB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Dividends on common stock ($0.27</w:t>
            </w:r>
            <w:r>
              <w:rPr>
                <w:rFonts w:ascii="Times New Roman" w:hAnsi="Times New Roman"/>
                <w:color w:val="000000"/>
                <w:sz w:val="20"/>
              </w:rPr>
              <w:t> </w:t>
            </w:r>
            <w:r>
              <w:rPr>
                <w:rFonts w:ascii="Arial" w:hAnsi="Arial"/>
                <w:color w:val="000000"/>
                <w:sz w:val="20"/>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Pension and OPEB liability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Dividends on common stock ($0.29</w:t>
            </w:r>
            <w:r>
              <w:rPr>
                <w:rFonts w:ascii="Times New Roman" w:hAnsi="Times New Roman"/>
                <w:color w:val="000000"/>
                <w:sz w:val="20"/>
              </w:rPr>
              <w:t> </w:t>
            </w:r>
            <w:r>
              <w:rPr>
                <w:rFonts w:ascii="Arial" w:hAnsi="Arial"/>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1,903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rFonts w:ascii="Arial" w:hAnsi="Arial"/>
          <w:color w:val="000000"/>
          <w:sz w:val="20"/>
        </w:rPr>
      </w:pPr>
      <w:r>
        <w:rPr>
          <w:rFonts w:ascii="Arial" w:hAnsi="Arial"/>
          <w:color w:val="000000"/>
          <w:sz w:val="20"/>
        </w:rPr>
        <w:t>The accompanying notes are an integral part of the condensed consolidated financial statements.</w:t>
      </w:r>
    </w:p>
    <w:p>
      <w:pPr>
        <w:pStyle w:val="TextBody"/>
        <w:bidi w:val="0"/>
        <w:spacing w:before="18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10" w:name="notes_to_condensed_consolidated_financia"/>
      <w:bookmarkEnd w:id="10"/>
      <w:r>
        <w:rPr>
          <w:rFonts w:ascii="Arial" w:hAnsi="Arial"/>
          <w:b/>
          <w:color w:val="000000"/>
          <w:sz w:val="20"/>
        </w:rPr>
        <w:t>Allison Transmission Holdings, Inc.</w:t>
      </w:r>
    </w:p>
    <w:p>
      <w:pPr>
        <w:pStyle w:val="TextBody"/>
        <w:bidi w:val="0"/>
        <w:jc w:val="center"/>
        <w:rPr>
          <w:rFonts w:ascii="Arial" w:hAnsi="Arial"/>
          <w:b/>
          <w:color w:val="000000"/>
          <w:sz w:val="20"/>
        </w:rPr>
      </w:pPr>
      <w:r>
        <w:rPr>
          <w:rFonts w:ascii="Arial" w:hAnsi="Arial"/>
          <w:b/>
          <w:color w:val="000000"/>
          <w:sz w:val="20"/>
        </w:rPr>
        <w:t>Notes to Condensed Consolidated Financial Statements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spacing w:before="360" w:after="283"/>
        <w:jc w:val="left"/>
        <w:rPr>
          <w:rFonts w:ascii="Arial" w:hAnsi="Arial"/>
          <w:b/>
          <w:color w:val="000000"/>
          <w:sz w:val="20"/>
        </w:rPr>
      </w:pPr>
      <w:r>
        <w:rPr>
          <w:rFonts w:ascii="Arial" w:hAnsi="Arial"/>
          <w:b/>
          <w:color w:val="000000"/>
          <w:sz w:val="20"/>
        </w:rPr>
        <w:t>NOTE A. OVERVIEW</w:t>
      </w:r>
    </w:p>
    <w:p>
      <w:pPr>
        <w:pStyle w:val="TextBody"/>
        <w:bidi w:val="0"/>
        <w:spacing w:before="120" w:after="283"/>
        <w:jc w:val="left"/>
        <w:rPr>
          <w:rFonts w:ascii="Arial" w:hAnsi="Arial"/>
          <w:b/>
          <w:i/>
          <w:color w:val="000000"/>
          <w:sz w:val="20"/>
        </w:rPr>
      </w:pPr>
      <w:r>
        <w:rPr>
          <w:rFonts w:ascii="Arial" w:hAnsi="Arial"/>
          <w:b/>
          <w:i/>
          <w:color w:val="000000"/>
          <w:sz w:val="20"/>
        </w:rPr>
        <w:t>Overview</w:t>
      </w:r>
    </w:p>
    <w:p>
      <w:pPr>
        <w:pStyle w:val="TextBody"/>
        <w:bidi w:val="0"/>
        <w:spacing w:before="180" w:after="283"/>
        <w:jc w:val="left"/>
        <w:rPr>
          <w:rFonts w:ascii="Arial" w:hAnsi="Arial"/>
          <w:color w:val="000000"/>
          <w:sz w:val="20"/>
        </w:rPr>
      </w:pPr>
      <w:r>
        <w:rPr>
          <w:rFonts w:ascii="Arial" w:hAnsi="Arial"/>
          <w:color w:val="000000"/>
          <w:sz w:val="20"/>
        </w:rPr>
        <w:t>Allison Transmission Holdings, Inc. and its subsidiaries ("Allison" or the "Company”) is a global leader in high-performance mobility and work solutions built for the needs of the modern industrial world. Allison operates through two operating and reportable segments: Allison Transmission and Allison Off-Highway Drive &amp; Motion Systems ("Allison Off-Highway"). Headquartered in Indianapolis, Indiana, USA, the Company manufactures solutions which offer industry-leading value propositions across vital sectors such as infrastructure, mining, energy, agriculture, construction, transportation and national security.</w:t>
      </w:r>
    </w:p>
    <w:p>
      <w:pPr>
        <w:pStyle w:val="TextBody"/>
        <w:bidi w:val="0"/>
        <w:spacing w:before="180" w:after="283"/>
        <w:jc w:val="left"/>
        <w:rPr>
          <w:rFonts w:ascii="Times New Roman" w:hAnsi="Times New Roman"/>
          <w:sz w:val="20"/>
        </w:rPr>
      </w:pPr>
      <w:r>
        <w:rPr>
          <w:rFonts w:ascii="Arial" w:hAnsi="Arial"/>
          <w:color w:val="000000"/>
          <w:sz w:val="20"/>
        </w:rPr>
        <w:t>On January 1, 2026 (the "Closing Date"), the Company completed the acquisition of Dana Incorporated's ("Dana") off-highway business (the "Acquired Off-Highway Business”) for a purchase price of approximately $2,628</w:t>
      </w:r>
      <w:r>
        <w:rPr>
          <w:rFonts w:ascii="Times New Roman" w:hAnsi="Times New Roman"/>
          <w:color w:val="000000"/>
          <w:sz w:val="20"/>
        </w:rPr>
        <w:t xml:space="preserve"> </w:t>
      </w:r>
      <w:r>
        <w:rPr>
          <w:rFonts w:ascii="Arial" w:hAnsi="Arial"/>
          <w:color w:val="000000"/>
          <w:sz w:val="20"/>
        </w:rPr>
        <w:t>million, subject to certain adjustments (the "Acquisition"). As a result of the Acquisition, the Company now offers an expanded portfolio of drivetrain, motion and propulsion solutions, providing complementary product breadth and an enhanced ability to support global customers across multiple end markets. The Acquired Off-Highway Business has historically served end markets with demand characteristics that differ from Allison's traditional on-highway markets, contributing to a more diversified portfolio.</w:t>
      </w:r>
    </w:p>
    <w:p>
      <w:pPr>
        <w:pStyle w:val="TextBody"/>
        <w:bidi w:val="0"/>
        <w:spacing w:before="180" w:after="283"/>
        <w:jc w:val="left"/>
        <w:rPr>
          <w:rFonts w:ascii="Times New Roman" w:hAnsi="Times New Roman"/>
          <w:sz w:val="20"/>
        </w:rPr>
      </w:pPr>
      <w:r>
        <w:rPr>
          <w:rFonts w:ascii="Arial" w:hAnsi="Arial"/>
          <w:color w:val="000000"/>
          <w:sz w:val="20"/>
        </w:rPr>
        <w:t>Following the Acquisition, the Company continues to operate under the Allison name, but its operations are now comprised of two operating and reportable segments: Allison Transmission and Allison Off-Highway. Segment leadership is located globally, reflecting the international nature of the Company's operations and the importance of local market insights, sourcing, production and customer support. All prior period reportable segment information has been reclassified to conform to the current presentation. For additional discussion regarding our segments, including the changes made, see “Note S. Segment Information.”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Allison Transmission serves customers through an independent global network of approximately 1,500</w:t>
      </w:r>
      <w:r>
        <w:rPr>
          <w:rFonts w:ascii="Times New Roman" w:hAnsi="Times New Roman"/>
          <w:color w:val="000000"/>
          <w:sz w:val="20"/>
        </w:rPr>
        <w:t xml:space="preserve"> </w:t>
      </w:r>
      <w:r>
        <w:rPr>
          <w:rFonts w:ascii="Arial" w:hAnsi="Arial"/>
          <w:color w:val="000000"/>
          <w:sz w:val="20"/>
        </w:rPr>
        <w:t>independent distributor and dealer locations worldwide and offers more than 200</w:t>
      </w:r>
      <w:r>
        <w:rPr>
          <w:rFonts w:ascii="Times New Roman" w:hAnsi="Times New Roman"/>
          <w:color w:val="000000"/>
          <w:sz w:val="20"/>
        </w:rPr>
        <w:t xml:space="preserve"> </w:t>
      </w:r>
      <w:r>
        <w:rPr>
          <w:rFonts w:ascii="Arial" w:hAnsi="Arial"/>
          <w:color w:val="000000"/>
          <w:sz w:val="20"/>
        </w:rPr>
        <w:t>different transmission models compatible with</w:t>
      </w:r>
      <w:r>
        <w:rPr>
          <w:rFonts w:ascii="Times New Roman" w:hAnsi="Times New Roman"/>
          <w:color w:val="000000"/>
          <w:sz w:val="20"/>
        </w:rPr>
        <w:t xml:space="preserve"> </w:t>
      </w:r>
      <w:r>
        <w:rPr>
          <w:rFonts w:ascii="Arial" w:hAnsi="Arial"/>
          <w:color w:val="000000"/>
          <w:sz w:val="20"/>
        </w:rPr>
        <w:t>more than 500</w:t>
      </w:r>
      <w:r>
        <w:rPr>
          <w:rFonts w:ascii="Times New Roman" w:hAnsi="Times New Roman"/>
          <w:color w:val="000000"/>
          <w:sz w:val="20"/>
        </w:rPr>
        <w:t xml:space="preserve"> </w:t>
      </w:r>
      <w:r>
        <w:rPr>
          <w:rFonts w:ascii="Arial" w:hAnsi="Arial"/>
          <w:color w:val="000000"/>
          <w:sz w:val="20"/>
        </w:rPr>
        <w:t>combinations of engine brands, models and ratings, including diesel, gasoline, natural gas and other alternative fuels. In addition, Allison Transmission has developed thousands of proprietary calibrations available for use with its electronic control modules, enabling tailored performance across a broad range of customer applications.</w:t>
      </w:r>
    </w:p>
    <w:p>
      <w:pPr>
        <w:pStyle w:val="TextBody"/>
        <w:bidi w:val="0"/>
        <w:spacing w:before="180" w:after="283"/>
        <w:jc w:val="left"/>
        <w:rPr>
          <w:rFonts w:ascii="Arial" w:hAnsi="Arial"/>
          <w:color w:val="000000"/>
          <w:sz w:val="20"/>
        </w:rPr>
      </w:pPr>
      <w:r>
        <w:rPr>
          <w:rFonts w:ascii="Arial" w:hAnsi="Arial"/>
          <w:color w:val="000000"/>
          <w:sz w:val="20"/>
        </w:rPr>
        <w:t>Allison Off-Highway provides drivetrain and motion solutions for a wide range of mobile and stationary off-highway equipment. These solutions include optimized drivetrain systems, propulsion components and motion technologies designed for industries such as construction, agriculture, mining, material handling and other industrial applications. The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 The global engineering, manufacturing and service footprint of the Acquired Off-Highway Business supports localized responsiveness and technical support for customers in key off-highway end markets.</w:t>
      </w:r>
    </w:p>
    <w:p>
      <w:pPr>
        <w:pStyle w:val="TextBody"/>
        <w:bidi w:val="0"/>
        <w:spacing w:before="120" w:after="283"/>
        <w:jc w:val="left"/>
        <w:rPr>
          <w:rFonts w:ascii="Arial" w:hAnsi="Arial"/>
          <w:color w:val="000000"/>
          <w:sz w:val="20"/>
        </w:rPr>
      </w:pPr>
      <w:r>
        <w:rPr>
          <w:rFonts w:ascii="Arial" w:hAnsi="Arial"/>
          <w:color w:val="000000"/>
          <w:sz w:val="20"/>
        </w:rPr>
        <w:t>The Company has a global presence serving customers in North America, Asia, Europe, South America, and Africa, and has further expanded its operations in these regions as a result of the Acquisition.</w:t>
      </w:r>
    </w:p>
    <w:p>
      <w:pPr>
        <w:pStyle w:val="TextBody"/>
        <w:bidi w:val="0"/>
        <w:spacing w:before="180" w:after="283"/>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NOTE B.</w:t>
      </w:r>
      <w:r>
        <w:rPr>
          <w:rFonts w:ascii="Times New Roman" w:hAnsi="Times New Roman"/>
          <w:color w:val="000000"/>
          <w:sz w:val="20"/>
        </w:rPr>
        <w:t xml:space="preserve"> </w:t>
      </w:r>
      <w:r>
        <w:rPr>
          <w:rFonts w:ascii="Arial" w:hAnsi="Arial"/>
          <w:b/>
          <w:color w:val="000000"/>
          <w:sz w:val="20"/>
        </w:rPr>
        <w:t>ACQUISITIONS</w:t>
      </w:r>
    </w:p>
    <w:p>
      <w:pPr>
        <w:pStyle w:val="TextBody"/>
        <w:bidi w:val="0"/>
        <w:spacing w:before="180" w:after="283"/>
        <w:jc w:val="left"/>
        <w:rPr>
          <w:rFonts w:ascii="Times New Roman" w:hAnsi="Times New Roman"/>
          <w:sz w:val="20"/>
        </w:rPr>
      </w:pPr>
      <w:r>
        <w:rPr>
          <w:rFonts w:ascii="Arial" w:hAnsi="Arial"/>
          <w:color w:val="000000"/>
          <w:sz w:val="20"/>
        </w:rPr>
        <w:t>On January 1, 2026, the Company completed the Acquisition for a purchase price of $2,628</w:t>
      </w:r>
      <w:r>
        <w:rPr>
          <w:rFonts w:ascii="Times New Roman" w:hAnsi="Times New Roman"/>
          <w:color w:val="000000"/>
          <w:sz w:val="20"/>
        </w:rPr>
        <w:t xml:space="preserve"> </w:t>
      </w:r>
      <w:r>
        <w:rPr>
          <w:rFonts w:ascii="Arial" w:hAnsi="Arial"/>
          <w:color w:val="000000"/>
          <w:sz w:val="20"/>
        </w:rPr>
        <w:t>million, subject to certain adjustments, using a combination of cash on hand, $500</w:t>
      </w:r>
      <w:r>
        <w:rPr>
          <w:rFonts w:ascii="Times New Roman" w:hAnsi="Times New Roman"/>
          <w:color w:val="000000"/>
          <w:sz w:val="20"/>
        </w:rPr>
        <w:t xml:space="preserve"> </w:t>
      </w:r>
      <w:r>
        <w:rPr>
          <w:rFonts w:ascii="Arial" w:hAnsi="Arial"/>
          <w:color w:val="000000"/>
          <w:sz w:val="20"/>
        </w:rPr>
        <w:t>million of proceeds from the issuance of the 5.875% Senior Notes due December 2033</w:t>
      </w:r>
      <w:r>
        <w:rPr>
          <w:rFonts w:ascii="Times New Roman" w:hAnsi="Times New Roman"/>
          <w:color w:val="000000"/>
          <w:sz w:val="20"/>
        </w:rPr>
        <w:t xml:space="preserve"> </w:t>
      </w:r>
      <w:r>
        <w:rPr>
          <w:rFonts w:ascii="Arial" w:hAnsi="Arial"/>
          <w:color w:val="000000"/>
          <w:sz w:val="20"/>
        </w:rPr>
        <w:t>("5.875% Senior Notes 2033") by Allison Transmission, Inc. ("ATI"), the Company’s wholly-owned subsidiary, proceeds from borrowings under an incremental term loan facility under the Second Amended and Restated Credit Agreement dated as of March 29, 2019, as amended (the “Credit Agreement”),</w:t>
      </w:r>
      <w:r>
        <w:rPr>
          <w:rFonts w:ascii="Times New Roman" w:hAnsi="Times New Roman"/>
          <w:color w:val="000000"/>
          <w:sz w:val="20"/>
        </w:rPr>
        <w:t xml:space="preserve"> </w:t>
      </w:r>
      <w:r>
        <w:rPr>
          <w:rFonts w:ascii="Arial" w:hAnsi="Arial"/>
          <w:color w:val="000000"/>
          <w:sz w:val="20"/>
        </w:rPr>
        <w:t>in an aggregate principal amount equal to $1,200</w:t>
      </w:r>
      <w:r>
        <w:rPr>
          <w:rFonts w:ascii="Times New Roman" w:hAnsi="Times New Roman"/>
          <w:color w:val="000000"/>
          <w:sz w:val="20"/>
        </w:rPr>
        <w:t xml:space="preserve"> </w:t>
      </w:r>
      <w:r>
        <w:rPr>
          <w:rFonts w:ascii="Arial" w:hAnsi="Arial"/>
          <w:color w:val="000000"/>
          <w:sz w:val="20"/>
        </w:rPr>
        <w:t>million (the “Incremental Term Loan”) and $300</w:t>
      </w:r>
      <w:r>
        <w:rPr>
          <w:rFonts w:ascii="Times New Roman" w:hAnsi="Times New Roman"/>
          <w:color w:val="000000"/>
          <w:sz w:val="20"/>
        </w:rPr>
        <w:t xml:space="preserve"> </w:t>
      </w:r>
      <w:r>
        <w:rPr>
          <w:rFonts w:ascii="Arial" w:hAnsi="Arial"/>
          <w:color w:val="000000"/>
          <w:sz w:val="20"/>
        </w:rPr>
        <w:t>million of borrowings under ATI's revolving credit facility with commitments in the amount of $1,000</w:t>
      </w:r>
      <w:r>
        <w:rPr>
          <w:rFonts w:ascii="Times New Roman" w:hAnsi="Times New Roman"/>
          <w:color w:val="000000"/>
          <w:sz w:val="20"/>
        </w:rPr>
        <w:t xml:space="preserve"> </w:t>
      </w:r>
      <w:r>
        <w:rPr>
          <w:rFonts w:ascii="Arial" w:hAnsi="Arial"/>
          <w:color w:val="000000"/>
          <w:sz w:val="20"/>
        </w:rPr>
        <w:t>million due January 2031 (“Revolving Credit Facility”). In connection with the Acquisition, the Company entered into a commitment letter with a group of lenders (the "Lenders"), pursuant to which the Lenders committed to provide a 364-day senior unsecured bridge term loan facility (the “Bridge Facility”), in an aggregate principal amount of up to $2,000</w:t>
      </w:r>
      <w:r>
        <w:rPr>
          <w:rFonts w:ascii="Times New Roman" w:hAnsi="Times New Roman"/>
          <w:color w:val="000000"/>
          <w:sz w:val="20"/>
        </w:rPr>
        <w:t xml:space="preserve"> </w:t>
      </w:r>
      <w:r>
        <w:rPr>
          <w:rFonts w:ascii="Arial" w:hAnsi="Arial"/>
          <w:color w:val="000000"/>
          <w:sz w:val="20"/>
        </w:rPr>
        <w:t>million. As of December 31, 2025, the Bridge Facility aggregate commitment principal amount had been reduced to $500</w:t>
      </w:r>
      <w:r>
        <w:rPr>
          <w:rFonts w:ascii="Times New Roman" w:hAnsi="Times New Roman"/>
          <w:color w:val="000000"/>
          <w:sz w:val="20"/>
        </w:rPr>
        <w:t xml:space="preserve"> </w:t>
      </w:r>
      <w:r>
        <w:rPr>
          <w:rFonts w:ascii="Arial" w:hAnsi="Arial"/>
          <w:color w:val="000000"/>
          <w:sz w:val="20"/>
        </w:rPr>
        <w:t>million as a result of the issuance of the 5.875% Senior Notes 2033 and the Company's election to voluntarily reduce the aggregate commitments under the Bridge Facility. No amount was drawn from the Bridge Facility and it was terminated upon the completion of the Acquisition on the Closing Date.</w:t>
      </w:r>
    </w:p>
    <w:p>
      <w:pPr>
        <w:pStyle w:val="TextBody"/>
        <w:bidi w:val="0"/>
        <w:spacing w:before="120" w:after="283"/>
        <w:jc w:val="left"/>
        <w:rPr>
          <w:rFonts w:ascii="Arial" w:hAnsi="Arial"/>
          <w:color w:val="000000"/>
          <w:sz w:val="20"/>
        </w:rPr>
      </w:pPr>
      <w:r>
        <w:rPr>
          <w:rFonts w:ascii="Arial" w:hAnsi="Arial"/>
          <w:color w:val="000000"/>
          <w:sz w:val="20"/>
        </w:rPr>
        <w:t>The Allison Off-Highway business is a leading provider of drivetrain and propulsion solutions. For segment reporting purposes, the Acquired Off-Highway Business comprises the entire Allison Off-Highway segment. The Company accounted for the Acquisition in accordance with authoritative accounting guidance on business combinations. The results of Allison Off-Highway have been included in the Company’s Condensed Consolidated Financial Statements from the Closing Date. See "Note S. Segment Information” for more details regarding Allison Off-Highway's results.</w:t>
      </w:r>
    </w:p>
    <w:p>
      <w:pPr>
        <w:pStyle w:val="TextBody"/>
        <w:bidi w:val="0"/>
        <w:spacing w:before="120" w:after="283"/>
        <w:jc w:val="left"/>
        <w:rPr>
          <w:rFonts w:ascii="Times New Roman" w:hAnsi="Times New Roman"/>
          <w:sz w:val="20"/>
        </w:rPr>
      </w:pPr>
      <w:r>
        <w:rPr>
          <w:rFonts w:ascii="Arial" w:hAnsi="Arial"/>
          <w:color w:val="000000"/>
          <w:sz w:val="20"/>
        </w:rPr>
        <w:t>On January 1, 2026, the Company transferred $2,664</w:t>
      </w:r>
      <w:r>
        <w:rPr>
          <w:rFonts w:ascii="Times New Roman" w:hAnsi="Times New Roman"/>
          <w:color w:val="000000"/>
          <w:sz w:val="20"/>
        </w:rPr>
        <w:t xml:space="preserve"> </w:t>
      </w:r>
      <w:r>
        <w:rPr>
          <w:rFonts w:ascii="Arial" w:hAnsi="Arial"/>
          <w:color w:val="000000"/>
          <w:sz w:val="20"/>
        </w:rPr>
        <w:t>million of cash consideration to Dana based on the preliminary closing statement, of which $2</w:t>
      </w:r>
      <w:r>
        <w:rPr>
          <w:rFonts w:ascii="Times New Roman" w:hAnsi="Times New Roman"/>
          <w:color w:val="000000"/>
          <w:sz w:val="20"/>
        </w:rPr>
        <w:t xml:space="preserve"> </w:t>
      </w:r>
      <w:r>
        <w:rPr>
          <w:rFonts w:ascii="Arial" w:hAnsi="Arial"/>
          <w:color w:val="000000"/>
          <w:sz w:val="20"/>
        </w:rPr>
        <w:t>million was attributed to the effective settlement of the pre-existing accounts payable balance. The cash portion of the purchase price is subject to adjustment based upon the final calculation of the acquired cash, indebtedness and working capital, as defined by the Stock Purchase Agreement, as amended, with Dana, as of the Closing Date. During the three months ended March 31, 2026, the Company recorded a subsequent $34</w:t>
      </w:r>
      <w:r>
        <w:rPr>
          <w:rFonts w:ascii="Times New Roman" w:hAnsi="Times New Roman"/>
          <w:color w:val="000000"/>
          <w:sz w:val="20"/>
        </w:rPr>
        <w:t xml:space="preserve"> </w:t>
      </w:r>
      <w:r>
        <w:rPr>
          <w:rFonts w:ascii="Arial" w:hAnsi="Arial"/>
          <w:color w:val="000000"/>
          <w:sz w:val="20"/>
        </w:rPr>
        <w:t>million decrease to the purchase price, and a corresponding receivable from Dana to reflect the net deficiency in cash, indebtedness and working capital, resulting in a purchase price of $2,628</w:t>
      </w:r>
      <w:r>
        <w:rPr>
          <w:rFonts w:ascii="Times New Roman" w:hAnsi="Times New Roman"/>
          <w:color w:val="000000"/>
          <w:sz w:val="20"/>
        </w:rPr>
        <w:t xml:space="preserve"> </w:t>
      </w:r>
      <w:r>
        <w:rPr>
          <w:rFonts w:ascii="Arial" w:hAnsi="Arial"/>
          <w:color w:val="000000"/>
          <w:sz w:val="20"/>
        </w:rPr>
        <w:t>million. The Company and Dana are continuing to resolve the final valuation of these items, and the Company expects that these items will be resolved by the end of the second quarter of fiscal year 2026. Adjustments to the fair value will be reflected in goodwill.</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Assets acquired and liabilities assumed are recognized at their respective fair values as of the Closing Date. The process of estimating the fair values of certain tangible assets, identifiable intangible assets and assumed liabilities requires the use of judgment in determining the appropriate assumptions and estimates. The following table presents the preliminary purchase price allocation (dollars in millions):</w:t>
      </w:r>
    </w:p>
    <w:p>
      <w:pPr>
        <w:pStyle w:val="TextBody"/>
        <w:bidi w:val="0"/>
        <w:spacing w:before="18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5917" w:type="dxa"/>
        <w:jc w:val="left"/>
        <w:tblInd w:w="0" w:type="dxa"/>
        <w:tblLayout w:type="fixed"/>
        <w:tblCellMar>
          <w:top w:w="28" w:type="dxa"/>
          <w:left w:w="28" w:type="dxa"/>
          <w:bottom w:w="28" w:type="dxa"/>
          <w:right w:w="28" w:type="dxa"/>
        </w:tblCellMar>
      </w:tblPr>
      <w:tblGrid>
        <w:gridCol w:w="3361"/>
        <w:gridCol w:w="550"/>
        <w:gridCol w:w="1535"/>
        <w:gridCol w:w="471"/>
      </w:tblGrid>
      <w:tr>
        <w:trPr/>
        <w:tc>
          <w:tcPr>
            <w:tcW w:w="336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January 1,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 acquired:</w:t>
            </w:r>
          </w:p>
        </w:tc>
        <w:tc>
          <w:tcPr>
            <w:tcW w:w="2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Inventories</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assets</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plant and equipment</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Intangible assets</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Goodwill</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non-current assets</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Acquired</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3,787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Assumed:</w:t>
            </w:r>
          </w:p>
        </w:tc>
        <w:tc>
          <w:tcPr>
            <w:tcW w:w="2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warranty liability</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long-term debt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income taxes</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 liabilities</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non-current liabilities</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purchase price consideration</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2,628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preliminary fair values of the assets acquired and liabilities assumed in the Acquisition are subject to change as the Company performs additional reviews of the assumptions utilized. Further adjustments may be necessary as additional information related to the fair values of assets acquired, liabilities assumed, and tax implications thereon is assessed during the measurement period (up to one year from the Closing Date). Any such adjustments will be accounted for prospectively. The final purchase accounting will be completed within the one-year measurement period following the Closing Date of the Acquisition.</w:t>
      </w:r>
    </w:p>
    <w:p>
      <w:pPr>
        <w:pStyle w:val="TextBody"/>
        <w:bidi w:val="0"/>
        <w:spacing w:before="120" w:after="283"/>
        <w:jc w:val="left"/>
        <w:rPr>
          <w:rFonts w:ascii="Times New Roman" w:hAnsi="Times New Roman"/>
          <w:sz w:val="20"/>
        </w:rPr>
      </w:pPr>
      <w:r>
        <w:rPr>
          <w:rFonts w:ascii="Arial" w:hAnsi="Arial"/>
          <w:color w:val="000000"/>
          <w:sz w:val="20"/>
        </w:rPr>
        <w:t>The Company measured contract assets and contract liabilities acquired by applying the revenue recognition principles in Financial Accounting Standards Board ("FASB") authoritative guidance on revenue from contracts with customers, rather than by applying fair value measurement per the FASB authoritative guidance on business combinations. Consequently, contract liabilities recorded as of the Closing Date represent the transaction price allocated to unsatisfied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As of the Closing Date, contract liabilities totaling $31</w:t>
      </w:r>
      <w:r>
        <w:rPr>
          <w:rFonts w:ascii="Times New Roman" w:hAnsi="Times New Roman"/>
          <w:color w:val="000000"/>
          <w:sz w:val="20"/>
        </w:rPr>
        <w:t xml:space="preserve"> </w:t>
      </w:r>
      <w:r>
        <w:rPr>
          <w:rFonts w:ascii="Arial" w:hAnsi="Arial"/>
          <w:color w:val="000000"/>
          <w:sz w:val="20"/>
        </w:rPr>
        <w:t>million and no</w:t>
      </w:r>
      <w:r>
        <w:rPr>
          <w:rFonts w:ascii="Times New Roman" w:hAnsi="Times New Roman"/>
          <w:color w:val="000000"/>
          <w:sz w:val="20"/>
        </w:rPr>
        <w:t xml:space="preserve"> </w:t>
      </w:r>
      <w:r>
        <w:rPr>
          <w:rFonts w:ascii="Arial" w:hAnsi="Arial"/>
          <w:color w:val="000000"/>
          <w:sz w:val="20"/>
        </w:rPr>
        <w:t>material contract assets were recognized as part of the Acquisition purchase price allocation. These amounts approximate those recognized by Dana prior to the Acquisition, reflecting the Company’s application of the related FASB authoritative guidance.</w:t>
      </w:r>
    </w:p>
    <w:p>
      <w:pPr>
        <w:pStyle w:val="TextBody"/>
        <w:bidi w:val="0"/>
        <w:spacing w:before="120" w:after="283"/>
        <w:jc w:val="left"/>
        <w:rPr>
          <w:rFonts w:ascii="Times New Roman" w:hAnsi="Times New Roman"/>
          <w:sz w:val="20"/>
        </w:rPr>
      </w:pPr>
      <w:r>
        <w:rPr>
          <w:rFonts w:ascii="Arial" w:hAnsi="Arial"/>
          <w:color w:val="000000"/>
          <w:sz w:val="20"/>
        </w:rPr>
        <w:t xml:space="preserve">Goodwill </w:t>
      </w:r>
      <w:r>
        <w:rPr>
          <w:rFonts w:ascii="Segoe UI;sans-serif" w:hAnsi="Segoe UI;sans-serif"/>
          <w:color w:val="000000"/>
          <w:sz w:val="21"/>
        </w:rPr>
        <w:t>r</w:t>
      </w:r>
      <w:r>
        <w:rPr>
          <w:rFonts w:ascii="Arial" w:hAnsi="Arial"/>
          <w:color w:val="000000"/>
          <w:sz w:val="20"/>
        </w:rPr>
        <w:t>epresents the excess of the fair value of consideration transferred over the fair values of assets acquired and liabilities assumed. An estimated $81</w:t>
      </w:r>
      <w:r>
        <w:rPr>
          <w:rFonts w:ascii="Times New Roman" w:hAnsi="Times New Roman"/>
          <w:color w:val="000000"/>
          <w:sz w:val="20"/>
        </w:rPr>
        <w:t xml:space="preserve"> </w:t>
      </w:r>
      <w:r>
        <w:rPr>
          <w:rFonts w:ascii="Arial" w:hAnsi="Arial"/>
          <w:color w:val="000000"/>
          <w:sz w:val="20"/>
        </w:rPr>
        <w:t>million of goodwill is expected to be deductible for income tax purposes. The allocation of goodwill to reporting units has not been completed as of March 31, 2026. The goodwill recognized is primarily attributable to expected future economic benefits, including the value of the assembled workforce, anticipated customer demand, continued development of acquired technologies, and operational synergies from the integration with Allison Transmission.</w:t>
      </w:r>
    </w:p>
    <w:p>
      <w:pPr>
        <w:pStyle w:val="TextBody"/>
        <w:bidi w:val="0"/>
        <w:spacing w:before="18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estimated fair values of the identifiable intangible assets acquired (all considered Level 3 measurements), their weighted-average useful lives, the related valuation methodology and key assumptions are as follows (dollars in millions):</w:t>
      </w:r>
    </w:p>
    <w:tbl>
      <w:tblPr>
        <w:tblW w:w="10205" w:type="dxa"/>
        <w:jc w:val="left"/>
        <w:tblInd w:w="0" w:type="dxa"/>
        <w:tblLayout w:type="fixed"/>
        <w:tblCellMar>
          <w:top w:w="28" w:type="dxa"/>
          <w:left w:w="28" w:type="dxa"/>
          <w:bottom w:w="28" w:type="dxa"/>
          <w:right w:w="28" w:type="dxa"/>
        </w:tblCellMar>
      </w:tblPr>
      <w:tblGrid>
        <w:gridCol w:w="1907"/>
        <w:gridCol w:w="234"/>
        <w:gridCol w:w="467"/>
        <w:gridCol w:w="146"/>
        <w:gridCol w:w="146"/>
        <w:gridCol w:w="2202"/>
        <w:gridCol w:w="146"/>
        <w:gridCol w:w="1944"/>
        <w:gridCol w:w="146"/>
        <w:gridCol w:w="2867"/>
      </w:tblGrid>
      <w:tr>
        <w:trPr/>
        <w:tc>
          <w:tcPr>
            <w:tcW w:w="190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 estimated 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Valuation Methodology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Key Assumptions</w:t>
            </w:r>
          </w:p>
        </w:tc>
      </w:tr>
      <w:tr>
        <w:trPr/>
        <w:tc>
          <w:tcPr>
            <w:tcW w:w="190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02" w:type="dxa"/>
            <w:tcBorders/>
            <w:shd w:fill="CCEC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 years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Multi-period excess earnings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growth rates, estimated earnings, discount rate, customer attrition rates</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names</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Relief-from-royalty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growth rates, royalty rates, discount rate</w:t>
            </w:r>
          </w:p>
        </w:tc>
      </w:tr>
      <w:tr>
        <w:trPr/>
        <w:tc>
          <w:tcPr>
            <w:tcW w:w="190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2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02" w:type="dxa"/>
            <w:tcBorders/>
            <w:shd w:fill="CCEC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 years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Relief-from-royalty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growth rates, royalty rates, discount rate, obsolescence factors</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identified intangible assets acquired</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Included in the Company's results for the three months ended March 31, 2026 were revenues of $673</w:t>
      </w:r>
      <w:r>
        <w:rPr>
          <w:rFonts w:ascii="Times New Roman" w:hAnsi="Times New Roman"/>
          <w:color w:val="000000"/>
          <w:sz w:val="20"/>
        </w:rPr>
        <w:t xml:space="preserve"> </w:t>
      </w:r>
      <w:r>
        <w:rPr>
          <w:rFonts w:ascii="Arial" w:hAnsi="Arial"/>
          <w:color w:val="000000"/>
          <w:sz w:val="20"/>
        </w:rPr>
        <w:t>million and an operating loss of $21</w:t>
      </w:r>
      <w:r>
        <w:rPr>
          <w:rFonts w:ascii="Times New Roman" w:hAnsi="Times New Roman"/>
          <w:color w:val="000000"/>
          <w:sz w:val="20"/>
        </w:rPr>
        <w:t xml:space="preserve"> </w:t>
      </w:r>
      <w:r>
        <w:rPr>
          <w:rFonts w:ascii="Arial" w:hAnsi="Arial"/>
          <w:color w:val="000000"/>
          <w:sz w:val="20"/>
        </w:rPr>
        <w:t>million related to Allison Off-Highway.</w:t>
      </w:r>
      <w:r>
        <w:rPr>
          <w:rFonts w:ascii="Times New Roman" w:hAnsi="Times New Roman"/>
          <w:color w:val="000000"/>
          <w:sz w:val="20"/>
        </w:rPr>
        <w:t xml:space="preserve"> </w:t>
      </w:r>
      <w:r>
        <w:rPr>
          <w:rFonts w:ascii="Arial" w:hAnsi="Arial"/>
          <w:color w:val="000000"/>
          <w:sz w:val="20"/>
        </w:rPr>
        <w:t>The Company recognized</w:t>
      </w:r>
      <w:r>
        <w:rPr>
          <w:rFonts w:ascii="Times New Roman" w:hAnsi="Times New Roman"/>
          <w:color w:val="000000"/>
          <w:sz w:val="20"/>
        </w:rPr>
        <w:t xml:space="preserve"> </w:t>
      </w:r>
      <w:r>
        <w:rPr>
          <w:rFonts w:ascii="Arial" w:hAnsi="Arial"/>
          <w:color w:val="000000"/>
          <w:sz w:val="20"/>
        </w:rPr>
        <w:t>$17</w:t>
      </w:r>
      <w:r>
        <w:rPr>
          <w:rFonts w:ascii="Times New Roman" w:hAnsi="Times New Roman"/>
          <w:color w:val="000000"/>
          <w:sz w:val="20"/>
        </w:rPr>
        <w:t xml:space="preserve"> </w:t>
      </w:r>
      <w:r>
        <w:rPr>
          <w:rFonts w:ascii="Arial" w:hAnsi="Arial"/>
          <w:color w:val="000000"/>
          <w:sz w:val="20"/>
        </w:rPr>
        <w:t>million of Acquisition-related expenses during the three months ended March 31, 2026, recorded in Selling, general and administrative in the Company's Condensed Consolidated Statements of Comprehensive Income, primarily consisting of consulting and legal fees.</w:t>
      </w:r>
    </w:p>
    <w:p>
      <w:pPr>
        <w:pStyle w:val="TextBody"/>
        <w:bidi w:val="0"/>
        <w:spacing w:before="120" w:after="283"/>
        <w:jc w:val="left"/>
        <w:rPr>
          <w:rFonts w:ascii="Arial" w:hAnsi="Arial"/>
          <w:b/>
          <w:color w:val="000000"/>
          <w:sz w:val="20"/>
        </w:rPr>
      </w:pPr>
      <w:r>
        <w:rPr>
          <w:rFonts w:ascii="Arial" w:hAnsi="Arial"/>
          <w:b/>
          <w:color w:val="000000"/>
          <w:sz w:val="20"/>
        </w:rPr>
        <w:t>Supplemental Pro-Forma Information (unaudited)</w:t>
      </w:r>
    </w:p>
    <w:p>
      <w:pPr>
        <w:pStyle w:val="TextBody"/>
        <w:bidi w:val="0"/>
        <w:spacing w:before="180" w:after="283"/>
        <w:jc w:val="left"/>
        <w:rPr>
          <w:rFonts w:ascii="Arial" w:hAnsi="Arial"/>
          <w:color w:val="000000"/>
          <w:sz w:val="20"/>
        </w:rPr>
      </w:pPr>
      <w:r>
        <w:rPr>
          <w:rFonts w:ascii="Arial" w:hAnsi="Arial"/>
          <w:color w:val="000000"/>
          <w:sz w:val="20"/>
        </w:rPr>
        <w:t>The following table presents supplemental pro-forma information for the three months ended March 31, 2026 and 2025 as if the Acquisition had occurred on January 1, 2025. These amounts have been calculated after applying the Company's accounting policies and are based upon currently available information. The primary adjustments reflected in the pro-forma results relate to increased interest expense for debt used to fund the Acquisition, inclusion of Acquisition-related costs and the impact of purchase accounting adjustments primarily related to amortization of intangibles, depreciation of fixed assets and inventory step-up. Pre-Acquisition net sales and net income amounts for the Acquisition were derived from the books and records of the Acquired Off-Highway Business prepared prior to the Acquisition, are presented for informational purposes only and do not purport to be indicative of the results of future operations or of the results that would have been achieved had the Acquired Off-Highway Business been combined with the Company during the pre-Acquisition period presented.</w:t>
      </w:r>
    </w:p>
    <w:p>
      <w:pPr>
        <w:pStyle w:val="TextBody"/>
        <w:bidi w:val="0"/>
        <w:jc w:val="left"/>
        <w:rPr/>
      </w:pPr>
      <w:r>
        <w:rPr/>
        <w:t> </w:t>
      </w:r>
    </w:p>
    <w:tbl>
      <w:tblPr>
        <w:tblW w:w="3340" w:type="dxa"/>
        <w:jc w:val="left"/>
        <w:tblInd w:w="0" w:type="dxa"/>
        <w:tblLayout w:type="fixed"/>
        <w:tblCellMar>
          <w:top w:w="28" w:type="dxa"/>
          <w:left w:w="28" w:type="dxa"/>
          <w:bottom w:w="28" w:type="dxa"/>
          <w:right w:w="28" w:type="dxa"/>
        </w:tblCellMar>
      </w:tblPr>
      <w:tblGrid>
        <w:gridCol w:w="1111"/>
        <w:gridCol w:w="228"/>
        <w:gridCol w:w="634"/>
        <w:gridCol w:w="157"/>
        <w:gridCol w:w="157"/>
        <w:gridCol w:w="228"/>
        <w:gridCol w:w="634"/>
        <w:gridCol w:w="191"/>
      </w:tblGrid>
      <w:tr>
        <w:trPr/>
        <w:tc>
          <w:tcPr>
            <w:tcW w:w="111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C. SUMMARY OF SIGNIFICANT ACCOUNTING POLICIES</w:t>
      </w:r>
    </w:p>
    <w:p>
      <w:pPr>
        <w:pStyle w:val="TextBody"/>
        <w:bidi w:val="0"/>
        <w:spacing w:before="120" w:after="283"/>
        <w:jc w:val="left"/>
        <w:rPr>
          <w:rFonts w:ascii="Arial" w:hAnsi="Arial"/>
          <w:b/>
          <w:i/>
          <w:color w:val="000000"/>
          <w:sz w:val="20"/>
        </w:rPr>
      </w:pPr>
      <w:r>
        <w:rPr>
          <w:rFonts w:ascii="Arial" w:hAnsi="Arial"/>
          <w:b/>
          <w:i/>
          <w:color w:val="000000"/>
          <w:sz w:val="20"/>
        </w:rPr>
        <w:t>Basis of Presentation and Principles of Consolidation</w:t>
      </w:r>
    </w:p>
    <w:p>
      <w:pPr>
        <w:pStyle w:val="TextBody"/>
        <w:bidi w:val="0"/>
        <w:spacing w:before="120" w:after="283"/>
        <w:jc w:val="left"/>
        <w:rPr>
          <w:rFonts w:ascii="Arial" w:hAnsi="Arial"/>
          <w:color w:val="000000"/>
          <w:sz w:val="20"/>
        </w:rPr>
      </w:pPr>
      <w:r>
        <w:rPr>
          <w:rFonts w:ascii="Arial" w:hAnsi="Arial"/>
          <w:color w:val="000000"/>
          <w:sz w:val="20"/>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pStyle w:val="TextBody"/>
        <w:bidi w:val="0"/>
        <w:spacing w:before="120" w:after="283"/>
        <w:jc w:val="left"/>
        <w:rPr>
          <w:rFonts w:ascii="Arial" w:hAnsi="Arial"/>
          <w:color w:val="000000"/>
          <w:sz w:val="20"/>
        </w:rPr>
      </w:pPr>
      <w:r>
        <w:rPr>
          <w:rFonts w:ascii="Arial" w:hAnsi="Arial"/>
          <w:color w:val="000000"/>
          <w:sz w:val="20"/>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impact on previously reported net income, total stockholders’ equity or cash flows. The condensed consolidated financial statements should be read in conjunction with the audited consolidated financial statements included in our Annual Report on Form 10-K for the year ended December 31, 2025 as filed with the Securities and Exchange Commission on February 24, 2026. The interim period financial results for the three-month periods presented are not necessarily indicative of results to be expected for any other interim period or for the entire year.</w:t>
      </w:r>
    </w:p>
    <w:p>
      <w:pPr>
        <w:pStyle w:val="TextBody"/>
        <w:bidi w:val="0"/>
        <w:spacing w:before="120" w:after="283"/>
        <w:jc w:val="left"/>
        <w:rPr>
          <w:rFonts w:ascii="Arial" w:hAnsi="Arial"/>
          <w:b/>
          <w:i/>
          <w:color w:val="000000"/>
          <w:sz w:val="20"/>
        </w:rPr>
      </w:pPr>
      <w:r>
        <w:rPr>
          <w:rFonts w:ascii="Arial" w:hAnsi="Arial"/>
          <w:b/>
          <w:i/>
          <w:color w:val="000000"/>
          <w:sz w:val="20"/>
        </w:rPr>
        <w:t>Use of Estimates</w:t>
      </w:r>
    </w:p>
    <w:p>
      <w:pPr>
        <w:pStyle w:val="TextBody"/>
        <w:bidi w:val="0"/>
        <w:spacing w:before="120" w:after="283"/>
        <w:jc w:val="left"/>
        <w:rPr>
          <w:rFonts w:ascii="Arial" w:hAnsi="Arial"/>
          <w:color w:val="000000"/>
          <w:sz w:val="20"/>
        </w:rPr>
      </w:pPr>
      <w:r>
        <w:rPr>
          <w:rFonts w:ascii="Arial" w:hAnsi="Arial"/>
          <w:color w:val="000000"/>
          <w:sz w:val="20"/>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pStyle w:val="TextBody"/>
        <w:bidi w:val="0"/>
        <w:spacing w:before="120" w:after="283"/>
        <w:jc w:val="left"/>
        <w:rPr>
          <w:rFonts w:ascii="Arial" w:hAnsi="Arial"/>
          <w:b/>
          <w:i/>
          <w:color w:val="000000"/>
          <w:sz w:val="20"/>
        </w:rPr>
      </w:pPr>
      <w:r>
        <w:rPr>
          <w:rFonts w:ascii="Arial" w:hAnsi="Arial"/>
          <w:b/>
          <w:i/>
          <w:color w:val="000000"/>
          <w:sz w:val="20"/>
        </w:rPr>
        <w:t>Recently Issued Accounting Pronouncements</w:t>
      </w:r>
    </w:p>
    <w:p>
      <w:pPr>
        <w:pStyle w:val="TextBody"/>
        <w:bidi w:val="0"/>
        <w:spacing w:before="120" w:after="283"/>
        <w:jc w:val="left"/>
        <w:rPr>
          <w:rFonts w:ascii="Arial" w:hAnsi="Arial"/>
          <w:color w:val="000000"/>
          <w:sz w:val="20"/>
        </w:rPr>
      </w:pPr>
      <w:r>
        <w:rPr>
          <w:rFonts w:ascii="Arial" w:hAnsi="Arial"/>
          <w:color w:val="000000"/>
          <w:sz w:val="20"/>
        </w:rPr>
        <w:t>In November 2025, the FASB issued authoritative accounting guidance to amend certain aspects of the existing hedge accounting guidance to more closely align hedge accounting with the economics of an entity's risk management activities. The guidance will become effective for the Company beginning January 1, 2027 with early adoption permitted and will be applied prospectively. Management is currently evaluating the potential impact of this guidance on the Company's consolidated financial statements.</w:t>
      </w:r>
    </w:p>
    <w:p>
      <w:pPr>
        <w:pStyle w:val="TextBody"/>
        <w:bidi w:val="0"/>
        <w:spacing w:before="120" w:after="283"/>
        <w:jc w:val="left"/>
        <w:rPr>
          <w:rFonts w:ascii="Times New Roman" w:hAnsi="Times New Roman"/>
          <w:sz w:val="20"/>
        </w:rPr>
      </w:pPr>
      <w:r>
        <w:rPr>
          <w:rFonts w:ascii="Arial" w:hAnsi="Arial"/>
          <w:color w:val="000000"/>
          <w:sz w:val="20"/>
        </w:rPr>
        <w:t>In November 2024, the FASB issued authoritative accounting guidance, which was subsequently amended, requiring additional disaggregation of certain expense and cost line items presented in the financial statements and in the notes to the financial statements. The guidance will become effective for the Company beginning with the fiscal year ending December 31, 2027 and the subsequent interim periods. Early adoption is permitted. Upon adoption, the guidance may be applied prospectively or retrospectively. Management is currently evaluating the impact of this guidance on the Company's consolidated financial statements.</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In September 2025, the FASB issued authoritative accounting guidance to modernize the accounting for costs related to internal-use software. The new guidance removes the software project development stages and provides new guidance on evaluating if the probable-to-complete recognition threshold has been met. The guidance will become effective for the Company beginning January 1, 2028 with early adoption permitted. Upon adoption, the guidance may be applied prospectively, retrospectively or using a modified transition approach. Management is currently evaluating the potential impact of this guidance on the Company's consolidated financial statements.</w:t>
      </w:r>
    </w:p>
    <w:p>
      <w:pPr>
        <w:pStyle w:val="TextBody"/>
        <w:bidi w:val="0"/>
        <w:spacing w:before="120" w:after="283"/>
        <w:jc w:val="left"/>
        <w:rPr>
          <w:rFonts w:ascii="Times New Roman" w:hAnsi="Times New Roman"/>
          <w:sz w:val="20"/>
        </w:rPr>
      </w:pPr>
      <w:r>
        <w:rPr>
          <w:rFonts w:ascii="Arial" w:hAnsi="Arial"/>
          <w:color w:val="000000"/>
          <w:sz w:val="20"/>
        </w:rPr>
        <w:t>All other recently issued accounting pronouncements were assessed as either not applicable to the Company or were not expected to have a material impact on the Company's consolidated financial statements.</w:t>
      </w:r>
      <w:r>
        <w:rPr>
          <w:rFonts w:ascii="Times New Roman" w:hAnsi="Times New Roman"/>
          <w:color w:val="000000"/>
          <w:sz w:val="20"/>
        </w:rPr>
        <w:br/>
        <w:t> </w:t>
      </w:r>
    </w:p>
    <w:p>
      <w:pPr>
        <w:pStyle w:val="TextBody"/>
        <w:bidi w:val="0"/>
        <w:jc w:val="left"/>
        <w:rPr>
          <w:rFonts w:ascii="Arial" w:hAnsi="Arial"/>
          <w:b/>
          <w:color w:val="000000"/>
          <w:sz w:val="20"/>
        </w:rPr>
      </w:pPr>
      <w:r>
        <w:rPr>
          <w:rFonts w:ascii="Arial" w:hAnsi="Arial"/>
          <w:b/>
          <w:color w:val="000000"/>
          <w:sz w:val="20"/>
        </w:rPr>
        <w:t>NOTE D. REVENUE</w:t>
      </w:r>
    </w:p>
    <w:p>
      <w:pPr>
        <w:pStyle w:val="TextBody"/>
        <w:bidi w:val="0"/>
        <w:spacing w:before="120" w:after="283"/>
        <w:jc w:val="left"/>
        <w:rPr>
          <w:rFonts w:ascii="Arial" w:hAnsi="Arial"/>
          <w:color w:val="000000"/>
          <w:sz w:val="20"/>
        </w:rPr>
      </w:pPr>
      <w:r>
        <w:rPr>
          <w:rFonts w:ascii="Arial" w:hAnsi="Arial"/>
          <w:color w:val="000000"/>
          <w:sz w:val="20"/>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pStyle w:val="TextBody"/>
        <w:bidi w:val="0"/>
        <w:spacing w:before="120" w:after="283"/>
        <w:jc w:val="left"/>
        <w:rPr>
          <w:rFonts w:ascii="Arial" w:hAnsi="Arial"/>
          <w:color w:val="000000"/>
          <w:sz w:val="20"/>
        </w:rPr>
      </w:pPr>
      <w:r>
        <w:rPr>
          <w:rFonts w:ascii="Arial" w:hAnsi="Arial"/>
          <w:color w:val="000000"/>
          <w:sz w:val="20"/>
        </w:rPr>
        <w:t>Some of the Company's contracts include multiple performance obligations, most commonly the sale of both a transmission and extended transmission coverage or similar service-type warranties ("ETC"). The Company allocates the contract’s transaction price to each performance obligation based on the standalone selling price of each distinct good or service in the contract.</w:t>
      </w:r>
    </w:p>
    <w:p>
      <w:pPr>
        <w:pStyle w:val="TextBody"/>
        <w:bidi w:val="0"/>
        <w:spacing w:before="120" w:after="283"/>
        <w:jc w:val="left"/>
        <w:rPr>
          <w:rFonts w:ascii="Arial" w:hAnsi="Arial"/>
          <w:color w:val="000000"/>
          <w:sz w:val="20"/>
        </w:rPr>
      </w:pPr>
      <w:r>
        <w:rPr>
          <w:rFonts w:ascii="Arial" w:hAnsi="Arial"/>
          <w:color w:val="000000"/>
          <w:sz w:val="20"/>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other incentives based on the related sales and market conditions in the end market vocation. Refund liabilities related to rebates and other incentives are included in other accrued liabilities on the Company's Condensed Consolidated Balance Sheets.</w:t>
      </w:r>
    </w:p>
    <w:p>
      <w:pPr>
        <w:pStyle w:val="TextBody"/>
        <w:bidi w:val="0"/>
        <w:spacing w:before="120" w:after="283"/>
        <w:jc w:val="left"/>
        <w:rPr>
          <w:rFonts w:ascii="Times New Roman" w:hAnsi="Times New Roman"/>
          <w:sz w:val="20"/>
        </w:rPr>
      </w:pPr>
      <w:r>
        <w:rPr>
          <w:rFonts w:ascii="Arial" w:hAnsi="Arial"/>
          <w:color w:val="000000"/>
          <w:sz w:val="20"/>
        </w:rPr>
        <w:t>The Company recorded no</w:t>
      </w:r>
      <w:r>
        <w:rPr>
          <w:rFonts w:ascii="Times New Roman" w:hAnsi="Times New Roman"/>
          <w:color w:val="000000"/>
          <w:sz w:val="20"/>
        </w:rPr>
        <w:t xml:space="preserve"> </w:t>
      </w:r>
      <w:r>
        <w:rPr>
          <w:rFonts w:ascii="Arial" w:hAnsi="Arial"/>
          <w:color w:val="000000"/>
          <w:sz w:val="20"/>
        </w:rPr>
        <w:t>material adjustments based on variable consideration during either the three months ended March 31, 2026 or 2025.</w:t>
      </w:r>
    </w:p>
    <w:p>
      <w:pPr>
        <w:pStyle w:val="TextBody"/>
        <w:bidi w:val="0"/>
        <w:spacing w:before="120" w:after="283"/>
        <w:jc w:val="left"/>
        <w:rPr>
          <w:rFonts w:ascii="Times New Roman" w:hAnsi="Times New Roman"/>
          <w:sz w:val="20"/>
        </w:rPr>
      </w:pPr>
      <w:r>
        <w:rPr>
          <w:rFonts w:ascii="Arial" w:hAnsi="Arial"/>
          <w:color w:val="000000"/>
          <w:sz w:val="20"/>
        </w:rPr>
        <w:t>Payment terms with our customers are established based on an assessment of the customer's credit worthiness and industry and regional practices and generally do not exceed 180</w:t>
      </w:r>
      <w:r>
        <w:rPr>
          <w:rFonts w:ascii="Times New Roman" w:hAnsi="Times New Roman"/>
          <w:color w:val="000000"/>
          <w:sz w:val="20"/>
        </w:rPr>
        <w:t xml:space="preserve"> </w:t>
      </w:r>
      <w:r>
        <w:rPr>
          <w:rFonts w:ascii="Arial" w:hAnsi="Arial"/>
          <w:color w:val="000000"/>
          <w:sz w:val="20"/>
        </w:rPr>
        <w:t>days. For certain goods or services, the Company receives consideration prior to satisfying the related performance obligation. Such consideration is recorded as a contract liability in current and non-current deferred revenue as of March 31, 2026 and December 31, 2025. See "Note J. Deferred Revenue” for more information, including the amount of revenue earned during each of the three months ended March 31, 2026 and 2025 that had been previously deferred. The Company had no</w:t>
      </w:r>
      <w:r>
        <w:rPr>
          <w:rFonts w:ascii="Times New Roman" w:hAnsi="Times New Roman"/>
          <w:color w:val="000000"/>
          <w:sz w:val="20"/>
        </w:rPr>
        <w:t xml:space="preserve"> </w:t>
      </w:r>
      <w:r>
        <w:rPr>
          <w:rFonts w:ascii="Arial" w:hAnsi="Arial"/>
          <w:color w:val="000000"/>
          <w:sz w:val="20"/>
        </w:rPr>
        <w:t>material contract assets as of either March 31, 2026 or December 31, 2025.</w:t>
      </w:r>
    </w:p>
    <w:p>
      <w:pPr>
        <w:pStyle w:val="TextBody"/>
        <w:bidi w:val="0"/>
        <w:spacing w:before="120" w:after="283"/>
        <w:jc w:val="left"/>
        <w:rPr>
          <w:rFonts w:ascii="Arial" w:hAnsi="Arial"/>
          <w:color w:val="000000"/>
          <w:sz w:val="20"/>
        </w:rPr>
      </w:pPr>
      <w:r>
        <w:rPr>
          <w:rFonts w:ascii="Arial" w:hAnsi="Arial"/>
          <w:color w:val="000000"/>
          <w:sz w:val="20"/>
        </w:rPr>
        <w:t>The following presents revenue from the Company's two reportable segments, Allison Transmission and Allison Off-Highway, disaggregated by each segment and its respective end markets that best depict how the nature, amount, timing and uncertainty of revenue and cash flows are affected by economic factors (dollars in millions):</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6515" w:type="dxa"/>
        <w:jc w:val="left"/>
        <w:tblInd w:w="0" w:type="dxa"/>
        <w:tblLayout w:type="fixed"/>
        <w:tblCellMar>
          <w:top w:w="28" w:type="dxa"/>
          <w:left w:w="28" w:type="dxa"/>
          <w:bottom w:w="28" w:type="dxa"/>
          <w:right w:w="28" w:type="dxa"/>
        </w:tblCellMar>
      </w:tblPr>
      <w:tblGrid>
        <w:gridCol w:w="4146"/>
        <w:gridCol w:w="146"/>
        <w:gridCol w:w="215"/>
        <w:gridCol w:w="597"/>
        <w:gridCol w:w="148"/>
        <w:gridCol w:w="148"/>
        <w:gridCol w:w="215"/>
        <w:gridCol w:w="429"/>
        <w:gridCol w:w="47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Allison Transmission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North America On-Highway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Outside North America On-Highway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Global Off-Highway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Defense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Service Parts, Support Equipment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Allison Transmission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Allison Off-Highway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Construction &amp; Material Handling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Agriculture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Service Parts, Specialty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Allison Off-Highway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1,406</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E. INVENTORIES</w:t>
      </w:r>
    </w:p>
    <w:p>
      <w:pPr>
        <w:pStyle w:val="TextBody"/>
        <w:bidi w:val="0"/>
        <w:spacing w:before="120" w:after="283"/>
        <w:jc w:val="left"/>
        <w:rPr>
          <w:rFonts w:ascii="Arial" w:hAnsi="Arial"/>
          <w:color w:val="000000"/>
          <w:sz w:val="20"/>
        </w:rPr>
      </w:pPr>
      <w:r>
        <w:rPr>
          <w:rFonts w:ascii="Arial" w:hAnsi="Arial"/>
          <w:color w:val="000000"/>
          <w:sz w:val="20"/>
        </w:rPr>
        <w:t>Inventories consisted of the following components (dollars in millions):</w:t>
      </w:r>
    </w:p>
    <w:p>
      <w:pPr>
        <w:pStyle w:val="TextBody"/>
        <w:bidi w:val="0"/>
        <w:jc w:val="left"/>
        <w:rPr/>
      </w:pPr>
      <w:r>
        <w:rPr/>
        <w:t> </w:t>
      </w:r>
    </w:p>
    <w:tbl>
      <w:tblPr>
        <w:tblW w:w="6070" w:type="dxa"/>
        <w:jc w:val="left"/>
        <w:tblInd w:w="0" w:type="dxa"/>
        <w:tblLayout w:type="fixed"/>
        <w:tblCellMar>
          <w:top w:w="28" w:type="dxa"/>
          <w:left w:w="28" w:type="dxa"/>
          <w:bottom w:w="28" w:type="dxa"/>
          <w:right w:w="28" w:type="dxa"/>
        </w:tblCellMar>
      </w:tblPr>
      <w:tblGrid>
        <w:gridCol w:w="3136"/>
        <w:gridCol w:w="146"/>
        <w:gridCol w:w="285"/>
        <w:gridCol w:w="570"/>
        <w:gridCol w:w="146"/>
        <w:gridCol w:w="146"/>
        <w:gridCol w:w="389"/>
        <w:gridCol w:w="781"/>
        <w:gridCol w:w="47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Purchased parts and 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Finished goods and service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pStyle w:val="TextBody"/>
        <w:bidi w:val="0"/>
        <w:spacing w:before="360" w:after="283"/>
        <w:jc w:val="left"/>
        <w:rPr>
          <w:rFonts w:ascii="Arial" w:hAnsi="Arial"/>
          <w:b/>
          <w:color w:val="000000"/>
          <w:sz w:val="20"/>
        </w:rPr>
      </w:pPr>
      <w:r>
        <w:rPr>
          <w:rFonts w:ascii="Arial" w:hAnsi="Arial"/>
          <w:b/>
          <w:color w:val="000000"/>
          <w:sz w:val="20"/>
        </w:rPr>
        <w:t>NOTE F. GOODWILL AND OTHER INTANGIBLE ASSETS</w:t>
      </w:r>
    </w:p>
    <w:p>
      <w:pPr>
        <w:pStyle w:val="TextBody"/>
        <w:bidi w:val="0"/>
        <w:spacing w:before="120" w:after="283"/>
        <w:jc w:val="left"/>
        <w:rPr>
          <w:rFonts w:ascii="Times New Roman" w:hAnsi="Times New Roman"/>
          <w:sz w:val="20"/>
        </w:rPr>
      </w:pPr>
      <w:r>
        <w:rPr>
          <w:rFonts w:ascii="Arial" w:hAnsi="Arial"/>
          <w:color w:val="000000"/>
          <w:sz w:val="20"/>
        </w:rPr>
        <w:t>As of March 31, 2026 and December 31, 2025, the carrying value of the Company’s Goodwill was $2,827</w:t>
      </w:r>
      <w:r>
        <w:rPr>
          <w:rFonts w:ascii="Times New Roman" w:hAnsi="Times New Roman"/>
          <w:color w:val="000000"/>
          <w:sz w:val="20"/>
        </w:rPr>
        <w:t xml:space="preserve"> </w:t>
      </w:r>
      <w:r>
        <w:rPr>
          <w:rFonts w:ascii="Arial" w:hAnsi="Arial"/>
          <w:color w:val="000000"/>
          <w:sz w:val="20"/>
        </w:rPr>
        <w:t>million, and $2,075</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r>
        <w:rPr>
          <w:rFonts w:ascii="Arial" w:hAnsi="Arial"/>
          <w:color w:val="000000"/>
          <w:sz w:val="20"/>
        </w:rPr>
        <w:t>The following presents a summary of the changes in the carrying amount of Goodwill (dollars in millions):</w:t>
      </w:r>
    </w:p>
    <w:tbl>
      <w:tblPr>
        <w:tblW w:w="6184" w:type="dxa"/>
        <w:jc w:val="left"/>
        <w:tblInd w:w="0" w:type="dxa"/>
        <w:tblLayout w:type="fixed"/>
        <w:tblCellMar>
          <w:top w:w="28" w:type="dxa"/>
          <w:left w:w="28" w:type="dxa"/>
          <w:bottom w:w="28" w:type="dxa"/>
          <w:right w:w="28" w:type="dxa"/>
        </w:tblCellMar>
      </w:tblPr>
      <w:tblGrid>
        <w:gridCol w:w="4881"/>
        <w:gridCol w:w="146"/>
        <w:gridCol w:w="218"/>
        <w:gridCol w:w="608"/>
        <w:gridCol w:w="331"/>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Goodwill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2,075</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Acquisition of the Acquired Off-Highway Business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763</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impact to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2,827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20"/>
        </w:rPr>
      </w:pPr>
      <w:r>
        <w:rPr>
          <w:rFonts w:ascii="Arial" w:hAnsi="Arial"/>
          <w:color w:val="000000"/>
          <w:sz w:val="20"/>
        </w:rPr>
        <w:t>(1) The allocation of goodwill to reporting units as of March 31, 2026 is preliminary and will be finalized upon finalization of purchase price accounting.</w:t>
      </w:r>
    </w:p>
    <w:p>
      <w:pPr>
        <w:pStyle w:val="TextBody"/>
        <w:bidi w:val="0"/>
        <w:spacing w:before="120" w:after="283"/>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presents a summary of other intangible assets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5"/>
        <w:gridCol w:w="146"/>
        <w:gridCol w:w="255"/>
        <w:gridCol w:w="712"/>
        <w:gridCol w:w="146"/>
        <w:gridCol w:w="146"/>
        <w:gridCol w:w="284"/>
        <w:gridCol w:w="872"/>
        <w:gridCol w:w="166"/>
        <w:gridCol w:w="146"/>
        <w:gridCol w:w="241"/>
        <w:gridCol w:w="674"/>
        <w:gridCol w:w="146"/>
        <w:gridCol w:w="146"/>
        <w:gridCol w:w="255"/>
        <w:gridCol w:w="712"/>
        <w:gridCol w:w="146"/>
        <w:gridCol w:w="146"/>
        <w:gridCol w:w="284"/>
        <w:gridCol w:w="872"/>
        <w:gridCol w:w="166"/>
        <w:gridCol w:w="146"/>
        <w:gridCol w:w="305"/>
        <w:gridCol w:w="611"/>
        <w:gridCol w:w="477"/>
      </w:tblGrid>
      <w:tr>
        <w:trPr/>
        <w:tc>
          <w:tcPr>
            <w:tcW w:w="2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Intangible</w:t>
              <w:br/>
              <w:t>assets, net</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 - indefinite-lived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 - definite-lived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 — 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Proprietary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794</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Amortization expense related to other intangible assets for the next five fiscal years is expected to be (dollars in millions):</w:t>
      </w:r>
    </w:p>
    <w:p>
      <w:pPr>
        <w:pStyle w:val="TextBody"/>
        <w:bidi w:val="0"/>
        <w:jc w:val="left"/>
        <w:rPr/>
      </w:pPr>
      <w:r>
        <w:rPr/>
        <w:t> </w:t>
      </w:r>
    </w:p>
    <w:tbl>
      <w:tblPr>
        <w:tblW w:w="7359" w:type="dxa"/>
        <w:jc w:val="left"/>
        <w:tblInd w:w="0" w:type="dxa"/>
        <w:tblLayout w:type="fixed"/>
        <w:tblCellMar>
          <w:top w:w="28" w:type="dxa"/>
          <w:left w:w="28" w:type="dxa"/>
          <w:bottom w:w="28" w:type="dxa"/>
          <w:right w:w="28" w:type="dxa"/>
        </w:tblCellMar>
      </w:tblPr>
      <w:tblGrid>
        <w:gridCol w:w="2011"/>
        <w:gridCol w:w="146"/>
        <w:gridCol w:w="211"/>
        <w:gridCol w:w="316"/>
        <w:gridCol w:w="146"/>
        <w:gridCol w:w="146"/>
        <w:gridCol w:w="211"/>
        <w:gridCol w:w="316"/>
        <w:gridCol w:w="146"/>
        <w:gridCol w:w="146"/>
        <w:gridCol w:w="211"/>
        <w:gridCol w:w="316"/>
        <w:gridCol w:w="146"/>
        <w:gridCol w:w="146"/>
        <w:gridCol w:w="211"/>
        <w:gridCol w:w="316"/>
        <w:gridCol w:w="146"/>
        <w:gridCol w:w="146"/>
        <w:gridCol w:w="211"/>
        <w:gridCol w:w="316"/>
        <w:gridCol w:w="146"/>
        <w:gridCol w:w="146"/>
        <w:gridCol w:w="305"/>
        <w:gridCol w:w="6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G. FAIR VALUE OF FINANCIAL INSTRUMENTS</w:t>
      </w:r>
    </w:p>
    <w:p>
      <w:pPr>
        <w:pStyle w:val="TextBody"/>
        <w:bidi w:val="0"/>
        <w:spacing w:before="180" w:after="283"/>
        <w:jc w:val="left"/>
        <w:rPr>
          <w:rFonts w:ascii="Arial" w:hAnsi="Arial"/>
          <w:color w:val="000000"/>
          <w:sz w:val="20"/>
        </w:rPr>
      </w:pPr>
      <w:r>
        <w:rPr>
          <w:rFonts w:ascii="Arial" w:hAnsi="Arial"/>
          <w:color w:val="000000"/>
          <w:sz w:val="20"/>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pStyle w:val="TextBody"/>
        <w:bidi w:val="0"/>
        <w:spacing w:before="180" w:after="283"/>
        <w:jc w:val="left"/>
        <w:rPr>
          <w:rFonts w:ascii="Times New Roman" w:hAnsi="Times New Roman"/>
          <w:sz w:val="20"/>
        </w:rPr>
      </w:pPr>
      <w:r>
        <w:rPr>
          <w:rFonts w:ascii="Arial" w:hAnsi="Arial"/>
          <w:color w:val="000000"/>
          <w:sz w:val="20"/>
        </w:rPr>
        <w:t>Level 1 — Quoted prices are available in active markets for identical assets or liabilities as of the reporting date.</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pStyle w:val="TextBody"/>
        <w:bidi w:val="0"/>
        <w:spacing w:before="120" w:after="283"/>
        <w:jc w:val="left"/>
        <w:rPr>
          <w:rFonts w:ascii="Arial" w:hAnsi="Arial"/>
          <w:color w:val="000000"/>
          <w:sz w:val="20"/>
        </w:rPr>
      </w:pPr>
      <w:r>
        <w:rPr>
          <w:rFonts w:ascii="Arial" w:hAnsi="Arial"/>
          <w:color w:val="000000"/>
          <w:sz w:val="20"/>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2026 and December 31, 2025, the Company did not have any Level 3 financial assets or liabilities.</w:t>
      </w:r>
    </w:p>
    <w:p>
      <w:pPr>
        <w:pStyle w:val="TextBody"/>
        <w:bidi w:val="0"/>
        <w:spacing w:before="120" w:after="283"/>
        <w:jc w:val="left"/>
        <w:rPr>
          <w:rFonts w:ascii="Arial" w:hAnsi="Arial"/>
          <w:color w:val="000000"/>
          <w:sz w:val="20"/>
        </w:rPr>
      </w:pPr>
      <w:r>
        <w:rPr>
          <w:rFonts w:ascii="Arial" w:hAnsi="Arial"/>
          <w:color w:val="000000"/>
          <w:sz w:val="20"/>
        </w:rPr>
        <w:t>The following table summarizes the Company’s financial assets and (liabilities) measured at fair value as of March 31, 2026 and December 31, 2025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3"/>
        <w:gridCol w:w="146"/>
        <w:gridCol w:w="274"/>
        <w:gridCol w:w="490"/>
        <w:gridCol w:w="197"/>
        <w:gridCol w:w="173"/>
        <w:gridCol w:w="359"/>
        <w:gridCol w:w="720"/>
        <w:gridCol w:w="166"/>
        <w:gridCol w:w="146"/>
        <w:gridCol w:w="293"/>
        <w:gridCol w:w="471"/>
        <w:gridCol w:w="156"/>
        <w:gridCol w:w="156"/>
        <w:gridCol w:w="408"/>
        <w:gridCol w:w="671"/>
        <w:gridCol w:w="146"/>
        <w:gridCol w:w="146"/>
        <w:gridCol w:w="274"/>
        <w:gridCol w:w="490"/>
        <w:gridCol w:w="166"/>
        <w:gridCol w:w="146"/>
        <w:gridCol w:w="359"/>
        <w:gridCol w:w="720"/>
        <w:gridCol w:w="479"/>
      </w:tblGrid>
      <w:tr>
        <w:trPr/>
        <w:tc>
          <w:tcPr>
            <w:tcW w:w="2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Measurements Using</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Quoted Prices in Active</w:t>
              <w:br/>
              <w:t>Markets for Identical</w:t>
              <w:br/>
              <w:t>Assets (Level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Rabbi trust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compensation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4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 A description of the Company’s Level 1 assets is as follows:</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0"/>
        </w:rPr>
      </w:pPr>
      <w:r>
        <w:rPr>
          <w:rFonts w:ascii="Arial" w:hAnsi="Arial"/>
          <w:color w:val="000000"/>
          <w:sz w:val="20"/>
        </w:rPr>
        <w:t>Cash equivalents consist primarily of short-term U.S. government backed securities and time deposits.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Marketable securities consist of publicly traded stock of Jing-Jin Electric Technologies Co. Ltd., which has a readily determinable fair value.</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Rabbi trust assets consist principally of publicly available mutual funds and target date retirement funds.</w:t>
      </w:r>
    </w:p>
    <w:p>
      <w:pPr>
        <w:pStyle w:val="TextBody"/>
        <w:bidi w:val="0"/>
        <w:spacing w:before="18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0"/>
        </w:rPr>
      </w:pPr>
      <w:r>
        <w:rPr>
          <w:rFonts w:ascii="Arial" w:hAnsi="Arial"/>
          <w:color w:val="000000"/>
          <w:sz w:val="20"/>
        </w:rPr>
        <w:t>Deferred compensation obligation is directly related to the fair value of assets held in the rabbi trust.</w:t>
      </w:r>
    </w:p>
    <w:p>
      <w:pPr>
        <w:pStyle w:val="TextBody"/>
        <w:bidi w:val="0"/>
        <w:jc w:val="left"/>
        <w:rPr>
          <w:rFonts w:ascii="Times New Roman" w:hAnsi="Times New Roman"/>
          <w:sz w:val="20"/>
        </w:rPr>
      </w:pPr>
      <w:r>
        <w:rPr>
          <w:rFonts w:ascii="Arial" w:hAnsi="Arial"/>
          <w:color w:val="000000"/>
          <w:sz w:val="20"/>
        </w:rPr>
        <w:t>The Company's debt securities are classified as available-for-sale and qualify as Level 2 in the fair value hierarchy.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Company holds equity securities in unconsolidated entities without a readily determinable fair value. Each of these investments represents a less than 20% ownership interest in the respective privately-held entity, and the Company does not maintain significant influence over or control of any of the entities. The Company has elected the measurement alternative and measures the investments at cost, less any impairment, plus or minus adjustments related to observable price changes in orderly transactions for identical or similar investments of the same issuer. These equity investments are recorded in Other non-current assets in the Condensed Consolidated Balance Sheets, with changes in the value recorded in Other (expense) income, net in the Condensed Consolidated Statements of Comprehensive Income. As of both March 31, 2026 and December 31, 2025, the Company held equity securities without a readily determinable fair value of $8</w:t>
      </w:r>
      <w:r>
        <w:rPr>
          <w:rFonts w:ascii="Times New Roman" w:hAnsi="Times New Roman"/>
          <w:color w:val="000000"/>
          <w:sz w:val="20"/>
        </w:rPr>
        <w:t xml:space="preserve"> </w:t>
      </w:r>
      <w:r>
        <w:rPr>
          <w:rFonts w:ascii="Arial" w:hAnsi="Arial"/>
          <w:color w:val="000000"/>
          <w:sz w:val="20"/>
        </w:rPr>
        <w:t>million. During the three months ended March 31, 2026, no</w:t>
      </w:r>
      <w:r>
        <w:rPr>
          <w:rFonts w:ascii="Times New Roman" w:hAnsi="Times New Roman"/>
          <w:color w:val="000000"/>
          <w:sz w:val="20"/>
        </w:rPr>
        <w:t xml:space="preserve"> </w:t>
      </w:r>
      <w:r>
        <w:rPr>
          <w:rFonts w:ascii="Arial" w:hAnsi="Arial"/>
          <w:color w:val="000000"/>
          <w:sz w:val="20"/>
        </w:rPr>
        <w:t>impairment charges or adjustments resulting from observable price changes in orderly transactions for identical or similar investments of the same issuer occurred for any of these investments.</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H. DEBT</w:t>
      </w:r>
    </w:p>
    <w:p>
      <w:pPr>
        <w:pStyle w:val="TextBody"/>
        <w:bidi w:val="0"/>
        <w:spacing w:before="120" w:after="283"/>
        <w:jc w:val="left"/>
        <w:rPr>
          <w:rFonts w:ascii="Arial" w:hAnsi="Arial"/>
          <w:color w:val="000000"/>
          <w:sz w:val="20"/>
        </w:rPr>
      </w:pPr>
      <w:r>
        <w:rPr>
          <w:rFonts w:ascii="Arial" w:hAnsi="Arial"/>
          <w:color w:val="000000"/>
          <w:sz w:val="20"/>
        </w:rPr>
        <w:t>Long-term debt and maturities are as follows (dollars in millions):</w:t>
      </w:r>
    </w:p>
    <w:p>
      <w:pPr>
        <w:pStyle w:val="TextBody"/>
        <w:bidi w:val="0"/>
        <w:jc w:val="left"/>
        <w:rPr/>
      </w:pPr>
      <w:r>
        <w:rPr/>
        <w:t> </w:t>
      </w:r>
    </w:p>
    <w:tbl>
      <w:tblPr>
        <w:tblW w:w="8630" w:type="dxa"/>
        <w:jc w:val="left"/>
        <w:tblInd w:w="0" w:type="dxa"/>
        <w:tblLayout w:type="fixed"/>
        <w:tblCellMar>
          <w:top w:w="28" w:type="dxa"/>
          <w:left w:w="28" w:type="dxa"/>
          <w:bottom w:w="28" w:type="dxa"/>
          <w:right w:w="28" w:type="dxa"/>
        </w:tblCellMar>
      </w:tblPr>
      <w:tblGrid>
        <w:gridCol w:w="5416"/>
        <w:gridCol w:w="146"/>
        <w:gridCol w:w="226"/>
        <w:gridCol w:w="629"/>
        <w:gridCol w:w="146"/>
        <w:gridCol w:w="146"/>
        <w:gridCol w:w="309"/>
        <w:gridCol w:w="861"/>
        <w:gridCol w:w="75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fixed 4.75%,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fixed 5.875%,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Revolving Credit Facility, variable,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fixed 3.75%,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Secured Credit Facility Term Loan, variable,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Notes, fixed 5.875%, due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Secured Credit Facility Term Loan, variable, due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2,909</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Deferred financing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2,885</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March 31, 2026, the Company had $4,295</w:t>
      </w:r>
      <w:r>
        <w:rPr>
          <w:rFonts w:ascii="Times New Roman" w:hAnsi="Times New Roman"/>
          <w:color w:val="000000"/>
          <w:sz w:val="20"/>
        </w:rPr>
        <w:t xml:space="preserve"> </w:t>
      </w:r>
      <w:r>
        <w:rPr>
          <w:rFonts w:ascii="Arial" w:hAnsi="Arial"/>
          <w:color w:val="000000"/>
          <w:sz w:val="20"/>
        </w:rPr>
        <w:t>million of indebtedness associated with ATI's 4.75% Senior Notes due October 2027</w:t>
      </w:r>
      <w:r>
        <w:rPr>
          <w:rFonts w:ascii="Times New Roman" w:hAnsi="Times New Roman"/>
          <w:color w:val="000000"/>
          <w:sz w:val="20"/>
        </w:rPr>
        <w:t xml:space="preserve"> </w:t>
      </w:r>
      <w:r>
        <w:rPr>
          <w:rFonts w:ascii="Arial" w:hAnsi="Arial"/>
          <w:color w:val="000000"/>
          <w:sz w:val="20"/>
        </w:rPr>
        <w:t>(“4.75% Senior Notes 2027”), ATI’s 5.875% Senior Notes due June 2029</w:t>
      </w:r>
      <w:r>
        <w:rPr>
          <w:rFonts w:ascii="Times New Roman" w:hAnsi="Times New Roman"/>
          <w:color w:val="000000"/>
          <w:sz w:val="20"/>
        </w:rPr>
        <w:t xml:space="preserve"> </w:t>
      </w:r>
      <w:r>
        <w:rPr>
          <w:rFonts w:ascii="Arial" w:hAnsi="Arial"/>
          <w:color w:val="000000"/>
          <w:sz w:val="20"/>
        </w:rPr>
        <w:t>(“5.875% Senior Notes 2029”), ATI’s 3.75% Senior Notes due January 2031</w:t>
      </w:r>
      <w:r>
        <w:rPr>
          <w:rFonts w:ascii="Times New Roman" w:hAnsi="Times New Roman"/>
          <w:color w:val="000000"/>
          <w:sz w:val="20"/>
        </w:rPr>
        <w:t xml:space="preserve"> </w:t>
      </w:r>
      <w:r>
        <w:rPr>
          <w:rFonts w:ascii="Arial" w:hAnsi="Arial"/>
          <w:color w:val="000000"/>
          <w:sz w:val="20"/>
        </w:rPr>
        <w:t>(“3.75% Senior Notes 2031”), ATI's 5.875% Senior Notes due December 2033</w:t>
      </w:r>
      <w:r>
        <w:rPr>
          <w:rFonts w:ascii="Times New Roman" w:hAnsi="Times New Roman"/>
          <w:color w:val="000000"/>
          <w:sz w:val="20"/>
        </w:rPr>
        <w:t xml:space="preserve"> </w:t>
      </w:r>
      <w:r>
        <w:rPr>
          <w:rFonts w:ascii="Arial" w:hAnsi="Arial"/>
          <w:color w:val="000000"/>
          <w:sz w:val="20"/>
        </w:rPr>
        <w:t>("5.875% Senior Notes 2033" and, together with the 4.75% Senior Notes 2027, 5.875% Senior Notes 2029 and 3.75% Senior Notes 2031, the “Senior Notes”), the Second Amended and Restated Credit Agreement dated as of March 29, 2019, as amended (the “Credit Agreement”), governing ATI’s term loan facility in the amount of $508</w:t>
      </w:r>
      <w:r>
        <w:rPr>
          <w:rFonts w:ascii="Times New Roman" w:hAnsi="Times New Roman"/>
          <w:color w:val="000000"/>
          <w:sz w:val="20"/>
        </w:rPr>
        <w:t xml:space="preserve"> </w:t>
      </w:r>
      <w:r>
        <w:rPr>
          <w:rFonts w:ascii="Arial" w:hAnsi="Arial"/>
          <w:color w:val="000000"/>
          <w:sz w:val="20"/>
        </w:rPr>
        <w:t>million due March 2031</w:t>
      </w:r>
      <w:r>
        <w:rPr>
          <w:rFonts w:ascii="Times New Roman" w:hAnsi="Times New Roman"/>
          <w:color w:val="000000"/>
          <w:sz w:val="20"/>
        </w:rPr>
        <w:t xml:space="preserve"> </w:t>
      </w:r>
      <w:r>
        <w:rPr>
          <w:rFonts w:ascii="Arial" w:hAnsi="Arial"/>
          <w:color w:val="000000"/>
          <w:sz w:val="20"/>
        </w:rPr>
        <w:t>(“Term Loan”), ATI's incremental term loan in the amount of $1,200</w:t>
      </w:r>
      <w:r>
        <w:rPr>
          <w:rFonts w:ascii="Times New Roman" w:hAnsi="Times New Roman"/>
          <w:color w:val="000000"/>
          <w:sz w:val="20"/>
        </w:rPr>
        <w:t xml:space="preserve"> </w:t>
      </w:r>
      <w:r>
        <w:rPr>
          <w:rFonts w:ascii="Arial" w:hAnsi="Arial"/>
          <w:color w:val="000000"/>
          <w:sz w:val="20"/>
        </w:rPr>
        <w:t>million due January 2033</w:t>
      </w:r>
      <w:r>
        <w:rPr>
          <w:rFonts w:ascii="Times New Roman" w:hAnsi="Times New Roman"/>
          <w:color w:val="000000"/>
          <w:sz w:val="20"/>
        </w:rPr>
        <w:t xml:space="preserve"> </w:t>
      </w:r>
      <w:r>
        <w:rPr>
          <w:rFonts w:ascii="Arial" w:hAnsi="Arial"/>
          <w:color w:val="000000"/>
          <w:sz w:val="20"/>
        </w:rPr>
        <w:t>("Incremental Term Loan") and ATI’s revolving credit facility with commitments in the amount of $1,000</w:t>
      </w:r>
      <w:r>
        <w:rPr>
          <w:rFonts w:ascii="Times New Roman" w:hAnsi="Times New Roman"/>
          <w:color w:val="000000"/>
          <w:sz w:val="20"/>
        </w:rPr>
        <w:t xml:space="preserve"> </w:t>
      </w:r>
      <w:r>
        <w:rPr>
          <w:rFonts w:ascii="Arial" w:hAnsi="Arial"/>
          <w:color w:val="000000"/>
          <w:sz w:val="20"/>
        </w:rPr>
        <w:t>million due January 2031</w:t>
      </w:r>
      <w:r>
        <w:rPr>
          <w:rFonts w:ascii="Times New Roman" w:hAnsi="Times New Roman"/>
          <w:color w:val="000000"/>
          <w:sz w:val="20"/>
        </w:rPr>
        <w:t xml:space="preserve"> </w:t>
      </w:r>
      <w:r>
        <w:rPr>
          <w:rFonts w:ascii="Arial" w:hAnsi="Arial"/>
          <w:color w:val="000000"/>
          <w:sz w:val="20"/>
        </w:rPr>
        <w:t>(the "Revolving Credit Facility" and, together with the Term Loan and Incremental Term Loan, the “Senior Secured Credit Facility”) and the Company's finance lease liabilities.</w:t>
      </w:r>
    </w:p>
    <w:p>
      <w:pPr>
        <w:pStyle w:val="TextBody"/>
        <w:bidi w:val="0"/>
        <w:spacing w:before="120" w:after="283"/>
        <w:jc w:val="left"/>
        <w:rPr>
          <w:rFonts w:ascii="Times New Roman" w:hAnsi="Times New Roman"/>
          <w:sz w:val="20"/>
        </w:rPr>
      </w:pPr>
      <w:r>
        <w:rPr>
          <w:rFonts w:ascii="Arial" w:hAnsi="Arial"/>
          <w:color w:val="000000"/>
          <w:sz w:val="20"/>
        </w:rPr>
        <w:t>The fair value of the Company’s long-term debt obligations as of March 31, 2026 was $4,216</w:t>
      </w:r>
      <w:r>
        <w:rPr>
          <w:rFonts w:ascii="Times New Roman" w:hAnsi="Times New Roman"/>
          <w:color w:val="000000"/>
          <w:sz w:val="20"/>
        </w:rPr>
        <w:t xml:space="preserve"> </w:t>
      </w:r>
      <w:r>
        <w:rPr>
          <w:rFonts w:ascii="Arial" w:hAnsi="Arial"/>
          <w:color w:val="000000"/>
          <w:sz w:val="20"/>
        </w:rPr>
        <w:t>million. The fair value is based on quoted Level 2 market prices of the Company’s debt as of March 31, 2026. The difference between the fair value and carrying value of the long-term debt is driven primarily by trends in the financial markets.</w:t>
      </w:r>
    </w:p>
    <w:p>
      <w:pPr>
        <w:pStyle w:val="TextBody"/>
        <w:bidi w:val="0"/>
        <w:spacing w:before="120" w:after="283"/>
        <w:jc w:val="left"/>
        <w:rPr>
          <w:rFonts w:ascii="Arial" w:hAnsi="Arial"/>
          <w:b/>
          <w:i/>
          <w:color w:val="000000"/>
          <w:sz w:val="20"/>
        </w:rPr>
      </w:pPr>
      <w:r>
        <w:rPr>
          <w:rFonts w:ascii="Arial" w:hAnsi="Arial"/>
          <w:b/>
          <w:i/>
          <w:color w:val="000000"/>
          <w:sz w:val="20"/>
        </w:rPr>
        <w:t>Senior Secured Credit Facility</w:t>
      </w:r>
    </w:p>
    <w:p>
      <w:pPr>
        <w:pStyle w:val="TextBody"/>
        <w:bidi w:val="0"/>
        <w:spacing w:before="120" w:after="283"/>
        <w:jc w:val="left"/>
        <w:rPr>
          <w:rFonts w:ascii="Times New Roman" w:hAnsi="Times New Roman"/>
          <w:sz w:val="20"/>
        </w:rPr>
      </w:pPr>
      <w:r>
        <w:rPr>
          <w:rFonts w:ascii="Arial" w:hAnsi="Arial"/>
          <w:color w:val="000000"/>
          <w:sz w:val="20"/>
        </w:rPr>
        <w:t>In January 2026, the Company and ATI entered into Amendment No. 5 ("Amendment") to the Credit Agreement to increase the commitments under the existing Revolving Credit Facility from $750</w:t>
      </w:r>
      <w:r>
        <w:rPr>
          <w:rFonts w:ascii="Times New Roman" w:hAnsi="Times New Roman"/>
          <w:color w:val="000000"/>
          <w:sz w:val="20"/>
        </w:rPr>
        <w:t xml:space="preserve"> </w:t>
      </w:r>
      <w:r>
        <w:rPr>
          <w:rFonts w:ascii="Arial" w:hAnsi="Arial"/>
          <w:color w:val="000000"/>
          <w:sz w:val="20"/>
        </w:rPr>
        <w:t>million to $1,000</w:t>
      </w:r>
      <w:r>
        <w:rPr>
          <w:rFonts w:ascii="Times New Roman" w:hAnsi="Times New Roman"/>
          <w:color w:val="000000"/>
          <w:sz w:val="20"/>
        </w:rPr>
        <w:t xml:space="preserve"> </w:t>
      </w:r>
      <w:r>
        <w:rPr>
          <w:rFonts w:ascii="Arial" w:hAnsi="Arial"/>
          <w:color w:val="000000"/>
          <w:sz w:val="20"/>
        </w:rPr>
        <w:t>million and provide for the Incremental Term Loan in an aggregate principal amount equal to $1,200</w:t>
      </w:r>
      <w:r>
        <w:rPr>
          <w:rFonts w:ascii="Times New Roman" w:hAnsi="Times New Roman"/>
          <w:color w:val="000000"/>
          <w:sz w:val="20"/>
        </w:rPr>
        <w:t xml:space="preserve"> </w:t>
      </w:r>
      <w:r>
        <w:rPr>
          <w:rFonts w:ascii="Arial" w:hAnsi="Arial"/>
          <w:color w:val="000000"/>
          <w:sz w:val="20"/>
        </w:rPr>
        <w:t>million, which matures on January 2, 2033 with a springing maturity to the maturity date of the Term Loan in the event the Term Loan matures on any date prior to January 2, 2033. With the exception of the items noted above, the terms of the Revolving Credit Facility are materially the same as they were prior to the Amendment. The Amendment to increase the commitments under the existing Revolving Credit Facility was treated as a modification under GAAP and the Incremental Term Loan was treated as new debt. The Company recorded $3</w:t>
      </w:r>
      <w:r>
        <w:rPr>
          <w:rFonts w:ascii="Times New Roman" w:hAnsi="Times New Roman"/>
          <w:color w:val="000000"/>
          <w:sz w:val="20"/>
        </w:rPr>
        <w:t xml:space="preserve"> </w:t>
      </w:r>
      <w:r>
        <w:rPr>
          <w:rFonts w:ascii="Arial" w:hAnsi="Arial"/>
          <w:color w:val="000000"/>
          <w:sz w:val="20"/>
        </w:rPr>
        <w:t>million and $12</w:t>
      </w:r>
      <w:r>
        <w:rPr>
          <w:rFonts w:ascii="Times New Roman" w:hAnsi="Times New Roman"/>
          <w:color w:val="000000"/>
          <w:sz w:val="20"/>
        </w:rPr>
        <w:t xml:space="preserve"> </w:t>
      </w:r>
      <w:r>
        <w:rPr>
          <w:rFonts w:ascii="Arial" w:hAnsi="Arial"/>
          <w:color w:val="000000"/>
          <w:sz w:val="20"/>
        </w:rPr>
        <w:t>million of deferred financing fees in the Condensed Consolidated Balance Sheet as of March 31, 2026 associated with the Amendment to increase the commitments under the existing Revolving Credit Facility and provide for the Incremental Term Loan, respectively.</w:t>
      </w:r>
    </w:p>
    <w:p>
      <w:pPr>
        <w:pStyle w:val="TextBody"/>
        <w:bidi w:val="0"/>
        <w:spacing w:before="120" w:after="283"/>
        <w:jc w:val="left"/>
        <w:rPr>
          <w:rFonts w:ascii="Times New Roman" w:hAnsi="Times New Roman"/>
          <w:sz w:val="20"/>
        </w:rPr>
      </w:pPr>
      <w:r>
        <w:rPr>
          <w:rFonts w:ascii="Arial" w:hAnsi="Arial"/>
          <w:color w:val="000000"/>
          <w:sz w:val="20"/>
        </w:rPr>
        <w:t>The borrowings under the Senior Secured Credit Facility are collateralized by a lien on substantially all assets of the Company, ATI and certain existing and future U.S. subsidiary guarantors, as provided in the Credit Agreement. Interest on the Term Loan and Incremental Term Loan, as of March 31, 2026, is either (a) 1.75% over a SOFR rate on deposits in U.S. dollars for one-, three- or six-month periods (or a twelve-month period if, at the time</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of the borrowing, consented to by all relevant lenders and the administrative agent) ("Term SOFR"), or (b) 0.75% over the greater of the prime lending rate as quoted by the administrative agent, the Term SOFR rate for an interest period of one month plus 1.00% and the federal funds effective rate published by the Federal Reserve Bank of New York plus 0.50%, subject to a 1.00% floor (the "Base Rate"). As of March 31, 2026, the Company elected to pay the lowest all-in rate of Term SOFR plus the applicable margin, or 5.42%, on the Term Loan and Incremental Term Loan. The Credit Agreement requires minimum quarterly principal payments on the Term Loan and Incremental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2031</w:t>
      </w:r>
      <w:r>
        <w:rPr>
          <w:rFonts w:ascii="Times New Roman" w:hAnsi="Times New Roman"/>
          <w:color w:val="000000"/>
          <w:sz w:val="20"/>
        </w:rPr>
        <w:t xml:space="preserve"> </w:t>
      </w:r>
      <w:r>
        <w:rPr>
          <w:rFonts w:ascii="Arial" w:hAnsi="Arial"/>
          <w:color w:val="000000"/>
          <w:sz w:val="20"/>
        </w:rPr>
        <w:t>is $1</w:t>
      </w:r>
      <w:r>
        <w:rPr>
          <w:rFonts w:ascii="Times New Roman" w:hAnsi="Times New Roman"/>
          <w:color w:val="000000"/>
          <w:sz w:val="20"/>
        </w:rPr>
        <w:t xml:space="preserve"> </w:t>
      </w:r>
      <w:r>
        <w:rPr>
          <w:rFonts w:ascii="Arial" w:hAnsi="Arial"/>
          <w:color w:val="000000"/>
          <w:sz w:val="20"/>
        </w:rPr>
        <w:t>million. The minimum required quarterly payment on the Incremental Term Loan through its maturity date of January 2033</w:t>
      </w:r>
      <w:r>
        <w:rPr>
          <w:rFonts w:ascii="Times New Roman" w:hAnsi="Times New Roman"/>
          <w:color w:val="000000"/>
          <w:sz w:val="20"/>
        </w:rPr>
        <w:t xml:space="preserve"> </w:t>
      </w:r>
      <w:r>
        <w:rPr>
          <w:rFonts w:ascii="Arial" w:hAnsi="Arial"/>
          <w:color w:val="000000"/>
          <w:sz w:val="20"/>
        </w:rPr>
        <w:t>is $3</w:t>
      </w:r>
      <w:r>
        <w:rPr>
          <w:rFonts w:ascii="Times New Roman" w:hAnsi="Times New Roman"/>
          <w:color w:val="000000"/>
          <w:sz w:val="20"/>
        </w:rPr>
        <w:t xml:space="preserve"> </w:t>
      </w:r>
      <w:r>
        <w:rPr>
          <w:rFonts w:ascii="Arial" w:hAnsi="Arial"/>
          <w:color w:val="000000"/>
          <w:sz w:val="20"/>
        </w:rPr>
        <w:t>million. As of March 31, 2026, there had been no payments required for certain net cash proceeds of non-ordinary course asset sales and casualty and condemnation events. The remaining principal balances are due upon maturity of the Term Loan and the Incremental Term Loan.</w:t>
      </w:r>
    </w:p>
    <w:p>
      <w:pPr>
        <w:pStyle w:val="TextBody"/>
        <w:bidi w:val="0"/>
        <w:spacing w:before="120" w:after="283"/>
        <w:jc w:val="left"/>
        <w:rPr>
          <w:rFonts w:ascii="Times New Roman" w:hAnsi="Times New Roman"/>
          <w:sz w:val="20"/>
        </w:rPr>
      </w:pPr>
      <w:r>
        <w:rPr>
          <w:rFonts w:ascii="Arial" w:hAnsi="Arial"/>
          <w:color w:val="000000"/>
          <w:sz w:val="20"/>
        </w:rPr>
        <w:t>The Senior</w:t>
      </w:r>
      <w:r>
        <w:rPr>
          <w:rFonts w:ascii="Times New Roman" w:hAnsi="Times New Roman"/>
          <w:color w:val="000000"/>
          <w:sz w:val="20"/>
        </w:rPr>
        <w:t xml:space="preserve"> </w:t>
      </w:r>
      <w:r>
        <w:rPr>
          <w:rFonts w:ascii="Arial" w:hAnsi="Arial"/>
          <w:color w:val="000000"/>
          <w:sz w:val="20"/>
        </w:rPr>
        <w:t>Secured Credit Facility also provides a Revolving Credit Facility, net of an allowance for up to $75</w:t>
      </w:r>
      <w:r>
        <w:rPr>
          <w:rFonts w:ascii="Times New Roman" w:hAnsi="Times New Roman"/>
          <w:color w:val="000000"/>
          <w:sz w:val="20"/>
        </w:rPr>
        <w:t xml:space="preserve"> </w:t>
      </w:r>
      <w:r>
        <w:rPr>
          <w:rFonts w:ascii="Arial" w:hAnsi="Arial"/>
          <w:color w:val="000000"/>
          <w:sz w:val="20"/>
        </w:rPr>
        <w:t xml:space="preserve">million in outstanding letters of credit commitments. During the three months ended March 31, 2026, the Company </w:t>
      </w:r>
      <w:r>
        <w:rPr>
          <w:rFonts w:ascii="Arial" w:hAnsi="Arial"/>
          <w:color w:val="212529"/>
          <w:sz w:val="20"/>
        </w:rPr>
        <w:t>withdrew $300</w:t>
      </w:r>
      <w:r>
        <w:rPr>
          <w:rFonts w:ascii="Times New Roman" w:hAnsi="Times New Roman"/>
          <w:color w:val="212529"/>
          <w:sz w:val="20"/>
        </w:rPr>
        <w:t xml:space="preserve"> </w:t>
      </w:r>
      <w:r>
        <w:rPr>
          <w:rFonts w:ascii="Arial" w:hAnsi="Arial"/>
          <w:color w:val="212529"/>
          <w:sz w:val="20"/>
        </w:rPr>
        <w:t>million on the Revolving Credit Facility to partially fund the Acquisition and repaid $150</w:t>
      </w:r>
      <w:r>
        <w:rPr>
          <w:rFonts w:ascii="Times New Roman" w:hAnsi="Times New Roman"/>
          <w:color w:val="212529"/>
          <w:sz w:val="20"/>
        </w:rPr>
        <w:t xml:space="preserve"> </w:t>
      </w:r>
      <w:r>
        <w:rPr>
          <w:rFonts w:ascii="Arial" w:hAnsi="Arial"/>
          <w:color w:val="212529"/>
          <w:sz w:val="20"/>
        </w:rPr>
        <w:t xml:space="preserve">million of the outstanding amount. </w:t>
      </w:r>
      <w:r>
        <w:rPr>
          <w:rFonts w:ascii="Arial" w:hAnsi="Arial"/>
          <w:color w:val="000000"/>
          <w:sz w:val="20"/>
        </w:rPr>
        <w:t>As of March 31, 2026, the Company had $845</w:t>
      </w:r>
      <w:r>
        <w:rPr>
          <w:rFonts w:ascii="Times New Roman" w:hAnsi="Times New Roman"/>
          <w:color w:val="000000"/>
          <w:sz w:val="20"/>
        </w:rPr>
        <w:t xml:space="preserve"> </w:t>
      </w:r>
      <w:r>
        <w:rPr>
          <w:rFonts w:ascii="Arial" w:hAnsi="Arial"/>
          <w:color w:val="000000"/>
          <w:sz w:val="20"/>
        </w:rPr>
        <w:t>million available under the Revolving Credit Facility, net of $150</w:t>
      </w:r>
      <w:r>
        <w:rPr>
          <w:rFonts w:ascii="Times New Roman" w:hAnsi="Times New Roman"/>
          <w:color w:val="000000"/>
          <w:sz w:val="20"/>
        </w:rPr>
        <w:t xml:space="preserve"> </w:t>
      </w:r>
      <w:r>
        <w:rPr>
          <w:rFonts w:ascii="Arial" w:hAnsi="Arial"/>
          <w:color w:val="000000"/>
          <w:sz w:val="20"/>
        </w:rPr>
        <w:t>million of revolving loans outstanding and $5</w:t>
      </w:r>
      <w:r>
        <w:rPr>
          <w:rFonts w:ascii="Times New Roman" w:hAnsi="Times New Roman"/>
          <w:color w:val="000000"/>
          <w:sz w:val="20"/>
        </w:rPr>
        <w:t xml:space="preserve"> </w:t>
      </w:r>
      <w:r>
        <w:rPr>
          <w:rFonts w:ascii="Arial" w:hAnsi="Arial"/>
          <w:color w:val="000000"/>
          <w:sz w:val="20"/>
        </w:rPr>
        <w:t>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Term SOFR rate; when the Company’s first lien net leverage ratio is equal to or less than 4.00x and above 3.50x, interest on the Revolving Credit Facility is (i) 0.50% over the Base Rate or (ii) 1.50% over the Term SOFR rate; and when the Company’s first lien net leverage ratio is equal to or below 3.50x, interest on the Revolving Credit Facility is (y) 0.25% over the Base Rate or (z) 1.25% over the Term SOFR rate. As of March 31, 2026, the Company elected to pay the lowest all-in rate of Term SOFR plus the applicable margin, or 4.92%. In addition, there is an annual commitment fee, based on the Company’s first lien net leverage ratio, on the average unused revolving credit borrowings available under the Revolving Credit Facility. As of March 31, 2026, the commitment fee was 0.25%. Borrowings under the Revolving Credit Facility are payable at the option of the Company throughout the term of the Revolving Credit Facility with the balance due in January 2031.</w:t>
      </w:r>
    </w:p>
    <w:p>
      <w:pPr>
        <w:pStyle w:val="TextBody"/>
        <w:bidi w:val="0"/>
        <w:spacing w:before="120" w:after="283"/>
        <w:jc w:val="left"/>
        <w:rPr>
          <w:rFonts w:ascii="Times New Roman" w:hAnsi="Times New Roman"/>
          <w:sz w:val="20"/>
        </w:rPr>
      </w:pPr>
      <w:r>
        <w:rPr>
          <w:rFonts w:ascii="Arial" w:hAnsi="Arial"/>
          <w:color w:val="000000"/>
          <w:sz w:val="20"/>
        </w:rPr>
        <w:t>The Senior Secured Credit Facility requires the Company to maintain a specified maximum first lien net leverage ratio of 5.50x when revolving loan commitments remain outstanding on the Revolving Credit Facility at the end of a fiscal quarter. As of March 31, 2026, the Company was in compliance with the maximum first lien net leverage ratio, achieving a 1.29x ratio. Additionally, within the terms of the Senior Secured Credit Facility, a first lien net leverage ratio at or below 4.00x results in the elimination of excess cash flow payments on the Senior Secured Credit Facility for the applicable</w:t>
      </w:r>
      <w:r>
        <w:rPr>
          <w:rFonts w:ascii="Times New Roman" w:hAnsi="Times New Roman"/>
          <w:color w:val="000000"/>
          <w:sz w:val="20"/>
        </w:rPr>
        <w:t xml:space="preserve"> </w:t>
      </w:r>
      <w:r>
        <w:rPr>
          <w:rFonts w:ascii="Arial" w:hAnsi="Arial"/>
          <w:color w:val="000000"/>
          <w:sz w:val="20"/>
        </w:rPr>
        <w:t>year.</w:t>
      </w:r>
    </w:p>
    <w:p>
      <w:pPr>
        <w:pStyle w:val="TextBody"/>
        <w:bidi w:val="0"/>
        <w:spacing w:before="120" w:after="283"/>
        <w:jc w:val="left"/>
        <w:rPr>
          <w:rFonts w:ascii="Arial" w:hAnsi="Arial"/>
          <w:color w:val="000000"/>
          <w:sz w:val="20"/>
        </w:rPr>
      </w:pPr>
      <w:r>
        <w:rPr>
          <w:rFonts w:ascii="Arial" w:hAnsi="Arial"/>
          <w:color w:val="000000"/>
          <w:sz w:val="20"/>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March 31, 2026, the Company was in compliance with all covenants under the Credit Agreement.</w:t>
      </w:r>
    </w:p>
    <w:p>
      <w:pPr>
        <w:pStyle w:val="TextBody"/>
        <w:bidi w:val="0"/>
        <w:spacing w:before="120" w:after="283"/>
        <w:jc w:val="left"/>
        <w:rPr>
          <w:rFonts w:ascii="Arial" w:hAnsi="Arial"/>
          <w:b/>
          <w:i/>
          <w:color w:val="000000"/>
          <w:sz w:val="20"/>
        </w:rPr>
      </w:pPr>
      <w:r>
        <w:rPr>
          <w:rFonts w:ascii="Arial" w:hAnsi="Arial"/>
          <w:b/>
          <w:i/>
          <w:color w:val="000000"/>
          <w:sz w:val="20"/>
        </w:rPr>
        <w:t>Senior Notes</w:t>
      </w:r>
    </w:p>
    <w:p>
      <w:pPr>
        <w:pStyle w:val="TextBody"/>
        <w:bidi w:val="0"/>
        <w:spacing w:before="120" w:after="283"/>
        <w:jc w:val="left"/>
        <w:rPr>
          <w:rFonts w:ascii="Times New Roman" w:hAnsi="Times New Roman"/>
          <w:sz w:val="20"/>
        </w:rPr>
      </w:pPr>
      <w:r>
        <w:rPr>
          <w:rFonts w:ascii="Arial" w:hAnsi="Arial"/>
          <w:color w:val="000000"/>
          <w:sz w:val="20"/>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2026, the Company was in compliance with all covenants under the indentures governing the Senior Notes.</w:t>
      </w:r>
    </w:p>
    <w:p>
      <w:pPr>
        <w:pStyle w:val="TextBody"/>
        <w:bidi w:val="0"/>
        <w:spacing w:before="120" w:after="283"/>
        <w:jc w:val="left"/>
        <w:rPr>
          <w:rFonts w:ascii="Arial" w:hAnsi="Arial"/>
          <w:color w:val="000000"/>
          <w:sz w:val="20"/>
        </w:rPr>
      </w:pPr>
      <w:r>
        <w:rPr>
          <w:rFonts w:ascii="Arial" w:hAnsi="Arial"/>
          <w:color w:val="000000"/>
          <w:sz w:val="20"/>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2027, the 5.875% Senior Notes 2029 and the 3.75% Senior Notes 2031 may be redeemed at any time at redemption prices specified in the indentures governing such notes. Prior to December 1, 2028, ATI may redeem some or all of the 5.875% Senior Notes 2033 by paying a price equal to 100.00% of the principal amount being redeemed, plus an “applicable premium”. At any time on or after December 1, 2028, ATI may redeem some or all of the 5.875% Senior Notes 2033 at redemption prices specified in the indenture governing such notes.</w:t>
      </w:r>
    </w:p>
    <w:p>
      <w:pPr>
        <w:pStyle w:val="TextBody"/>
        <w:bidi w:val="0"/>
        <w:spacing w:before="18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I. PRODUCT WARRANTY LIABILITIES</w:t>
      </w:r>
    </w:p>
    <w:p>
      <w:pPr>
        <w:pStyle w:val="TextBody"/>
        <w:bidi w:val="0"/>
        <w:spacing w:before="120" w:after="283"/>
        <w:jc w:val="left"/>
        <w:rPr>
          <w:rFonts w:ascii="Times New Roman" w:hAnsi="Times New Roman"/>
          <w:sz w:val="20"/>
        </w:rPr>
      </w:pPr>
      <w:r>
        <w:rPr>
          <w:rFonts w:ascii="Arial" w:hAnsi="Arial"/>
          <w:color w:val="000000"/>
          <w:sz w:val="20"/>
        </w:rPr>
        <w:t>As of March 31, 2026, current and non-current product warranty liabilities were $61</w:t>
      </w:r>
      <w:r>
        <w:rPr>
          <w:rFonts w:ascii="Times New Roman" w:hAnsi="Times New Roman"/>
          <w:color w:val="000000"/>
          <w:sz w:val="20"/>
        </w:rPr>
        <w:t xml:space="preserve"> </w:t>
      </w:r>
      <w:r>
        <w:rPr>
          <w:rFonts w:ascii="Arial" w:hAnsi="Arial"/>
          <w:color w:val="000000"/>
          <w:sz w:val="20"/>
        </w:rPr>
        <w:t>million and $60</w:t>
      </w:r>
      <w:r>
        <w:rPr>
          <w:rFonts w:ascii="Times New Roman" w:hAnsi="Times New Roman"/>
          <w:color w:val="000000"/>
          <w:sz w:val="20"/>
        </w:rPr>
        <w:t xml:space="preserve"> </w:t>
      </w:r>
      <w:r>
        <w:rPr>
          <w:rFonts w:ascii="Arial" w:hAnsi="Arial"/>
          <w:color w:val="000000"/>
          <w:sz w:val="20"/>
        </w:rPr>
        <w:t>million, respectively. As of March 31, 2025, current and non-current product warranty liabilities were $32</w:t>
      </w:r>
      <w:r>
        <w:rPr>
          <w:rFonts w:ascii="Times New Roman" w:hAnsi="Times New Roman"/>
          <w:color w:val="000000"/>
          <w:sz w:val="20"/>
        </w:rPr>
        <w:t xml:space="preserve"> </w:t>
      </w:r>
      <w:r>
        <w:rPr>
          <w:rFonts w:ascii="Arial" w:hAnsi="Arial"/>
          <w:color w:val="000000"/>
          <w:sz w:val="20"/>
        </w:rPr>
        <w:t>million and $41</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20" w:after="283"/>
        <w:jc w:val="left"/>
        <w:rPr>
          <w:rFonts w:ascii="Arial" w:hAnsi="Arial"/>
          <w:color w:val="000000"/>
          <w:sz w:val="20"/>
        </w:rPr>
      </w:pPr>
      <w:r>
        <w:rPr>
          <w:rFonts w:ascii="Arial" w:hAnsi="Arial"/>
          <w:color w:val="000000"/>
          <w:sz w:val="20"/>
        </w:rPr>
        <w:t>Product warranty liability activities consisted of the following (dollars in millions):</w:t>
      </w:r>
    </w:p>
    <w:p>
      <w:pPr>
        <w:pStyle w:val="TextBody"/>
        <w:bidi w:val="0"/>
        <w:jc w:val="left"/>
        <w:rPr/>
      </w:pPr>
      <w:r>
        <w:rPr/>
        <w:t> </w:t>
      </w:r>
    </w:p>
    <w:tbl>
      <w:tblPr>
        <w:tblW w:w="6565" w:type="dxa"/>
        <w:jc w:val="left"/>
        <w:tblInd w:w="0" w:type="dxa"/>
        <w:tblLayout w:type="fixed"/>
        <w:tblCellMar>
          <w:top w:w="28" w:type="dxa"/>
          <w:left w:w="28" w:type="dxa"/>
          <w:bottom w:w="28" w:type="dxa"/>
          <w:right w:w="28" w:type="dxa"/>
        </w:tblCellMar>
      </w:tblPr>
      <w:tblGrid>
        <w:gridCol w:w="4456"/>
        <w:gridCol w:w="146"/>
        <w:gridCol w:w="246"/>
        <w:gridCol w:w="492"/>
        <w:gridCol w:w="194"/>
        <w:gridCol w:w="170"/>
        <w:gridCol w:w="246"/>
        <w:gridCol w:w="404"/>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warranty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in liability (warranty issued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adjustments to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NOTE J. DEFERRED REVENUE</w:t>
      </w:r>
    </w:p>
    <w:p>
      <w:pPr>
        <w:pStyle w:val="TextBody"/>
        <w:bidi w:val="0"/>
        <w:spacing w:before="120" w:after="283"/>
        <w:jc w:val="left"/>
        <w:rPr>
          <w:rFonts w:ascii="Times New Roman" w:hAnsi="Times New Roman"/>
          <w:sz w:val="20"/>
        </w:rPr>
      </w:pPr>
      <w:r>
        <w:rPr>
          <w:rFonts w:ascii="Arial" w:hAnsi="Arial"/>
          <w:color w:val="000000"/>
          <w:sz w:val="20"/>
        </w:rPr>
        <w:t>As of March 31, 2026, current and non-current deferred revenue were $76</w:t>
      </w:r>
      <w:r>
        <w:rPr>
          <w:rFonts w:ascii="Times New Roman" w:hAnsi="Times New Roman"/>
          <w:color w:val="000000"/>
          <w:sz w:val="20"/>
        </w:rPr>
        <w:t xml:space="preserve"> </w:t>
      </w:r>
      <w:r>
        <w:rPr>
          <w:rFonts w:ascii="Arial" w:hAnsi="Arial"/>
          <w:color w:val="000000"/>
          <w:sz w:val="20"/>
        </w:rPr>
        <w:t>million and $103</w:t>
      </w:r>
      <w:r>
        <w:rPr>
          <w:rFonts w:ascii="Times New Roman" w:hAnsi="Times New Roman"/>
          <w:color w:val="000000"/>
          <w:sz w:val="20"/>
        </w:rPr>
        <w:t xml:space="preserve"> </w:t>
      </w:r>
      <w:r>
        <w:rPr>
          <w:rFonts w:ascii="Arial" w:hAnsi="Arial"/>
          <w:color w:val="000000"/>
          <w:sz w:val="20"/>
        </w:rPr>
        <w:t>million, respectively. As of March 31, 2025, current and non-current deferred revenue were $37</w:t>
      </w:r>
      <w:r>
        <w:rPr>
          <w:rFonts w:ascii="Times New Roman" w:hAnsi="Times New Roman"/>
          <w:color w:val="000000"/>
          <w:sz w:val="20"/>
        </w:rPr>
        <w:t xml:space="preserve"> </w:t>
      </w:r>
      <w:r>
        <w:rPr>
          <w:rFonts w:ascii="Arial" w:hAnsi="Arial"/>
          <w:color w:val="000000"/>
          <w:sz w:val="20"/>
        </w:rPr>
        <w:t>million and $99</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20" w:after="283"/>
        <w:jc w:val="left"/>
        <w:rPr>
          <w:rFonts w:ascii="Arial" w:hAnsi="Arial"/>
          <w:color w:val="000000"/>
          <w:sz w:val="20"/>
        </w:rPr>
      </w:pPr>
      <w:r>
        <w:rPr>
          <w:rFonts w:ascii="Arial" w:hAnsi="Arial"/>
          <w:color w:val="000000"/>
          <w:sz w:val="20"/>
        </w:rPr>
        <w:t>Deferred revenue activity consisted of the following (dollars in millions):</w:t>
      </w:r>
    </w:p>
    <w:p>
      <w:pPr>
        <w:pStyle w:val="TextBody"/>
        <w:bidi w:val="0"/>
        <w:jc w:val="left"/>
        <w:rPr/>
      </w:pPr>
      <w:r>
        <w:rPr/>
        <w:t> </w:t>
      </w:r>
    </w:p>
    <w:tbl>
      <w:tblPr>
        <w:tblW w:w="4512" w:type="dxa"/>
        <w:jc w:val="left"/>
        <w:tblInd w:w="0" w:type="dxa"/>
        <w:tblLayout w:type="fixed"/>
        <w:tblCellMar>
          <w:top w:w="28" w:type="dxa"/>
          <w:left w:w="28" w:type="dxa"/>
          <w:bottom w:w="28" w:type="dxa"/>
          <w:right w:w="28" w:type="dxa"/>
        </w:tblCellMar>
      </w:tblPr>
      <w:tblGrid>
        <w:gridCol w:w="2401"/>
        <w:gridCol w:w="146"/>
        <w:gridCol w:w="235"/>
        <w:gridCol w:w="469"/>
        <w:gridCol w:w="184"/>
        <w:gridCol w:w="162"/>
        <w:gridCol w:w="235"/>
        <w:gridCol w:w="469"/>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Acquired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Deferred revenue recorded in current and non-current liabilities related to ETC as of March 31, 2026 was $32</w:t>
      </w:r>
      <w:r>
        <w:rPr>
          <w:rFonts w:ascii="Times New Roman" w:hAnsi="Times New Roman"/>
          <w:color w:val="000000"/>
          <w:sz w:val="20"/>
        </w:rPr>
        <w:t xml:space="preserve"> </w:t>
      </w:r>
      <w:r>
        <w:rPr>
          <w:rFonts w:ascii="Arial" w:hAnsi="Arial"/>
          <w:color w:val="000000"/>
          <w:sz w:val="20"/>
        </w:rPr>
        <w:t>million and $103</w:t>
      </w:r>
      <w:r>
        <w:rPr>
          <w:rFonts w:ascii="Times New Roman" w:hAnsi="Times New Roman"/>
          <w:color w:val="000000"/>
          <w:sz w:val="20"/>
        </w:rPr>
        <w:t xml:space="preserve"> </w:t>
      </w:r>
      <w:r>
        <w:rPr>
          <w:rFonts w:ascii="Arial" w:hAnsi="Arial"/>
          <w:color w:val="000000"/>
          <w:sz w:val="20"/>
        </w:rPr>
        <w:t>million, respectively. Deferred revenue recorded in current and non-current liabilities related to ETC as of March 31, 2025</w:t>
      </w:r>
      <w:r>
        <w:rPr>
          <w:rFonts w:ascii="Times New Roman" w:hAnsi="Times New Roman"/>
          <w:color w:val="000000"/>
          <w:sz w:val="20"/>
        </w:rPr>
        <w:t xml:space="preserve"> </w:t>
      </w:r>
      <w:r>
        <w:rPr>
          <w:rFonts w:ascii="Arial" w:hAnsi="Arial"/>
          <w:color w:val="000000"/>
          <w:sz w:val="20"/>
        </w:rPr>
        <w:t>was $28</w:t>
      </w:r>
      <w:r>
        <w:rPr>
          <w:rFonts w:ascii="Times New Roman" w:hAnsi="Times New Roman"/>
          <w:color w:val="000000"/>
          <w:sz w:val="20"/>
        </w:rPr>
        <w:t xml:space="preserve"> </w:t>
      </w:r>
      <w:r>
        <w:rPr>
          <w:rFonts w:ascii="Arial" w:hAnsi="Arial"/>
          <w:color w:val="000000"/>
          <w:sz w:val="20"/>
        </w:rPr>
        <w:t>million and $97</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8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NOTE K. LEASES</w:t>
      </w:r>
    </w:p>
    <w:p>
      <w:pPr>
        <w:pStyle w:val="TextBody"/>
        <w:bidi w:val="0"/>
        <w:spacing w:before="120" w:after="283"/>
        <w:jc w:val="left"/>
        <w:rPr>
          <w:rFonts w:ascii="Arial" w:hAnsi="Arial"/>
          <w:color w:val="000000"/>
          <w:sz w:val="20"/>
        </w:rPr>
      </w:pPr>
      <w:r>
        <w:rPr>
          <w:rFonts w:ascii="Arial" w:hAnsi="Arial"/>
          <w:color w:val="000000"/>
          <w:sz w:val="20"/>
        </w:rPr>
        <w:t>Contracts are assessed by the Company to determine if the contract conveys the right to control an identified asset in exchange for consideration during a period of time. The Company classifies all identified leases as either operating or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pStyle w:val="TextBody"/>
        <w:bidi w:val="0"/>
        <w:spacing w:before="120" w:after="283"/>
        <w:jc w:val="left"/>
        <w:rPr>
          <w:rFonts w:ascii="Arial" w:hAnsi="Arial"/>
          <w:color w:val="000000"/>
          <w:sz w:val="20"/>
        </w:rPr>
      </w:pPr>
      <w:r>
        <w:rPr>
          <w:rFonts w:ascii="Arial" w:hAnsi="Arial"/>
          <w:color w:val="000000"/>
          <w:sz w:val="20"/>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pStyle w:val="TextBody"/>
        <w:bidi w:val="0"/>
        <w:spacing w:before="120" w:after="283"/>
        <w:jc w:val="left"/>
        <w:rPr>
          <w:rFonts w:ascii="Times New Roman" w:hAnsi="Times New Roman"/>
          <w:sz w:val="20"/>
        </w:rPr>
      </w:pPr>
      <w:r>
        <w:rPr>
          <w:rFonts w:ascii="Arial" w:hAnsi="Arial"/>
          <w:color w:val="000000"/>
          <w:sz w:val="20"/>
        </w:rPr>
        <w:t>ROU assets are calculated as the related lease liability adjusted for lease incentives, any initial direct costs, prepayments and the effect of escalating lease payments on period expense. During the three months ended March 31, 2026, the Company recorded $71</w:t>
      </w:r>
      <w:r>
        <w:rPr>
          <w:rFonts w:ascii="Times New Roman" w:hAnsi="Times New Roman"/>
          <w:color w:val="000000"/>
          <w:sz w:val="20"/>
        </w:rPr>
        <w:t xml:space="preserve"> </w:t>
      </w:r>
      <w:r>
        <w:rPr>
          <w:rFonts w:ascii="Arial" w:hAnsi="Arial"/>
          <w:color w:val="000000"/>
          <w:sz w:val="20"/>
        </w:rPr>
        <w:t>million and $37</w:t>
      </w:r>
      <w:r>
        <w:rPr>
          <w:rFonts w:ascii="Times New Roman" w:hAnsi="Times New Roman"/>
          <w:color w:val="000000"/>
          <w:sz w:val="20"/>
        </w:rPr>
        <w:t xml:space="preserve"> </w:t>
      </w:r>
      <w:r>
        <w:rPr>
          <w:rFonts w:ascii="Arial" w:hAnsi="Arial"/>
          <w:color w:val="000000"/>
          <w:sz w:val="20"/>
        </w:rPr>
        <w:t>million of new ROU assets obtained in exchange for operating lease obligations and financing lease obligations, respectively, of which $53</w:t>
      </w:r>
      <w:r>
        <w:rPr>
          <w:rFonts w:ascii="Times New Roman" w:hAnsi="Times New Roman"/>
          <w:color w:val="000000"/>
          <w:sz w:val="20"/>
        </w:rPr>
        <w:t xml:space="preserve"> </w:t>
      </w:r>
      <w:r>
        <w:rPr>
          <w:rFonts w:ascii="Arial" w:hAnsi="Arial"/>
          <w:color w:val="000000"/>
          <w:sz w:val="20"/>
        </w:rPr>
        <w:t>million of the operating leases and all $37</w:t>
      </w:r>
      <w:r>
        <w:rPr>
          <w:rFonts w:ascii="Times New Roman" w:hAnsi="Times New Roman"/>
          <w:color w:val="000000"/>
          <w:sz w:val="20"/>
        </w:rPr>
        <w:t xml:space="preserve"> </w:t>
      </w:r>
      <w:r>
        <w:rPr>
          <w:rFonts w:ascii="Arial" w:hAnsi="Arial"/>
          <w:color w:val="000000"/>
          <w:sz w:val="20"/>
        </w:rPr>
        <w:t>million of the finance leases were acquired in the Acquisition. The Company also acquired a below market lease in the Acquisition, resulting in the recognition of a favorable lease asset of $10</w:t>
      </w:r>
      <w:r>
        <w:rPr>
          <w:rFonts w:ascii="Times New Roman" w:hAnsi="Times New Roman"/>
          <w:color w:val="000000"/>
          <w:sz w:val="20"/>
        </w:rPr>
        <w:t xml:space="preserve"> </w:t>
      </w:r>
      <w:r>
        <w:rPr>
          <w:rFonts w:ascii="Arial" w:hAnsi="Arial"/>
          <w:color w:val="000000"/>
          <w:sz w:val="20"/>
        </w:rPr>
        <w:t>million, pending finalization of purchase price accounting. There were no</w:t>
      </w:r>
      <w:r>
        <w:rPr>
          <w:rFonts w:ascii="Times New Roman" w:hAnsi="Times New Roman"/>
          <w:color w:val="000000"/>
          <w:sz w:val="20"/>
        </w:rPr>
        <w:t xml:space="preserve"> </w:t>
      </w:r>
      <w:r>
        <w:rPr>
          <w:rFonts w:ascii="Arial" w:hAnsi="Arial"/>
          <w:color w:val="000000"/>
          <w:sz w:val="20"/>
        </w:rPr>
        <w:t>new ROU assets obtained in exchange for lease obligations during the three months ended March 31, 2025.</w:t>
      </w:r>
    </w:p>
    <w:p>
      <w:pPr>
        <w:pStyle w:val="TextBody"/>
        <w:bidi w:val="0"/>
        <w:spacing w:before="120" w:after="283"/>
        <w:jc w:val="left"/>
        <w:rPr>
          <w:rFonts w:ascii="Times New Roman" w:hAnsi="Times New Roman"/>
          <w:sz w:val="20"/>
        </w:rPr>
      </w:pPr>
      <w:r>
        <w:rPr>
          <w:rFonts w:ascii="Arial" w:hAnsi="Arial"/>
          <w:color w:val="000000"/>
          <w:sz w:val="20"/>
        </w:rPr>
        <w:t>The Company's lease liability is determined by discounting the future cash flows over the lease period using incremental borrowing rates. The incremental borrowing rates are determined using rates specific to the term of the lease, the economic environments where lease activity is concentrated and the value of the lease portfolio, and assuming full collateralization of the loans. Lease liabilities are classified between current and non-current liabilities based on the terms of the underlying leases.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balances for the operating and finance leases where the Company is the lessee are presented as follows within the Company’s Condensed Consolidated Balance Sheets (dollars in millions):</w:t>
      </w:r>
    </w:p>
    <w:tbl>
      <w:tblPr>
        <w:tblW w:w="6960" w:type="dxa"/>
        <w:jc w:val="left"/>
        <w:tblInd w:w="0" w:type="dxa"/>
        <w:tblLayout w:type="fixed"/>
        <w:tblCellMar>
          <w:top w:w="28" w:type="dxa"/>
          <w:left w:w="28" w:type="dxa"/>
          <w:bottom w:w="28" w:type="dxa"/>
          <w:right w:w="28" w:type="dxa"/>
        </w:tblCellMar>
      </w:tblPr>
      <w:tblGrid>
        <w:gridCol w:w="3401"/>
        <w:gridCol w:w="146"/>
        <w:gridCol w:w="401"/>
        <w:gridCol w:w="604"/>
        <w:gridCol w:w="146"/>
        <w:gridCol w:w="146"/>
        <w:gridCol w:w="516"/>
        <w:gridCol w:w="849"/>
        <w:gridCol w:w="751"/>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120"/>
        <w:jc w:val="left"/>
        <w:rPr>
          <w:rFonts w:ascii="Arial" w:hAnsi="Arial"/>
          <w:color w:val="000000"/>
          <w:sz w:val="20"/>
        </w:rPr>
      </w:pPr>
      <w:r>
        <w:rPr>
          <w:rFonts w:ascii="Arial" w:hAnsi="Arial"/>
          <w:color w:val="000000"/>
          <w:sz w:val="20"/>
        </w:rPr>
        <w:t>The components of lease expense were as follows within the Company’s Condensed Consolidated Statements of Comprehensive Income (dollars in millions):</w:t>
      </w:r>
    </w:p>
    <w:tbl>
      <w:tblPr>
        <w:tblW w:w="5930" w:type="dxa"/>
        <w:jc w:val="left"/>
        <w:tblInd w:w="0" w:type="dxa"/>
        <w:tblLayout w:type="fixed"/>
        <w:tblCellMar>
          <w:top w:w="28" w:type="dxa"/>
          <w:left w:w="28" w:type="dxa"/>
          <w:bottom w:w="28" w:type="dxa"/>
          <w:right w:w="28" w:type="dxa"/>
        </w:tblCellMar>
      </w:tblPr>
      <w:tblGrid>
        <w:gridCol w:w="2996"/>
        <w:gridCol w:w="146"/>
        <w:gridCol w:w="338"/>
        <w:gridCol w:w="338"/>
        <w:gridCol w:w="234"/>
        <w:gridCol w:w="234"/>
        <w:gridCol w:w="338"/>
        <w:gridCol w:w="555"/>
        <w:gridCol w:w="751"/>
      </w:tblGrid>
      <w:tr>
        <w:trPr/>
        <w:tc>
          <w:tcPr>
            <w:tcW w:w="2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Finance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leased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Arial" w:hAnsi="Arial"/>
          <w:color w:val="000000"/>
          <w:sz w:val="20"/>
        </w:rPr>
      </w:pPr>
      <w:r>
        <w:rPr>
          <w:rFonts w:ascii="Arial" w:hAnsi="Arial"/>
          <w:color w:val="000000"/>
          <w:sz w:val="20"/>
        </w:rPr>
        <w:t>Other information related to leases where the Company is the lessee was as follows:</w:t>
      </w:r>
    </w:p>
    <w:tbl>
      <w:tblPr>
        <w:tblW w:w="8330" w:type="dxa"/>
        <w:jc w:val="left"/>
        <w:tblInd w:w="0" w:type="dxa"/>
        <w:tblLayout w:type="fixed"/>
        <w:tblCellMar>
          <w:top w:w="28" w:type="dxa"/>
          <w:left w:w="28" w:type="dxa"/>
          <w:bottom w:w="28" w:type="dxa"/>
          <w:right w:w="28" w:type="dxa"/>
        </w:tblCellMar>
      </w:tblPr>
      <w:tblGrid>
        <w:gridCol w:w="4771"/>
        <w:gridCol w:w="146"/>
        <w:gridCol w:w="233"/>
        <w:gridCol w:w="772"/>
        <w:gridCol w:w="286"/>
        <w:gridCol w:w="146"/>
        <w:gridCol w:w="317"/>
        <w:gridCol w:w="1048"/>
        <w:gridCol w:w="6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Arial" w:hAnsi="Arial"/>
          <w:color w:val="000000"/>
          <w:sz w:val="20"/>
        </w:rPr>
      </w:pPr>
      <w:r>
        <w:rPr>
          <w:rFonts w:ascii="Arial" w:hAnsi="Arial"/>
          <w:color w:val="000000"/>
          <w:sz w:val="20"/>
        </w:rPr>
        <w:t>The following table reconciles future undiscounted cash flows for operating leases to total operating lease liabilities as of March 31, 2026 (dollars in millions):</w:t>
      </w:r>
    </w:p>
    <w:p>
      <w:pPr>
        <w:pStyle w:val="TextBody"/>
        <w:bidi w:val="0"/>
        <w:jc w:val="left"/>
        <w:rPr/>
      </w:pPr>
      <w:r>
        <w:rPr/>
        <w:t> </w:t>
      </w:r>
    </w:p>
    <w:tbl>
      <w:tblPr>
        <w:tblW w:w="8475" w:type="dxa"/>
        <w:jc w:val="left"/>
        <w:tblInd w:w="0" w:type="dxa"/>
        <w:tblLayout w:type="fixed"/>
        <w:tblCellMar>
          <w:top w:w="28" w:type="dxa"/>
          <w:left w:w="28" w:type="dxa"/>
          <w:bottom w:w="28" w:type="dxa"/>
          <w:right w:w="28" w:type="dxa"/>
        </w:tblCellMar>
      </w:tblPr>
      <w:tblGrid>
        <w:gridCol w:w="4016"/>
        <w:gridCol w:w="146"/>
        <w:gridCol w:w="574"/>
        <w:gridCol w:w="1151"/>
        <w:gridCol w:w="146"/>
        <w:gridCol w:w="146"/>
        <w:gridCol w:w="617"/>
        <w:gridCol w:w="928"/>
        <w:gridCol w:w="751"/>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Operating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Finance Leases</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 the 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portion of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L. OTHER CURRENT LIABILITIES</w:t>
      </w:r>
    </w:p>
    <w:p>
      <w:pPr>
        <w:pStyle w:val="TextBody"/>
        <w:bidi w:val="0"/>
        <w:spacing w:before="120" w:after="283"/>
        <w:jc w:val="left"/>
        <w:rPr>
          <w:rFonts w:ascii="Arial" w:hAnsi="Arial"/>
          <w:color w:val="000000"/>
          <w:sz w:val="20"/>
        </w:rPr>
      </w:pPr>
      <w:r>
        <w:rPr>
          <w:rFonts w:ascii="Arial" w:hAnsi="Arial"/>
          <w:color w:val="000000"/>
          <w:sz w:val="20"/>
        </w:rPr>
        <w:t>Other current liabilities consisted of the following (dollars in millions):</w:t>
      </w:r>
    </w:p>
    <w:p>
      <w:pPr>
        <w:pStyle w:val="TextBody"/>
        <w:bidi w:val="0"/>
        <w:jc w:val="left"/>
        <w:rPr/>
      </w:pPr>
      <w:r>
        <w:rPr/>
        <w:t> </w:t>
      </w:r>
    </w:p>
    <w:tbl>
      <w:tblPr>
        <w:tblW w:w="5350" w:type="dxa"/>
        <w:jc w:val="left"/>
        <w:tblInd w:w="0" w:type="dxa"/>
        <w:tblLayout w:type="fixed"/>
        <w:tblCellMar>
          <w:top w:w="28" w:type="dxa"/>
          <w:left w:w="28" w:type="dxa"/>
          <w:bottom w:w="28" w:type="dxa"/>
          <w:right w:w="28" w:type="dxa"/>
        </w:tblCellMar>
      </w:tblPr>
      <w:tblGrid>
        <w:gridCol w:w="2416"/>
        <w:gridCol w:w="146"/>
        <w:gridCol w:w="285"/>
        <w:gridCol w:w="570"/>
        <w:gridCol w:w="146"/>
        <w:gridCol w:w="146"/>
        <w:gridCol w:w="389"/>
        <w:gridCol w:w="781"/>
        <w:gridCol w:w="47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Vendor buyback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M. EMPLOYEE BENEFIT PLANS</w:t>
      </w:r>
    </w:p>
    <w:p>
      <w:pPr>
        <w:pStyle w:val="TextBody"/>
        <w:bidi w:val="0"/>
        <w:spacing w:before="120" w:after="283"/>
        <w:jc w:val="left"/>
        <w:rPr>
          <w:rFonts w:ascii="Arial" w:hAnsi="Arial"/>
          <w:color w:val="000000"/>
          <w:sz w:val="20"/>
        </w:rPr>
      </w:pPr>
      <w:r>
        <w:rPr>
          <w:rFonts w:ascii="Arial" w:hAnsi="Arial"/>
          <w:color w:val="000000"/>
          <w:sz w:val="20"/>
        </w:rPr>
        <w:t>Components of net periodic benefit cost (credit) consisted of the following (dollars in millions):</w:t>
      </w:r>
    </w:p>
    <w:p>
      <w:pPr>
        <w:pStyle w:val="TextBody"/>
        <w:bidi w:val="0"/>
        <w:jc w:val="left"/>
        <w:rPr/>
      </w:pPr>
      <w:r>
        <w:rPr/>
        <w:t> </w:t>
      </w:r>
    </w:p>
    <w:tbl>
      <w:tblPr>
        <w:tblW w:w="7415" w:type="dxa"/>
        <w:jc w:val="left"/>
        <w:tblInd w:w="0" w:type="dxa"/>
        <w:tblLayout w:type="fixed"/>
        <w:tblCellMar>
          <w:top w:w="28" w:type="dxa"/>
          <w:left w:w="28" w:type="dxa"/>
          <w:bottom w:w="28" w:type="dxa"/>
          <w:right w:w="28" w:type="dxa"/>
        </w:tblCellMar>
      </w:tblPr>
      <w:tblGrid>
        <w:gridCol w:w="2956"/>
        <w:gridCol w:w="146"/>
        <w:gridCol w:w="259"/>
        <w:gridCol w:w="426"/>
        <w:gridCol w:w="204"/>
        <w:gridCol w:w="179"/>
        <w:gridCol w:w="259"/>
        <w:gridCol w:w="426"/>
        <w:gridCol w:w="166"/>
        <w:gridCol w:w="146"/>
        <w:gridCol w:w="301"/>
        <w:gridCol w:w="495"/>
        <w:gridCol w:w="237"/>
        <w:gridCol w:w="208"/>
        <w:gridCol w:w="301"/>
        <w:gridCol w:w="495"/>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Pension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Post-retirement Benefits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periodic benefit cost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return on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Prior service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Recognized actuarial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periodic benefit cost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components of net periodic benefit cost (credit) other than the service cost component are included in Other (expense) income, net in the Condensed Consolidated Statements of Comprehensive Income.</w:t>
      </w:r>
    </w:p>
    <w:p>
      <w:pPr>
        <w:pStyle w:val="TextBody"/>
        <w:bidi w:val="0"/>
        <w:spacing w:before="360" w:after="283"/>
        <w:jc w:val="left"/>
        <w:rPr>
          <w:rFonts w:ascii="Arial" w:hAnsi="Arial"/>
          <w:b/>
          <w:color w:val="000000"/>
          <w:sz w:val="20"/>
        </w:rPr>
      </w:pPr>
      <w:r>
        <w:rPr>
          <w:rFonts w:ascii="Arial" w:hAnsi="Arial"/>
          <w:b/>
          <w:color w:val="000000"/>
          <w:sz w:val="20"/>
        </w:rPr>
        <w:t>NOTE N. INCOME TAXES</w:t>
      </w:r>
    </w:p>
    <w:p>
      <w:pPr>
        <w:pStyle w:val="TextBody"/>
        <w:bidi w:val="0"/>
        <w:spacing w:before="120" w:after="283"/>
        <w:jc w:val="left"/>
        <w:rPr>
          <w:rFonts w:ascii="Times New Roman" w:hAnsi="Times New Roman"/>
          <w:sz w:val="20"/>
        </w:rPr>
      </w:pPr>
      <w:r>
        <w:rPr>
          <w:rFonts w:ascii="Arial" w:hAnsi="Arial"/>
          <w:color w:val="000000"/>
          <w:sz w:val="20"/>
        </w:rPr>
        <w:t>For the three months ended March 31, 2026, the Company recorded total income tax expense of $20</w:t>
      </w:r>
      <w:r>
        <w:rPr>
          <w:rFonts w:ascii="Times New Roman" w:hAnsi="Times New Roman"/>
          <w:color w:val="000000"/>
          <w:sz w:val="20"/>
        </w:rPr>
        <w:t xml:space="preserve"> </w:t>
      </w:r>
      <w:r>
        <w:rPr>
          <w:rFonts w:ascii="Arial" w:hAnsi="Arial"/>
          <w:color w:val="000000"/>
          <w:sz w:val="20"/>
        </w:rPr>
        <w:t>million and an effective tax rate of 15%. For the three months ended March 31, 2025, the Company recorded total income tax expense of $41</w:t>
      </w:r>
      <w:r>
        <w:rPr>
          <w:rFonts w:ascii="Times New Roman" w:hAnsi="Times New Roman"/>
          <w:color w:val="000000"/>
          <w:sz w:val="20"/>
        </w:rPr>
        <w:t xml:space="preserve"> </w:t>
      </w:r>
      <w:r>
        <w:rPr>
          <w:rFonts w:ascii="Arial" w:hAnsi="Arial"/>
          <w:color w:val="000000"/>
          <w:sz w:val="20"/>
        </w:rPr>
        <w:t>million and an effective tax rate of 18%. The decrease in both income tax expense and the effective tax rate were principally driven by lower taxable income.</w:t>
      </w:r>
    </w:p>
    <w:p>
      <w:pPr>
        <w:pStyle w:val="TextBody"/>
        <w:bidi w:val="0"/>
        <w:spacing w:before="18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need to establish a valuation allowance against the deferred tax assets is assessed periodically based on a more-likely-than-not realization threshold, in accordance with authoritative accounting guidance. Management has determined, based on an evaluation of available objective and subjective evidence, that it is more likely than not that certain federal, state and foreign deferred tax assets will not be realized; therefore, these deferred tax assets are offset with a valuation allowance.</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NOTE O. ACCUMULATED OTHER COMPREHENSIVE LOSS</w:t>
      </w:r>
    </w:p>
    <w:p>
      <w:pPr>
        <w:pStyle w:val="TextBody"/>
        <w:bidi w:val="0"/>
        <w:spacing w:before="120" w:after="283"/>
        <w:jc w:val="left"/>
        <w:rPr>
          <w:rFonts w:ascii="Arial" w:hAnsi="Arial"/>
          <w:color w:val="000000"/>
          <w:sz w:val="20"/>
        </w:rPr>
      </w:pPr>
      <w:r>
        <w:rPr>
          <w:rFonts w:ascii="Arial" w:hAnsi="Arial"/>
          <w:color w:val="000000"/>
          <w:sz w:val="20"/>
        </w:rPr>
        <w:t>The changes in components of AOCL consisted of the following (dollars in millions):</w:t>
      </w:r>
    </w:p>
    <w:p>
      <w:pPr>
        <w:pStyle w:val="TextBody"/>
        <w:bidi w:val="0"/>
        <w:jc w:val="left"/>
        <w:rPr/>
      </w:pPr>
      <w:r>
        <w:rPr/>
        <w:t> </w:t>
      </w:r>
    </w:p>
    <w:tbl>
      <w:tblPr>
        <w:tblW w:w="10077" w:type="dxa"/>
        <w:jc w:val="left"/>
        <w:tblInd w:w="0" w:type="dxa"/>
        <w:tblLayout w:type="fixed"/>
        <w:tblCellMar>
          <w:top w:w="28" w:type="dxa"/>
          <w:left w:w="28" w:type="dxa"/>
          <w:bottom w:w="28" w:type="dxa"/>
          <w:right w:w="28" w:type="dxa"/>
        </w:tblCellMar>
      </w:tblPr>
      <w:tblGrid>
        <w:gridCol w:w="5021"/>
        <w:gridCol w:w="146"/>
        <w:gridCol w:w="393"/>
        <w:gridCol w:w="703"/>
        <w:gridCol w:w="166"/>
        <w:gridCol w:w="146"/>
        <w:gridCol w:w="363"/>
        <w:gridCol w:w="597"/>
        <w:gridCol w:w="166"/>
        <w:gridCol w:w="146"/>
        <w:gridCol w:w="302"/>
        <w:gridCol w:w="538"/>
        <w:gridCol w:w="166"/>
        <w:gridCol w:w="146"/>
        <w:gridCol w:w="211"/>
        <w:gridCol w:w="376"/>
        <w:gridCol w:w="491"/>
      </w:tblGrid>
      <w:tr>
        <w:trPr/>
        <w:tc>
          <w:tcPr>
            <w:tcW w:w="5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Pension</w:t>
              <w:br/>
              <w:t>and OPEB</w:t>
              <w:br/>
              <w:t xml:space="preserve">liability </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Interest </w:t>
              <w:br/>
              <w:t>rate swaps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Foreign </w:t>
              <w:br/>
              <w:t xml:space="preserve">currency </w:t>
              <w:br/>
              <w:t>items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Amounts reclassified from AOCL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comprehensive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Amounts reclassified from AOCL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50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50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AOCL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bl>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table shows the location in the Condensed Consolidated Statements of Comprehensive Income affected by reclassifications from AOCL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9"/>
        <w:gridCol w:w="146"/>
        <w:gridCol w:w="822"/>
        <w:gridCol w:w="1254"/>
        <w:gridCol w:w="239"/>
        <w:gridCol w:w="239"/>
        <w:gridCol w:w="956"/>
        <w:gridCol w:w="1120"/>
        <w:gridCol w:w="166"/>
        <w:gridCol w:w="146"/>
        <w:gridCol w:w="2658"/>
      </w:tblGrid>
      <w:tr>
        <w:trPr/>
        <w:tc>
          <w:tcPr>
            <w:tcW w:w="2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Amounts reclassified from AOCL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AOCL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 2026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rFonts w:ascii="Arial" w:hAnsi="Arial"/>
                <w:b/>
                <w:color w:val="000000"/>
                <w:sz w:val="16"/>
              </w:rPr>
            </w:pPr>
            <w:r>
              <w:rPr>
                <w:rFonts w:ascii="Arial" w:hAnsi="Arial"/>
                <w:b/>
                <w:color w:val="000000"/>
                <w:sz w:val="16"/>
              </w:rPr>
              <w:t>Affected line item in the Condensed</w:t>
              <w:br/>
              <w:t>Consolidated Statements of</w:t>
              <w:br/>
              <w:t>Comprehensive Income</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Prior service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 income, net</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Recognized actuarial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reclassifications,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reclassifications,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Prior service credits and actuarial gains are included in the computation of the Company’s net periodic benefit cost (credit). See "Note M. Employee Benefit Plans” for additional details.</w:t>
      </w:r>
    </w:p>
    <w:p>
      <w:pPr>
        <w:pStyle w:val="TextBody"/>
        <w:bidi w:val="0"/>
        <w:spacing w:before="360" w:after="283"/>
        <w:jc w:val="left"/>
        <w:rPr>
          <w:rFonts w:ascii="Arial" w:hAnsi="Arial"/>
          <w:b/>
          <w:color w:val="000000"/>
          <w:sz w:val="20"/>
        </w:rPr>
      </w:pPr>
      <w:r>
        <w:rPr>
          <w:rFonts w:ascii="Arial" w:hAnsi="Arial"/>
          <w:b/>
          <w:color w:val="000000"/>
          <w:sz w:val="20"/>
        </w:rPr>
        <w:t>NOTE P. COMMITMENTS AND CONTINGENCIES</w:t>
      </w:r>
    </w:p>
    <w:p>
      <w:pPr>
        <w:pStyle w:val="TextBody"/>
        <w:bidi w:val="0"/>
        <w:spacing w:before="120" w:after="283"/>
        <w:jc w:val="left"/>
        <w:rPr>
          <w:rFonts w:ascii="Arial" w:hAnsi="Arial"/>
          <w:color w:val="000000"/>
          <w:sz w:val="20"/>
        </w:rPr>
      </w:pPr>
      <w:r>
        <w:rPr>
          <w:rFonts w:ascii="Arial" w:hAnsi="Arial"/>
          <w:color w:val="000000"/>
          <w:sz w:val="20"/>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pStyle w:val="TextBody"/>
        <w:bidi w:val="0"/>
        <w:spacing w:before="18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Q. EARNINGS PER SHARE</w:t>
      </w:r>
    </w:p>
    <w:p>
      <w:pPr>
        <w:pStyle w:val="TextBody"/>
        <w:bidi w:val="0"/>
        <w:spacing w:before="120" w:after="283"/>
        <w:jc w:val="left"/>
        <w:rPr>
          <w:rFonts w:ascii="Arial" w:hAnsi="Arial"/>
          <w:color w:val="000000"/>
          <w:sz w:val="20"/>
        </w:rPr>
      </w:pPr>
      <w:r>
        <w:rPr>
          <w:rFonts w:ascii="Arial" w:hAnsi="Arial"/>
          <w:color w:val="000000"/>
          <w:sz w:val="20"/>
        </w:rPr>
        <w:t>The following table reconciles the numerators and denominators used to calculate basic EPS and diluted EPS (in millions, except per share data):</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5891"/>
        <w:gridCol w:w="146"/>
        <w:gridCol w:w="221"/>
        <w:gridCol w:w="503"/>
        <w:gridCol w:w="152"/>
        <w:gridCol w:w="152"/>
        <w:gridCol w:w="221"/>
        <w:gridCol w:w="503"/>
        <w:gridCol w:w="471"/>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Dilutive effect of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 weighted 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earnings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 earnings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20"/>
        </w:rPr>
        <w:t>The dilutive impact of stock-based compensation is calculated using the treasury stock method. The treasury stock method assumes that the Company uses the proceeds from the exercise of awards to repurchase common stock at the average market price during the period. For each of the three months ended March 31, 2026 and 2025, there were no</w:t>
      </w:r>
      <w:r>
        <w:rPr>
          <w:rFonts w:ascii="Times New Roman" w:hAnsi="Times New Roman"/>
          <w:color w:val="000000"/>
          <w:sz w:val="20"/>
        </w:rPr>
        <w:t xml:space="preserve"> </w:t>
      </w:r>
      <w:r>
        <w:rPr>
          <w:rFonts w:ascii="Arial" w:hAnsi="Arial"/>
          <w:color w:val="000000"/>
          <w:sz w:val="20"/>
        </w:rPr>
        <w:t>outstanding stock options that</w:t>
      </w:r>
      <w:r>
        <w:rPr>
          <w:rFonts w:ascii="Times New Roman" w:hAnsi="Times New Roman"/>
          <w:color w:val="000000"/>
          <w:sz w:val="20"/>
        </w:rPr>
        <w:t xml:space="preserve"> </w:t>
      </w:r>
      <w:r>
        <w:rPr>
          <w:rFonts w:ascii="Arial" w:hAnsi="Arial"/>
          <w:color w:val="000000"/>
          <w:sz w:val="20"/>
        </w:rPr>
        <w:t>were anti-dilutive and excluded from the diluted EPS calculation. Basic and diluted EPS for the full-year are calculated using the weighted average shares of common stock outstanding during the year while quarterly basic and diluted EPS are calculated using the weighted average shares of common stock outstanding during the quarter; therefore, the sum of each quarter's EPS may not equal full-year EPS.</w:t>
      </w:r>
    </w:p>
    <w:p>
      <w:pPr>
        <w:pStyle w:val="TextBody"/>
        <w:bidi w:val="0"/>
        <w:spacing w:before="240" w:after="283"/>
        <w:jc w:val="left"/>
        <w:rPr>
          <w:rFonts w:ascii="Arial" w:hAnsi="Arial"/>
          <w:b/>
          <w:color w:val="000000"/>
          <w:sz w:val="20"/>
        </w:rPr>
      </w:pPr>
      <w:r>
        <w:rPr>
          <w:rFonts w:ascii="Arial" w:hAnsi="Arial"/>
          <w:b/>
          <w:color w:val="000000"/>
          <w:sz w:val="20"/>
        </w:rPr>
        <w:t>NOTE R. COMMON STOCK</w:t>
      </w:r>
    </w:p>
    <w:p>
      <w:pPr>
        <w:pStyle w:val="TextBody"/>
        <w:bidi w:val="0"/>
        <w:spacing w:before="120" w:after="283"/>
        <w:jc w:val="left"/>
        <w:rPr>
          <w:rFonts w:ascii="Times New Roman" w:hAnsi="Times New Roman"/>
          <w:sz w:val="20"/>
        </w:rPr>
      </w:pPr>
      <w:bookmarkStart w:id="11" w:name="end_of_notes_to_financial_statements"/>
      <w:bookmarkEnd w:id="11"/>
      <w:r>
        <w:rPr>
          <w:rFonts w:ascii="Arial" w:hAnsi="Arial"/>
          <w:color w:val="000000"/>
          <w:sz w:val="20"/>
        </w:rPr>
        <w:t>The Board of Directors has authorized the Company to repurchase up to $5,000</w:t>
      </w:r>
      <w:r>
        <w:rPr>
          <w:rFonts w:ascii="Times New Roman" w:hAnsi="Times New Roman"/>
          <w:color w:val="000000"/>
          <w:sz w:val="20"/>
        </w:rPr>
        <w:t xml:space="preserve"> </w:t>
      </w:r>
      <w:r>
        <w:rPr>
          <w:rFonts w:ascii="Arial" w:hAnsi="Arial"/>
          <w:color w:val="000000"/>
          <w:sz w:val="20"/>
        </w:rPr>
        <w:t>million of its common stock pursuant to a stock repurchase program (the "Repurchase Program"). During the three months ended March 31, 2026, the Company repurchased approximately $20</w:t>
      </w:r>
      <w:r>
        <w:rPr>
          <w:rFonts w:ascii="Times New Roman" w:hAnsi="Times New Roman"/>
          <w:color w:val="000000"/>
          <w:sz w:val="20"/>
        </w:rPr>
        <w:t xml:space="preserve"> </w:t>
      </w:r>
      <w:r>
        <w:rPr>
          <w:rFonts w:ascii="Arial" w:hAnsi="Arial"/>
          <w:color w:val="000000"/>
          <w:sz w:val="20"/>
        </w:rPr>
        <w:t>million of its common stock under the Repurchase Program, leaving $1,171</w:t>
      </w:r>
      <w:r>
        <w:rPr>
          <w:rFonts w:ascii="Times New Roman" w:hAnsi="Times New Roman"/>
          <w:color w:val="000000"/>
          <w:sz w:val="20"/>
        </w:rPr>
        <w:t xml:space="preserve"> </w:t>
      </w:r>
      <w:r>
        <w:rPr>
          <w:rFonts w:ascii="Arial" w:hAnsi="Arial"/>
          <w:color w:val="000000"/>
          <w:sz w:val="20"/>
        </w:rPr>
        <w:t>million of authorized repurchases remaining under the Repurchase Program as of March 31, 2026.</w:t>
      </w:r>
      <w:r>
        <w:rPr>
          <w:rFonts w:ascii="Times New Roman" w:hAnsi="Times New Roman"/>
          <w:color w:val="000000"/>
          <w:sz w:val="20"/>
        </w:rPr>
        <w:t xml:space="preserve"> </w:t>
      </w:r>
      <w:r>
        <w:rPr>
          <w:rFonts w:ascii="Arial" w:hAnsi="Arial"/>
          <w:color w:val="000000"/>
          <w:sz w:val="20"/>
        </w:rPr>
        <w:t>The Repurchase Program has no termination date, and the</w:t>
      </w:r>
      <w:r>
        <w:rPr>
          <w:rFonts w:ascii="Times New Roman" w:hAnsi="Times New Roman"/>
          <w:color w:val="000000"/>
          <w:sz w:val="20"/>
        </w:rPr>
        <w:t xml:space="preserve"> </w:t>
      </w:r>
      <w:r>
        <w:rPr>
          <w:rFonts w:ascii="Arial" w:hAnsi="Arial"/>
          <w:color w:val="000000"/>
          <w:sz w:val="20"/>
        </w:rPr>
        <w:t>timing and amount of stock purchases are subject to market conditions and corporate needs. The Repurchase Program may be modified, suspended or discontinued at any time at the Company’s discretion.</w:t>
      </w:r>
    </w:p>
    <w:p>
      <w:pPr>
        <w:pStyle w:val="TextBody"/>
        <w:bidi w:val="0"/>
        <w:spacing w:before="240" w:after="283"/>
        <w:jc w:val="left"/>
        <w:rPr>
          <w:rFonts w:ascii="Times New Roman" w:hAnsi="Times New Roman"/>
          <w:sz w:val="20"/>
        </w:rPr>
      </w:pPr>
      <w:r>
        <w:rPr>
          <w:rFonts w:ascii="Arial" w:hAnsi="Arial"/>
          <w:b/>
          <w:color w:val="000000"/>
          <w:sz w:val="20"/>
        </w:rPr>
        <w:t>NOTE S.</w:t>
      </w:r>
      <w:r>
        <w:rPr>
          <w:rFonts w:ascii="Times New Roman" w:hAnsi="Times New Roman"/>
          <w:color w:val="000000"/>
          <w:sz w:val="20"/>
        </w:rPr>
        <w:t xml:space="preserve"> </w:t>
      </w:r>
      <w:r>
        <w:rPr>
          <w:rFonts w:ascii="Arial" w:hAnsi="Arial"/>
          <w:b/>
          <w:color w:val="000000"/>
          <w:sz w:val="20"/>
        </w:rPr>
        <w:t>SEGMENT INFORMATION</w:t>
      </w:r>
    </w:p>
    <w:p>
      <w:pPr>
        <w:pStyle w:val="TextBody"/>
        <w:bidi w:val="0"/>
        <w:spacing w:before="120" w:after="283"/>
        <w:jc w:val="left"/>
        <w:rPr>
          <w:rFonts w:ascii="Arial" w:hAnsi="Arial"/>
          <w:color w:val="000000"/>
          <w:sz w:val="20"/>
        </w:rPr>
      </w:pPr>
      <w:r>
        <w:rPr>
          <w:rFonts w:ascii="Arial" w:hAnsi="Arial"/>
          <w:color w:val="000000"/>
          <w:sz w:val="20"/>
        </w:rPr>
        <w:t>The Company’s chief operating decision maker (“CODM”) is its Chair, President and Chief Executive Officer. The CODM evaluates the Company’s segment operating performance and makes decisions regarding the allocation of resources based on Segment Operating Profit (Loss).</w:t>
      </w:r>
    </w:p>
    <w:p>
      <w:pPr>
        <w:pStyle w:val="TextBody"/>
        <w:bidi w:val="0"/>
        <w:spacing w:before="120" w:after="283"/>
        <w:jc w:val="left"/>
        <w:rPr>
          <w:rFonts w:ascii="Times New Roman" w:hAnsi="Times New Roman"/>
          <w:sz w:val="20"/>
        </w:rPr>
      </w:pPr>
      <w:r>
        <w:rPr>
          <w:rFonts w:ascii="Arial" w:hAnsi="Arial"/>
          <w:color w:val="000000"/>
          <w:sz w:val="20"/>
        </w:rPr>
        <w:t>The CODM assesses segment performance utilizing Segment Operating Profit (Loss) primarily through comparisons of budgeted results to actual results and period</w:t>
        <w:noBreakHyphen/>
        <w:t>over</w:t>
        <w:noBreakHyphen/>
        <w:t>period variances. Certain variances identified through this analysis are evaluated to assist the CODM in assessing segment operating performance and making resource allocation decisions.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significant expenses that are regularly provided to the CODM and included in Segment Operating Profit (Loss) are cost of sales, selling, general and administrative expenses, and engineering — research and development expenses.</w:t>
      </w:r>
    </w:p>
    <w:p>
      <w:pPr>
        <w:pStyle w:val="TextBody"/>
        <w:bidi w:val="0"/>
        <w:spacing w:before="18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Corporate costs are presented separately from the Company’s reportable segments and consist primarily of centralized corporate functions. These costs also include non-recurring costs associated with the Acquisition, primarily integration</w:t>
        <w:noBreakHyphen/>
        <w:t>related activities. Such costs are not allocated to the Company’s reportable segments, as they are not reviewed by the CODM on a segment basis when assessing performance or making resource allocation decisions. The Company does not present total assets by segment because the CODM is not regularly provided total assets by segment nor are they included in a segment measure utilized by the CODM.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During the three months ended March 31, 2026, the Company changed its segment structure from one</w:t>
      </w:r>
      <w:r>
        <w:rPr>
          <w:rFonts w:ascii="Times New Roman" w:hAnsi="Times New Roman"/>
          <w:color w:val="000000"/>
          <w:sz w:val="20"/>
        </w:rPr>
        <w:t xml:space="preserve"> </w:t>
      </w:r>
      <w:r>
        <w:rPr>
          <w:rFonts w:ascii="Arial" w:hAnsi="Arial"/>
          <w:color w:val="000000"/>
          <w:sz w:val="20"/>
        </w:rPr>
        <w:t>operating and reportable segment to two</w:t>
      </w:r>
      <w:r>
        <w:rPr>
          <w:rFonts w:ascii="Times New Roman" w:hAnsi="Times New Roman"/>
          <w:color w:val="000000"/>
          <w:sz w:val="20"/>
        </w:rPr>
        <w:t xml:space="preserve"> </w:t>
      </w:r>
      <w:r>
        <w:rPr>
          <w:rFonts w:ascii="Arial" w:hAnsi="Arial"/>
          <w:color w:val="000000"/>
          <w:sz w:val="20"/>
        </w:rPr>
        <w:t>operating and reportable segments to align with the Acquisition and the manner in which the CODM now reviews operating results and allocates resources. Prior</w:t>
        <w:noBreakHyphen/>
        <w:t>period segment information has been retrospectively adjusted to conform to the current period presentation. The Company’s two operating and reportable segments are:</w:t>
      </w:r>
    </w:p>
    <w:p>
      <w:pPr>
        <w:pStyle w:val="TextBody"/>
        <w:bidi w:val="0"/>
        <w:spacing w:before="120" w:after="283"/>
        <w:jc w:val="left"/>
        <w:rPr>
          <w:rFonts w:ascii="Arial" w:hAnsi="Arial"/>
          <w:i/>
          <w:color w:val="000000"/>
          <w:sz w:val="20"/>
          <w:u w:val="single"/>
        </w:rPr>
      </w:pPr>
      <w:r>
        <w:rPr>
          <w:rFonts w:ascii="Arial" w:hAnsi="Arial"/>
          <w:i/>
          <w:color w:val="000000"/>
          <w:sz w:val="20"/>
          <w:u w:val="single"/>
        </w:rPr>
        <w:t>Allison Transmission</w:t>
      </w:r>
    </w:p>
    <w:p>
      <w:pPr>
        <w:pStyle w:val="TextBody"/>
        <w:bidi w:val="0"/>
        <w:spacing w:before="120" w:after="283"/>
        <w:jc w:val="left"/>
        <w:rPr>
          <w:rFonts w:ascii="Times New Roman" w:hAnsi="Times New Roman"/>
          <w:sz w:val="20"/>
        </w:rPr>
      </w:pPr>
      <w:r>
        <w:rPr>
          <w:rFonts w:ascii="Arial" w:hAnsi="Arial"/>
          <w:color w:val="000000"/>
          <w:sz w:val="20"/>
        </w:rPr>
        <w:t>Allison Transmission offers more than 200</w:t>
      </w:r>
      <w:r>
        <w:rPr>
          <w:rFonts w:ascii="Times New Roman" w:hAnsi="Times New Roman"/>
          <w:color w:val="000000"/>
          <w:sz w:val="20"/>
        </w:rPr>
        <w:t xml:space="preserve"> </w:t>
      </w:r>
      <w:r>
        <w:rPr>
          <w:rFonts w:ascii="Arial" w:hAnsi="Arial"/>
          <w:color w:val="000000"/>
          <w:sz w:val="20"/>
        </w:rPr>
        <w:t>different transmission models compatible with more than 500</w:t>
      </w:r>
      <w:r>
        <w:rPr>
          <w:rFonts w:ascii="Times New Roman" w:hAnsi="Times New Roman"/>
          <w:color w:val="000000"/>
          <w:sz w:val="20"/>
        </w:rPr>
        <w:t xml:space="preserve"> </w:t>
      </w:r>
      <w:r>
        <w:rPr>
          <w:rFonts w:ascii="Arial" w:hAnsi="Arial"/>
          <w:color w:val="000000"/>
          <w:sz w:val="20"/>
        </w:rPr>
        <w:t>combinations of engine brands, models and ratings, including diesel, gasoline, natural gas and other alternative fuels. In addition, Allison Transmission has developed thousands of proprietary calibrations available for use with its electronic control modules, enabling tailored performance across a broad range of customer applications.</w:t>
      </w:r>
    </w:p>
    <w:p>
      <w:pPr>
        <w:pStyle w:val="TextBody"/>
        <w:bidi w:val="0"/>
        <w:spacing w:before="120" w:after="283"/>
        <w:jc w:val="left"/>
        <w:rPr>
          <w:rFonts w:ascii="Arial" w:hAnsi="Arial"/>
          <w:i/>
          <w:color w:val="000000"/>
          <w:sz w:val="20"/>
          <w:u w:val="single"/>
        </w:rPr>
      </w:pPr>
      <w:r>
        <w:rPr>
          <w:rFonts w:ascii="Arial" w:hAnsi="Arial"/>
          <w:i/>
          <w:color w:val="000000"/>
          <w:sz w:val="20"/>
          <w:u w:val="single"/>
        </w:rPr>
        <w:t>Allison Off-Highway</w:t>
      </w:r>
    </w:p>
    <w:p>
      <w:pPr>
        <w:pStyle w:val="TextBody"/>
        <w:bidi w:val="0"/>
        <w:spacing w:before="120" w:after="283"/>
        <w:jc w:val="left"/>
        <w:rPr>
          <w:rFonts w:ascii="Arial" w:hAnsi="Arial"/>
          <w:color w:val="000000"/>
          <w:sz w:val="20"/>
        </w:rPr>
      </w:pPr>
      <w:r>
        <w:rPr>
          <w:rFonts w:ascii="Arial" w:hAnsi="Arial"/>
          <w:color w:val="000000"/>
          <w:sz w:val="20"/>
        </w:rPr>
        <w:t>Allison Off-Highway provides drivetrain and motion solutions for a wide range of mobile and stationary off-highway equipment globally. These solutions include optimized drivetrain systems, propulsion components and motion technologies designed for industries such as construction, agriculture, mining, material handling and other industrial applications. The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 The global engineering, manufacturing and service footprint of Allison Off-Highway supports localized responsiveness and technical support for customers in key off-highway end markets.</w:t>
      </w:r>
    </w:p>
    <w:p>
      <w:pPr>
        <w:pStyle w:val="TextBody"/>
        <w:bidi w:val="0"/>
        <w:spacing w:before="120" w:after="283"/>
        <w:jc w:val="left"/>
        <w:rPr>
          <w:rFonts w:ascii="Arial" w:hAnsi="Arial"/>
          <w:color w:val="000000"/>
          <w:sz w:val="20"/>
        </w:rPr>
      </w:pPr>
      <w:r>
        <w:rPr>
          <w:rFonts w:ascii="Arial" w:hAnsi="Arial"/>
          <w:color w:val="000000"/>
          <w:sz w:val="20"/>
        </w:rPr>
        <w:t>The accounting policies of the reportable segments are the same as those described in the summary of significant accounting policies. The Company’s segment information includes the measures reviewed by the CODM and is presented in a manner consistent with internal management reporting.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presents a financial summary of the Company’s reportable segments (dollars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69"/>
        <w:gridCol w:w="588"/>
        <w:gridCol w:w="1179"/>
        <w:gridCol w:w="160"/>
        <w:gridCol w:w="160"/>
        <w:gridCol w:w="563"/>
        <w:gridCol w:w="1129"/>
        <w:gridCol w:w="183"/>
        <w:gridCol w:w="160"/>
        <w:gridCol w:w="352"/>
        <w:gridCol w:w="984"/>
        <w:gridCol w:w="478"/>
      </w:tblGrid>
      <w:tr>
        <w:trPr/>
        <w:tc>
          <w:tcPr>
            <w:tcW w:w="42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4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 2026</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Transmission</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Off-Highway</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Segments</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sales</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Intersegment sales</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Sales</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6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sales</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6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6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2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6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property, plant and equipment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6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expense</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6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 of long-lived assets</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41"/>
        <w:gridCol w:w="586"/>
        <w:gridCol w:w="1175"/>
        <w:gridCol w:w="177"/>
        <w:gridCol w:w="177"/>
        <w:gridCol w:w="637"/>
        <w:gridCol w:w="1049"/>
        <w:gridCol w:w="177"/>
        <w:gridCol w:w="177"/>
        <w:gridCol w:w="443"/>
        <w:gridCol w:w="889"/>
        <w:gridCol w:w="477"/>
      </w:tblGrid>
      <w:tr>
        <w:trPr/>
        <w:tc>
          <w:tcPr>
            <w:tcW w:w="4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 2025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Transmission</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Allison Off-Highway</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Segments</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sales</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Intersegment sales</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Sales</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7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sales</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property, plant and equipment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expense</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 of long-lived assets</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reconciliation of reportable segments’ Total Segment Operating Profit to Income before income taxes included in the Condensed Consolidated Statements of Comprehensive Income for the three months ended March 31, 2026 and 2025 is as follows (dollars in millions):</w:t>
      </w:r>
    </w:p>
    <w:p>
      <w:pPr>
        <w:pStyle w:val="TextBody"/>
        <w:bidi w:val="0"/>
        <w:jc w:val="left"/>
        <w:rPr/>
      </w:pPr>
      <w:r>
        <w:rPr/>
        <w:t> </w:t>
      </w:r>
    </w:p>
    <w:tbl>
      <w:tblPr>
        <w:tblW w:w="4962" w:type="dxa"/>
        <w:jc w:val="left"/>
        <w:tblInd w:w="0" w:type="dxa"/>
        <w:tblLayout w:type="fixed"/>
        <w:tblCellMar>
          <w:top w:w="28" w:type="dxa"/>
          <w:left w:w="28" w:type="dxa"/>
          <w:bottom w:w="28" w:type="dxa"/>
          <w:right w:w="28" w:type="dxa"/>
        </w:tblCellMar>
      </w:tblPr>
      <w:tblGrid>
        <w:gridCol w:w="2851"/>
        <w:gridCol w:w="146"/>
        <w:gridCol w:w="235"/>
        <w:gridCol w:w="469"/>
        <w:gridCol w:w="184"/>
        <w:gridCol w:w="162"/>
        <w:gridCol w:w="235"/>
        <w:gridCol w:w="469"/>
        <w:gridCol w:w="21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Central group function costs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132</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Central group function costs not allocated to the segments include certain executive management, finance, legal, information technology and public company costs, Acquisition-related costs and other general administrative expenses.</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9287" w:type="dxa"/>
        <w:jc w:val="left"/>
        <w:tblInd w:w="0" w:type="dxa"/>
        <w:tblLayout w:type="fixed"/>
        <w:tblCellMar>
          <w:top w:w="28" w:type="dxa"/>
          <w:left w:w="28" w:type="dxa"/>
          <w:bottom w:w="28" w:type="dxa"/>
          <w:right w:w="28" w:type="dxa"/>
        </w:tblCellMar>
      </w:tblPr>
      <w:tblGrid>
        <w:gridCol w:w="826"/>
        <w:gridCol w:w="8461"/>
      </w:tblGrid>
      <w:tr>
        <w:trPr/>
        <w:tc>
          <w:tcPr>
            <w:tcW w:w="826" w:type="dxa"/>
            <w:tcBorders/>
            <w:vAlign w:val="center"/>
          </w:tcPr>
          <w:p>
            <w:pPr>
              <w:pStyle w:val="TableContents"/>
              <w:bidi w:val="0"/>
              <w:spacing w:before="0" w:after="283"/>
              <w:jc w:val="left"/>
              <w:rPr>
                <w:sz w:val="4"/>
                <w:szCs w:val="4"/>
              </w:rPr>
            </w:pPr>
            <w:r>
              <w:rPr>
                <w:sz w:val="4"/>
                <w:szCs w:val="4"/>
              </w:rPr>
            </w:r>
          </w:p>
        </w:tc>
        <w:tc>
          <w:tcPr>
            <w:tcW w:w="846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2.</w:t>
            </w:r>
          </w:p>
        </w:tc>
        <w:tc>
          <w:tcPr>
            <w:tcW w:w="8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bookmarkStart w:id="12" w:name="managements_discussion_analysis_financia"/>
            <w:bookmarkEnd w:id="12"/>
            <w:r>
              <w:rPr>
                <w:rFonts w:ascii="Arial" w:hAnsi="Arial"/>
                <w:b/>
                <w:color w:val="000000"/>
                <w:sz w:val="20"/>
              </w:rPr>
              <w:t>Management’s Discussion and Analysis of Financial Condition and Results of Operations</w:t>
            </w:r>
          </w:p>
        </w:tc>
      </w:tr>
    </w:tbl>
    <w:p>
      <w:pPr>
        <w:pStyle w:val="TextBody"/>
        <w:bidi w:val="0"/>
        <w:spacing w:before="120" w:after="283"/>
        <w:jc w:val="left"/>
        <w:rPr>
          <w:rFonts w:ascii="Arial" w:hAnsi="Arial"/>
          <w:i/>
          <w:color w:val="000000"/>
          <w:sz w:val="20"/>
        </w:rPr>
      </w:pPr>
      <w:r>
        <w:rPr>
          <w:rFonts w:ascii="Arial" w:hAnsi="Arial"/>
          <w:i/>
          <w:color w:val="000000"/>
          <w:sz w:val="20"/>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pStyle w:val="TextBody"/>
        <w:bidi w:val="0"/>
        <w:spacing w:before="120" w:after="283"/>
        <w:jc w:val="left"/>
        <w:rPr>
          <w:rFonts w:ascii="Arial" w:hAnsi="Arial"/>
          <w:i/>
          <w:color w:val="000000"/>
          <w:sz w:val="20"/>
        </w:rPr>
      </w:pPr>
      <w:r>
        <w:rPr>
          <w:rFonts w:ascii="Arial" w:hAnsi="Arial"/>
          <w:i/>
          <w:color w:val="000000"/>
          <w:sz w:val="20"/>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2025 as filed with the Securities and Exchange Commission ("SEC") on February 24, 2026. Our actual results may differ materially from those contained in or implied by any forward-looking statements.</w:t>
      </w:r>
    </w:p>
    <w:p>
      <w:pPr>
        <w:pStyle w:val="TextBody"/>
        <w:bidi w:val="0"/>
        <w:spacing w:before="120" w:after="283"/>
        <w:jc w:val="left"/>
        <w:rPr>
          <w:rFonts w:ascii="Arial" w:hAnsi="Arial"/>
          <w:b/>
          <w:color w:val="000000"/>
          <w:sz w:val="20"/>
        </w:rPr>
      </w:pPr>
      <w:r>
        <w:rPr>
          <w:rFonts w:ascii="Arial" w:hAnsi="Arial"/>
          <w:b/>
          <w:color w:val="000000"/>
          <w:sz w:val="20"/>
        </w:rPr>
        <w:t>Overview</w:t>
      </w:r>
    </w:p>
    <w:p>
      <w:pPr>
        <w:pStyle w:val="TextBody"/>
        <w:bidi w:val="0"/>
        <w:spacing w:before="180" w:after="283"/>
        <w:jc w:val="left"/>
        <w:rPr>
          <w:rFonts w:ascii="Arial" w:hAnsi="Arial"/>
          <w:color w:val="000000"/>
          <w:sz w:val="20"/>
        </w:rPr>
      </w:pPr>
      <w:r>
        <w:rPr>
          <w:rFonts w:ascii="Arial" w:hAnsi="Arial"/>
          <w:color w:val="000000"/>
          <w:sz w:val="20"/>
        </w:rPr>
        <w:t>Allison Transmission Holdings, Inc. and its subsidiaries (“Allison,” “we,” “us” or “our”) is a global leader in high-performance mobility and work solutions built for the needs of the modern industrial world. The business was founded in 1915 and has been headquartered in Indianapolis, Indiana since inception. Allison is traded on the New York Stock Exchange under the symbol “ALSN”.</w:t>
      </w:r>
    </w:p>
    <w:p>
      <w:pPr>
        <w:pStyle w:val="TextBody"/>
        <w:bidi w:val="0"/>
        <w:spacing w:before="120" w:after="283"/>
        <w:jc w:val="left"/>
        <w:rPr>
          <w:rFonts w:ascii="Arial" w:hAnsi="Arial"/>
          <w:color w:val="000000"/>
          <w:sz w:val="20"/>
        </w:rPr>
      </w:pPr>
      <w:r>
        <w:rPr>
          <w:rFonts w:ascii="Arial" w:hAnsi="Arial"/>
          <w:color w:val="000000"/>
          <w:sz w:val="20"/>
        </w:rPr>
        <w:t>On January 1, 2026 (the "Closing Date"), we completed the acquisition of Dana Incorporated's ("Dana") off-highway business (the "Acquired Off-Highway Business”) for a purchase price of approximately $2,628 million, subject to certain adjustments (the "Acquisition"). We have a global presence serving customers in North America, Asia, Europe, South America, and Africa and have further expanded our operations in these regions as a result of the Acquisition.</w:t>
      </w:r>
    </w:p>
    <w:p>
      <w:pPr>
        <w:pStyle w:val="TextBody"/>
        <w:bidi w:val="0"/>
        <w:spacing w:before="120" w:after="283"/>
        <w:jc w:val="left"/>
        <w:rPr>
          <w:rFonts w:ascii="Arial" w:hAnsi="Arial"/>
          <w:b/>
          <w:color w:val="000000"/>
          <w:sz w:val="20"/>
        </w:rPr>
      </w:pPr>
      <w:r>
        <w:rPr>
          <w:rFonts w:ascii="Arial" w:hAnsi="Arial"/>
          <w:b/>
          <w:color w:val="000000"/>
          <w:sz w:val="20"/>
        </w:rPr>
        <w:t>Recent Developments</w:t>
      </w:r>
    </w:p>
    <w:p>
      <w:pPr>
        <w:pStyle w:val="TextBody"/>
        <w:bidi w:val="0"/>
        <w:spacing w:before="180" w:after="283"/>
        <w:jc w:val="left"/>
        <w:rPr>
          <w:rFonts w:ascii="Arial" w:hAnsi="Arial"/>
          <w:color w:val="000000"/>
          <w:sz w:val="20"/>
        </w:rPr>
      </w:pPr>
      <w:r>
        <w:rPr>
          <w:rFonts w:ascii="Arial" w:hAnsi="Arial"/>
          <w:color w:val="000000"/>
          <w:sz w:val="20"/>
        </w:rPr>
        <w:t>The Acquisition was completed using a combination of cash on hand, $500 million of proceeds from the issuance of 5.875% Senior Notes due December 2033 by Allison Transmission, Inc. ("ATI"), our wholly-owned subsidiary (the "5.875% Senior Notes 2033"), proceeds from borrowings under an incremental term loan facility under the Second Amended and Restated Credit Agreement dated as of March 29, 2019, as amended (the “Credit Agreement”), in an aggregate principal amount equal to $1,200 million (the “Incremental Term Loan”), and $300 million of borrowings under ATI’s revolving credit facility with commitments in the amount of $1,000 million due January 2031 (the “Revolving Credit Facility”). In connection with the Acquisition, we entered into a commitment letter with a group of lenders (the "Lenders"), pursuant to which the Lenders committed to provide a 364-day senior unsecured bridge term loan facility (the “Bridge Facility”), in an aggregate principal amount of up to $2,000 million. As of December 31, 2025, the Bridge Facility aggregate commitment principal amount had been reduced to $500 million as a result of the issuance of the 5.875% Senior Notes 2033 and our election to voluntarily reduce the aggregate commitments under the Bridge Facility. No amount was drawn from the Bridge Facility, and it was terminated upon completion of the Acquisition on the Closing Date.</w:t>
      </w:r>
    </w:p>
    <w:p>
      <w:pPr>
        <w:pStyle w:val="TextBody"/>
        <w:bidi w:val="0"/>
        <w:spacing w:before="180" w:after="283"/>
        <w:jc w:val="left"/>
        <w:rPr>
          <w:rFonts w:ascii="Arial" w:hAnsi="Arial"/>
          <w:color w:val="000000"/>
          <w:sz w:val="20"/>
        </w:rPr>
      </w:pPr>
      <w:r>
        <w:rPr>
          <w:rFonts w:ascii="Arial" w:hAnsi="Arial"/>
          <w:color w:val="000000"/>
          <w:sz w:val="20"/>
        </w:rPr>
        <w:t>As a result of the Acquisition, we now offer an expanded portfolio of drivetrain, motion and propulsion solutions, providing complementary product breadth and an enhanced ability to support customers across multiple end markets. The Acquired Off-Highway Business has historically served end markets with demand characteristics that differ from our traditional on-highway markets, contributing to a more diversified portfolio.</w:t>
      </w:r>
    </w:p>
    <w:p>
      <w:pPr>
        <w:pStyle w:val="TextBody"/>
        <w:bidi w:val="0"/>
        <w:spacing w:before="180" w:after="283"/>
        <w:jc w:val="left"/>
        <w:rPr>
          <w:rFonts w:ascii="Times New Roman" w:hAnsi="Times New Roman"/>
          <w:sz w:val="20"/>
        </w:rPr>
      </w:pPr>
      <w:r>
        <w:rPr>
          <w:rFonts w:ascii="Arial" w:hAnsi="Arial"/>
          <w:color w:val="000000"/>
          <w:sz w:val="20"/>
        </w:rPr>
        <w:t>Following the Acquisition, we continue to operate under the Allison name, but our operations are now comprised of two operating and reportable segments: Allison Transmission and Allison Off-Highway Drive &amp; Motion</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Systems ("Allison Off-Highway"). All prior period reportable segment information has been reclassified to conform to the current presentation. For additional discussion regarding our segments, including the changes made, see “Note S. Segment Information” in Part I, Item 1 of this Quarterly Report on Form 10-Q. Segment leadership is located globally, reflecting the international nature of our operations and the importance of local market insights, sourcing, production and customer support.</w:t>
      </w:r>
    </w:p>
    <w:p>
      <w:pPr>
        <w:pStyle w:val="TextBody"/>
        <w:bidi w:val="0"/>
        <w:spacing w:before="180" w:after="283"/>
        <w:jc w:val="left"/>
        <w:rPr>
          <w:rFonts w:ascii="Arial" w:hAnsi="Arial"/>
          <w:color w:val="000000"/>
          <w:sz w:val="20"/>
        </w:rPr>
      </w:pPr>
      <w:r>
        <w:rPr>
          <w:rFonts w:ascii="Arial" w:hAnsi="Arial"/>
          <w:color w:val="000000"/>
          <w:sz w:val="20"/>
        </w:rPr>
        <w:t>Allison Transmission serves customers through an independent global network of approximately 1,500 independent distributor and dealer locations worldwide and offers more than 200 different transmission models compatible with more than 500 combinations of engine brands, models and ratings, including diesel, gasoline, natural gas and other alternative fuels. In addition, Allison Transmission has developed thousands of proprietary calibrations available for use with our electronic control modules, enabling tailored performance across a broad range of customer applications.</w:t>
      </w:r>
    </w:p>
    <w:p>
      <w:pPr>
        <w:pStyle w:val="TextBody"/>
        <w:bidi w:val="0"/>
        <w:spacing w:before="180" w:after="283"/>
        <w:jc w:val="left"/>
        <w:rPr>
          <w:rFonts w:ascii="Arial" w:hAnsi="Arial"/>
          <w:color w:val="000000"/>
          <w:sz w:val="20"/>
        </w:rPr>
      </w:pPr>
      <w:r>
        <w:rPr>
          <w:rFonts w:ascii="Arial" w:hAnsi="Arial"/>
          <w:color w:val="000000"/>
          <w:sz w:val="20"/>
        </w:rPr>
        <w:t>Allison Off-Highway provides drivetrain and motion solutions for a wide range of mobile and stationary off-highway equipment. These solutions include optimized drivetrain systems, propulsion components and motion technologies designed for industries such as construction, agriculture, mining, material handling and other industrial applications. The portfolio encompasses systems that manage power conveyance to machines and power work functions, including axles, gearboxes, transmissions and related components, as well as motion systems tailored to customer performance and efficiency requirements across both conventional and electrified powertrains. The global engineering, manufacturing and service footprint of the Acquired Off-Highway Business supports localized responsiveness and technical support for customers in key off-highway end markets.</w:t>
      </w:r>
    </w:p>
    <w:p>
      <w:pPr>
        <w:pStyle w:val="TextBody"/>
        <w:bidi w:val="0"/>
        <w:spacing w:before="120" w:after="283"/>
        <w:jc w:val="left"/>
        <w:rPr>
          <w:rFonts w:ascii="Arial" w:hAnsi="Arial"/>
          <w:b/>
          <w:color w:val="000000"/>
          <w:sz w:val="20"/>
        </w:rPr>
      </w:pPr>
      <w:r>
        <w:rPr>
          <w:rFonts w:ascii="Arial" w:hAnsi="Arial"/>
          <w:b/>
          <w:color w:val="000000"/>
          <w:sz w:val="20"/>
        </w:rPr>
        <w:t>Trends Impacting Our Business</w:t>
      </w:r>
    </w:p>
    <w:p>
      <w:pPr>
        <w:pStyle w:val="TextBody"/>
        <w:bidi w:val="0"/>
        <w:spacing w:before="180" w:after="283"/>
        <w:jc w:val="left"/>
        <w:rPr>
          <w:rFonts w:ascii="Arial" w:hAnsi="Arial"/>
          <w:color w:val="000000"/>
          <w:sz w:val="20"/>
        </w:rPr>
      </w:pPr>
      <w:r>
        <w:rPr>
          <w:rFonts w:ascii="Arial" w:hAnsi="Arial"/>
          <w:color w:val="000000"/>
          <w:sz w:val="20"/>
        </w:rPr>
        <w:t>In 2026, we expect to have higher net sales driven by the addition of Allison Off-Highway and higher net sales in Allison Transmission driven primarily by the Defense and Outside North America On-Highway end markets.</w:t>
      </w:r>
    </w:p>
    <w:p>
      <w:pPr>
        <w:pStyle w:val="TextBody"/>
        <w:bidi w:val="0"/>
        <w:spacing w:before="18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Key Components of our Results of Operations</w:t>
      </w:r>
    </w:p>
    <w:p>
      <w:pPr>
        <w:pStyle w:val="TextBody"/>
        <w:bidi w:val="0"/>
        <w:spacing w:before="120" w:after="283"/>
        <w:jc w:val="left"/>
        <w:rPr>
          <w:rFonts w:ascii="Arial" w:hAnsi="Arial"/>
          <w:b/>
          <w:i/>
          <w:color w:val="000000"/>
          <w:sz w:val="20"/>
        </w:rPr>
      </w:pPr>
      <w:r>
        <w:rPr>
          <w:rFonts w:ascii="Arial" w:hAnsi="Arial"/>
          <w:b/>
          <w:i/>
          <w:color w:val="000000"/>
          <w:sz w:val="20"/>
        </w:rPr>
        <w:t>Net sales</w:t>
      </w:r>
    </w:p>
    <w:p>
      <w:pPr>
        <w:pStyle w:val="TextBody"/>
        <w:bidi w:val="0"/>
        <w:spacing w:before="120" w:after="283"/>
        <w:jc w:val="left"/>
        <w:rPr>
          <w:rFonts w:ascii="Arial" w:hAnsi="Arial"/>
          <w:color w:val="000000"/>
          <w:sz w:val="20"/>
        </w:rPr>
      </w:pPr>
      <w:r>
        <w:rPr>
          <w:rFonts w:ascii="Arial" w:hAnsi="Arial"/>
          <w:color w:val="000000"/>
          <w:sz w:val="20"/>
        </w:rPr>
        <w:t>We generate our net sales primarily from the sale of high performance mobility and work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pStyle w:val="TextBody"/>
        <w:bidi w:val="0"/>
        <w:spacing w:before="120" w:after="283"/>
        <w:jc w:val="left"/>
        <w:rPr>
          <w:rFonts w:ascii="Arial" w:hAnsi="Arial"/>
          <w:b/>
          <w:i/>
          <w:color w:val="000000"/>
          <w:sz w:val="20"/>
        </w:rPr>
      </w:pPr>
      <w:r>
        <w:rPr>
          <w:rFonts w:ascii="Arial" w:hAnsi="Arial"/>
          <w:b/>
          <w:i/>
          <w:color w:val="000000"/>
          <w:sz w:val="20"/>
        </w:rPr>
        <w:t>Cost of sales</w:t>
      </w:r>
    </w:p>
    <w:p>
      <w:pPr>
        <w:pStyle w:val="TextBody"/>
        <w:bidi w:val="0"/>
        <w:spacing w:before="120" w:after="283"/>
        <w:jc w:val="left"/>
        <w:rPr>
          <w:rFonts w:ascii="Arial" w:hAnsi="Arial"/>
          <w:color w:val="000000"/>
          <w:sz w:val="20"/>
        </w:rPr>
      </w:pPr>
      <w:r>
        <w:rPr>
          <w:rFonts w:ascii="Arial" w:hAnsi="Arial"/>
          <w:color w:val="000000"/>
          <w:sz w:val="20"/>
        </w:rPr>
        <w:t>Our primary components of cost of sales are purchased parts, the overhead expense related to our manufacturing operations and direct labor associated with the manufacture and assembly of vehicle propulsion solutions and parts. For the three months ended March 31, 2026, direct material costs were approximately 72%, overhead costs were approximately 22%, and direct labor costs were approximately 6% of cost of sales. We are subject to changes in our cost of sales caused by movements in underlying commodity prices. We seek to hedge against this risk by using long-term agreements (“LTAs”), as appropriate. See Part I, Item 3, “Quantitative and Qualitative Disclosures about Market Risk—Commodity Price Risk” included below.</w:t>
      </w:r>
    </w:p>
    <w:p>
      <w:pPr>
        <w:pStyle w:val="TextBody"/>
        <w:bidi w:val="0"/>
        <w:spacing w:before="120" w:after="283"/>
        <w:jc w:val="left"/>
        <w:rPr>
          <w:rFonts w:ascii="Arial" w:hAnsi="Arial"/>
          <w:b/>
          <w:i/>
          <w:color w:val="000000"/>
          <w:sz w:val="20"/>
        </w:rPr>
      </w:pPr>
      <w:r>
        <w:rPr>
          <w:rFonts w:ascii="Arial" w:hAnsi="Arial"/>
          <w:b/>
          <w:i/>
          <w:color w:val="000000"/>
          <w:sz w:val="20"/>
        </w:rPr>
        <w:t>Selling, general and administrative</w:t>
      </w:r>
    </w:p>
    <w:p>
      <w:pPr>
        <w:pStyle w:val="TextBody"/>
        <w:bidi w:val="0"/>
        <w:spacing w:before="120" w:after="283"/>
        <w:jc w:val="left"/>
        <w:rPr>
          <w:rFonts w:ascii="Arial" w:hAnsi="Arial"/>
          <w:color w:val="000000"/>
          <w:sz w:val="20"/>
        </w:rPr>
      </w:pPr>
      <w:r>
        <w:rPr>
          <w:rFonts w:ascii="Arial" w:hAnsi="Arial"/>
          <w:color w:val="000000"/>
          <w:sz w:val="20"/>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pStyle w:val="TextBody"/>
        <w:bidi w:val="0"/>
        <w:spacing w:before="120" w:after="283"/>
        <w:jc w:val="left"/>
        <w:rPr>
          <w:rFonts w:ascii="Arial" w:hAnsi="Arial"/>
          <w:b/>
          <w:i/>
          <w:color w:val="000000"/>
          <w:sz w:val="20"/>
        </w:rPr>
      </w:pPr>
      <w:r>
        <w:rPr>
          <w:rFonts w:ascii="Arial" w:hAnsi="Arial"/>
          <w:b/>
          <w:i/>
          <w:color w:val="000000"/>
          <w:sz w:val="20"/>
        </w:rPr>
        <w:t>Engineering — research and development</w:t>
      </w:r>
    </w:p>
    <w:p>
      <w:pPr>
        <w:pStyle w:val="TextBody"/>
        <w:bidi w:val="0"/>
        <w:spacing w:before="120" w:after="283"/>
        <w:jc w:val="left"/>
        <w:rPr>
          <w:rFonts w:ascii="Arial" w:hAnsi="Arial"/>
          <w:color w:val="000000"/>
          <w:sz w:val="20"/>
        </w:rPr>
      </w:pPr>
      <w:r>
        <w:rPr>
          <w:rFonts w:ascii="Arial" w:hAnsi="Arial"/>
          <w:color w:val="000000"/>
          <w:sz w:val="20"/>
        </w:rPr>
        <w:t>We incur costs in connection with research and development programs that are expected to contribute to future earnings. Such costs are expensed as incurred.</w:t>
      </w:r>
    </w:p>
    <w:p>
      <w:pPr>
        <w:pStyle w:val="TextBody"/>
        <w:bidi w:val="0"/>
        <w:spacing w:before="18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 xml:space="preserve">Results of Operations - </w:t>
      </w:r>
      <w:r>
        <w:rPr>
          <w:rFonts w:ascii="Arial" w:hAnsi="Arial"/>
          <w:b/>
          <w:i/>
          <w:color w:val="000000"/>
          <w:sz w:val="20"/>
        </w:rPr>
        <w:t>Allison Consolidated Comparison of the three months ended March 31, 2026 and 2025</w:t>
      </w:r>
    </w:p>
    <w:p>
      <w:pPr>
        <w:pStyle w:val="TextBody"/>
        <w:bidi w:val="0"/>
        <w:spacing w:before="120" w:after="283"/>
        <w:jc w:val="left"/>
        <w:rPr>
          <w:rFonts w:ascii="Arial" w:hAnsi="Arial"/>
          <w:color w:val="000000"/>
          <w:sz w:val="20"/>
        </w:rPr>
      </w:pPr>
      <w:r>
        <w:rPr>
          <w:rFonts w:ascii="Arial" w:hAnsi="Arial"/>
          <w:color w:val="000000"/>
          <w:sz w:val="20"/>
        </w:rPr>
        <w:t>The following table sets forth certain financial information for the three months ended March 31, 2026 and 2025. The following table and discussion should be read in conjunction with the information contained in our condensed consolidated financial statements and the notes thereto included in Part I, Item 1 of this Quarterly Report on Form 10-Q.</w:t>
      </w:r>
    </w:p>
    <w:tbl>
      <w:tblPr>
        <w:tblW w:w="9453" w:type="dxa"/>
        <w:jc w:val="left"/>
        <w:tblInd w:w="0" w:type="dxa"/>
        <w:tblLayout w:type="fixed"/>
        <w:tblCellMar>
          <w:top w:w="28" w:type="dxa"/>
          <w:left w:w="28" w:type="dxa"/>
          <w:bottom w:w="28" w:type="dxa"/>
          <w:right w:w="28" w:type="dxa"/>
        </w:tblCellMar>
      </w:tblPr>
      <w:tblGrid>
        <w:gridCol w:w="4031"/>
        <w:gridCol w:w="146"/>
        <w:gridCol w:w="211"/>
        <w:gridCol w:w="586"/>
        <w:gridCol w:w="166"/>
        <w:gridCol w:w="146"/>
        <w:gridCol w:w="262"/>
        <w:gridCol w:w="758"/>
        <w:gridCol w:w="286"/>
        <w:gridCol w:w="146"/>
        <w:gridCol w:w="211"/>
        <w:gridCol w:w="421"/>
        <w:gridCol w:w="166"/>
        <w:gridCol w:w="146"/>
        <w:gridCol w:w="262"/>
        <w:gridCol w:w="758"/>
        <w:gridCol w:w="75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of net sales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of net sales</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Engineering —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Off-Highway acquisition</w:t>
      </w:r>
    </w:p>
    <w:p>
      <w:pPr>
        <w:pStyle w:val="TextBody"/>
        <w:bidi w:val="0"/>
        <w:spacing w:before="120" w:after="283"/>
        <w:jc w:val="left"/>
        <w:rPr>
          <w:rFonts w:ascii="Arial" w:hAnsi="Arial"/>
          <w:color w:val="000000"/>
          <w:sz w:val="20"/>
        </w:rPr>
      </w:pPr>
      <w:r>
        <w:rPr>
          <w:rFonts w:ascii="Arial" w:hAnsi="Arial"/>
          <w:color w:val="000000"/>
          <w:sz w:val="20"/>
        </w:rPr>
        <w:t>On January 1, 2026, we completed the Acquisition. Our results of operations include all activity of the Acquired Off-Highway Business since the Closing Date within the Allison Off-Highway reportable segment.</w:t>
      </w:r>
    </w:p>
    <w:p>
      <w:pPr>
        <w:pStyle w:val="TextBody"/>
        <w:bidi w:val="0"/>
        <w:spacing w:before="120" w:after="283"/>
        <w:jc w:val="left"/>
        <w:rPr>
          <w:rFonts w:ascii="Arial" w:hAnsi="Arial"/>
          <w:b/>
          <w:i/>
          <w:color w:val="000000"/>
          <w:sz w:val="20"/>
        </w:rPr>
      </w:pPr>
      <w:r>
        <w:rPr>
          <w:rFonts w:ascii="Arial" w:hAnsi="Arial"/>
          <w:b/>
          <w:i/>
          <w:color w:val="000000"/>
          <w:sz w:val="20"/>
        </w:rPr>
        <w:t>Net sales</w:t>
      </w:r>
    </w:p>
    <w:p>
      <w:pPr>
        <w:pStyle w:val="TextBody"/>
        <w:bidi w:val="0"/>
        <w:spacing w:before="120" w:after="283"/>
        <w:jc w:val="left"/>
        <w:rPr>
          <w:rFonts w:ascii="Arial" w:hAnsi="Arial"/>
          <w:color w:val="000000"/>
          <w:sz w:val="20"/>
        </w:rPr>
      </w:pPr>
      <w:r>
        <w:rPr>
          <w:rFonts w:ascii="Arial" w:hAnsi="Arial"/>
          <w:color w:val="000000"/>
          <w:sz w:val="20"/>
        </w:rPr>
        <w:t>The Allison Off-Highway segment generated $673 million of net sales for the three months ended March 31, 2026.</w:t>
      </w:r>
    </w:p>
    <w:p>
      <w:pPr>
        <w:pStyle w:val="TextBody"/>
        <w:bidi w:val="0"/>
        <w:spacing w:before="120" w:after="283"/>
        <w:jc w:val="left"/>
        <w:rPr>
          <w:rFonts w:ascii="Times New Roman" w:hAnsi="Times New Roman"/>
          <w:sz w:val="20"/>
        </w:rPr>
      </w:pPr>
      <w:r>
        <w:rPr>
          <w:rFonts w:ascii="Arial" w:hAnsi="Arial"/>
          <w:color w:val="000000"/>
          <w:sz w:val="20"/>
        </w:rPr>
        <w:t>The Allison Transmission segment generated $733 million of net sales for the three months ended March 31, 2026. Net sales decreased $33 million, or 4%, for the three months ended March 31, 2026 compared to the three months ended March 31, 2025.</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The decrease was principally driven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North America On-Highway end market net sales decreased $60 million, or 14%, principally driven by lower demand for medium-duty and class 8 vocational trucks, partially offset by price increases on certain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Outside North America On-Highway end market net sales decreased $2 million, or 2%.</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Off-Highway net sales decreased $10 million, or 56%, principally driven by lower demand from the global mining, construction and energy sectors.</w:t>
      </w:r>
    </w:p>
    <w:p>
      <w:pPr>
        <w:pStyle w:val="TextBody"/>
        <w:bidi w:val="0"/>
        <w:spacing w:before="120" w:after="283"/>
        <w:jc w:val="left"/>
        <w:rPr>
          <w:rFonts w:ascii="Arial" w:hAnsi="Arial"/>
          <w:color w:val="000000"/>
          <w:sz w:val="20"/>
        </w:rPr>
      </w:pPr>
      <w:r>
        <w:rPr>
          <w:rFonts w:ascii="Arial" w:hAnsi="Arial"/>
          <w:color w:val="000000"/>
          <w:sz w:val="20"/>
        </w:rPr>
        <w:t>The decreases were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Defense end market net sales increased $34 million, or 64%, principally driven by increased demand for Tracked vehicle applications, price increases on certain products and the continued execution of our growth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Service Parts, Support Equipment and Other end market net sales increased $5 million, or 3%, principally driven by price increases on certain products.</w:t>
      </w:r>
    </w:p>
    <w:p>
      <w:pPr>
        <w:pStyle w:val="TextBody"/>
        <w:bidi w:val="0"/>
        <w:spacing w:before="18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Cost of sales</w:t>
      </w:r>
    </w:p>
    <w:p>
      <w:pPr>
        <w:pStyle w:val="TextBody"/>
        <w:bidi w:val="0"/>
        <w:spacing w:before="120" w:after="283"/>
        <w:jc w:val="left"/>
        <w:rPr>
          <w:rFonts w:ascii="Arial" w:hAnsi="Arial"/>
          <w:color w:val="000000"/>
          <w:sz w:val="20"/>
        </w:rPr>
      </w:pPr>
      <w:r>
        <w:rPr>
          <w:rFonts w:ascii="Arial" w:hAnsi="Arial"/>
          <w:color w:val="000000"/>
          <w:sz w:val="20"/>
        </w:rPr>
        <w:t>Cost of sales for the three months ended March 31, 2026 was $1,000 million compared to $388 million for the three months ended March 31, 2025, an increase of 158%. $623 million of cost of goods sold was attributable to Allison Off-Highway, including purchase price accounting allocations of $63 million of expense related to the stepped-up basis in inventory and $13 million of depreciation expense related to the stepped-up basis in property, plant and equipment. The remaining $11 million decrease was principally driven by lower direct material expense commensurate with decreased net sales, partially offset by unfavorable direct material costs, in Allison Transmission.</w:t>
      </w:r>
    </w:p>
    <w:p>
      <w:pPr>
        <w:pStyle w:val="TextBody"/>
        <w:bidi w:val="0"/>
        <w:spacing w:before="120" w:after="283"/>
        <w:jc w:val="left"/>
        <w:rPr>
          <w:rFonts w:ascii="Arial" w:hAnsi="Arial"/>
          <w:b/>
          <w:i/>
          <w:color w:val="000000"/>
          <w:sz w:val="20"/>
        </w:rPr>
      </w:pPr>
      <w:r>
        <w:rPr>
          <w:rFonts w:ascii="Arial" w:hAnsi="Arial"/>
          <w:b/>
          <w:i/>
          <w:color w:val="000000"/>
          <w:sz w:val="20"/>
        </w:rPr>
        <w:t>Gross profit</w:t>
      </w:r>
    </w:p>
    <w:p>
      <w:pPr>
        <w:pStyle w:val="TextBody"/>
        <w:bidi w:val="0"/>
        <w:spacing w:before="120" w:after="283"/>
        <w:jc w:val="left"/>
        <w:rPr>
          <w:rFonts w:ascii="Arial" w:hAnsi="Arial"/>
          <w:color w:val="000000"/>
          <w:sz w:val="20"/>
        </w:rPr>
      </w:pPr>
      <w:r>
        <w:rPr>
          <w:rFonts w:ascii="Arial" w:hAnsi="Arial"/>
          <w:color w:val="000000"/>
          <w:sz w:val="20"/>
        </w:rPr>
        <w:t>Gross profit for the three months ended March 31, 2026 was $406 million compared to $378 million for the three months ended March 31, 2025, an increase of 7%. $50 million of the increase in gross profit was attributable to Allison Off-Highway, including purchase price accounting allocations of $63 million of expense related to the stepped-up basis in inventory and $13 million of depreciation expense related to the stepped-up basis in property, plant and equipment. The remaining $22 million decrease was principally driven by lower net sales of $33 million and $10 million of unfavorable direct material costs, partially offset by $23 million from price increases on certain products, all within Allison Transmission. Gross profit as a percent of net sales for the three months ended March 31, 2026 decreased 20.4 percentage points compared to the same period in 2025 principally driven by the addition of Allison Off-Highway, the products of which have a lower average gross profit as a percent of net sales profile compared to our Allison Transmission products, and the impact of the $63 million of stepped-up basis in inventory. Gross profit as a percent of net sales for Allison Transmission decreased 70 basis points compared to the same period in 2025 principally driven by lower net sales and unfavorable direct material costs, partially offset by price increases on certain products.</w:t>
      </w:r>
    </w:p>
    <w:p>
      <w:pPr>
        <w:pStyle w:val="TextBody"/>
        <w:bidi w:val="0"/>
        <w:spacing w:before="120" w:after="283"/>
        <w:jc w:val="left"/>
        <w:rPr>
          <w:rFonts w:ascii="Arial" w:hAnsi="Arial"/>
          <w:b/>
          <w:i/>
          <w:color w:val="000000"/>
          <w:sz w:val="20"/>
        </w:rPr>
      </w:pPr>
      <w:r>
        <w:rPr>
          <w:rFonts w:ascii="Arial" w:hAnsi="Arial"/>
          <w:b/>
          <w:i/>
          <w:color w:val="000000"/>
          <w:sz w:val="20"/>
        </w:rPr>
        <w:t>Selling, general and administrative</w:t>
      </w:r>
    </w:p>
    <w:p>
      <w:pPr>
        <w:pStyle w:val="TextBody"/>
        <w:bidi w:val="0"/>
        <w:spacing w:before="120" w:after="283"/>
        <w:jc w:val="left"/>
        <w:rPr>
          <w:rFonts w:ascii="Arial" w:hAnsi="Arial"/>
          <w:color w:val="000000"/>
          <w:sz w:val="20"/>
        </w:rPr>
      </w:pPr>
      <w:r>
        <w:rPr>
          <w:rFonts w:ascii="Arial" w:hAnsi="Arial"/>
          <w:color w:val="000000"/>
          <w:sz w:val="20"/>
        </w:rPr>
        <w:t>Selling, general and administrative expenses for the three months ended March 31, 2026 were $157 million compared to $87 million for the three months ended March 31, 2025, an increase of 80%. Selling, general and administrative expenses of $56 million were attributable to Allison Off-Highway, including $21 million of amortization expense for intangible assets recognized from the Acquisition. The remaining increase was principally driven by $8 million of increased expenses related to the Acquisition and higher incentive compensation expense, partially offset by lower product warranty expense.</w:t>
      </w:r>
    </w:p>
    <w:p>
      <w:pPr>
        <w:pStyle w:val="TextBody"/>
        <w:bidi w:val="0"/>
        <w:spacing w:before="120" w:after="283"/>
        <w:jc w:val="left"/>
        <w:rPr>
          <w:rFonts w:ascii="Arial" w:hAnsi="Arial"/>
          <w:b/>
          <w:i/>
          <w:color w:val="000000"/>
          <w:sz w:val="20"/>
        </w:rPr>
      </w:pPr>
      <w:r>
        <w:rPr>
          <w:rFonts w:ascii="Arial" w:hAnsi="Arial"/>
          <w:b/>
          <w:i/>
          <w:color w:val="000000"/>
          <w:sz w:val="20"/>
        </w:rPr>
        <w:t>Engineering — research and development</w:t>
      </w:r>
    </w:p>
    <w:p>
      <w:pPr>
        <w:pStyle w:val="TextBody"/>
        <w:bidi w:val="0"/>
        <w:spacing w:before="120" w:after="283"/>
        <w:jc w:val="left"/>
        <w:rPr>
          <w:rFonts w:ascii="Arial" w:hAnsi="Arial"/>
          <w:color w:val="000000"/>
          <w:sz w:val="20"/>
        </w:rPr>
      </w:pPr>
      <w:r>
        <w:rPr>
          <w:rFonts w:ascii="Arial" w:hAnsi="Arial"/>
          <w:color w:val="000000"/>
          <w:sz w:val="20"/>
        </w:rPr>
        <w:t>Engineering expenses for the three months ended March 31, 2026 were $54 million compared to $42 million for the three months ended March 31, 2025, an increase of 29%. Engineering expenses of $15 million were attributable to Allison Off-Highway. The remaining decrease of $3 million was principally driven by reduced product initiatives spending in Allison Transmission.</w:t>
      </w:r>
    </w:p>
    <w:p>
      <w:pPr>
        <w:pStyle w:val="TextBody"/>
        <w:bidi w:val="0"/>
        <w:spacing w:before="120" w:after="283"/>
        <w:jc w:val="left"/>
        <w:rPr>
          <w:rFonts w:ascii="Arial" w:hAnsi="Arial"/>
          <w:b/>
          <w:i/>
          <w:color w:val="000000"/>
          <w:sz w:val="20"/>
        </w:rPr>
      </w:pPr>
      <w:r>
        <w:rPr>
          <w:rFonts w:ascii="Arial" w:hAnsi="Arial"/>
          <w:b/>
          <w:i/>
          <w:color w:val="000000"/>
          <w:sz w:val="20"/>
        </w:rPr>
        <w:t>Interest expense, net</w:t>
      </w:r>
    </w:p>
    <w:p>
      <w:pPr>
        <w:pStyle w:val="TextBody"/>
        <w:bidi w:val="0"/>
        <w:spacing w:before="120" w:after="283"/>
        <w:jc w:val="left"/>
        <w:rPr>
          <w:rFonts w:ascii="Arial" w:hAnsi="Arial"/>
          <w:color w:val="000000"/>
          <w:sz w:val="20"/>
        </w:rPr>
      </w:pPr>
      <w:r>
        <w:rPr>
          <w:rFonts w:ascii="Arial" w:hAnsi="Arial"/>
          <w:color w:val="000000"/>
          <w:sz w:val="20"/>
        </w:rPr>
        <w:t>Interest expense, net for the three months ended March 31, 2026 was $61 million compared to $21 million for the three months ended March 31, 2025, an increase of 190%. The increase was principally driven by $16 million of interest expense related to the Incremental Term Loan, $7 million of interest expense related to the 5.875% Senior Notes 2033, $6 million of fees related to the Bridge Facility and $5 million of lower interest income.</w:t>
      </w:r>
    </w:p>
    <w:p>
      <w:pPr>
        <w:pStyle w:val="TextBody"/>
        <w:bidi w:val="0"/>
        <w:spacing w:before="120" w:after="283"/>
        <w:jc w:val="left"/>
        <w:rPr>
          <w:rFonts w:ascii="Arial" w:hAnsi="Arial"/>
          <w:b/>
          <w:i/>
          <w:color w:val="000000"/>
          <w:sz w:val="20"/>
        </w:rPr>
      </w:pPr>
      <w:r>
        <w:rPr>
          <w:rFonts w:ascii="Arial" w:hAnsi="Arial"/>
          <w:b/>
          <w:i/>
          <w:color w:val="000000"/>
          <w:sz w:val="20"/>
        </w:rPr>
        <w:t>Other (expense) income, net</w:t>
      </w:r>
    </w:p>
    <w:p>
      <w:pPr>
        <w:pStyle w:val="TextBody"/>
        <w:bidi w:val="0"/>
        <w:spacing w:before="120" w:after="283"/>
        <w:jc w:val="left"/>
        <w:rPr>
          <w:rFonts w:ascii="Arial" w:hAnsi="Arial"/>
          <w:color w:val="000000"/>
          <w:sz w:val="20"/>
        </w:rPr>
      </w:pPr>
      <w:r>
        <w:rPr>
          <w:rFonts w:ascii="Arial" w:hAnsi="Arial"/>
          <w:color w:val="000000"/>
          <w:sz w:val="20"/>
        </w:rPr>
        <w:t>Other (expense) income, net for the three months ended March 31, 2026 was other expense of ($2) million compared to other income of $5 million for the three months ended March 31, 2025. The change was principally driven by $7 million of unfavorable foreign exchange.</w:t>
      </w:r>
    </w:p>
    <w:p>
      <w:pPr>
        <w:pStyle w:val="TextBody"/>
        <w:bidi w:val="0"/>
        <w:spacing w:before="18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Income tax expense</w:t>
      </w:r>
    </w:p>
    <w:p>
      <w:pPr>
        <w:pStyle w:val="TextBody"/>
        <w:bidi w:val="0"/>
        <w:spacing w:before="120" w:after="283"/>
        <w:jc w:val="left"/>
        <w:rPr>
          <w:rFonts w:ascii="Arial" w:hAnsi="Arial"/>
          <w:color w:val="000000"/>
          <w:sz w:val="20"/>
        </w:rPr>
      </w:pPr>
      <w:r>
        <w:rPr>
          <w:rFonts w:ascii="Arial" w:hAnsi="Arial"/>
          <w:color w:val="000000"/>
          <w:sz w:val="20"/>
        </w:rPr>
        <w:t>Income tax expense for the three months ended March 31, 2026 was $20 million, resulting in an effective tax rate of 15%, compared to $41 million of income tax expense and an effective tax rate of 18% for the three months ended March 31, 2025. The decrease in both income tax expense and the effective tax rate were principally driven by lower taxable income.</w:t>
      </w:r>
    </w:p>
    <w:p>
      <w:pPr>
        <w:pStyle w:val="TextBody"/>
        <w:bidi w:val="0"/>
        <w:spacing w:before="18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Non-GAAP Financial Measures</w:t>
      </w:r>
    </w:p>
    <w:p>
      <w:pPr>
        <w:pStyle w:val="TextBody"/>
        <w:bidi w:val="0"/>
        <w:spacing w:before="180" w:after="283"/>
        <w:jc w:val="left"/>
        <w:rPr>
          <w:rFonts w:ascii="Arial" w:hAnsi="Arial"/>
          <w:color w:val="000000"/>
          <w:sz w:val="20"/>
        </w:rPr>
      </w:pPr>
      <w:r>
        <w:rPr>
          <w:rFonts w:ascii="Arial" w:hAnsi="Arial"/>
          <w:color w:val="000000"/>
          <w:sz w:val="20"/>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$508 million due March 2031 (“Term Loan”), the Incremental Term Loan and the Revolving Credit Facility (together, the "Senior Secured Credit Facility"). Adjusted EBITDA as a percent of net sales is calculated as Adjusted EBITDA divided by net sales.</w:t>
      </w:r>
    </w:p>
    <w:p>
      <w:pPr>
        <w:pStyle w:val="TextBody"/>
        <w:bidi w:val="0"/>
        <w:spacing w:before="120" w:after="283"/>
        <w:jc w:val="left"/>
        <w:rPr>
          <w:rFonts w:ascii="Arial" w:hAnsi="Arial"/>
          <w:color w:val="000000"/>
          <w:sz w:val="20"/>
        </w:rPr>
      </w:pPr>
      <w:r>
        <w:rPr>
          <w:rFonts w:ascii="Arial" w:hAnsi="Arial"/>
          <w:color w:val="000000"/>
          <w:sz w:val="20"/>
        </w:rPr>
        <w:t>In addition, we believe Adjusted net income, Adjusted basic earnings per share attributable to common stockholders ("Adjusted basic EPS") and Adjusted diluted earnings per share attributable to common stockholders ("Adjusted diluted EPS") provide management, investors and creditors with useful measures of our core business performance and trends and increase the period-to-period comparability of our results of operations. The most directly comparable GAAP measure to Adjusted net income, Adjusted basic EPS and Adjusted diluted EPS is Net income, Basic earnings per share attributable to common stockholders ("Basic EPS") and Diluted earnings per share attributable to common stockholders ("Diluted EPS"), respectively. Adjusted net income is calculated as net income excluding the effect of certain non-cash, non-recurring, infrequent or unusual items such as: amortization related to acquired intangible assets, depreciation of the stepped-up basis in property, plant and equipment related to the Acquisition, stepped-up basis in inventory related to the Acquisition, stock-based compensation expense, Acquisition-related expenses and the tax effect of the adjustments. Adjusted basic EPS and Adjusted diluted EPS are calculated by dividing Adjusted net income by the weighted average shares of common stock outstanding and diluted weighted average shares of common stock outstanding, respectively.</w:t>
      </w:r>
    </w:p>
    <w:p>
      <w:pPr>
        <w:pStyle w:val="TextBody"/>
        <w:bidi w:val="0"/>
        <w:spacing w:before="120" w:after="283"/>
        <w:jc w:val="left"/>
        <w:rPr>
          <w:rFonts w:ascii="Arial" w:hAnsi="Arial"/>
          <w:color w:val="000000"/>
          <w:sz w:val="20"/>
        </w:rPr>
      </w:pPr>
      <w:r>
        <w:rPr>
          <w:rFonts w:ascii="Arial" w:hAnsi="Arial"/>
          <w:color w:val="000000"/>
          <w:sz w:val="20"/>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pStyle w:val="TextBody"/>
        <w:bidi w:val="0"/>
        <w:spacing w:before="18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is a reconciliation of Net income to Adjusted EBITDA, Net income as a percent of net sales to Adjusted EBITDA as a percent of net sales, and Net cash provided by operating activities to Adjusted free cash flow:</w:t>
      </w:r>
    </w:p>
    <w:p>
      <w:pPr>
        <w:pStyle w:val="TextBody"/>
        <w:bidi w:val="0"/>
        <w:jc w:val="left"/>
        <w:rPr/>
      </w:pPr>
      <w:r>
        <w:rPr/>
        <w:t> </w:t>
      </w:r>
    </w:p>
    <w:tbl>
      <w:tblPr>
        <w:tblW w:w="9274" w:type="dxa"/>
        <w:jc w:val="left"/>
        <w:tblInd w:w="0" w:type="dxa"/>
        <w:tblLayout w:type="fixed"/>
        <w:tblCellMar>
          <w:top w:w="28" w:type="dxa"/>
          <w:left w:w="28" w:type="dxa"/>
          <w:bottom w:w="28" w:type="dxa"/>
          <w:right w:w="28" w:type="dxa"/>
        </w:tblCellMar>
      </w:tblPr>
      <w:tblGrid>
        <w:gridCol w:w="6716"/>
        <w:gridCol w:w="146"/>
        <w:gridCol w:w="211"/>
        <w:gridCol w:w="586"/>
        <w:gridCol w:w="286"/>
        <w:gridCol w:w="146"/>
        <w:gridCol w:w="211"/>
        <w:gridCol w:w="481"/>
        <w:gridCol w:w="491"/>
      </w:tblGrid>
      <w:tr>
        <w:trPr/>
        <w:tc>
          <w:tcPr>
            <w:tcW w:w="6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Recognition of the stepped-up basis in inventory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Acquisition-related expenses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the stepped-up basis in property, plant and equipment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 on marketable securities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sales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as a percent of Net sales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 as a percent of Net sales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cash provided by operating activities (GAAP)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Deductions to reconcile to Adjusted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Additions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free cash flow (Non-GAAP)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rFonts w:ascii="Arial" w:hAnsi="Arial"/>
          <w:color w:val="000000"/>
          <w:sz w:val="20"/>
        </w:rPr>
      </w:pPr>
      <w:r>
        <w:rPr>
          <w:rFonts w:ascii="Arial" w:hAnsi="Arial"/>
          <w:color w:val="000000"/>
          <w:sz w:val="20"/>
        </w:rPr>
        <w:t>Represents the recognition of the stepped-up basis in inventory related to the Acquisition (recorded in Cost of sales).</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spacing w:before="0" w:after="0"/>
        <w:jc w:val="left"/>
        <w:rPr>
          <w:rFonts w:ascii="Arial" w:hAnsi="Arial"/>
          <w:color w:val="000000"/>
          <w:sz w:val="20"/>
        </w:rPr>
      </w:pPr>
      <w:r>
        <w:rPr>
          <w:rFonts w:ascii="Arial" w:hAnsi="Arial"/>
          <w:color w:val="000000"/>
          <w:sz w:val="20"/>
        </w:rPr>
        <w:t>Represents expenses (recorded in Selling, general and administrative), primarily consulting and legal fees, related to the Acquisition.</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spacing w:before="0" w:after="0"/>
        <w:jc w:val="left"/>
        <w:rPr>
          <w:rFonts w:ascii="Arial" w:hAnsi="Arial"/>
          <w:color w:val="000000"/>
          <w:sz w:val="20"/>
        </w:rPr>
      </w:pPr>
      <w:r>
        <w:rPr>
          <w:rFonts w:ascii="Arial" w:hAnsi="Arial"/>
          <w:color w:val="000000"/>
          <w:sz w:val="20"/>
        </w:rPr>
        <w:t>Represents depreciation of the stepped-up basis in property, plant and equipment related to the Acquisition (recorded in Cost of sales).</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spacing w:before="0" w:after="0"/>
        <w:jc w:val="left"/>
        <w:rPr>
          <w:rFonts w:ascii="Arial" w:hAnsi="Arial"/>
          <w:color w:val="000000"/>
          <w:sz w:val="20"/>
        </w:rPr>
      </w:pPr>
      <w:r>
        <w:rPr>
          <w:rFonts w:ascii="Arial" w:hAnsi="Arial"/>
          <w:color w:val="000000"/>
          <w:sz w:val="20"/>
        </w:rPr>
        <w:t>Represents stock-based compensation expense (recorded in Selling, general and administrative).</w:t>
      </w:r>
    </w:p>
    <w:p>
      <w:pPr>
        <w:pStyle w:val="TextBody"/>
        <w:bidi w:val="0"/>
        <w:spacing w:before="0" w:after="0"/>
        <w:jc w:val="left"/>
        <w:rPr>
          <w:rFonts w:ascii="Arial" w:hAnsi="Arial"/>
          <w:color w:val="000000"/>
          <w:sz w:val="20"/>
        </w:rPr>
      </w:pPr>
      <w:r>
        <w:rPr>
          <w:rFonts w:ascii="Arial" w:hAnsi="Arial"/>
          <w:color w:val="000000"/>
          <w:sz w:val="20"/>
        </w:rPr>
        <w:t>(e)</w:t>
      </w:r>
    </w:p>
    <w:p>
      <w:pPr>
        <w:pStyle w:val="TextBody"/>
        <w:bidi w:val="0"/>
        <w:spacing w:before="0" w:after="0"/>
        <w:jc w:val="left"/>
        <w:rPr>
          <w:rFonts w:ascii="Arial" w:hAnsi="Arial"/>
          <w:color w:val="000000"/>
          <w:sz w:val="20"/>
        </w:rPr>
      </w:pPr>
      <w:r>
        <w:rPr>
          <w:rFonts w:ascii="Arial" w:hAnsi="Arial"/>
          <w:color w:val="000000"/>
          <w:sz w:val="20"/>
        </w:rPr>
        <w:t>Represents unrealized gains (recorded in Other (expense) income, net) related to an investment in the common stock of Jing-Jin Electric Technologies Co. Ltd.</w:t>
      </w:r>
    </w:p>
    <w:p>
      <w:pPr>
        <w:pStyle w:val="TextBody"/>
        <w:bidi w:val="0"/>
        <w:spacing w:before="0" w:after="0"/>
        <w:jc w:val="left"/>
        <w:rPr>
          <w:rFonts w:ascii="Arial" w:hAnsi="Arial"/>
          <w:color w:val="000000"/>
          <w:sz w:val="20"/>
        </w:rPr>
      </w:pPr>
      <w:r>
        <w:rPr>
          <w:rFonts w:ascii="Arial" w:hAnsi="Arial"/>
          <w:color w:val="000000"/>
          <w:sz w:val="20"/>
        </w:rPr>
        <w:t>(f)</w:t>
      </w:r>
    </w:p>
    <w:p>
      <w:pPr>
        <w:pStyle w:val="TextBody"/>
        <w:bidi w:val="0"/>
        <w:spacing w:before="0" w:after="0"/>
        <w:jc w:val="left"/>
        <w:rPr>
          <w:rFonts w:ascii="Arial" w:hAnsi="Arial"/>
          <w:color w:val="000000"/>
          <w:sz w:val="20"/>
        </w:rPr>
      </w:pPr>
      <w:r>
        <w:rPr>
          <w:rFonts w:ascii="Arial" w:hAnsi="Arial"/>
          <w:color w:val="000000"/>
          <w:sz w:val="20"/>
        </w:rPr>
        <w:t xml:space="preserve">Represents other adjustments as defined by the Credit Agreement. </w:t>
      </w:r>
    </w:p>
    <w:p>
      <w:pPr>
        <w:pStyle w:val="TextBody"/>
        <w:bidi w:val="0"/>
        <w:spacing w:before="0" w:after="0"/>
        <w:jc w:val="left"/>
        <w:rPr>
          <w:rFonts w:ascii="Arial" w:hAnsi="Arial"/>
          <w:color w:val="000000"/>
          <w:sz w:val="20"/>
        </w:rPr>
      </w:pPr>
      <w:r>
        <w:rPr>
          <w:rFonts w:ascii="Arial" w:hAnsi="Arial"/>
          <w:color w:val="000000"/>
          <w:sz w:val="20"/>
        </w:rPr>
        <w:t>(g)</w:t>
      </w:r>
    </w:p>
    <w:p>
      <w:pPr>
        <w:pStyle w:val="TextBody"/>
        <w:bidi w:val="0"/>
        <w:jc w:val="left"/>
        <w:rPr>
          <w:rFonts w:ascii="Arial" w:hAnsi="Arial"/>
          <w:color w:val="000000"/>
          <w:sz w:val="20"/>
        </w:rPr>
      </w:pPr>
      <w:r>
        <w:rPr>
          <w:rFonts w:ascii="Arial" w:hAnsi="Arial"/>
          <w:color w:val="000000"/>
          <w:sz w:val="20"/>
        </w:rPr>
        <w:t>Net cash provided by operating activities (GAAP) and Adjusted free cash flow (Non-GAAP) included $29 million and $3 million of payments for expenses related to the Acquisition for the three months ended March 31, 2026 and 2025, respectively.</w:t>
      </w:r>
    </w:p>
    <w:p>
      <w:pPr>
        <w:pStyle w:val="TextBody"/>
        <w:bidi w:val="0"/>
        <w:spacing w:before="18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is a reconciliation of Net income to Adjusted net income, Basic EPS to Adjusted Basic EPS and Diluted EPS to Adjusted Diluted EPS:</w:t>
      </w:r>
    </w:p>
    <w:p>
      <w:pPr>
        <w:pStyle w:val="TextBody"/>
        <w:bidi w:val="0"/>
        <w:jc w:val="left"/>
        <w:rPr/>
      </w:pPr>
      <w:r>
        <w:rPr/>
        <w:t> </w:t>
      </w:r>
    </w:p>
    <w:tbl>
      <w:tblPr>
        <w:tblW w:w="9087" w:type="dxa"/>
        <w:jc w:val="left"/>
        <w:tblInd w:w="0" w:type="dxa"/>
        <w:tblLayout w:type="fixed"/>
        <w:tblCellMar>
          <w:top w:w="28" w:type="dxa"/>
          <w:left w:w="28" w:type="dxa"/>
          <w:bottom w:w="28" w:type="dxa"/>
          <w:right w:w="28" w:type="dxa"/>
        </w:tblCellMar>
      </w:tblPr>
      <w:tblGrid>
        <w:gridCol w:w="6716"/>
        <w:gridCol w:w="146"/>
        <w:gridCol w:w="218"/>
        <w:gridCol w:w="498"/>
        <w:gridCol w:w="171"/>
        <w:gridCol w:w="151"/>
        <w:gridCol w:w="218"/>
        <w:gridCol w:w="498"/>
        <w:gridCol w:w="471"/>
      </w:tblGrid>
      <w:tr>
        <w:trPr/>
        <w:tc>
          <w:tcPr>
            <w:tcW w:w="6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Recognition of the stepped-up basis in inventory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Acquisition-related expenses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the stepped-up basis in property, plant and equipment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effect on adjustments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Net Income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Basic EPS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EPS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Basic EPS (Non-GAAP)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2.60</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Diluted EPS (Non-GAAP)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2.57</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rFonts w:ascii="Arial" w:hAnsi="Arial"/>
          <w:color w:val="000000"/>
          <w:sz w:val="20"/>
        </w:rPr>
      </w:pPr>
      <w:r>
        <w:rPr>
          <w:rFonts w:ascii="Arial" w:hAnsi="Arial"/>
          <w:color w:val="000000"/>
          <w:sz w:val="20"/>
        </w:rPr>
        <w:t>Represents the recognition of the stepped-up basis in inventory related to the Acquisition (recorded in Cost of sales).</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spacing w:before="0" w:after="0"/>
        <w:jc w:val="left"/>
        <w:rPr>
          <w:rFonts w:ascii="Arial" w:hAnsi="Arial"/>
          <w:color w:val="000000"/>
          <w:sz w:val="20"/>
        </w:rPr>
      </w:pPr>
      <w:r>
        <w:rPr>
          <w:rFonts w:ascii="Arial" w:hAnsi="Arial"/>
          <w:color w:val="000000"/>
          <w:sz w:val="20"/>
        </w:rPr>
        <w:t>Represents expenses (recorded in Selling, general and administrative), primarily consulting and legal fees, related to the Acquisition.</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spacing w:before="0" w:after="0"/>
        <w:jc w:val="left"/>
        <w:rPr>
          <w:rFonts w:ascii="Arial" w:hAnsi="Arial"/>
          <w:color w:val="000000"/>
          <w:sz w:val="20"/>
        </w:rPr>
      </w:pPr>
      <w:r>
        <w:rPr>
          <w:rFonts w:ascii="Arial" w:hAnsi="Arial"/>
          <w:color w:val="000000"/>
          <w:sz w:val="20"/>
        </w:rPr>
        <w:t>Represents depreciation of the stepped-up basis in property, plant and equipment related to the Acquisition (recorded in Cost of sales).</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spacing w:before="0" w:after="0"/>
        <w:jc w:val="left"/>
        <w:rPr>
          <w:rFonts w:ascii="Arial" w:hAnsi="Arial"/>
          <w:color w:val="000000"/>
          <w:sz w:val="20"/>
        </w:rPr>
      </w:pPr>
      <w:r>
        <w:rPr>
          <w:rFonts w:ascii="Arial" w:hAnsi="Arial"/>
          <w:color w:val="000000"/>
          <w:sz w:val="20"/>
        </w:rPr>
        <w:t>Represents stock-based compensation expense (recorded in Selling, general and administrative).</w:t>
      </w:r>
    </w:p>
    <w:p>
      <w:pPr>
        <w:pStyle w:val="TextBody"/>
        <w:bidi w:val="0"/>
        <w:spacing w:before="0" w:after="0"/>
        <w:jc w:val="left"/>
        <w:rPr>
          <w:rFonts w:ascii="Arial" w:hAnsi="Arial"/>
          <w:color w:val="000000"/>
          <w:sz w:val="20"/>
        </w:rPr>
      </w:pPr>
      <w:r>
        <w:rPr>
          <w:rFonts w:ascii="Arial" w:hAnsi="Arial"/>
          <w:color w:val="000000"/>
          <w:sz w:val="20"/>
        </w:rPr>
        <w:t>(e)</w:t>
      </w:r>
    </w:p>
    <w:p>
      <w:pPr>
        <w:pStyle w:val="TextBody"/>
        <w:bidi w:val="0"/>
        <w:spacing w:before="0" w:after="0"/>
        <w:jc w:val="left"/>
        <w:rPr>
          <w:rFonts w:ascii="Arial" w:hAnsi="Arial"/>
          <w:color w:val="000000"/>
          <w:sz w:val="20"/>
        </w:rPr>
      </w:pPr>
      <w:r>
        <w:rPr>
          <w:rFonts w:ascii="Arial" w:hAnsi="Arial"/>
          <w:color w:val="000000"/>
          <w:sz w:val="20"/>
        </w:rPr>
        <w:t>Represents the income tax effect on the adjustments calculated by applying our effective tax rate.</w:t>
      </w:r>
    </w:p>
    <w:p>
      <w:pPr>
        <w:pStyle w:val="TextBody"/>
        <w:bidi w:val="0"/>
        <w:spacing w:before="0" w:after="0"/>
        <w:jc w:val="left"/>
        <w:rPr>
          <w:rFonts w:ascii="Arial" w:hAnsi="Arial"/>
          <w:color w:val="000000"/>
          <w:sz w:val="20"/>
        </w:rPr>
      </w:pPr>
      <w:r>
        <w:rPr>
          <w:rFonts w:ascii="Arial" w:hAnsi="Arial"/>
          <w:color w:val="000000"/>
          <w:sz w:val="20"/>
        </w:rPr>
        <w:t>(f)</w:t>
      </w:r>
    </w:p>
    <w:p>
      <w:pPr>
        <w:pStyle w:val="TextBody"/>
        <w:bidi w:val="0"/>
        <w:jc w:val="left"/>
        <w:rPr>
          <w:rFonts w:ascii="Arial" w:hAnsi="Arial"/>
          <w:color w:val="000000"/>
          <w:sz w:val="20"/>
        </w:rPr>
      </w:pPr>
      <w:r>
        <w:rPr>
          <w:rFonts w:ascii="Arial" w:hAnsi="Arial"/>
          <w:color w:val="000000"/>
          <w:sz w:val="20"/>
        </w:rPr>
        <w:t>Adjusted basic EPS and Adjusted diluted EPS are Non</w:t>
        <w:noBreakHyphen/>
        <w:t>GAAP financial measures and are defined as Adjusted net income divided by the weighted average common shares outstanding and diluted weighted average shares outstanding, respectively, for the period. The weighted-average common shares outstanding and diluted weighted-average common shares outstanding are the same as those used in calculating the comparable GAAP measures.</w:t>
      </w:r>
    </w:p>
    <w:p>
      <w:pPr>
        <w:pStyle w:val="TextBody"/>
        <w:bidi w:val="0"/>
        <w:spacing w:before="18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Operating Segment Results</w:t>
      </w:r>
    </w:p>
    <w:p>
      <w:pPr>
        <w:pStyle w:val="TextBody"/>
        <w:bidi w:val="0"/>
        <w:spacing w:before="120" w:after="283"/>
        <w:jc w:val="left"/>
        <w:rPr>
          <w:rFonts w:ascii="Arial" w:hAnsi="Arial"/>
          <w:b/>
          <w:i/>
          <w:color w:val="000000"/>
          <w:sz w:val="20"/>
        </w:rPr>
      </w:pPr>
      <w:r>
        <w:rPr>
          <w:rFonts w:ascii="Arial" w:hAnsi="Arial"/>
          <w:b/>
          <w:i/>
          <w:color w:val="000000"/>
          <w:sz w:val="20"/>
        </w:rPr>
        <w:t>Allison Transmission - Comparison of the three months ended March 31, 2026 and 2025</w:t>
      </w:r>
    </w:p>
    <w:p>
      <w:pPr>
        <w:pStyle w:val="TextBody"/>
        <w:bidi w:val="0"/>
        <w:spacing w:before="120" w:after="283"/>
        <w:jc w:val="left"/>
        <w:rPr>
          <w:rFonts w:ascii="Arial" w:hAnsi="Arial"/>
          <w:color w:val="000000"/>
          <w:sz w:val="20"/>
        </w:rPr>
      </w:pPr>
      <w:r>
        <w:rPr>
          <w:rFonts w:ascii="Arial" w:hAnsi="Arial"/>
          <w:color w:val="000000"/>
          <w:sz w:val="20"/>
        </w:rPr>
        <w:t>The following table sets forth certain financial information for the three months ended March 31, 2026 and 2025 and should be read in conjunction with the information contained in our condensed consolidated financial statements and the notes thereto included in Part I, Item 1 of this Quarterly Report on Form 10-Q.</w:t>
      </w:r>
    </w:p>
    <w:p>
      <w:pPr>
        <w:pStyle w:val="TextBody"/>
        <w:bidi w:val="0"/>
        <w:jc w:val="left"/>
        <w:rPr/>
      </w:pPr>
      <w:r>
        <w:rPr/>
        <w:t> </w:t>
      </w:r>
    </w:p>
    <w:tbl>
      <w:tblPr>
        <w:tblW w:w="6141" w:type="dxa"/>
        <w:jc w:val="left"/>
        <w:tblInd w:w="0" w:type="dxa"/>
        <w:tblLayout w:type="fixed"/>
        <w:tblCellMar>
          <w:top w:w="28" w:type="dxa"/>
          <w:left w:w="28" w:type="dxa"/>
          <w:bottom w:w="28" w:type="dxa"/>
          <w:right w:w="28" w:type="dxa"/>
        </w:tblCellMar>
      </w:tblPr>
      <w:tblGrid>
        <w:gridCol w:w="2551"/>
        <w:gridCol w:w="146"/>
        <w:gridCol w:w="237"/>
        <w:gridCol w:w="474"/>
        <w:gridCol w:w="164"/>
        <w:gridCol w:w="164"/>
        <w:gridCol w:w="237"/>
        <w:gridCol w:w="474"/>
        <w:gridCol w:w="164"/>
        <w:gridCol w:w="164"/>
        <w:gridCol w:w="341"/>
        <w:gridCol w:w="634"/>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733</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Segment Net Sales</w:t>
      </w:r>
    </w:p>
    <w:p>
      <w:pPr>
        <w:pStyle w:val="TextBody"/>
        <w:bidi w:val="0"/>
        <w:jc w:val="left"/>
        <w:rPr/>
      </w:pPr>
      <w:r>
        <w:rPr/>
        <w:t> </w:t>
      </w:r>
    </w:p>
    <w:tbl>
      <w:tblPr>
        <w:tblW w:w="8975" w:type="dxa"/>
        <w:jc w:val="left"/>
        <w:tblInd w:w="0" w:type="dxa"/>
        <w:tblLayout w:type="fixed"/>
        <w:tblCellMar>
          <w:top w:w="28" w:type="dxa"/>
          <w:left w:w="28" w:type="dxa"/>
          <w:bottom w:w="28" w:type="dxa"/>
          <w:right w:w="28" w:type="dxa"/>
        </w:tblCellMar>
      </w:tblPr>
      <w:tblGrid>
        <w:gridCol w:w="4006"/>
        <w:gridCol w:w="146"/>
        <w:gridCol w:w="429"/>
        <w:gridCol w:w="856"/>
        <w:gridCol w:w="297"/>
        <w:gridCol w:w="297"/>
        <w:gridCol w:w="429"/>
        <w:gridCol w:w="856"/>
        <w:gridCol w:w="146"/>
        <w:gridCol w:w="146"/>
        <w:gridCol w:w="272"/>
        <w:gridCol w:w="704"/>
        <w:gridCol w:w="3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Variance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North America On-Highway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375</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Outside North America On-Highway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Global Off-Highway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Parts, Support Equipment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153</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733</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120" w:after="283"/>
        <w:jc w:val="left"/>
        <w:rPr>
          <w:rFonts w:ascii="Arial" w:hAnsi="Arial"/>
          <w:color w:val="000000"/>
          <w:sz w:val="20"/>
        </w:rPr>
      </w:pPr>
      <w:r>
        <w:rPr>
          <w:rFonts w:ascii="Arial" w:hAnsi="Arial"/>
          <w:color w:val="000000"/>
          <w:sz w:val="20"/>
        </w:rPr>
        <w:t>For a discussion of the year-over-year changes in Net sales in each end market, see “Results of Operations – Allison Consolidated Comparison of the three months ended March 31, 2026 and 2025 – Net Sales” above.</w:t>
      </w:r>
    </w:p>
    <w:p>
      <w:pPr>
        <w:pStyle w:val="TextBody"/>
        <w:bidi w:val="0"/>
        <w:spacing w:before="120" w:after="283"/>
        <w:jc w:val="left"/>
        <w:rPr>
          <w:rFonts w:ascii="Arial" w:hAnsi="Arial"/>
          <w:b/>
          <w:i/>
          <w:color w:val="000000"/>
          <w:sz w:val="20"/>
        </w:rPr>
      </w:pPr>
      <w:r>
        <w:rPr>
          <w:rFonts w:ascii="Arial" w:hAnsi="Arial"/>
          <w:b/>
          <w:i/>
          <w:color w:val="000000"/>
          <w:sz w:val="20"/>
        </w:rPr>
        <w:t>Segment Operating Profit</w:t>
      </w:r>
    </w:p>
    <w:p>
      <w:pPr>
        <w:pStyle w:val="TextBody"/>
        <w:bidi w:val="0"/>
        <w:spacing w:before="120" w:after="283"/>
        <w:jc w:val="left"/>
        <w:rPr>
          <w:rFonts w:ascii="Arial" w:hAnsi="Arial"/>
          <w:color w:val="000000"/>
          <w:sz w:val="20"/>
        </w:rPr>
      </w:pPr>
      <w:r>
        <w:rPr>
          <w:rFonts w:ascii="Arial" w:hAnsi="Arial"/>
          <w:color w:val="000000"/>
          <w:sz w:val="20"/>
        </w:rPr>
        <w:t>Segment Operating Profit for the three months ended March 31, 2026 was $252 million compared to $271 million for the three months ended March 31, 2025, a decrease of 7%. The decrease was principally driven by lower gross profit, as described in “Results of Operations – Allison Consolidated Comparison of the three months ended March 31, 2026 and 2025 – Gross Profit” above.</w:t>
      </w:r>
    </w:p>
    <w:p>
      <w:pPr>
        <w:pStyle w:val="TextBody"/>
        <w:bidi w:val="0"/>
        <w:spacing w:before="120" w:after="283"/>
        <w:jc w:val="left"/>
        <w:rPr>
          <w:rFonts w:ascii="Arial" w:hAnsi="Arial"/>
          <w:b/>
          <w:i/>
          <w:color w:val="000000"/>
          <w:sz w:val="20"/>
        </w:rPr>
      </w:pPr>
      <w:r>
        <w:rPr>
          <w:rFonts w:ascii="Arial" w:hAnsi="Arial"/>
          <w:b/>
          <w:i/>
          <w:color w:val="000000"/>
          <w:sz w:val="20"/>
        </w:rPr>
        <w:t>Allison Off-Highway - Operating results for the three months ended March 31, 2026</w:t>
      </w:r>
    </w:p>
    <w:p>
      <w:pPr>
        <w:pStyle w:val="TextBody"/>
        <w:bidi w:val="0"/>
        <w:spacing w:before="120" w:after="120"/>
        <w:jc w:val="left"/>
        <w:rPr>
          <w:rFonts w:ascii="Arial" w:hAnsi="Arial"/>
          <w:color w:val="000000"/>
          <w:sz w:val="20"/>
        </w:rPr>
      </w:pPr>
      <w:r>
        <w:rPr>
          <w:rFonts w:ascii="Arial" w:hAnsi="Arial"/>
          <w:color w:val="000000"/>
          <w:sz w:val="20"/>
        </w:rPr>
        <w:t>The Allison Off-Highway reportable segment is comprised solely of the Acquired Off-Highway Business acquired on January 1, 2026. The following table sets forth certain financial information for the three months ended March 31, 2026 and should be read in conjunction with the information contained in our condensed consolidated financial statements and the notes thereto included in Part I, Item 1 of this Quarterly Report on Form 10-Q.</w:t>
      </w:r>
    </w:p>
    <w:tbl>
      <w:tblPr>
        <w:tblW w:w="5473" w:type="dxa"/>
        <w:jc w:val="left"/>
        <w:tblInd w:w="0" w:type="dxa"/>
        <w:tblLayout w:type="fixed"/>
        <w:tblCellMar>
          <w:top w:w="28" w:type="dxa"/>
          <w:left w:w="28" w:type="dxa"/>
          <w:bottom w:w="28" w:type="dxa"/>
          <w:right w:w="28" w:type="dxa"/>
        </w:tblCellMar>
      </w:tblPr>
      <w:tblGrid>
        <w:gridCol w:w="2566"/>
        <w:gridCol w:w="146"/>
        <w:gridCol w:w="849"/>
        <w:gridCol w:w="1701"/>
        <w:gridCol w:w="21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Loss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Includes expenses related to the recognition of the stepped-up basis in inventory, depreciation related to the stepped-up basis in property, plant and equipment and intangibles amortization related to the Acquisition.</w:t>
      </w:r>
    </w:p>
    <w:p>
      <w:pPr>
        <w:pStyle w:val="TextBody"/>
        <w:bidi w:val="0"/>
        <w:spacing w:before="18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Segment Net Sales</w:t>
      </w:r>
    </w:p>
    <w:p>
      <w:pPr>
        <w:pStyle w:val="TextBody"/>
        <w:bidi w:val="0"/>
        <w:jc w:val="left"/>
        <w:rPr/>
      </w:pPr>
      <w:r>
        <w:rPr/>
        <w:t> </w:t>
      </w:r>
    </w:p>
    <w:tbl>
      <w:tblPr>
        <w:tblW w:w="6038" w:type="dxa"/>
        <w:jc w:val="left"/>
        <w:tblInd w:w="0" w:type="dxa"/>
        <w:tblLayout w:type="fixed"/>
        <w:tblCellMar>
          <w:top w:w="28" w:type="dxa"/>
          <w:left w:w="28" w:type="dxa"/>
          <w:bottom w:w="28" w:type="dxa"/>
          <w:right w:w="28" w:type="dxa"/>
        </w:tblCellMar>
      </w:tblPr>
      <w:tblGrid>
        <w:gridCol w:w="3151"/>
        <w:gridCol w:w="146"/>
        <w:gridCol w:w="849"/>
        <w:gridCol w:w="1701"/>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(unaudited, 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Construction &amp; Material Handling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Agriculture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Parts, Specialty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120" w:after="283"/>
        <w:jc w:val="left"/>
        <w:rPr>
          <w:rFonts w:ascii="Arial" w:hAnsi="Arial"/>
          <w:color w:val="000000"/>
          <w:sz w:val="20"/>
        </w:rPr>
      </w:pPr>
      <w:r>
        <w:rPr>
          <w:rFonts w:ascii="Arial" w:hAnsi="Arial"/>
          <w:color w:val="000000"/>
          <w:sz w:val="20"/>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$311 million and $1,495 million as of March 31, 2026 and December 31, 2025, respectively. Of the available cash and cash equivalents, $300 million was deposited in operating accounts and $11 million was primarily invested in U.S. government backed securities and time deposits as of March 31, 2026, compared to $1,361 million deposited in operating accounts and $134 million invested primarily in U.S. government backed securities and time deposits as of December 31, 2025.</w:t>
      </w:r>
    </w:p>
    <w:p>
      <w:pPr>
        <w:pStyle w:val="TextBody"/>
        <w:bidi w:val="0"/>
        <w:spacing w:before="120" w:after="283"/>
        <w:jc w:val="left"/>
        <w:rPr>
          <w:rFonts w:ascii="Arial" w:hAnsi="Arial"/>
          <w:color w:val="000000"/>
          <w:sz w:val="20"/>
        </w:rPr>
      </w:pPr>
      <w:r>
        <w:rPr>
          <w:rFonts w:ascii="Arial" w:hAnsi="Arial"/>
          <w:color w:val="000000"/>
          <w:sz w:val="20"/>
        </w:rPr>
        <w:t>As of March 31, 2026, the total of cash held by foreign subsidiaries was $263 million, the majority of which was at our subsidiaries located in China, Switzerland, India and the Netherlands.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pStyle w:val="TextBody"/>
        <w:bidi w:val="0"/>
        <w:spacing w:before="180" w:after="283"/>
        <w:jc w:val="left"/>
        <w:rPr>
          <w:rFonts w:ascii="Arial" w:hAnsi="Arial"/>
          <w:color w:val="000000"/>
          <w:sz w:val="20"/>
        </w:rPr>
      </w:pPr>
      <w:r>
        <w:rPr>
          <w:rFonts w:ascii="Arial" w:hAnsi="Arial"/>
          <w:color w:val="000000"/>
          <w:sz w:val="20"/>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pStyle w:val="TextBody"/>
        <w:bidi w:val="0"/>
        <w:spacing w:before="180" w:after="283"/>
        <w:jc w:val="left"/>
        <w:rPr>
          <w:rFonts w:ascii="Arial" w:hAnsi="Arial"/>
          <w:color w:val="000000"/>
          <w:sz w:val="20"/>
        </w:rPr>
      </w:pPr>
      <w:r>
        <w:rPr>
          <w:rFonts w:ascii="Arial" w:hAnsi="Arial"/>
          <w:color w:val="000000"/>
          <w:sz w:val="20"/>
        </w:rPr>
        <w:t>Our liquidity requirements are significant, primarily due to our debt service requirements. In January 2026, we and ATI entered into Amendment No. 5 ("Amendment") to the Credit Agreement to increase the commitments under the existing Revolving Credit Facility from $750 million to $1,000 million and provide for the Incremental Term Loan in an aggregate principal amount equal to $1,200 million, which matures on January 2, 2033 with a springing maturity to the maturity date of the Term Loan in the event the Term Loan matures on any date prior to January 2, 2033. As of March 31, 2026, we had $508 million of indebtedness associated with ATI’s Term Loan, $1,200 million of indebtedness associated with ATI's Incremental Term Loan, $150 million of indebtedness associated with ATI's Revolving Credit Facility, $400 million of indebtedness associated with ATI’s 4.75% Senior Notes due October 2027 (“4.75% Senior Notes”), $500 million of indebtedness associated with ATI’s 5.875% Senior Notes due June 2029 (“5.875% Senior Notes 2029”), $1,000 million of indebtedness associated with ATI’s 3.75% Senior Notes due January 2031 (“3.75% Senior Notes”) and $500 million of indebtedness associated with ATI's 5.875% Senior Notes 2033 (together with the 4.75% Senior Notes, 5.875% Senior Notes 2029 and 3.75% Senior Notes, the “Senior Notes”). Our short-term and long-term debt service liquidity requirements consist of $1 million of minimum required quarterly principal payments on ATI’s Term Loan through its maturity date of March 2031, $3 million of minimum required quarterly principal payments on ATI's Incremental Term Loan through its maturity date of January 2033 and periodic interest payments on ATI’s Term Loan, Incremental Term Loan, Revolving Credit Facility and the Senior Notes. There are no required quarterly principal payments on the Senior Notes. Our long-term debt service liquidity requirements also consist of the payment in full of any remaining principal balance of ATI’s Term Loan, Incremental Term Loan and Senior Notes and any borrowings under the Revolving Credit Facility, upon their respective maturity dates.</w:t>
      </w:r>
    </w:p>
    <w:p>
      <w:pPr>
        <w:pStyle w:val="TextBody"/>
        <w:bidi w:val="0"/>
        <w:spacing w:before="180" w:after="283"/>
        <w:jc w:val="left"/>
        <w:rPr>
          <w:rFonts w:ascii="Times New Roman" w:hAnsi="Times New Roman"/>
          <w:sz w:val="20"/>
        </w:rPr>
      </w:pPr>
      <w:r>
        <w:rPr>
          <w:rFonts w:ascii="Arial" w:hAnsi="Arial"/>
          <w:color w:val="000000"/>
          <w:sz w:val="20"/>
        </w:rPr>
        <w:t>We made $1 million of principal payments on the Term Loan during each of the three months ended March 31, 2026 and 2025. Our ability to make payments on and refinance our indebtedness and to fund planned capital expenditures and growth initiatives will depend on our ability to generate cash in the future.</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Senior Secured Credit Facility provides for a $1,000 million Revolving Credit Facility, net of an allowance for up to $75 million in outstanding letter of credit commitments. As of March 31, 2026, we had $845 million available under the Revolving Credit Facility, net of $150 million of revolving loans outstanding and $5 million in letters of credit.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March 31, 2026, our first lien net leverage ratio was 1.29x.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 As of March 31, 2026, the all-in rate on the Revolving Credit Facility was 4.92%.</w:t>
      </w:r>
    </w:p>
    <w:p>
      <w:pPr>
        <w:pStyle w:val="TextBody"/>
        <w:bidi w:val="0"/>
        <w:spacing w:before="180" w:after="283"/>
        <w:jc w:val="left"/>
        <w:rPr>
          <w:rFonts w:ascii="Arial" w:hAnsi="Arial"/>
          <w:color w:val="000000"/>
          <w:sz w:val="20"/>
        </w:rPr>
      </w:pPr>
      <w:r>
        <w:rPr>
          <w:rFonts w:ascii="Arial" w:hAnsi="Arial"/>
          <w:color w:val="000000"/>
          <w:sz w:val="20"/>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March 31, 2026, we were in compliance with all covenants under the Senior Secured Credit Facility and indentures governing the Senior Notes.</w:t>
      </w:r>
    </w:p>
    <w:p>
      <w:pPr>
        <w:pStyle w:val="TextBody"/>
        <w:bidi w:val="0"/>
        <w:spacing w:before="180" w:after="283"/>
        <w:jc w:val="left"/>
        <w:rPr>
          <w:rFonts w:ascii="Arial" w:hAnsi="Arial"/>
          <w:color w:val="000000"/>
          <w:sz w:val="20"/>
        </w:rPr>
      </w:pPr>
      <w:r>
        <w:rPr>
          <w:rFonts w:ascii="Arial" w:hAnsi="Arial"/>
          <w:color w:val="000000"/>
          <w:sz w:val="20"/>
        </w:rPr>
        <w:t>Our credit ratings and outlook are reviewed periodically by Moody’s Ratings (“Moody’s”) and Fitch Ratings, Inc. (“Fitch”). As of March 31, 2026, our credit ratings from both Moody's and Fitch are shown in the table below:</w:t>
      </w:r>
    </w:p>
    <w:p>
      <w:pPr>
        <w:pStyle w:val="TextBody"/>
        <w:bidi w:val="0"/>
        <w:jc w:val="left"/>
        <w:rPr/>
      </w:pPr>
      <w:r>
        <w:rPr/>
        <w:t> </w:t>
      </w:r>
    </w:p>
    <w:tbl>
      <w:tblPr>
        <w:tblW w:w="4735" w:type="dxa"/>
        <w:jc w:val="left"/>
        <w:tblInd w:w="0" w:type="dxa"/>
        <w:tblLayout w:type="fixed"/>
        <w:tblCellMar>
          <w:top w:w="28" w:type="dxa"/>
          <w:left w:w="28" w:type="dxa"/>
          <w:bottom w:w="28" w:type="dxa"/>
          <w:right w:w="28" w:type="dxa"/>
        </w:tblCellMar>
      </w:tblPr>
      <w:tblGrid>
        <w:gridCol w:w="3046"/>
        <w:gridCol w:w="146"/>
        <w:gridCol w:w="781"/>
        <w:gridCol w:w="146"/>
        <w:gridCol w:w="61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Credit Ratings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Moody's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Fitch</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Term Loan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BBB-</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4.75% Senior Notes, due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5.875% Senior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3.75% Senior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5.875% Senior Notes due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Incremental Term Loan, due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Baa2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BBB-</w:t>
            </w:r>
          </w:p>
        </w:tc>
      </w:tr>
    </w:tbl>
    <w:p>
      <w:pPr>
        <w:pStyle w:val="TextBody"/>
        <w:bidi w:val="0"/>
        <w:spacing w:before="180" w:after="283"/>
        <w:jc w:val="left"/>
        <w:rPr>
          <w:rFonts w:ascii="Arial" w:hAnsi="Arial"/>
          <w:color w:val="000000"/>
          <w:sz w:val="20"/>
        </w:rPr>
      </w:pPr>
      <w:r>
        <w:rPr>
          <w:rFonts w:ascii="Arial" w:hAnsi="Arial"/>
          <w:color w:val="000000"/>
          <w:sz w:val="20"/>
        </w:rPr>
        <w:t>On February 20, 2025, our Board of Directors authorized us to repurchase an additional $1,000 million of our common stock pursuant to our stock repurchase program (the "Repurchase Program"), bringing the total amount authorized pursuant to the Repurchase Program to $5,000 million. During the three months ended March 31, 2026, we repurchased $20 million of our common stock under the Repurchase Program. Substantially all of the repurchase transactions during the three months ended March 31, 2026 were settled in cash during the same period. As of March 31, 2026, we had approximately $1,171 million available under the Repurchase Program.</w:t>
      </w:r>
    </w:p>
    <w:p>
      <w:pPr>
        <w:pStyle w:val="TextBody"/>
        <w:bidi w:val="0"/>
        <w:spacing w:before="18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following table shows our sources and uses of funds for the three months ended March 31, 2026 and 2025 (dollars in millions):</w:t>
      </w:r>
    </w:p>
    <w:p>
      <w:pPr>
        <w:pStyle w:val="TextBody"/>
        <w:bidi w:val="0"/>
        <w:jc w:val="left"/>
        <w:rPr/>
      </w:pPr>
      <w:r>
        <w:rPr/>
        <w:t> </w:t>
      </w:r>
    </w:p>
    <w:tbl>
      <w:tblPr>
        <w:tblW w:w="6929" w:type="dxa"/>
        <w:jc w:val="left"/>
        <w:tblInd w:w="0" w:type="dxa"/>
        <w:tblLayout w:type="fixed"/>
        <w:tblCellMar>
          <w:top w:w="28" w:type="dxa"/>
          <w:left w:w="28" w:type="dxa"/>
          <w:bottom w:w="28" w:type="dxa"/>
          <w:right w:w="28" w:type="dxa"/>
        </w:tblCellMar>
      </w:tblPr>
      <w:tblGrid>
        <w:gridCol w:w="4711"/>
        <w:gridCol w:w="146"/>
        <w:gridCol w:w="211"/>
        <w:gridCol w:w="646"/>
        <w:gridCol w:w="166"/>
        <w:gridCol w:w="146"/>
        <w:gridCol w:w="211"/>
        <w:gridCol w:w="481"/>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Statements of Cash Flows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flows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flows used for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flows provided by (used for)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Generally, cash provided by operating activities has been adequate to fund our operations. We have significant liquidity, including $311 million of cash and cash equivalents and $845 million available under the Revolving Credit Facility, net of $150 million of revolving loans outstanding and $5 million of letters of credit, as of March 31, 2026. At this time, we believe cash provided by operating activities, cash and cash equivalents and borrowing capacity under the Revolving Credit Facility will be sufficient to meet our known and anticipated cash requirements for the next twelve months and thereafter.</w:t>
      </w:r>
    </w:p>
    <w:p>
      <w:pPr>
        <w:pStyle w:val="TextBody"/>
        <w:bidi w:val="0"/>
        <w:spacing w:before="120" w:after="283"/>
        <w:jc w:val="left"/>
        <w:rPr>
          <w:rFonts w:ascii="Arial" w:hAnsi="Arial"/>
          <w:b/>
          <w:i/>
          <w:color w:val="000000"/>
          <w:sz w:val="20"/>
        </w:rPr>
      </w:pPr>
      <w:r>
        <w:rPr>
          <w:rFonts w:ascii="Arial" w:hAnsi="Arial"/>
          <w:b/>
          <w:i/>
          <w:color w:val="000000"/>
          <w:sz w:val="20"/>
        </w:rPr>
        <w:t>Cash provided by operating activities</w:t>
      </w:r>
    </w:p>
    <w:p>
      <w:pPr>
        <w:pStyle w:val="TextBody"/>
        <w:bidi w:val="0"/>
        <w:spacing w:before="120" w:after="283"/>
        <w:jc w:val="left"/>
        <w:rPr>
          <w:rFonts w:ascii="Arial" w:hAnsi="Arial"/>
          <w:color w:val="000000"/>
          <w:sz w:val="20"/>
        </w:rPr>
      </w:pPr>
      <w:r>
        <w:rPr>
          <w:rFonts w:ascii="Arial" w:hAnsi="Arial"/>
          <w:color w:val="000000"/>
          <w:sz w:val="20"/>
        </w:rPr>
        <w:t>Operating activities for the three months ended March 31, 2026 generated $156 million of cash compared to $181 million for the three months ended March 31, 2025. The decrease was principally driven by higher working capital funding requirements, higher cash interest expense, increased payments for expenses related to the Acquisition and higher cash income taxes, partially offset by lower cash incentive compensation payments.</w:t>
      </w:r>
    </w:p>
    <w:p>
      <w:pPr>
        <w:pStyle w:val="TextBody"/>
        <w:bidi w:val="0"/>
        <w:spacing w:before="120" w:after="283"/>
        <w:jc w:val="left"/>
        <w:rPr>
          <w:rFonts w:ascii="Arial" w:hAnsi="Arial"/>
          <w:b/>
          <w:i/>
          <w:color w:val="000000"/>
          <w:sz w:val="20"/>
        </w:rPr>
      </w:pPr>
      <w:r>
        <w:rPr>
          <w:rFonts w:ascii="Arial" w:hAnsi="Arial"/>
          <w:b/>
          <w:i/>
          <w:color w:val="000000"/>
          <w:sz w:val="20"/>
        </w:rPr>
        <w:t>Cash used for investing activities</w:t>
      </w:r>
    </w:p>
    <w:p>
      <w:pPr>
        <w:pStyle w:val="TextBody"/>
        <w:bidi w:val="0"/>
        <w:spacing w:before="120" w:after="283"/>
        <w:jc w:val="left"/>
        <w:rPr>
          <w:rFonts w:ascii="Arial" w:hAnsi="Arial"/>
          <w:color w:val="000000"/>
          <w:sz w:val="20"/>
        </w:rPr>
      </w:pPr>
      <w:r>
        <w:rPr>
          <w:rFonts w:ascii="Arial" w:hAnsi="Arial"/>
          <w:color w:val="000000"/>
          <w:sz w:val="20"/>
        </w:rPr>
        <w:t>Investing activities for the three months ended March 31, 2026 used $2,616 million of cash compared to $26 million for the three months ended March 31, 2025. The increase was due to the Acquisition and increased capital expenditures.</w:t>
      </w:r>
    </w:p>
    <w:p>
      <w:pPr>
        <w:pStyle w:val="TextBody"/>
        <w:bidi w:val="0"/>
        <w:spacing w:before="120" w:after="283"/>
        <w:jc w:val="left"/>
        <w:rPr>
          <w:rFonts w:ascii="Arial" w:hAnsi="Arial"/>
          <w:b/>
          <w:i/>
          <w:color w:val="000000"/>
          <w:sz w:val="20"/>
        </w:rPr>
      </w:pPr>
      <w:r>
        <w:rPr>
          <w:rFonts w:ascii="Arial" w:hAnsi="Arial"/>
          <w:b/>
          <w:i/>
          <w:color w:val="000000"/>
          <w:sz w:val="20"/>
        </w:rPr>
        <w:t>Cash provided by (used for) financing activities</w:t>
      </w:r>
    </w:p>
    <w:p>
      <w:pPr>
        <w:pStyle w:val="TextBody"/>
        <w:bidi w:val="0"/>
        <w:spacing w:before="120" w:after="283"/>
        <w:jc w:val="left"/>
        <w:rPr>
          <w:rFonts w:ascii="Arial" w:hAnsi="Arial"/>
          <w:color w:val="000000"/>
          <w:sz w:val="20"/>
        </w:rPr>
      </w:pPr>
      <w:r>
        <w:rPr>
          <w:rFonts w:ascii="Arial" w:hAnsi="Arial"/>
          <w:color w:val="000000"/>
          <w:sz w:val="20"/>
        </w:rPr>
        <w:t>Financing activities for the three months ended March 31, 2026 provided $1,280 million of cash compared to using $184 million for the three months ended March 31, 2025. The change was principally driven by $1,200 of proceeds from the Incremental Term Loan, $150 million of borrowings on the Revolving Credit Facility net of repayments and $130 million of lower stock repurchases under the Repurchase Program.</w:t>
      </w:r>
    </w:p>
    <w:p>
      <w:pPr>
        <w:pStyle w:val="TextBody"/>
        <w:bidi w:val="0"/>
        <w:spacing w:before="240" w:after="283"/>
        <w:jc w:val="left"/>
        <w:rPr>
          <w:rFonts w:ascii="Arial" w:hAnsi="Arial"/>
          <w:b/>
          <w:color w:val="000000"/>
          <w:sz w:val="20"/>
        </w:rPr>
      </w:pPr>
      <w:r>
        <w:rPr>
          <w:rFonts w:ascii="Arial" w:hAnsi="Arial"/>
          <w:b/>
          <w:color w:val="000000"/>
          <w:sz w:val="20"/>
        </w:rPr>
        <w:t>Contingencies</w:t>
      </w:r>
    </w:p>
    <w:p>
      <w:pPr>
        <w:pStyle w:val="TextBody"/>
        <w:bidi w:val="0"/>
        <w:spacing w:before="120" w:after="283"/>
        <w:jc w:val="left"/>
        <w:rPr>
          <w:rFonts w:ascii="Arial" w:hAnsi="Arial"/>
          <w:color w:val="000000"/>
          <w:sz w:val="20"/>
        </w:rPr>
      </w:pPr>
      <w:r>
        <w:rPr>
          <w:rFonts w:ascii="Arial" w:hAnsi="Arial"/>
          <w:color w:val="000000"/>
          <w:sz w:val="20"/>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pStyle w:val="TextBody"/>
        <w:bidi w:val="0"/>
        <w:spacing w:before="120" w:after="283"/>
        <w:jc w:val="left"/>
        <w:rPr/>
      </w:pPr>
      <w:r>
        <w:rPr/>
        <w:t> </w:t>
      </w:r>
    </w:p>
    <w:p>
      <w:pPr>
        <w:pStyle w:val="TextBody"/>
        <w:bidi w:val="0"/>
        <w:jc w:val="left"/>
        <w:rPr>
          <w:rFonts w:ascii="Arial" w:hAnsi="Arial"/>
          <w:b/>
          <w:color w:val="000000"/>
          <w:sz w:val="20"/>
        </w:rPr>
      </w:pPr>
      <w:r>
        <w:rPr>
          <w:rFonts w:ascii="Arial" w:hAnsi="Arial"/>
          <w:b/>
          <w:color w:val="000000"/>
          <w:sz w:val="20"/>
        </w:rPr>
        <w:t>Critical Accounting Estimates</w:t>
      </w:r>
    </w:p>
    <w:p>
      <w:pPr>
        <w:pStyle w:val="TextBody"/>
        <w:bidi w:val="0"/>
        <w:spacing w:before="120" w:after="283"/>
        <w:jc w:val="left"/>
        <w:rPr>
          <w:rFonts w:ascii="Times New Roman" w:hAnsi="Times New Roman"/>
          <w:sz w:val="20"/>
        </w:rPr>
      </w:pPr>
      <w:r>
        <w:rPr>
          <w:rFonts w:ascii="Arial" w:hAnsi="Arial"/>
          <w:color w:val="000000"/>
          <w:sz w:val="20"/>
        </w:rPr>
        <w:t>A discussion of our critical accounting estimates is included in Part II, Item 7, “Management’s Discussion and Analysis of Financial Condition and Results of Operations” in our Annual Report on Form 10-K for the year ended December 31, 2025 as filed with the SEC on February 24, 2026.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giving rise to such changes occur. Within the context of these critical accounting estimates, we are not currently aware of any reasonably likely events or circumstances that would result in different estimates being reported for the three months ended March 31, 2026.</w:t>
      </w:r>
    </w:p>
    <w:p>
      <w:pPr>
        <w:pStyle w:val="TextBody"/>
        <w:bidi w:val="0"/>
        <w:spacing w:before="240" w:after="283"/>
        <w:jc w:val="left"/>
        <w:rPr>
          <w:rFonts w:ascii="Arial" w:hAnsi="Arial"/>
          <w:b/>
          <w:color w:val="000000"/>
          <w:sz w:val="20"/>
        </w:rPr>
      </w:pPr>
      <w:r>
        <w:rPr>
          <w:rFonts w:ascii="Arial" w:hAnsi="Arial"/>
          <w:b/>
          <w:color w:val="000000"/>
          <w:sz w:val="20"/>
        </w:rPr>
        <w:t>Recently Issued Accounting Pronouncements</w:t>
      </w:r>
    </w:p>
    <w:p>
      <w:pPr>
        <w:pStyle w:val="TextBody"/>
        <w:bidi w:val="0"/>
        <w:spacing w:before="120" w:after="283"/>
        <w:jc w:val="left"/>
        <w:rPr>
          <w:rFonts w:ascii="Arial" w:hAnsi="Arial"/>
          <w:color w:val="000000"/>
          <w:sz w:val="20"/>
        </w:rPr>
      </w:pPr>
      <w:r>
        <w:rPr>
          <w:rFonts w:ascii="Arial" w:hAnsi="Arial"/>
          <w:color w:val="000000"/>
          <w:sz w:val="20"/>
        </w:rPr>
        <w:t>See "Note C. Summary of Significant Accounting Policies” in Part I, Item 1, of this Quarterly Report on Form 10-Q.</w:t>
      </w:r>
    </w:p>
    <w:p>
      <w:pPr>
        <w:pStyle w:val="TextBody"/>
        <w:bidi w:val="0"/>
        <w:spacing w:before="180" w:after="283"/>
        <w:jc w:val="left"/>
        <w:rPr>
          <w:rFonts w:ascii="Arial" w:hAnsi="Arial"/>
          <w:b/>
          <w:color w:val="000000"/>
          <w:sz w:val="20"/>
        </w:rPr>
      </w:pPr>
      <w:r>
        <w:rPr>
          <w:rFonts w:ascii="Arial" w:hAnsi="Arial"/>
          <w:b/>
          <w:color w:val="000000"/>
          <w:sz w:val="20"/>
        </w:rPr>
        <w:t>Cautionary Note Regarding Forward-Looking Statements</w:t>
      </w:r>
    </w:p>
    <w:p>
      <w:pPr>
        <w:pStyle w:val="TextBody"/>
        <w:bidi w:val="0"/>
        <w:spacing w:before="120" w:after="283"/>
        <w:jc w:val="left"/>
        <w:rPr>
          <w:rFonts w:ascii="Times New Roman" w:hAnsi="Times New Roman"/>
          <w:sz w:val="20"/>
        </w:rPr>
      </w:pPr>
      <w:r>
        <w:rPr>
          <w:rFonts w:ascii="Arial" w:hAnsi="Arial"/>
          <w:color w:val="000000"/>
          <w:sz w:val="20"/>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significant costs we are expected to incur in connection with the integration of the Acquired Off-Highway Business; our ability to successfully integrate the Acquired Off-Highway Business and its operations in the expected time frame; our ability to realize all of the anticipated benefits from the integration of the Acquired Off-Highway Business and its operations and to effectively manage our expanded operations;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natural disasters, extreme weather events, wars and public health crises such as pandemics; global economic volatility; general economic and industry conditions, including the risk of prolonged inflation and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customers; cybersecurity risks to our operational systems, security systems or infrastructure owned by us or our third-party vendors and suppliers;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and tariffs;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bookmarkStart w:id="13" w:name="end_of_mda"/>
      <w:bookmarkEnd w:id="13"/>
      <w:r>
        <w:rPr>
          <w:rFonts w:ascii="Arial" w:hAnsi="Arial"/>
          <w:color w:val="000000"/>
          <w:sz w:val="20"/>
        </w:rPr>
        <w:t>Important factors that could cause actual results to differ materially from our expectations are disclosed in Part I, Item 1A of our Annual Report on Form 10-K for the year ended December 31, 2025 as filed with the SEC on February 24, 2026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 filings or public communications. You should evaluate all forward-looking statements made in this Quarterly Report on Form 10-Q in the context of these risks and uncertainties.</w:t>
      </w:r>
    </w:p>
    <w:p>
      <w:pPr>
        <w:pStyle w:val="TextBody"/>
        <w:bidi w:val="0"/>
        <w:spacing w:before="18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6452" w:type="dxa"/>
        <w:jc w:val="left"/>
        <w:tblInd w:w="0" w:type="dxa"/>
        <w:tblLayout w:type="fixed"/>
        <w:tblCellMar>
          <w:top w:w="28" w:type="dxa"/>
          <w:left w:w="28" w:type="dxa"/>
          <w:bottom w:w="28" w:type="dxa"/>
          <w:right w:w="28" w:type="dxa"/>
        </w:tblCellMar>
      </w:tblPr>
      <w:tblGrid>
        <w:gridCol w:w="826"/>
        <w:gridCol w:w="5626"/>
      </w:tblGrid>
      <w:tr>
        <w:trPr/>
        <w:tc>
          <w:tcPr>
            <w:tcW w:w="826"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3.</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bookmarkStart w:id="14" w:name="quantitativeandqualitativedisclosures"/>
            <w:bookmarkEnd w:id="14"/>
            <w:r>
              <w:rPr>
                <w:rFonts w:ascii="Arial" w:hAnsi="Arial"/>
                <w:b/>
                <w:color w:val="000000"/>
                <w:sz w:val="20"/>
              </w:rPr>
              <w:t xml:space="preserve">Quantitative and Qualitative </w:t>
            </w:r>
            <w:bookmarkStart w:id="15" w:name="quantitative_qualitative_disclosures_abo"/>
            <w:bookmarkEnd w:id="15"/>
            <w:r>
              <w:rPr>
                <w:rFonts w:ascii="Arial" w:hAnsi="Arial"/>
                <w:b/>
                <w:color w:val="000000"/>
                <w:sz w:val="20"/>
              </w:rPr>
              <w:t>Disclosures About Market Risk</w:t>
            </w:r>
          </w:p>
        </w:tc>
      </w:tr>
    </w:tbl>
    <w:p>
      <w:pPr>
        <w:pStyle w:val="TextBody"/>
        <w:bidi w:val="0"/>
        <w:spacing w:before="120" w:after="283"/>
        <w:jc w:val="left"/>
        <w:rPr>
          <w:rFonts w:ascii="Arial" w:hAnsi="Arial"/>
          <w:color w:val="000000"/>
          <w:sz w:val="20"/>
        </w:rPr>
      </w:pPr>
      <w:r>
        <w:rPr>
          <w:rFonts w:ascii="Arial" w:hAnsi="Arial"/>
          <w:color w:val="000000"/>
          <w:sz w:val="20"/>
        </w:rPr>
        <w:t>Our exposure to market risk consists of changes in interest rates, foreign currency rate fluctuations and movements in commodity prices.</w:t>
      </w:r>
    </w:p>
    <w:p>
      <w:pPr>
        <w:pStyle w:val="TextBody"/>
        <w:bidi w:val="0"/>
        <w:spacing w:before="120" w:after="283"/>
        <w:jc w:val="left"/>
        <w:rPr>
          <w:rFonts w:ascii="Arial" w:hAnsi="Arial"/>
          <w:b/>
          <w:i/>
          <w:color w:val="000000"/>
          <w:sz w:val="20"/>
        </w:rPr>
      </w:pPr>
      <w:r>
        <w:rPr>
          <w:rFonts w:ascii="Arial" w:hAnsi="Arial"/>
          <w:b/>
          <w:i/>
          <w:color w:val="000000"/>
          <w:sz w:val="20"/>
        </w:rPr>
        <w:t>Interest Rate Risk</w:t>
      </w:r>
    </w:p>
    <w:p>
      <w:pPr>
        <w:pStyle w:val="TextBody"/>
        <w:bidi w:val="0"/>
        <w:spacing w:before="120" w:after="283"/>
        <w:jc w:val="left"/>
        <w:rPr>
          <w:rFonts w:ascii="Times New Roman" w:hAnsi="Times New Roman"/>
          <w:sz w:val="20"/>
        </w:rPr>
      </w:pPr>
      <w:r>
        <w:rPr>
          <w:rFonts w:ascii="Arial" w:hAnsi="Arial"/>
          <w:color w:val="000000"/>
          <w:sz w:val="20"/>
        </w:rPr>
        <w:t>Our principal interest rate exposure relates to outstanding amounts under our Senior Secured Credit Facility. Our Senior Secured Credit Facility provides for variable rate borrowings of up to $2,553 million, including our $508 million Term Loan, $1,200 million Incremental Term Loan and $845 million available under our Revolving Credit Facility, net of $150 million of revolving loans outstanding and $5 million of letters of credit. A one-eighth percent increase or decrease in assumed interest rates for the Senior Secured Credit Facility, if fully drawn as of March 31, 2026, would have an impact of approximately $3 million on interest expense per year.</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Exchange Rate Risk</w:t>
      </w:r>
    </w:p>
    <w:p>
      <w:pPr>
        <w:pStyle w:val="TextBody"/>
        <w:bidi w:val="0"/>
        <w:spacing w:before="120" w:after="283"/>
        <w:jc w:val="left"/>
        <w:rPr>
          <w:rFonts w:ascii="Times New Roman" w:hAnsi="Times New Roman"/>
          <w:sz w:val="20"/>
        </w:rPr>
      </w:pPr>
      <w:r>
        <w:rPr>
          <w:rFonts w:ascii="Arial" w:hAnsi="Arial"/>
          <w:color w:val="000000"/>
          <w:sz w:val="20"/>
        </w:rPr>
        <w:t>We conduct business in various locations throughout the world and transact in numerous foreign currencies. As a result, we are exposed to volatility in our results of operations related to movements in foreign currency exchange rates. The U.S. dollar is our reporting currency, but the functional currencies of our foreign subsidiaries are primarily the local currency in the country of domicile or the currency in which the subsidiary conducts its operations. To help manage these transaction and translation exposures to exchange rate changes, we intend to utilize derivative financial instruments, including foreign currency forward contracts and cross-currency interest rate swaps. As appropriate, we will designate these derivative financial instruments as hedges that qualify for hedge accounting.</w:t>
      </w:r>
      <w:r>
        <w:rPr>
          <w:rFonts w:ascii="Times New Roman" w:hAnsi="Times New Roman"/>
          <w:color w:val="000000"/>
          <w:sz w:val="20"/>
        </w:rPr>
        <w:t xml:space="preserve"> </w:t>
      </w:r>
    </w:p>
    <w:p>
      <w:pPr>
        <w:pStyle w:val="TextBody"/>
        <w:bidi w:val="0"/>
        <w:spacing w:before="120" w:after="283"/>
        <w:jc w:val="left"/>
        <w:rPr>
          <w:rFonts w:ascii="Arial" w:hAnsi="Arial"/>
          <w:b/>
          <w:i/>
          <w:color w:val="000000"/>
          <w:sz w:val="20"/>
        </w:rPr>
      </w:pPr>
      <w:r>
        <w:rPr>
          <w:rFonts w:ascii="Arial" w:hAnsi="Arial"/>
          <w:b/>
          <w:i/>
          <w:color w:val="000000"/>
          <w:sz w:val="20"/>
        </w:rPr>
        <w:t>Commodity Price Risk</w:t>
      </w:r>
    </w:p>
    <w:p>
      <w:pPr>
        <w:pStyle w:val="TextBody"/>
        <w:bidi w:val="0"/>
        <w:spacing w:before="120" w:after="283"/>
        <w:jc w:val="left"/>
        <w:rPr>
          <w:rFonts w:ascii="Arial" w:hAnsi="Arial"/>
          <w:color w:val="000000"/>
          <w:sz w:val="20"/>
        </w:rPr>
      </w:pPr>
      <w:r>
        <w:rPr>
          <w:rFonts w:ascii="Arial" w:hAnsi="Arial"/>
          <w:color w:val="000000"/>
          <w:sz w:val="20"/>
        </w:rPr>
        <w:t>We are subject to changes in our cost of sales caused by movements in underlying commodity prices. As of March 31, 2026, approximately 72% of our cost of sales consisted of purchased components. A substantial portion of the purchased parts are made of aluminum, steel and iron. The cost of aluminum parts includes an adjustment factor on future purchases for fluctuations in aluminum prices based on accepted industry indices. In addition, a substantial amount of iron- and steel-based contracts also include an index-based component. As our costs change, we are able to pass through a portion of the changes in commodity prices to certain of our customers according to our LTAs. We historically have not entered into long-term purchase contracts related to the purchase of aluminum, steel or iron.</w:t>
      </w:r>
    </w:p>
    <w:p>
      <w:pPr>
        <w:pStyle w:val="TextBody"/>
        <w:bidi w:val="0"/>
        <w:spacing w:before="120" w:after="283"/>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tbl>
      <w:tblPr>
        <w:tblW w:w="3287" w:type="dxa"/>
        <w:jc w:val="left"/>
        <w:tblInd w:w="0" w:type="dxa"/>
        <w:tblLayout w:type="fixed"/>
        <w:tblCellMar>
          <w:top w:w="28" w:type="dxa"/>
          <w:left w:w="28" w:type="dxa"/>
          <w:bottom w:w="28" w:type="dxa"/>
          <w:right w:w="28" w:type="dxa"/>
        </w:tblCellMar>
      </w:tblPr>
      <w:tblGrid>
        <w:gridCol w:w="826"/>
        <w:gridCol w:w="2461"/>
      </w:tblGrid>
      <w:tr>
        <w:trPr/>
        <w:tc>
          <w:tcPr>
            <w:tcW w:w="82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4.</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bookmarkStart w:id="16" w:name="controlsandprocedures"/>
            <w:bookmarkEnd w:id="16"/>
            <w:r>
              <w:rPr>
                <w:rFonts w:ascii="Arial" w:hAnsi="Arial"/>
                <w:b/>
                <w:color w:val="000000"/>
                <w:sz w:val="20"/>
              </w:rPr>
              <w:t>Controls and</w:t>
            </w:r>
            <w:bookmarkStart w:id="17" w:name="controls_procedures"/>
            <w:bookmarkEnd w:id="17"/>
            <w:r>
              <w:rPr>
                <w:rFonts w:ascii="Times New Roman" w:hAnsi="Times New Roman"/>
                <w:color w:val="000000"/>
                <w:sz w:val="20"/>
              </w:rPr>
              <w:t> </w:t>
            </w:r>
            <w:r>
              <w:rPr>
                <w:rFonts w:ascii="Arial" w:hAnsi="Arial"/>
                <w:b/>
                <w:color w:val="000000"/>
                <w:sz w:val="20"/>
              </w:rPr>
              <w:t>Procedures</w:t>
            </w:r>
          </w:p>
        </w:tc>
      </w:tr>
    </w:tbl>
    <w:p>
      <w:pPr>
        <w:pStyle w:val="TextBody"/>
        <w:bidi w:val="0"/>
        <w:spacing w:before="240" w:after="28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120" w:after="283"/>
        <w:jc w:val="left"/>
        <w:rPr>
          <w:rFonts w:ascii="Arial" w:hAnsi="Arial"/>
          <w:color w:val="000000"/>
          <w:sz w:val="20"/>
        </w:rPr>
      </w:pPr>
      <w:r>
        <w:rPr>
          <w:rFonts w:ascii="Arial" w:hAnsi="Arial"/>
          <w:color w:val="000000"/>
          <w:sz w:val="20"/>
        </w:rPr>
        <w:t>Our management, with the participation of our Chief Executive Officer, who is our principal executive officer, and our Chief Financial Officer, who is our principal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As permitted by SEC guidance for newly acquired businesses, the evaluation did not include an assessment of those disclosure controls and procedures that are subsumed by, and did not include as assessment of internal control over financial reporting as it relates to, Allison Off-Highway, which was acquired on January 1, 2026.</w:t>
      </w:r>
    </w:p>
    <w:p>
      <w:pPr>
        <w:pStyle w:val="TextBody"/>
        <w:bidi w:val="0"/>
        <w:spacing w:before="120" w:after="283"/>
        <w:jc w:val="left"/>
        <w:rPr>
          <w:rFonts w:ascii="Arial" w:hAnsi="Arial"/>
          <w:color w:val="000000"/>
          <w:sz w:val="20"/>
        </w:rPr>
      </w:pPr>
      <w:r>
        <w:rPr>
          <w:rFonts w:ascii="Arial" w:hAnsi="Arial"/>
          <w:color w:val="000000"/>
          <w:sz w:val="20"/>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Except as set forth below, 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pStyle w:val="TextBody"/>
        <w:bidi w:val="0"/>
        <w:spacing w:before="120" w:after="283"/>
        <w:jc w:val="left"/>
        <w:rPr>
          <w:rFonts w:ascii="Arial" w:hAnsi="Arial"/>
          <w:color w:val="000000"/>
          <w:sz w:val="20"/>
        </w:rPr>
      </w:pPr>
      <w:r>
        <w:rPr>
          <w:rFonts w:ascii="Arial" w:hAnsi="Arial"/>
          <w:color w:val="000000"/>
          <w:sz w:val="20"/>
        </w:rPr>
        <w:t>On January 1, 2026, we completed the Acquisition. As part of our ongoing integration of the Acquired Off-Highway Business, we are continuing to incorporate our controls and procedures and to augment our company-wide controls to reflect the risks inherent in an acquisition of this type. As permitted by the SEC guidance for newly acquired businesses, our report on our internal control over financial reporting in our Annual Report on Form 10-K for the year ending December 31, 2026, will include a scope exception that excludes Allison Off-Highway in order for management to have sufficient time to evaluate and implement our internal control structure over the operations of the business.</w:t>
      </w:r>
    </w:p>
    <w:p>
      <w:pPr>
        <w:pStyle w:val="TextBody"/>
        <w:bidi w:val="0"/>
        <w:spacing w:before="18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283"/>
              <w:jc w:val="left"/>
              <w:rPr>
                <w:sz w:val="4"/>
                <w:szCs w:val="4"/>
              </w:rPr>
            </w:pPr>
            <w:r>
              <w:rPr>
                <w:sz w:val="4"/>
                <w:szCs w:val="4"/>
              </w:rPr>
            </w:r>
          </w:p>
        </w:tc>
      </w:tr>
      <w:tr>
        <w:trPr/>
        <w:tc>
          <w:tcPr>
            <w:tcW w:w="307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 w:hAnsi="Times New Roman"/>
                <w:sz w:val="20"/>
              </w:rPr>
            </w:pPr>
            <w:bookmarkStart w:id="18" w:name="part_ii_or_information"/>
            <w:bookmarkEnd w:id="18"/>
            <w:r>
              <w:rPr>
                <w:rFonts w:ascii="Arial" w:hAnsi="Arial"/>
                <w:b/>
                <w:color w:val="000000"/>
                <w:sz w:val="20"/>
              </w:rPr>
              <w:t>PART II. OTHER</w:t>
            </w:r>
            <w:r>
              <w:rPr>
                <w:rFonts w:ascii="Times New Roman" w:hAnsi="Times New Roman"/>
                <w:color w:val="000000"/>
                <w:sz w:val="20"/>
              </w:rPr>
              <w:t> </w:t>
            </w:r>
            <w:r>
              <w:rPr>
                <w:rFonts w:ascii="Arial" w:hAnsi="Arial"/>
                <w:b/>
                <w:color w:val="000000"/>
                <w:sz w:val="20"/>
              </w:rPr>
              <w:t>INFORMATION</w:t>
            </w:r>
          </w:p>
        </w:tc>
      </w:tr>
    </w:tbl>
    <w:p>
      <w:pPr>
        <w:pStyle w:val="TextBody"/>
        <w:bidi w:val="0"/>
        <w:spacing w:before="240" w:after="283"/>
        <w:jc w:val="left"/>
        <w:rPr>
          <w:rFonts w:ascii="Times New Roman" w:hAnsi="Times New Roman"/>
          <w:sz w:val="20"/>
        </w:rPr>
      </w:pPr>
      <w:bookmarkStart w:id="19" w:name="item_1_legal_proceedings"/>
      <w:bookmarkEnd w:id="19"/>
      <w:r>
        <w:rPr>
          <w:rFonts w:ascii="Arial" w:hAnsi="Arial"/>
          <w:b/>
          <w:color w:val="000000"/>
          <w:sz w:val="20"/>
        </w:rPr>
        <w:t>Item 1. Legal</w:t>
      </w:r>
      <w:r>
        <w:rPr>
          <w:rFonts w:ascii="Times New Roman" w:hAnsi="Times New Roman"/>
          <w:color w:val="000000"/>
          <w:sz w:val="20"/>
        </w:rPr>
        <w:t xml:space="preserve"> </w:t>
      </w:r>
      <w:r>
        <w:rPr>
          <w:rFonts w:ascii="Arial" w:hAnsi="Arial"/>
          <w:b/>
          <w:color w:val="000000"/>
          <w:sz w:val="20"/>
        </w:rPr>
        <w:t>Proceedings</w:t>
      </w:r>
    </w:p>
    <w:p>
      <w:pPr>
        <w:pStyle w:val="TextBody"/>
        <w:bidi w:val="0"/>
        <w:spacing w:before="120" w:after="283"/>
        <w:jc w:val="left"/>
        <w:rPr>
          <w:rFonts w:ascii="Arial" w:hAnsi="Arial"/>
          <w:color w:val="000000"/>
          <w:sz w:val="20"/>
        </w:rPr>
      </w:pPr>
      <w:r>
        <w:rPr>
          <w:rFonts w:ascii="Arial" w:hAnsi="Arial"/>
          <w:color w:val="000000"/>
          <w:sz w:val="20"/>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pStyle w:val="TextBody"/>
        <w:bidi w:val="0"/>
        <w:spacing w:before="240" w:after="283"/>
        <w:jc w:val="left"/>
        <w:rPr>
          <w:rFonts w:ascii="Arial" w:hAnsi="Arial"/>
          <w:b/>
          <w:color w:val="000000"/>
          <w:sz w:val="20"/>
        </w:rPr>
      </w:pPr>
      <w:bookmarkStart w:id="20" w:name="item_1a_risk_factors"/>
      <w:bookmarkEnd w:id="20"/>
      <w:r>
        <w:rPr>
          <w:rFonts w:ascii="Arial" w:hAnsi="Arial"/>
          <w:b/>
          <w:color w:val="000000"/>
          <w:sz w:val="20"/>
        </w:rPr>
        <w:t>Item 1A. Risk Factors</w:t>
      </w:r>
    </w:p>
    <w:p>
      <w:pPr>
        <w:pStyle w:val="TextBody"/>
        <w:bidi w:val="0"/>
        <w:spacing w:before="120" w:after="283"/>
        <w:jc w:val="left"/>
        <w:rPr>
          <w:rFonts w:ascii="Times New Roman" w:hAnsi="Times New Roman"/>
          <w:sz w:val="20"/>
        </w:rPr>
      </w:pPr>
      <w:r>
        <w:rPr>
          <w:rFonts w:ascii="Arial" w:hAnsi="Arial"/>
          <w:color w:val="000000"/>
          <w:sz w:val="20"/>
        </w:rPr>
        <w:t>There have been no material changes from our risk factors as previously reported in Part I, Item 1A of our Annual Report on Form 10-K for the year ended December 31, 2025 as filed with the SEC on February 24, 2026.</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bookmarkStart w:id="21" w:name="item_2_unregistered_sales_equity_securit"/>
      <w:bookmarkEnd w:id="21"/>
      <w:r>
        <w:rPr>
          <w:rFonts w:ascii="Arial" w:hAnsi="Arial"/>
          <w:b/>
          <w:color w:val="000000"/>
          <w:sz w:val="20"/>
        </w:rPr>
        <w:t>Item 2. Unregistered Sales of Equity Securities and Use of Proceeds</w:t>
      </w:r>
    </w:p>
    <w:p>
      <w:pPr>
        <w:pStyle w:val="TextBody"/>
        <w:bidi w:val="0"/>
        <w:spacing w:before="120" w:after="283"/>
        <w:jc w:val="left"/>
        <w:rPr>
          <w:rFonts w:ascii="Arial" w:hAnsi="Arial"/>
          <w:color w:val="000000"/>
          <w:sz w:val="20"/>
        </w:rPr>
      </w:pPr>
      <w:r>
        <w:rPr>
          <w:rFonts w:ascii="Arial" w:hAnsi="Arial"/>
          <w:color w:val="000000"/>
          <w:sz w:val="20"/>
        </w:rPr>
        <w:t>The following table sets forth information related to our repurchases of our common stock on a monthly basis during the three months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7"/>
        <w:gridCol w:w="146"/>
        <w:gridCol w:w="182"/>
        <w:gridCol w:w="1001"/>
        <w:gridCol w:w="146"/>
        <w:gridCol w:w="146"/>
        <w:gridCol w:w="211"/>
        <w:gridCol w:w="691"/>
        <w:gridCol w:w="146"/>
        <w:gridCol w:w="146"/>
        <w:gridCol w:w="182"/>
        <w:gridCol w:w="1001"/>
        <w:gridCol w:w="146"/>
        <w:gridCol w:w="146"/>
        <w:gridCol w:w="353"/>
        <w:gridCol w:w="2239"/>
        <w:gridCol w:w="476"/>
      </w:tblGrid>
      <w:tr>
        <w:trPr/>
        <w:tc>
          <w:tcPr>
            <w:tcW w:w="2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w:t>
              <w:br/>
              <w:t>of Shares</w:t>
              <w:br/>
              <w:t>Purchased</w:t>
              <w:br/>
              <w:t>as Part of</w:t>
              <w:br/>
              <w:t>Publicly</w:t>
              <w:br/>
              <w:t>Announced</w:t>
              <w:br/>
              <w:t>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Approximate</w:t>
              <w:br/>
              <w:t>Dollar Value of</w:t>
              <w:br/>
              <w:t>Shares that May</w:t>
              <w:br/>
              <w:t>Yet Be Purchased</w:t>
              <w:br/>
              <w:t>Under the Plans or Programs(1)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January 1 –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1,189,194,413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1 –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1,187,695,117</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1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1,171,197,717</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These values reflect the amounts that may be repurchased under the Repurchase Program approved by the Board of Directors on November 14, 2016 and the increases approved by the Board of Directors on November 8, 2017, July 30, 2018, May 9, 2019, February 24, 2022 and February 20, 2025, which in the aggregate total authorized repurchases of $5,000 million. The Repurchase Program has no termination date.</w:t>
      </w:r>
    </w:p>
    <w:p>
      <w:pPr>
        <w:pStyle w:val="TextBody"/>
        <w:bidi w:val="0"/>
        <w:spacing w:before="18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bookmarkStart w:id="22" w:name="item_5_other_info"/>
      <w:bookmarkEnd w:id="22"/>
      <w:r>
        <w:rPr>
          <w:rFonts w:ascii="Arial" w:hAnsi="Arial"/>
          <w:b/>
          <w:color w:val="000000"/>
          <w:sz w:val="20"/>
        </w:rPr>
        <w:t>Item 5. Other Information</w:t>
      </w:r>
    </w:p>
    <w:p>
      <w:pPr>
        <w:pStyle w:val="TextBody"/>
        <w:bidi w:val="0"/>
        <w:spacing w:before="120" w:after="283"/>
        <w:jc w:val="left"/>
        <w:rPr>
          <w:rFonts w:ascii="Arial" w:hAnsi="Arial"/>
          <w:b/>
          <w:color w:val="000000"/>
          <w:sz w:val="20"/>
        </w:rPr>
      </w:pPr>
      <w:r>
        <w:rPr>
          <w:rFonts w:ascii="Arial" w:hAnsi="Arial"/>
          <w:b/>
          <w:color w:val="000000"/>
          <w:sz w:val="20"/>
        </w:rPr>
        <w:t>Insider Trading Arrangements</w:t>
      </w:r>
    </w:p>
    <w:p>
      <w:pPr>
        <w:pStyle w:val="TextBody"/>
        <w:bidi w:val="0"/>
        <w:spacing w:before="120" w:after="283"/>
        <w:jc w:val="left"/>
        <w:rPr>
          <w:rFonts w:ascii="Arial" w:hAnsi="Arial"/>
          <w:color w:val="000000"/>
          <w:sz w:val="20"/>
        </w:rPr>
      </w:pPr>
      <w:r>
        <w:rPr>
          <w:rFonts w:ascii="Arial" w:hAnsi="Arial"/>
          <w:color w:val="000000"/>
          <w:sz w:val="20"/>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1"/>
        <w:gridCol w:w="146"/>
        <w:gridCol w:w="2172"/>
        <w:gridCol w:w="146"/>
        <w:gridCol w:w="826"/>
        <w:gridCol w:w="146"/>
        <w:gridCol w:w="707"/>
        <w:gridCol w:w="146"/>
        <w:gridCol w:w="772"/>
        <w:gridCol w:w="146"/>
        <w:gridCol w:w="1143"/>
        <w:gridCol w:w="146"/>
        <w:gridCol w:w="1190"/>
        <w:gridCol w:w="146"/>
        <w:gridCol w:w="1132"/>
      </w:tblGrid>
      <w:tr>
        <w:trPr/>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Shares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Expiration Date</w:t>
            </w:r>
          </w:p>
        </w:tc>
      </w:tr>
      <w:tr>
        <w:trPr/>
        <w:tc>
          <w:tcPr>
            <w:tcW w:w="1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Eric C Scroggins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Legal Officer and Assistant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Adopted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6/9/2027</w:t>
            </w:r>
          </w:p>
        </w:tc>
      </w:tr>
    </w:tbl>
    <w:p>
      <w:pPr>
        <w:pStyle w:val="TextBody"/>
        <w:bidi w:val="0"/>
        <w:spacing w:before="120" w:after="283"/>
        <w:jc w:val="left"/>
        <w:rPr>
          <w:rFonts w:ascii="Arial" w:hAnsi="Arial"/>
          <w:color w:val="000000"/>
          <w:sz w:val="20"/>
        </w:rPr>
      </w:pPr>
      <w:r>
        <w:rPr>
          <w:rFonts w:ascii="Arial" w:hAnsi="Arial"/>
          <w:color w:val="000000"/>
          <w:sz w:val="20"/>
        </w:rPr>
        <w:t>* Intended to satisfy the affirmative defense of Rule 10b5-1(c)</w:t>
      </w:r>
    </w:p>
    <w:p>
      <w:pPr>
        <w:pStyle w:val="TextBody"/>
        <w:bidi w:val="0"/>
        <w:jc w:val="left"/>
        <w:rPr>
          <w:rFonts w:ascii="Arial" w:hAnsi="Arial"/>
          <w:color w:val="000000"/>
          <w:sz w:val="20"/>
        </w:rPr>
      </w:pPr>
      <w:r>
        <w:rPr>
          <w:rFonts w:ascii="Arial" w:hAnsi="Arial"/>
          <w:color w:val="000000"/>
          <w:sz w:val="20"/>
        </w:rPr>
        <w:t>** Not intended to satisfy the affirmative defense of Rule 10b5-1(c)</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667" w:type="dxa"/>
        <w:jc w:val="left"/>
        <w:tblInd w:w="0" w:type="dxa"/>
        <w:tblLayout w:type="fixed"/>
        <w:tblCellMar>
          <w:top w:w="28" w:type="dxa"/>
          <w:left w:w="28" w:type="dxa"/>
          <w:bottom w:w="28" w:type="dxa"/>
          <w:right w:w="28" w:type="dxa"/>
        </w:tblCellMar>
      </w:tblPr>
      <w:tblGrid>
        <w:gridCol w:w="751"/>
        <w:gridCol w:w="916"/>
      </w:tblGrid>
      <w:tr>
        <w:trPr/>
        <w:tc>
          <w:tcPr>
            <w:tcW w:w="75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751" w:type="dxa"/>
            <w:tcBorders>
              <w:top w:val="single" w:sz="8" w:space="0" w:color="000000"/>
              <w:bottom w:val="single" w:sz="8" w:space="0" w:color="000000"/>
            </w:tcBorders>
            <w:tcMar>
              <w:left w:w="0" w:type="dxa"/>
              <w:right w:w="0" w:type="dxa"/>
            </w:tcMar>
            <w:vAlign w:val="center"/>
          </w:tcPr>
          <w:p>
            <w:pPr>
              <w:pStyle w:val="TableContents"/>
              <w:bidi w:val="0"/>
              <w:spacing w:before="40" w:after="40"/>
              <w:jc w:val="left"/>
              <w:rPr>
                <w:rFonts w:ascii="Arial" w:hAnsi="Arial"/>
                <w:b/>
                <w:color w:val="000000"/>
                <w:sz w:val="20"/>
              </w:rPr>
            </w:pPr>
            <w:r>
              <w:rPr>
                <w:rFonts w:ascii="Arial" w:hAnsi="Arial"/>
                <w:b/>
                <w:color w:val="000000"/>
                <w:sz w:val="20"/>
              </w:rPr>
              <w:t>Item 6.</w:t>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before="40" w:after="40"/>
              <w:jc w:val="left"/>
              <w:rPr>
                <w:rFonts w:ascii="Arial" w:hAnsi="Arial"/>
                <w:b/>
                <w:color w:val="000000"/>
                <w:sz w:val="20"/>
              </w:rPr>
            </w:pPr>
            <w:bookmarkStart w:id="23" w:name="exhibits"/>
            <w:bookmarkEnd w:id="23"/>
            <w:r>
              <w:rPr>
                <w:rFonts w:ascii="Arial" w:hAnsi="Arial"/>
                <w:b/>
                <w:color w:val="000000"/>
                <w:sz w:val="20"/>
              </w:rPr>
              <w:t>Exhibits</w:t>
            </w:r>
          </w:p>
        </w:tc>
      </w:tr>
    </w:tbl>
    <w:p>
      <w:pPr>
        <w:pStyle w:val="TextBody"/>
        <w:bidi w:val="0"/>
        <w:spacing w:before="120" w:after="283"/>
        <w:jc w:val="left"/>
        <w:rPr>
          <w:rFonts w:ascii="Arial" w:hAnsi="Arial"/>
          <w:color w:val="000000"/>
          <w:sz w:val="20"/>
        </w:rPr>
      </w:pPr>
      <w:r>
        <w:rPr>
          <w:rFonts w:ascii="Arial" w:hAnsi="Arial"/>
          <w:color w:val="000000"/>
          <w:sz w:val="20"/>
        </w:rPr>
        <w:t>(a)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7"/>
        <w:gridCol w:w="9398"/>
      </w:tblGrid>
      <w:tr>
        <w:trPr/>
        <w:tc>
          <w:tcPr>
            <w:tcW w:w="807" w:type="dxa"/>
            <w:tcBorders/>
            <w:vAlign w:val="center"/>
          </w:tcPr>
          <w:p>
            <w:pPr>
              <w:pStyle w:val="TableContents"/>
              <w:bidi w:val="0"/>
              <w:spacing w:before="0" w:after="283"/>
              <w:jc w:val="left"/>
              <w:rPr>
                <w:sz w:val="4"/>
                <w:szCs w:val="4"/>
              </w:rPr>
            </w:pPr>
            <w:r>
              <w:rPr>
                <w:sz w:val="4"/>
                <w:szCs w:val="4"/>
              </w:rPr>
            </w:r>
          </w:p>
        </w:tc>
        <w:tc>
          <w:tcPr>
            <w:tcW w:w="9398" w:type="dxa"/>
            <w:tcBorders/>
            <w:vAlign w:val="center"/>
          </w:tcPr>
          <w:p>
            <w:pPr>
              <w:pStyle w:val="TableContents"/>
              <w:bidi w:val="0"/>
              <w:spacing w:before="0" w:after="283"/>
              <w:jc w:val="left"/>
              <w:rPr>
                <w:sz w:val="4"/>
                <w:szCs w:val="4"/>
              </w:rPr>
            </w:pPr>
            <w:r>
              <w:rPr>
                <w:sz w:val="4"/>
                <w:szCs w:val="4"/>
              </w:rPr>
            </w:r>
          </w:p>
        </w:tc>
      </w:tr>
      <w:tr>
        <w:trPr/>
        <w:tc>
          <w:tcPr>
            <w:tcW w:w="807" w:type="dxa"/>
            <w:tcBorders/>
            <w:tcMar>
              <w:top w:w="0" w:type="dxa"/>
              <w:left w:w="0" w:type="dxa"/>
              <w:bottom w:w="0" w:type="dxa"/>
              <w:right w:w="0" w:type="dxa"/>
            </w:tcMar>
            <w:vAlign w:val="center"/>
          </w:tcPr>
          <w:p>
            <w:pPr>
              <w:pStyle w:val="TableContents"/>
              <w:bidi w:val="0"/>
              <w:jc w:val="center"/>
              <w:rPr>
                <w:rFonts w:ascii="Arial" w:hAnsi="Arial"/>
                <w:b/>
                <w:color w:val="000000"/>
                <w:sz w:val="16"/>
                <w:u w:val="single"/>
              </w:rPr>
            </w:pPr>
            <w:r>
              <w:rPr>
                <w:rFonts w:ascii="Arial" w:hAnsi="Arial"/>
                <w:b/>
                <w:color w:val="000000"/>
                <w:sz w:val="16"/>
                <w:u w:val="single"/>
              </w:rPr>
              <w:t>Exhibit</w:t>
            </w:r>
          </w:p>
          <w:p>
            <w:pPr>
              <w:pStyle w:val="TableContents"/>
              <w:bidi w:val="0"/>
              <w:spacing w:before="0" w:after="283"/>
              <w:jc w:val="center"/>
              <w:rPr>
                <w:rFonts w:ascii="Arial" w:hAnsi="Arial"/>
                <w:b/>
                <w:color w:val="000000"/>
                <w:sz w:val="16"/>
                <w:u w:val="single"/>
              </w:rPr>
            </w:pPr>
            <w:r>
              <w:rPr>
                <w:rFonts w:ascii="Arial" w:hAnsi="Arial"/>
                <w:b/>
                <w:color w:val="000000"/>
                <w:sz w:val="16"/>
                <w:u w:val="single"/>
              </w:rPr>
              <w:t>Number</w:t>
            </w:r>
          </w:p>
        </w:tc>
        <w:tc>
          <w:tcPr>
            <w:tcW w:w="9398"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u w:val="single"/>
              </w:rPr>
            </w:pPr>
            <w:r>
              <w:rPr>
                <w:rFonts w:ascii="Arial" w:hAnsi="Arial"/>
                <w:b/>
                <w:color w:val="000000"/>
                <w:sz w:val="16"/>
                <w:u w:val="single"/>
              </w:rPr>
              <w:t>Description</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10.1</w:t>
            </w:r>
          </w:p>
        </w:tc>
        <w:tc>
          <w:tcPr>
            <w:tcW w:w="939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Amendment No. 5 to Credit Agreement, dated as of January 2, 2026, among Allison Transmission, Inc., Allison Transmission Holdings, Inc., Citibank, N.A., as administrative agent, and certain lenders and letter of credit issuers party thereto (incorporated by reference to Exhibit 10.1 to the Registrant’s Current Report on Form 8-K filed January 2, 2026)</w:t>
              </w:r>
            </w:hyperlink>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10.2</w:t>
            </w:r>
          </w:p>
        </w:tc>
        <w:tc>
          <w:tcPr>
            <w:tcW w:w="939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Service Agreement, between Data UK Driveshaft Limited and Craig Price, dated as of January 12, 2026 (incorporated by reference to Exhibit 10.33 to the Registrant’s Annual Report on Form 10-K for the year ended December 31, 2025 filed February 24, 2026)</w:t>
              </w:r>
            </w:hyperlink>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31.1</w:t>
            </w:r>
          </w:p>
        </w:tc>
        <w:tc>
          <w:tcPr>
            <w:tcW w:w="9398" w:type="dxa"/>
            <w:tcBorders/>
            <w:tcMar>
              <w:top w:w="0" w:type="dxa"/>
              <w:left w:w="0" w:type="dxa"/>
              <w:bottom w:w="0" w:type="dxa"/>
              <w:right w:w="0" w:type="dxa"/>
            </w:tcMar>
            <w:vAlign w:val="center"/>
          </w:tcPr>
          <w:p>
            <w:pPr>
              <w:pStyle w:val="TableContents"/>
              <w:bidi w:val="0"/>
              <w:spacing w:before="0" w:after="283"/>
              <w:jc w:val="left"/>
              <w:rPr/>
            </w:pPr>
            <w:hyperlink w:anchor="alsn-ex31_1.htm">
              <w:r>
                <w:rPr>
                  <w:rStyle w:val="InternetLink"/>
                  <w:rFonts w:ascii="Arial" w:hAnsi="Arial"/>
                  <w:color w:val="0000FF"/>
                  <w:sz w:val="20"/>
                  <w:u w:val="single"/>
                </w:rPr>
                <w:t>Certification of Chief Executive Officer pursuant to Rule 13a-14(a)/15d-14(a) as adopted pursuant to Section 302 of the Sarbanes-Oxley Act of 2002 (filed herewith)</w:t>
              </w:r>
            </w:hyperlink>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31.2</w:t>
            </w:r>
          </w:p>
        </w:tc>
        <w:tc>
          <w:tcPr>
            <w:tcW w:w="9398" w:type="dxa"/>
            <w:tcBorders/>
            <w:tcMar>
              <w:top w:w="0" w:type="dxa"/>
              <w:left w:w="0" w:type="dxa"/>
              <w:bottom w:w="0" w:type="dxa"/>
              <w:right w:w="0" w:type="dxa"/>
            </w:tcMar>
            <w:vAlign w:val="center"/>
          </w:tcPr>
          <w:p>
            <w:pPr>
              <w:pStyle w:val="TableContents"/>
              <w:bidi w:val="0"/>
              <w:spacing w:before="0" w:after="283"/>
              <w:jc w:val="left"/>
              <w:rPr/>
            </w:pPr>
            <w:hyperlink w:anchor="alsn-ex31_2.htm">
              <w:r>
                <w:rPr>
                  <w:rStyle w:val="InternetLink"/>
                  <w:rFonts w:ascii="Arial" w:hAnsi="Arial"/>
                  <w:color w:val="0000FF"/>
                  <w:sz w:val="20"/>
                  <w:u w:val="single"/>
                </w:rPr>
                <w:t>Certification of Chief Financial Officer pursuant to Rule 13a-14(a)/15d-14(a) as adopted pursuant to Section 302 of the Sarbanes-Oxley Act of 2002 (filed herewith)</w:t>
              </w:r>
            </w:hyperlink>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32.1</w:t>
            </w:r>
          </w:p>
        </w:tc>
        <w:tc>
          <w:tcPr>
            <w:tcW w:w="9398" w:type="dxa"/>
            <w:tcBorders/>
            <w:tcMar>
              <w:top w:w="0" w:type="dxa"/>
              <w:left w:w="0" w:type="dxa"/>
              <w:bottom w:w="0" w:type="dxa"/>
              <w:right w:w="0" w:type="dxa"/>
            </w:tcMar>
            <w:vAlign w:val="center"/>
          </w:tcPr>
          <w:p>
            <w:pPr>
              <w:pStyle w:val="TableContents"/>
              <w:bidi w:val="0"/>
              <w:spacing w:before="0" w:after="283"/>
              <w:jc w:val="left"/>
              <w:rPr/>
            </w:pPr>
            <w:hyperlink w:anchor="alsn-ex32_1.htm">
              <w:r>
                <w:rPr>
                  <w:rStyle w:val="InternetLink"/>
                  <w:rFonts w:ascii="Arial" w:hAnsi="Arial"/>
                  <w:color w:val="0000FF"/>
                  <w:sz w:val="20"/>
                  <w:u w:val="single"/>
                </w:rPr>
                <w:t>Certification of Periodic Report by Chief Executive Officer and Chief Financial Officer pursuant to 18 U.S.C. Section 1350, as adopted pursuant to Section 906 of the Sarbanes-Oxley Act of 2002 (filed herewith)</w:t>
              </w:r>
            </w:hyperlink>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939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(filed herewith)</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101.SCH</w:t>
            </w:r>
          </w:p>
        </w:tc>
        <w:tc>
          <w:tcPr>
            <w:tcW w:w="939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 (filed herewith)</w:t>
            </w:r>
          </w:p>
        </w:tc>
      </w:tr>
      <w:tr>
        <w:trPr/>
        <w:tc>
          <w:tcPr>
            <w:tcW w:w="807" w:type="dxa"/>
            <w:tcBorders/>
            <w:tcMar>
              <w:top w:w="0" w:type="dxa"/>
              <w:left w:w="0" w:type="dxa"/>
              <w:bottom w:w="0" w:type="dxa"/>
              <w:right w:w="0" w:type="dxa"/>
            </w:tcMar>
            <w:vAlign w:val="center"/>
          </w:tcPr>
          <w:p>
            <w:pPr>
              <w:pStyle w:val="TableContents"/>
              <w:bidi w:val="0"/>
              <w:spacing w:before="0" w:after="283"/>
              <w:jc w:val="left"/>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939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 The cover page from the Registrant’s Quarterly Report on Form 10-Q for the quarter ended March 31, 2026, formatted in Inline XBRL and contained in Exhibit 101</w:t>
            </w:r>
          </w:p>
        </w:tc>
      </w:tr>
    </w:tbl>
    <w:p>
      <w:pPr>
        <w:pStyle w:val="TextBody"/>
        <w:bidi w:val="0"/>
        <w:spacing w:before="120" w:after="283"/>
        <w:jc w:val="left"/>
        <w:rPr>
          <w:rFonts w:ascii="Arial" w:hAnsi="Arial"/>
          <w:color w:val="000000"/>
          <w:sz w:val="20"/>
        </w:rPr>
      </w:pPr>
      <w:r>
        <w:rPr>
          <w:rFonts w:ascii="Arial" w:hAnsi="Arial"/>
          <w:color w:val="000000"/>
          <w:sz w:val="20"/>
        </w:rPr>
        <w:t>* Schedules and/or exhibits have been omitted pursuant to Item 601(a)(5) of Regulation S-K. The Registrant agrees to furnish supplementally a copy of any omitted schedules and/or exhibits to the Securities and Exchange Commission on a confidential basis upon request.</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24" w:name="signatures"/>
      <w:bookmarkEnd w:id="24"/>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8"/>
        <w:gridCol w:w="387"/>
        <w:gridCol w:w="2177"/>
        <w:gridCol w:w="2802"/>
        <w:gridCol w:w="3471"/>
      </w:tblGrid>
      <w:tr>
        <w:trPr/>
        <w:tc>
          <w:tcPr>
            <w:tcW w:w="13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r>
      <w:tr>
        <w:trPr/>
        <w:tc>
          <w:tcPr>
            <w:tcW w:w="13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c>
          <w:tcPr>
            <w:tcW w:w="8450" w:type="dxa"/>
            <w:gridSpan w:val="3"/>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ALLISON TRANSMISSION HOLDINGS, INC.</w:t>
            </w:r>
          </w:p>
        </w:tc>
      </w:tr>
      <w:tr>
        <w:trPr/>
        <w:tc>
          <w:tcPr>
            <w:tcW w:w="13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c>
          <w:tcPr>
            <w:tcW w:w="845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7, 2026</w:t>
            </w:r>
          </w:p>
        </w:tc>
        <w:tc>
          <w:tcPr>
            <w:tcW w:w="38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845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David S. Graziosi</w:t>
            </w:r>
          </w:p>
        </w:tc>
      </w:tr>
      <w:tr>
        <w:trPr/>
        <w:tc>
          <w:tcPr>
            <w:tcW w:w="13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tcMar>
              <w:top w:w="0" w:type="dxa"/>
              <w:left w:w="0" w:type="dxa"/>
              <w:bottom w:w="0" w:type="dxa"/>
              <w:right w:w="0" w:type="dxa"/>
            </w:tcMar>
            <w:vAlign w:val="center"/>
          </w:tcPr>
          <w:p>
            <w:pPr>
              <w:pStyle w:val="TableContents"/>
              <w:bidi w:val="0"/>
              <w:spacing w:before="0" w:after="283"/>
              <w:jc w:val="left"/>
              <w:rPr/>
            </w:pPr>
            <w:r>
              <w:rPr/>
              <w:t> </w:t>
            </w:r>
          </w:p>
        </w:tc>
        <w:tc>
          <w:tcPr>
            <w:tcW w:w="2802" w:type="dxa"/>
            <w:tcBorders/>
            <w:tcMar>
              <w:top w:w="0" w:type="dxa"/>
              <w:left w:w="0" w:type="dxa"/>
              <w:bottom w:w="0" w:type="dxa"/>
              <w:right w:w="0" w:type="dxa"/>
            </w:tcMar>
            <w:vAlign w:val="center"/>
          </w:tcPr>
          <w:p>
            <w:pPr>
              <w:pStyle w:val="TableContents"/>
              <w:bidi w:val="0"/>
              <w:spacing w:before="0" w:after="283"/>
              <w:jc w:val="left"/>
              <w:rPr/>
            </w:pPr>
            <w:r>
              <w:rPr/>
              <w:t> </w:t>
            </w:r>
          </w:p>
        </w:tc>
        <w:tc>
          <w:tcPr>
            <w:tcW w:w="3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Name:</w:t>
            </w:r>
          </w:p>
        </w:tc>
        <w:tc>
          <w:tcPr>
            <w:tcW w:w="6273"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S. Graziosi</w:t>
            </w:r>
          </w:p>
        </w:tc>
      </w:tr>
      <w:tr>
        <w:trPr/>
        <w:tc>
          <w:tcPr>
            <w:tcW w:w="136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Title:</w:t>
            </w:r>
          </w:p>
        </w:tc>
        <w:tc>
          <w:tcPr>
            <w:tcW w:w="6273" w:type="dxa"/>
            <w:gridSpan w:val="2"/>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Chair, President and Chief Executive Officer</w:t>
            </w:r>
          </w:p>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r>
        <w:trPr/>
        <w:tc>
          <w:tcPr>
            <w:tcW w:w="13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7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7, 2026</w:t>
            </w:r>
          </w:p>
        </w:tc>
        <w:tc>
          <w:tcPr>
            <w:tcW w:w="38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845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Scott Mell</w:t>
            </w:r>
          </w:p>
        </w:tc>
      </w:tr>
      <w:tr>
        <w:trPr/>
        <w:tc>
          <w:tcPr>
            <w:tcW w:w="13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tcMar>
              <w:top w:w="0" w:type="dxa"/>
              <w:left w:w="0" w:type="dxa"/>
              <w:bottom w:w="0" w:type="dxa"/>
              <w:right w:w="0" w:type="dxa"/>
            </w:tcMar>
            <w:vAlign w:val="center"/>
          </w:tcPr>
          <w:p>
            <w:pPr>
              <w:pStyle w:val="TableContents"/>
              <w:bidi w:val="0"/>
              <w:spacing w:before="0" w:after="283"/>
              <w:jc w:val="left"/>
              <w:rPr/>
            </w:pPr>
            <w:r>
              <w:rPr/>
              <w:t> </w:t>
            </w:r>
          </w:p>
        </w:tc>
        <w:tc>
          <w:tcPr>
            <w:tcW w:w="2802" w:type="dxa"/>
            <w:tcBorders/>
            <w:tcMar>
              <w:top w:w="0" w:type="dxa"/>
              <w:left w:w="0" w:type="dxa"/>
              <w:bottom w:w="0" w:type="dxa"/>
              <w:right w:w="0" w:type="dxa"/>
            </w:tcMar>
            <w:vAlign w:val="center"/>
          </w:tcPr>
          <w:p>
            <w:pPr>
              <w:pStyle w:val="TableContents"/>
              <w:bidi w:val="0"/>
              <w:spacing w:before="0" w:after="283"/>
              <w:jc w:val="left"/>
              <w:rPr/>
            </w:pPr>
            <w:r>
              <w:rPr/>
              <w:t> </w:t>
            </w:r>
          </w:p>
        </w:tc>
        <w:tc>
          <w:tcPr>
            <w:tcW w:w="3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Name:</w:t>
            </w:r>
          </w:p>
        </w:tc>
        <w:tc>
          <w:tcPr>
            <w:tcW w:w="6273"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Scott Mell</w:t>
            </w:r>
          </w:p>
        </w:tc>
      </w:tr>
      <w:tr>
        <w:trPr/>
        <w:tc>
          <w:tcPr>
            <w:tcW w:w="13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c>
          <w:tcPr>
            <w:tcW w:w="217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Title:</w:t>
            </w:r>
          </w:p>
        </w:tc>
        <w:tc>
          <w:tcPr>
            <w:tcW w:w="6273"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 and Treasurer (Principal Financial Officer and Principal Accounting Officer)</w:t>
            </w:r>
          </w:p>
        </w:tc>
      </w:tr>
    </w:tbl>
    <w:p>
      <w:pPr>
        <w:pStyle w:val="TextBody"/>
        <w:bidi w:val="0"/>
        <w:jc w:val="left"/>
        <w:rPr/>
      </w:pPr>
      <w:r>
        <w:rPr/>
        <w:t> </w:t>
      </w:r>
    </w:p>
    <w:p>
      <w:pPr>
        <w:pStyle w:val="TextBody"/>
        <w:bidi w:val="0"/>
        <w:spacing w:before="18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lsn-ex31_1.htm"/>
      <w:bookmarkStart w:id="26" w:name="ksalsnex31_1"/>
      <w:bookmarkEnd w:id="25"/>
      <w:bookmarkEnd w:id="26"/>
      <w:r>
        <w:rPr>
          <w:rFonts w:ascii="Times New Roman" w:hAnsi="Times New Roman"/>
          <w:b/>
          <w:color w:val="000000"/>
          <w:sz w:val="20"/>
        </w:rPr>
        <w:t>Exhibit 31.1</w:t>
      </w:r>
      <w:r>
        <w:br w:type="page"/>
      </w:r>
    </w:p>
    <w:p>
      <w:pPr>
        <w:pStyle w:val="TextBody"/>
        <w:bidi w:val="0"/>
        <w:jc w:val="right"/>
        <w:rPr/>
      </w:pPr>
      <w:r>
        <w:rPr/>
        <w:t> </w:t>
      </w:r>
    </w:p>
    <w:p>
      <w:pPr>
        <w:pStyle w:val="TextBody"/>
        <w:bidi w:val="0"/>
        <w:spacing w:before="180" w:after="283"/>
        <w:jc w:val="center"/>
        <w:rPr>
          <w:rFonts w:ascii="Times New Roman" w:hAnsi="Times New Roman"/>
          <w:sz w:val="20"/>
        </w:rPr>
      </w:pPr>
      <w:r>
        <w:rPr>
          <w:rFonts w:ascii="Times New Roman" w:hAnsi="Times New Roman"/>
          <w:b/>
          <w:color w:val="000000"/>
          <w:sz w:val="20"/>
        </w:rPr>
        <w:t>CERTIFICATION PURSUANT TO RULE 13a-14(a)/15d-14(a) OF THE SECURITIES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EXCHANGE ACT OF 1934, AS ADOPTED PURSUANT TO SECTION 302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David S. Graziosi,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Allison Transmission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452" w:type="dxa"/>
        <w:jc w:val="left"/>
        <w:tblInd w:w="0" w:type="dxa"/>
        <w:tblLayout w:type="fixed"/>
        <w:tblCellMar>
          <w:top w:w="28" w:type="dxa"/>
          <w:left w:w="28" w:type="dxa"/>
          <w:bottom w:w="28" w:type="dxa"/>
          <w:right w:w="28" w:type="dxa"/>
        </w:tblCellMar>
      </w:tblPr>
      <w:tblGrid>
        <w:gridCol w:w="42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Dated: May 7, 2026</w:t>
            </w:r>
          </w:p>
          <w:p>
            <w:pPr>
              <w:pStyle w:val="TableContents"/>
              <w:bidi w:val="0"/>
              <w:jc w:val="left"/>
              <w:rPr/>
            </w:pPr>
            <w:r>
              <w:rPr/>
              <w:t> </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S. Graziosi</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David S. Graziosi</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Chair, 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lsn-ex31_2.htm"/>
      <w:bookmarkStart w:id="28" w:name="ksalsnex31_2"/>
      <w:bookmarkEnd w:id="27"/>
      <w:bookmarkEnd w:id="28"/>
      <w:r>
        <w:rPr>
          <w:rFonts w:ascii="Times New Roman" w:hAnsi="Times New Roman"/>
          <w:b/>
          <w:color w:val="000000"/>
          <w:sz w:val="20"/>
        </w:rPr>
        <w:t>Exhibit 31.2</w:t>
      </w:r>
      <w:r>
        <w:br w:type="page"/>
      </w:r>
    </w:p>
    <w:p>
      <w:pPr>
        <w:pStyle w:val="TextBody"/>
        <w:bidi w:val="0"/>
        <w:spacing w:before="180" w:after="283"/>
        <w:jc w:val="center"/>
        <w:rPr>
          <w:rFonts w:ascii="Times New Roman" w:hAnsi="Times New Roman"/>
          <w:sz w:val="20"/>
        </w:rPr>
      </w:pPr>
      <w:r>
        <w:rPr>
          <w:rFonts w:ascii="Times New Roman" w:hAnsi="Times New Roman"/>
          <w:b/>
          <w:color w:val="000000"/>
          <w:sz w:val="20"/>
        </w:rPr>
        <w:t>CERTIFICATION PURSUANT TO RULE 13a-14(a)/15d-14(a) OF THE SECURITIES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EXCHANGE ACT OF 1934, AS ADOPTED PURSUANT TO SECTION 302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SARBANES-OXLEY ACT OF 2002</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 Scott Mell,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Allison Transmission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3806" w:type="dxa"/>
        <w:jc w:val="left"/>
        <w:tblInd w:w="0" w:type="dxa"/>
        <w:tblLayout w:type="fixed"/>
        <w:tblCellMar>
          <w:top w:w="28" w:type="dxa"/>
          <w:left w:w="28" w:type="dxa"/>
          <w:bottom w:w="28" w:type="dxa"/>
          <w:right w:w="28" w:type="dxa"/>
        </w:tblCellMar>
      </w:tblPr>
      <w:tblGrid>
        <w:gridCol w:w="1319"/>
        <w:gridCol w:w="1158"/>
        <w:gridCol w:w="1138"/>
        <w:gridCol w:w="191"/>
      </w:tblGrid>
      <w:tr>
        <w:trPr/>
        <w:tc>
          <w:tcPr>
            <w:tcW w:w="131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7, 2026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Mell</w:t>
            </w:r>
          </w:p>
        </w:tc>
        <w:tc>
          <w:tcPr>
            <w:tcW w:w="1329"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Scott Mell</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 and Treasurer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(Principal Financial Officer)</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lsn-ex32_1.htm"/>
      <w:bookmarkStart w:id="30" w:name="ksalsnex32_1"/>
      <w:bookmarkEnd w:id="29"/>
      <w:bookmarkEnd w:id="3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Allison Transmission Holdings, Inc. (the “Company”) on Form 10-Q for the quarter ending March 31, 2026 as filed with the Securities and Exchange Commission on the date hereof (the “Report”), we, David S. Graziosi, Chair, President and Chief Executive Officer of the Company, and Scott Mell, Chief Financial Officer and Treasurer of the Company, certify, pursuant to 18 U.S.C. § 1350 as adopted pursuant to § 906 of the Sarbanes-Oxley Act of 2002,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3912" w:type="dxa"/>
        <w:jc w:val="left"/>
        <w:tblInd w:w="0" w:type="dxa"/>
        <w:tblLayout w:type="fixed"/>
        <w:tblCellMar>
          <w:top w:w="28" w:type="dxa"/>
          <w:left w:w="28" w:type="dxa"/>
          <w:bottom w:w="28" w:type="dxa"/>
          <w:right w:w="28" w:type="dxa"/>
        </w:tblCellMar>
      </w:tblPr>
      <w:tblGrid>
        <w:gridCol w:w="3721"/>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7, 2026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S. Graziosi</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S. Graziosi</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7, 2026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Mell</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Mell</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(Principal Financial Officer)</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11207/000119312526000343/d97247dex101.htm" TargetMode="External"/><Relationship Id="rId4" Type="http://schemas.openxmlformats.org/officeDocument/2006/relationships/hyperlink" Target="https://www.sec.gov/Archives/edgar/data/1411207/000119312526065627/alsn-ex10_3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19454</Words>
  <Characters>107598</Characters>
  <CharactersWithSpaces>127931</CharactersWithSpaces>
  <Paragraphs>5584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