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1"/>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52" w:right="40" w:hanging="452"/>
        <w:spacing w:after="0" w:line="256" w:lineRule="auto"/>
        <w:tabs>
          <w:tab w:leader="none" w:pos="452"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11"/>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ind w:left="3632"/>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992"/>
          </w:cols>
          <w:pgMar w:left="248" w:top="368" w:right="6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12"/>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1" w:lineRule="exact"/>
        <w:rPr>
          <w:sz w:val="24"/>
          <w:szCs w:val="24"/>
          <w:color w:val="auto"/>
        </w:rPr>
      </w:pPr>
    </w:p>
    <w:p>
      <w:pPr>
        <w:sectPr>
          <w:pgSz w:w="11900" w:h="16838" w:orient="portrait"/>
          <w:cols w:equalWidth="0" w:num="2">
            <w:col w:w="7492" w:space="720"/>
            <w:col w:w="2780"/>
          </w:cols>
          <w:pgMar w:left="248" w:top="368" w:right="659" w:bottom="1440" w:gutter="0" w:footer="0" w:header="0"/>
          <w:type w:val="continuous"/>
        </w:sectPr>
      </w:pPr>
    </w:p>
    <w:p>
      <w:pPr>
        <w:spacing w:after="0" w:line="19" w:lineRule="exact"/>
        <w:rPr>
          <w:sz w:val="24"/>
          <w:szCs w:val="24"/>
          <w:color w:val="auto"/>
        </w:rPr>
      </w:pPr>
    </w:p>
    <w:p>
      <w:pPr>
        <w:ind w:left="2152"/>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2778760</wp:posOffset>
            </wp:positionH>
            <wp:positionV relativeFrom="paragraph">
              <wp:posOffset>256540</wp:posOffset>
            </wp:positionV>
            <wp:extent cx="169799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990" cy="3943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4"/>
          <w:szCs w:val="14"/>
          <w:b w:val="1"/>
          <w:bCs w:val="1"/>
          <w:color w:val="auto"/>
        </w:rPr>
        <w:t>(I.R.S. Employer</w:t>
      </w:r>
    </w:p>
    <w:p>
      <w:pPr>
        <w:jc w:val="center"/>
        <w:ind w:right="16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12" w:space="720"/>
            <w:col w:w="3060"/>
          </w:cols>
          <w:pgMar w:left="248" w:top="368" w:right="6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One Allison Way</w:t>
      </w:r>
    </w:p>
    <w:p>
      <w:pPr>
        <w:spacing w:after="0" w:line="27"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Indianapolis, IN 46222</w:t>
      </w:r>
    </w:p>
    <w:p>
      <w:pPr>
        <w:spacing w:after="0" w:line="2" w:lineRule="exact"/>
        <w:rPr>
          <w:sz w:val="24"/>
          <w:szCs w:val="24"/>
          <w:color w:val="auto"/>
        </w:rPr>
      </w:pPr>
    </w:p>
    <w:p>
      <w:pPr>
        <w:jc w:val="center"/>
        <w:ind w:right="-411"/>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411"/>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ind w:left="3512"/>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652"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4980" w:type="dxa"/>
            <w:vAlign w:val="bottom"/>
            <w:gridSpan w:val="2"/>
          </w:tcPr>
          <w:p>
            <w:pPr>
              <w:jc w:val="center"/>
              <w:ind w:right="377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388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79" w:lineRule="exact"/>
        <w:rPr>
          <w:sz w:val="24"/>
          <w:szCs w:val="24"/>
          <w:color w:val="auto"/>
        </w:rPr>
      </w:pPr>
    </w:p>
    <w:p>
      <w:pPr>
        <w:ind w:left="3292"/>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ectPr>
          <w:pgSz w:w="11900" w:h="16838" w:orient="portrait"/>
          <w:cols w:equalWidth="0" w:num="1">
            <w:col w:w="10992"/>
          </w:cols>
          <w:pgMar w:left="248" w:top="368" w:right="659" w:bottom="1440" w:gutter="0" w:footer="0" w:header="0"/>
          <w:type w:val="continuous"/>
        </w:sectPr>
      </w:pPr>
    </w:p>
    <w:bookmarkStart w:id="1" w:name="page2"/>
    <w:bookmarkEnd w:id="1"/>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311785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920" w:space="160"/>
            <w:col w:w="280" w:space="80"/>
            <w:col w:w="160" w:space="180"/>
            <w:col w:w="220" w:space="100"/>
            <w:col w:w="1320"/>
          </w:cols>
          <w:pgMar w:left="240" w:top="673" w:right="23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080" w:space="180"/>
            <w:col w:w="260" w:space="80"/>
            <w:col w:w="160" w:space="180"/>
            <w:col w:w="220" w:space="100"/>
            <w:col w:w="1160"/>
          </w:cols>
          <w:pgMar w:left="240" w:top="673" w:right="239" w:bottom="1440" w:gutter="0" w:footer="0" w:header="0"/>
          <w:type w:val="continuous"/>
        </w:sectPr>
      </w:pPr>
    </w:p>
    <w:p>
      <w:pPr>
        <w:spacing w:after="0" w:line="37" w:lineRule="exact"/>
        <w:rPr>
          <w:sz w:val="20"/>
          <w:szCs w:val="20"/>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3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673"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673"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673"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40" w:space="180"/>
            <w:col w:w="260" w:space="80"/>
            <w:col w:w="160" w:space="180"/>
            <w:col w:w="220" w:space="100"/>
            <w:col w:w="1600"/>
          </w:cols>
          <w:pgMar w:left="240" w:top="673"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market value of the voting and non-voting stock held by non-affiliates was approximately $810.7 million as of June 30, 2013.</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10, 2014, there were 183,740,543 shares of Common Stock and 1,185 shares of Non-voting Common Stock outstanding.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Portions of the Registrant’s definitive Proxy Statement for its 2014 annual meeting of stockholders will be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gridSpan w:val="9"/>
            <w:vMerge w:val="restart"/>
          </w:tcPr>
          <w:p>
            <w:pPr>
              <w:jc w:val="center"/>
              <w:ind w:right="3800"/>
              <w:spacing w:after="0"/>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PART I.</w:t>
              </w:r>
            </w:hyperlink>
          </w:p>
        </w:tc>
        <w:tc>
          <w:tcPr>
            <w:tcW w:w="1540" w:type="dxa"/>
            <w:vAlign w:val="bottom"/>
            <w:gridSpan w:val="3"/>
          </w:tcPr>
          <w:p>
            <w:pPr>
              <w:ind w:left="1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gridSpan w:val="9"/>
            <w:vMerge w:val="continue"/>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00" w:type="dxa"/>
            <w:vAlign w:val="bottom"/>
            <w:gridSpan w:val="3"/>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960" w:type="dxa"/>
            <w:vAlign w:val="bottom"/>
            <w:gridSpan w:val="17"/>
          </w:tcPr>
          <w:p>
            <w:pPr>
              <w:spacing w:after="0"/>
              <w:rPr>
                <w:sz w:val="24"/>
                <w:szCs w:val="24"/>
                <w:color w:val="auto"/>
              </w:rPr>
            </w:pPr>
          </w:p>
        </w:tc>
        <w:tc>
          <w:tcPr>
            <w:tcW w:w="620" w:type="dxa"/>
            <w:vAlign w:val="bottom"/>
            <w:tcBorders>
              <w:top w:val="single" w:sz="8" w:color="0000EE"/>
            </w:tcBorders>
            <w:gridSpan w:val="3"/>
          </w:tcPr>
          <w:p>
            <w:pPr>
              <w:spacing w:after="0"/>
              <w:rPr>
                <w:sz w:val="24"/>
                <w:szCs w:val="24"/>
                <w:color w:val="auto"/>
              </w:rPr>
            </w:pPr>
          </w:p>
        </w:tc>
        <w:tc>
          <w:tcPr>
            <w:tcW w:w="3800" w:type="dxa"/>
            <w:vAlign w:val="bottom"/>
            <w:gridSpan w:val="6"/>
          </w:tcPr>
          <w:p>
            <w:pPr>
              <w:spacing w:after="0"/>
              <w:rPr>
                <w:sz w:val="24"/>
                <w:szCs w:val="24"/>
                <w:color w:val="auto"/>
              </w:rPr>
            </w:pPr>
          </w:p>
        </w:tc>
        <w:tc>
          <w:tcPr>
            <w:tcW w:w="1540" w:type="dxa"/>
            <w:vAlign w:val="bottom"/>
            <w:gridSpan w:val="3"/>
          </w:tcPr>
          <w:p>
            <w:pPr>
              <w:jc w:val="center"/>
              <w:ind w:left="851"/>
              <w:spacing w:after="0"/>
              <w:rPr>
                <w:sz w:val="20"/>
                <w:szCs w:val="20"/>
                <w:color w:val="auto"/>
              </w:rPr>
            </w:pPr>
            <w:r>
              <w:rPr>
                <w:rFonts w:ascii="Arial" w:cs="Arial" w:eastAsia="Arial" w:hAnsi="Arial"/>
                <w:sz w:val="18"/>
                <w:szCs w:val="18"/>
                <w:color w:val="auto"/>
                <w:w w:val="88"/>
              </w:rPr>
              <w:t>3-19</w:t>
            </w:r>
          </w:p>
        </w:tc>
        <w:tc>
          <w:tcPr>
            <w:tcW w:w="0" w:type="dxa"/>
            <w:vAlign w:val="bottom"/>
          </w:tcPr>
          <w:p>
            <w:pPr>
              <w:spacing w:after="0"/>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1A.</w:t>
            </w:r>
          </w:p>
        </w:tc>
        <w:tc>
          <w:tcPr>
            <w:tcW w:w="160" w:type="dxa"/>
            <w:vAlign w:val="bottom"/>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540" w:type="dxa"/>
            <w:vAlign w:val="bottom"/>
            <w:gridSpan w:val="3"/>
          </w:tcPr>
          <w:p>
            <w:pPr>
              <w:jc w:val="center"/>
              <w:ind w:left="871"/>
              <w:spacing w:after="0"/>
              <w:rPr>
                <w:sz w:val="20"/>
                <w:szCs w:val="20"/>
                <w:color w:val="auto"/>
              </w:rPr>
            </w:pPr>
            <w:r>
              <w:rPr>
                <w:rFonts w:ascii="Arial" w:cs="Arial" w:eastAsia="Arial" w:hAnsi="Arial"/>
                <w:sz w:val="18"/>
                <w:szCs w:val="18"/>
                <w:color w:val="auto"/>
                <w:w w:val="91"/>
              </w:rPr>
              <w:t>20-34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1B.</w:t>
            </w:r>
          </w:p>
        </w:tc>
        <w:tc>
          <w:tcPr>
            <w:tcW w:w="160" w:type="dxa"/>
            <w:vAlign w:val="bottom"/>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380" w:type="dxa"/>
            <w:vAlign w:val="bottom"/>
            <w:gridSpan w:val="2"/>
          </w:tcPr>
          <w:p>
            <w:pPr>
              <w:jc w:val="center"/>
              <w:ind w:left="1031"/>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140" w:type="dxa"/>
            <w:vAlign w:val="bottom"/>
            <w:tcBorders>
              <w:top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6980" w:type="dxa"/>
            <w:vAlign w:val="bottom"/>
            <w:gridSpan w:val="18"/>
          </w:tcPr>
          <w:p>
            <w:pPr>
              <w:spacing w:after="0"/>
              <w:rPr>
                <w:sz w:val="24"/>
                <w:szCs w:val="24"/>
                <w:color w:val="auto"/>
              </w:rPr>
            </w:pPr>
          </w:p>
        </w:tc>
        <w:tc>
          <w:tcPr>
            <w:tcW w:w="1380" w:type="dxa"/>
            <w:vAlign w:val="bottom"/>
            <w:gridSpan w:val="2"/>
          </w:tcPr>
          <w:p>
            <w:pPr>
              <w:jc w:val="center"/>
              <w:ind w:left="1031"/>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30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680" w:type="dxa"/>
            <w:vAlign w:val="bottom"/>
            <w:gridSpan w:val="22"/>
          </w:tcPr>
          <w:p>
            <w:pPr>
              <w:spacing w:after="0"/>
              <w:rPr>
                <w:sz w:val="24"/>
                <w:szCs w:val="24"/>
                <w:color w:val="auto"/>
              </w:rPr>
            </w:pPr>
          </w:p>
        </w:tc>
        <w:tc>
          <w:tcPr>
            <w:tcW w:w="1380" w:type="dxa"/>
            <w:vAlign w:val="bottom"/>
            <w:gridSpan w:val="2"/>
          </w:tcPr>
          <w:p>
            <w:pPr>
              <w:jc w:val="center"/>
              <w:ind w:left="1031"/>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380" w:type="dxa"/>
            <w:vAlign w:val="bottom"/>
            <w:gridSpan w:val="2"/>
          </w:tcPr>
          <w:p>
            <w:pPr>
              <w:jc w:val="center"/>
              <w:ind w:left="1031"/>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416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5.</w:t>
            </w:r>
          </w:p>
        </w:tc>
        <w:tc>
          <w:tcPr>
            <w:tcW w:w="300" w:type="dxa"/>
            <w:vAlign w:val="bottom"/>
            <w:gridSpan w:val="3"/>
          </w:tcPr>
          <w:p>
            <w:pPr>
              <w:spacing w:after="0"/>
              <w:rPr>
                <w:sz w:val="24"/>
                <w:szCs w:val="24"/>
                <w:color w:val="auto"/>
              </w:rPr>
            </w:pPr>
          </w:p>
        </w:tc>
        <w:tc>
          <w:tcPr>
            <w:tcW w:w="80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24"/>
                <w:szCs w:val="24"/>
                <w:color w:val="auto"/>
              </w:rPr>
            </w:pPr>
          </w:p>
        </w:tc>
        <w:tc>
          <w:tcPr>
            <w:tcW w:w="1540" w:type="dxa"/>
            <w:vAlign w:val="bottom"/>
            <w:gridSpan w:val="3"/>
          </w:tcPr>
          <w:p>
            <w:pPr>
              <w:jc w:val="center"/>
              <w:ind w:left="871"/>
              <w:spacing w:after="0"/>
              <w:rPr>
                <w:sz w:val="20"/>
                <w:szCs w:val="20"/>
                <w:color w:val="auto"/>
              </w:rPr>
            </w:pPr>
            <w:r>
              <w:rPr>
                <w:rFonts w:ascii="Arial" w:cs="Arial" w:eastAsia="Arial" w:hAnsi="Arial"/>
                <w:sz w:val="18"/>
                <w:szCs w:val="18"/>
                <w:color w:val="auto"/>
                <w:w w:val="91"/>
              </w:rPr>
              <w:t>36-37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300" w:type="dxa"/>
            <w:vAlign w:val="bottom"/>
            <w:gridSpan w:val="3"/>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1380" w:type="dxa"/>
            <w:vAlign w:val="bottom"/>
            <w:gridSpan w:val="2"/>
          </w:tcPr>
          <w:p>
            <w:pPr>
              <w:jc w:val="center"/>
              <w:ind w:left="1031"/>
              <w:spacing w:after="0"/>
              <w:rPr>
                <w:sz w:val="20"/>
                <w:szCs w:val="20"/>
                <w:color w:val="auto"/>
              </w:rPr>
            </w:pPr>
            <w:r>
              <w:rPr>
                <w:rFonts w:ascii="Arial" w:cs="Arial" w:eastAsia="Arial" w:hAnsi="Arial"/>
                <w:sz w:val="18"/>
                <w:szCs w:val="18"/>
                <w:color w:val="auto"/>
                <w:w w:val="89"/>
              </w:rPr>
              <w:t>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300" w:type="dxa"/>
            <w:vAlign w:val="bottom"/>
            <w:gridSpan w:val="3"/>
          </w:tcPr>
          <w:p>
            <w:pPr>
              <w:spacing w:after="0"/>
              <w:rPr>
                <w:sz w:val="24"/>
                <w:szCs w:val="24"/>
                <w:color w:val="auto"/>
              </w:rPr>
            </w:pP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1540" w:type="dxa"/>
            <w:vAlign w:val="bottom"/>
            <w:gridSpan w:val="3"/>
          </w:tcPr>
          <w:p>
            <w:pPr>
              <w:jc w:val="center"/>
              <w:ind w:left="871"/>
              <w:spacing w:after="0"/>
              <w:rPr>
                <w:sz w:val="20"/>
                <w:szCs w:val="20"/>
                <w:color w:val="auto"/>
              </w:rPr>
            </w:pPr>
            <w:r>
              <w:rPr>
                <w:rFonts w:ascii="Arial" w:cs="Arial" w:eastAsia="Arial" w:hAnsi="Arial"/>
                <w:sz w:val="18"/>
                <w:szCs w:val="18"/>
                <w:color w:val="auto"/>
                <w:w w:val="91"/>
              </w:rPr>
              <w:t>39-54</w:t>
            </w:r>
          </w:p>
        </w:tc>
        <w:tc>
          <w:tcPr>
            <w:tcW w:w="0" w:type="dxa"/>
            <w:vAlign w:val="bottom"/>
          </w:tcPr>
          <w:p>
            <w:pPr>
              <w:spacing w:after="0"/>
              <w:rPr>
                <w:sz w:val="1"/>
                <w:szCs w:val="1"/>
                <w:color w:val="auto"/>
              </w:rPr>
            </w:pPr>
          </w:p>
        </w:tc>
      </w:tr>
      <w:tr>
        <w:trPr>
          <w:trHeight w:val="304"/>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7A.</w:t>
            </w:r>
          </w:p>
        </w:tc>
        <w:tc>
          <w:tcPr>
            <w:tcW w:w="16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4660" w:type="dxa"/>
            <w:vAlign w:val="bottom"/>
            <w:gridSpan w:val="10"/>
          </w:tcPr>
          <w:p>
            <w:pPr>
              <w:spacing w:after="0"/>
              <w:rPr>
                <w:sz w:val="24"/>
                <w:szCs w:val="24"/>
                <w:color w:val="auto"/>
              </w:rPr>
            </w:pPr>
          </w:p>
        </w:tc>
        <w:tc>
          <w:tcPr>
            <w:tcW w:w="1540" w:type="dxa"/>
            <w:vAlign w:val="bottom"/>
            <w:gridSpan w:val="3"/>
          </w:tcPr>
          <w:p>
            <w:pPr>
              <w:jc w:val="center"/>
              <w:ind w:left="871"/>
              <w:spacing w:after="0"/>
              <w:rPr>
                <w:sz w:val="20"/>
                <w:szCs w:val="20"/>
                <w:color w:val="auto"/>
              </w:rPr>
            </w:pPr>
            <w:r>
              <w:rPr>
                <w:rFonts w:ascii="Arial" w:cs="Arial" w:eastAsia="Arial" w:hAnsi="Arial"/>
                <w:sz w:val="18"/>
                <w:szCs w:val="18"/>
                <w:color w:val="auto"/>
                <w:w w:val="91"/>
              </w:rPr>
              <w:t>55-56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8.</w:t>
            </w:r>
          </w:p>
        </w:tc>
        <w:tc>
          <w:tcPr>
            <w:tcW w:w="300" w:type="dxa"/>
            <w:vAlign w:val="bottom"/>
            <w:gridSpan w:val="3"/>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1540" w:type="dxa"/>
            <w:vAlign w:val="bottom"/>
            <w:gridSpan w:val="3"/>
          </w:tcPr>
          <w:p>
            <w:pPr>
              <w:jc w:val="center"/>
              <w:ind w:left="851"/>
              <w:spacing w:after="0"/>
              <w:rPr>
                <w:sz w:val="20"/>
                <w:szCs w:val="20"/>
                <w:color w:val="auto"/>
              </w:rPr>
            </w:pPr>
            <w:r>
              <w:rPr>
                <w:rFonts w:ascii="Arial" w:cs="Arial" w:eastAsia="Arial" w:hAnsi="Arial"/>
                <w:sz w:val="18"/>
                <w:szCs w:val="18"/>
                <w:color w:val="auto"/>
                <w:w w:val="92"/>
              </w:rPr>
              <w:t>57-101</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9.</w:t>
            </w:r>
          </w:p>
        </w:tc>
        <w:tc>
          <w:tcPr>
            <w:tcW w:w="300" w:type="dxa"/>
            <w:vAlign w:val="bottom"/>
            <w:gridSpan w:val="3"/>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Changes in and Disagreements With Accountants on Accounting and Financial Disclosure</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9A.</w:t>
            </w:r>
          </w:p>
        </w:tc>
        <w:tc>
          <w:tcPr>
            <w:tcW w:w="160" w:type="dxa"/>
            <w:vAlign w:val="bottom"/>
          </w:tcPr>
          <w:p>
            <w:pPr>
              <w:spacing w:after="0"/>
              <w:rPr>
                <w:sz w:val="24"/>
                <w:szCs w:val="24"/>
                <w:color w:val="auto"/>
              </w:rPr>
            </w:pPr>
          </w:p>
        </w:tc>
        <w:tc>
          <w:tcPr>
            <w:tcW w:w="902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Controls and Procedures</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Item 9B.</w:t>
            </w:r>
          </w:p>
        </w:tc>
        <w:tc>
          <w:tcPr>
            <w:tcW w:w="16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7260" w:type="dxa"/>
            <w:vAlign w:val="bottom"/>
            <w:gridSpan w:val="20"/>
          </w:tcPr>
          <w:p>
            <w:pPr>
              <w:spacing w:after="0"/>
              <w:rPr>
                <w:sz w:val="24"/>
                <w:szCs w:val="24"/>
                <w:color w:val="auto"/>
              </w:rPr>
            </w:pPr>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3"/>
          </w:tcPr>
          <w:p>
            <w:pPr>
              <w:jc w:val="center"/>
              <w:ind w:right="4140"/>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III.</w:t>
              </w:r>
            </w:hyperlink>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4120" w:type="dxa"/>
            <w:vAlign w:val="bottom"/>
            <w:gridSpan w:val="14"/>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Directors, Executive Officers and Corporate Governance</w:t>
              </w:r>
            </w:hyperlink>
          </w:p>
        </w:tc>
        <w:tc>
          <w:tcPr>
            <w:tcW w:w="760" w:type="dxa"/>
            <w:vAlign w:val="bottom"/>
            <w:tcBorders>
              <w:top w:val="single" w:sz="8" w:color="0000EE"/>
            </w:tcBorders>
            <w:gridSpan w:val="6"/>
          </w:tcPr>
          <w:p>
            <w:pPr>
              <w:spacing w:after="0"/>
              <w:rPr>
                <w:sz w:val="24"/>
                <w:szCs w:val="24"/>
                <w:color w:val="auto"/>
              </w:rPr>
            </w:pPr>
          </w:p>
        </w:tc>
        <w:tc>
          <w:tcPr>
            <w:tcW w:w="4140" w:type="dxa"/>
            <w:vAlign w:val="bottom"/>
            <w:gridSpan w:val="7"/>
          </w:tcPr>
          <w:p>
            <w:pPr>
              <w:spacing w:after="0"/>
              <w:rPr>
                <w:sz w:val="24"/>
                <w:szCs w:val="24"/>
                <w:color w:val="auto"/>
              </w:rPr>
            </w:pPr>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0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Security Ownership of Certain Beneficial Owners and Management and Related Stockholder Matters</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90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1380" w:type="dxa"/>
            <w:vAlign w:val="bottom"/>
            <w:gridSpan w:val="2"/>
          </w:tcPr>
          <w:p>
            <w:pPr>
              <w:jc w:val="center"/>
              <w:ind w:left="1011"/>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12"/>
          </w:tcPr>
          <w:p>
            <w:pPr>
              <w:jc w:val="center"/>
              <w:ind w:right="4160"/>
              <w:spacing w:after="0"/>
              <w:rPr>
                <w:rFonts w:ascii="Arial" w:cs="Arial" w:eastAsia="Arial" w:hAnsi="Arial"/>
                <w:sz w:val="18"/>
                <w:szCs w:val="18"/>
                <w:b w:val="1"/>
                <w:bCs w:val="1"/>
                <w:color w:val="0000EE"/>
                <w:w w:val="94"/>
              </w:rPr>
            </w:pPr>
            <w:hyperlink w:anchor="page107">
              <w:r>
                <w:rPr>
                  <w:rFonts w:ascii="Arial" w:cs="Arial" w:eastAsia="Arial" w:hAnsi="Arial"/>
                  <w:sz w:val="18"/>
                  <w:szCs w:val="18"/>
                  <w:b w:val="1"/>
                  <w:bCs w:val="1"/>
                  <w:color w:val="0000EE"/>
                  <w:w w:val="94"/>
                </w:rPr>
                <w:t>PART IV.</w:t>
              </w:r>
            </w:hyperlink>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Exhibits, Financial Statement Schedules</w:t>
              </w:r>
            </w:hyperlink>
          </w:p>
        </w:tc>
        <w:tc>
          <w:tcPr>
            <w:tcW w:w="720" w:type="dxa"/>
            <w:vAlign w:val="bottom"/>
            <w:tcBorders>
              <w:top w:val="single" w:sz="8" w:color="0000EE"/>
            </w:tcBorders>
            <w:gridSpan w:val="4"/>
          </w:tcPr>
          <w:p>
            <w:pPr>
              <w:spacing w:after="0"/>
              <w:rPr>
                <w:sz w:val="24"/>
                <w:szCs w:val="24"/>
                <w:color w:val="auto"/>
              </w:rPr>
            </w:pPr>
          </w:p>
        </w:tc>
        <w:tc>
          <w:tcPr>
            <w:tcW w:w="4160" w:type="dxa"/>
            <w:vAlign w:val="bottom"/>
            <w:gridSpan w:val="8"/>
          </w:tcPr>
          <w:p>
            <w:pPr>
              <w:spacing w:after="0"/>
              <w:rPr>
                <w:sz w:val="24"/>
                <w:szCs w:val="24"/>
                <w:color w:val="auto"/>
              </w:rPr>
            </w:pPr>
          </w:p>
        </w:tc>
        <w:tc>
          <w:tcPr>
            <w:tcW w:w="1540" w:type="dxa"/>
            <w:vAlign w:val="bottom"/>
            <w:gridSpan w:val="3"/>
          </w:tcPr>
          <w:p>
            <w:pPr>
              <w:jc w:val="center"/>
              <w:ind w:left="851"/>
              <w:spacing w:after="0"/>
              <w:rPr>
                <w:sz w:val="20"/>
                <w:szCs w:val="20"/>
                <w:color w:val="auto"/>
              </w:rPr>
            </w:pPr>
            <w:r>
              <w:rPr>
                <w:rFonts w:ascii="Arial" w:cs="Arial" w:eastAsia="Arial" w:hAnsi="Arial"/>
                <w:sz w:val="18"/>
                <w:szCs w:val="18"/>
                <w:color w:val="auto"/>
                <w:w w:val="90"/>
              </w:rPr>
              <w:t>104-107</w:t>
            </w:r>
          </w:p>
        </w:tc>
        <w:tc>
          <w:tcPr>
            <w:tcW w:w="0" w:type="dxa"/>
            <w:vAlign w:val="bottom"/>
          </w:tcPr>
          <w:p>
            <w:pPr>
              <w:spacing w:after="0"/>
              <w:rPr>
                <w:sz w:val="1"/>
                <w:szCs w:val="1"/>
                <w:color w:val="auto"/>
              </w:rPr>
            </w:pPr>
          </w:p>
        </w:tc>
      </w:tr>
      <w:tr>
        <w:trPr>
          <w:trHeight w:val="385"/>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2320" w:type="dxa"/>
            <w:vAlign w:val="bottom"/>
            <w:gridSpan w:val="10"/>
          </w:tcPr>
          <w:p>
            <w:pPr>
              <w:jc w:val="center"/>
              <w:ind w:left="1570"/>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labor strikes, work stoppages or similar labor disputes, which could significantly disrupt our operations or those of our principal customers.</w:t>
      </w:r>
    </w:p>
    <w:p>
      <w:pPr>
        <w:spacing w:after="0" w:line="17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Trademarks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tradenames referred to in this report may appear without the ® or ™ symbols, but such references are not intended to indicate, in any way, that we will not assert, to the fullest extent under applicable law, our rights or the right of the applicable licensor to these trademarks and tradenames.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We have approximately 2,700 employees and 13 different transmission product lines. Although approximately 77% percent of revenues are generated in North America, we have a global presence by serving customers in Europe, Asia, South America and Africa. We serve customers through an independent network of approximately 1,400 independent distributor and dealer locations worldwide.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were formerly known as Allison Transmission (the “Predecessor”), an operating unit of General Motors Corporation, which, in the course of its bankruptcy proceeding was renamed Motors Liquidation Company (“Old GM”). On August 7, 2007, substantially all of the assets and liabilities of the Predecessor were acquired by us, under an Asset Purchase Agreement (the “Asset Purchase Agreement”) dated June 28, 2007 and entered into between Clutch Operating Company, Inc., a Delaware corporation owned by investment funds affiliated with The Carlyle Group (“Carlyle”) and Onex Corporation (“Onex” and together with Carlyle, the “Sponsors”), and Old GM, the direct parent of the Predecessor, pursuant to which we acquired certain equity interests of, and certain assets and liabilities held by, direct and indirect operating subsidiaries of Old GM (the “Acquisition Transaction”). After completion of the Acquisition Transaction, Clutch Holdings, Inc., changed its name to Allison Transmission Holdings, Inc. and Clutch Operating Company, Inc. changed its name to Allison Transmission, Inc. (“ATI”).</w:t>
      </w:r>
    </w:p>
    <w:p>
      <w:pPr>
        <w:spacing w:after="0" w:line="192"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On July 10, 2009, General Motors Company (“GM”) emerged from bankruptcy. On August 3, 2009, we finalized an agreement with GM (the “Cure Agreement”) pursuant to which GM assumed certain contracts and agreements between us and Old GM, including among others, the Asset Purchase Agreement, certain intellectual property and software license agreements, lease agreements, engineering services agreements, proving grounds use agreements, an employee matters agreement, a contract manufacturing agreement and a hybrid co-branding agreement. GM also assumed certain other commercial contracts, arrangements and purchase orders with us in connection with conducting its business.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13" w:right="339" w:bottom="1440" w:gutter="0" w:footer="0" w:header="0"/>
        </w:sectPr>
      </w:pPr>
    </w:p>
    <w:bookmarkStart w:id="5" w:name="page6"/>
    <w:bookmarkEnd w:id="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the world’s largest manufacturer of fully-automatic transmissions for medium- and heavy-duty commercial vehicles and medium- and heavy-tactical U.S. defense vehicles. Allison transmissions are used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We estimate that globally, in 2013, we sold approximately 61%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 We believe our brand helps us maintain our leading market position and price our products commensurate with the value provided to the end user.</w:t>
      </w:r>
    </w:p>
    <w:p>
      <w:pPr>
        <w:spacing w:after="0" w:line="19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As compared to manual transmissions and automated manual transmissions (“AMTs”), we believe the superior performance attributes of our fully-automatic transmissions in vocations with a high degree of “start and stop” activity, as well as in urban environments, include lower maintenance costs, reduced vehicle downtime, ease of operation, increased safety and improved driver and passenger comfort. We believe our transmissions offer increased fuel efficiency and faster acceleration, resulting in lower operating costs and increased productivity when they are used in vehicles with duty cycles that require a high degree of “start and stop” activity. As a result of these attributes, our fully-automatic transmissions are the standard or exclusive transmission offered in the powertrain configuration of certain types of vehicles in North America, including school buses, fire and emergency vehicles, medium- and heavy-tactical U.S. defense vehicles and certain mining trucks. In applications where our transmission is offered as an alternative to a manual transmission or an AMT, such as distribution and refuse trucks, we believe end users frequently specify an “Allison” transmission when ordering a commercial vehicle, which can create pull-through demand for our products to our original equipment manufacturer (“OEM”) customers. Our transmissions are also commonly used in various oil and natural gas drilling and extraction equipment where we believe our products’ performance, reliability, equipment uptime and ease of operation are critical to end users.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In 2013, over 7,500 unique Allison-developed calibrations were used with our transmission control modules.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Commercial vehicles typically employ one of three transmission types: manual,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75"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Fuel efficiency, reduction in fuel consumption and greenhouse gas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and its MPG metric only accounts for distance traveled and fuel consumed, ignoring time and work performed, it is therefore an inferior metric to fuel efficiency when it comes to assessing commercial vehicles. Markets, regulations, policies and technology continue to evaluate these topics.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Served Markets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sell our transmissions globally for use in medium- and heavy-duty on-highway commercial vehicles (with limited exposure to the Class 8 line haul tractor market),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2013.</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500" w:type="dxa"/>
            <w:vAlign w:val="bottom"/>
            <w:tcBorders>
              <w:top w:val="single" w:sz="8" w:color="auto"/>
              <w:left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spacing w:after="0" w:line="139" w:lineRule="exact"/>
              <w:rPr>
                <w:sz w:val="20"/>
                <w:szCs w:val="20"/>
                <w:color w:val="auto"/>
              </w:rPr>
            </w:pPr>
            <w:r>
              <w:rPr>
                <w:rFonts w:ascii="Arial" w:cs="Arial" w:eastAsia="Arial" w:hAnsi="Arial"/>
                <w:sz w:val="14"/>
                <w:szCs w:val="14"/>
                <w:b w:val="1"/>
                <w:bCs w:val="1"/>
                <w:color w:val="auto"/>
              </w:rPr>
              <w:t>NORTH AMERICA</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20" w:type="dxa"/>
            <w:vAlign w:val="bottom"/>
            <w:tcBorders>
              <w:top w:val="single" w:sz="8" w:color="auto"/>
              <w:right w:val="single" w:sz="8" w:color="auto"/>
            </w:tcBorders>
            <w:gridSpan w:val="3"/>
          </w:tcPr>
          <w:p>
            <w:pPr>
              <w:jc w:val="right"/>
              <w:ind w:right="148"/>
              <w:spacing w:after="0" w:line="139" w:lineRule="exact"/>
              <w:rPr>
                <w:sz w:val="20"/>
                <w:szCs w:val="20"/>
                <w:color w:val="auto"/>
              </w:rPr>
            </w:pPr>
            <w:r>
              <w:rPr>
                <w:rFonts w:ascii="Arial" w:cs="Arial" w:eastAsia="Arial" w:hAnsi="Arial"/>
                <w:sz w:val="14"/>
                <w:szCs w:val="14"/>
                <w:b w:val="1"/>
                <w:bCs w:val="1"/>
                <w:color w:val="auto"/>
              </w:rPr>
              <w:t>OUTSIDE NORTH AMERICA</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jc w:val="center"/>
              <w:ind w:right="208"/>
              <w:spacing w:after="0" w:line="139" w:lineRule="exact"/>
              <w:rPr>
                <w:sz w:val="20"/>
                <w:szCs w:val="20"/>
                <w:color w:val="auto"/>
              </w:rPr>
            </w:pPr>
            <w:r>
              <w:rPr>
                <w:rFonts w:ascii="Arial" w:cs="Arial" w:eastAsia="Arial" w:hAnsi="Arial"/>
                <w:sz w:val="14"/>
                <w:szCs w:val="14"/>
                <w:b w:val="1"/>
                <w:bCs w:val="1"/>
                <w:color w:val="auto"/>
              </w:rPr>
              <w:t>SERVICE</w:t>
            </w:r>
          </w:p>
        </w:tc>
        <w:tc>
          <w:tcPr>
            <w:tcW w:w="0" w:type="dxa"/>
            <w:vAlign w:val="bottom"/>
          </w:tcPr>
          <w:p>
            <w:pPr>
              <w:spacing w:after="0"/>
              <w:rPr>
                <w:sz w:val="1"/>
                <w:szCs w:val="1"/>
                <w:color w:val="auto"/>
              </w:rPr>
            </w:pPr>
          </w:p>
        </w:tc>
      </w:tr>
      <w:tr>
        <w:trPr>
          <w:trHeight w:val="23"/>
        </w:trPr>
        <w:tc>
          <w:tcPr>
            <w:tcW w:w="250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right w:val="single" w:sz="8" w:color="auto"/>
            </w:tcBorders>
            <w:vMerge w:val="restart"/>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PARTS,</w:t>
            </w:r>
          </w:p>
        </w:tc>
        <w:tc>
          <w:tcPr>
            <w:tcW w:w="0" w:type="dxa"/>
            <w:vAlign w:val="bottom"/>
          </w:tcPr>
          <w:p>
            <w:pPr>
              <w:spacing w:after="0"/>
              <w:rPr>
                <w:sz w:val="1"/>
                <w:szCs w:val="1"/>
                <w:color w:val="auto"/>
              </w:rPr>
            </w:pPr>
          </w:p>
        </w:tc>
      </w:tr>
      <w:tr>
        <w:trPr>
          <w:trHeight w:val="106"/>
        </w:trPr>
        <w:tc>
          <w:tcPr>
            <w:tcW w:w="250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SUPPORT</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jc w:val="center"/>
              <w:ind w:right="208"/>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58"/>
        </w:trPr>
        <w:tc>
          <w:tcPr>
            <w:tcW w:w="25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END MARKET</w:t>
            </w:r>
          </w:p>
        </w:tc>
        <w:tc>
          <w:tcPr>
            <w:tcW w:w="180" w:type="dxa"/>
            <w:vAlign w:val="bottom"/>
          </w:tcPr>
          <w:p>
            <w:pPr>
              <w:spacing w:after="0"/>
              <w:rPr>
                <w:sz w:val="13"/>
                <w:szCs w:val="13"/>
                <w:color w:val="auto"/>
              </w:rPr>
            </w:pPr>
          </w:p>
        </w:tc>
        <w:tc>
          <w:tcPr>
            <w:tcW w:w="1040" w:type="dxa"/>
            <w:vAlign w:val="bottom"/>
            <w:tcBorders>
              <w:right w:val="single" w:sz="8" w:color="auto"/>
            </w:tcBorders>
          </w:tcPr>
          <w:p>
            <w:pPr>
              <w:ind w:left="340"/>
              <w:spacing w:after="0" w:line="158" w:lineRule="exact"/>
              <w:rPr>
                <w:sz w:val="20"/>
                <w:szCs w:val="20"/>
                <w:color w:val="auto"/>
              </w:rPr>
            </w:pPr>
            <w:r>
              <w:rPr>
                <w:rFonts w:ascii="Arial" w:cs="Arial" w:eastAsia="Arial" w:hAnsi="Arial"/>
                <w:sz w:val="14"/>
                <w:szCs w:val="14"/>
                <w:b w:val="1"/>
                <w:bCs w:val="1"/>
                <w:color w:val="auto"/>
              </w:rPr>
              <w:t>ON-</w:t>
            </w:r>
          </w:p>
        </w:tc>
        <w:tc>
          <w:tcPr>
            <w:tcW w:w="160" w:type="dxa"/>
            <w:vAlign w:val="bottom"/>
          </w:tcPr>
          <w:p>
            <w:pPr>
              <w:spacing w:after="0"/>
              <w:rPr>
                <w:sz w:val="13"/>
                <w:szCs w:val="13"/>
                <w:color w:val="auto"/>
              </w:rPr>
            </w:pPr>
          </w:p>
        </w:tc>
        <w:tc>
          <w:tcPr>
            <w:tcW w:w="1060" w:type="dxa"/>
            <w:vAlign w:val="bottom"/>
            <w:tcBorders>
              <w:right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rPr>
              <w:t>HYBRID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ind w:left="300"/>
              <w:spacing w:after="0" w:line="158" w:lineRule="exact"/>
              <w:rPr>
                <w:sz w:val="20"/>
                <w:szCs w:val="20"/>
                <w:color w:val="auto"/>
              </w:rPr>
            </w:pPr>
            <w:r>
              <w:rPr>
                <w:rFonts w:ascii="Arial" w:cs="Arial" w:eastAsia="Arial" w:hAnsi="Arial"/>
                <w:sz w:val="14"/>
                <w:szCs w:val="14"/>
                <w:b w:val="1"/>
                <w:bCs w:val="1"/>
                <w:color w:val="auto"/>
              </w:rPr>
              <w:t>OFF-</w:t>
            </w:r>
          </w:p>
        </w:tc>
        <w:tc>
          <w:tcPr>
            <w:tcW w:w="140" w:type="dxa"/>
            <w:vAlign w:val="bottom"/>
          </w:tcPr>
          <w:p>
            <w:pPr>
              <w:spacing w:after="0"/>
              <w:rPr>
                <w:sz w:val="13"/>
                <w:szCs w:val="13"/>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ON-HIGHWAY</w:t>
            </w:r>
          </w:p>
        </w:tc>
        <w:tc>
          <w:tcPr>
            <w:tcW w:w="180" w:type="dxa"/>
            <w:vAlign w:val="bottom"/>
          </w:tcPr>
          <w:p>
            <w:pPr>
              <w:spacing w:after="0"/>
              <w:rPr>
                <w:sz w:val="13"/>
                <w:szCs w:val="13"/>
                <w:color w:val="auto"/>
              </w:rPr>
            </w:pPr>
          </w:p>
        </w:tc>
        <w:tc>
          <w:tcPr>
            <w:tcW w:w="1040" w:type="dxa"/>
            <w:vAlign w:val="bottom"/>
            <w:tcBorders>
              <w:right w:val="single" w:sz="8" w:color="auto"/>
            </w:tcBorders>
          </w:tcPr>
          <w:p>
            <w:pPr>
              <w:ind w:left="300"/>
              <w:spacing w:after="0" w:line="158" w:lineRule="exact"/>
              <w:rPr>
                <w:sz w:val="20"/>
                <w:szCs w:val="20"/>
                <w:color w:val="auto"/>
              </w:rPr>
            </w:pPr>
            <w:r>
              <w:rPr>
                <w:rFonts w:ascii="Arial" w:cs="Arial" w:eastAsia="Arial" w:hAnsi="Arial"/>
                <w:sz w:val="14"/>
                <w:szCs w:val="14"/>
                <w:b w:val="1"/>
                <w:bCs w:val="1"/>
                <w:color w:val="auto"/>
              </w:rPr>
              <w:t>OFF-</w:t>
            </w:r>
          </w:p>
        </w:tc>
        <w:tc>
          <w:tcPr>
            <w:tcW w:w="140" w:type="dxa"/>
            <w:vAlign w:val="bottom"/>
          </w:tcPr>
          <w:p>
            <w:pPr>
              <w:spacing w:after="0"/>
              <w:rPr>
                <w:sz w:val="13"/>
                <w:szCs w:val="13"/>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DEFENSE</w:t>
            </w:r>
          </w:p>
        </w:tc>
        <w:tc>
          <w:tcPr>
            <w:tcW w:w="200" w:type="dxa"/>
            <w:vAlign w:val="bottom"/>
          </w:tcPr>
          <w:p>
            <w:pPr>
              <w:spacing w:after="0"/>
              <w:rPr>
                <w:sz w:val="13"/>
                <w:szCs w:val="13"/>
                <w:color w:val="auto"/>
              </w:rPr>
            </w:pPr>
          </w:p>
        </w:tc>
        <w:tc>
          <w:tcPr>
            <w:tcW w:w="1320" w:type="dxa"/>
            <w:vAlign w:val="bottom"/>
            <w:tcBorders>
              <w:right w:val="single" w:sz="8" w:color="auto"/>
            </w:tcBorders>
          </w:tcPr>
          <w:p>
            <w:pPr>
              <w:jc w:val="center"/>
              <w:ind w:right="208"/>
              <w:spacing w:after="0" w:line="158" w:lineRule="exact"/>
              <w:rPr>
                <w:sz w:val="20"/>
                <w:szCs w:val="20"/>
                <w:color w:val="auto"/>
              </w:rPr>
            </w:pPr>
            <w:r>
              <w:rPr>
                <w:rFonts w:ascii="Arial" w:cs="Arial" w:eastAsia="Arial" w:hAnsi="Arial"/>
                <w:sz w:val="14"/>
                <w:szCs w:val="14"/>
                <w:b w:val="1"/>
                <w:bCs w:val="1"/>
                <w:color w:val="auto"/>
              </w:rPr>
              <w:t>&amp;</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9"/>
              </w:rPr>
              <w:t>TRANSIT BUS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HIGHWAY</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2"/>
        </w:trPr>
        <w:tc>
          <w:tcPr>
            <w:tcW w:w="25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1"/>
                <w:szCs w:val="11"/>
                <w:b w:val="1"/>
                <w:bCs w:val="1"/>
                <w:color w:val="auto"/>
              </w:rPr>
              <w:t>NET SALES</w:t>
            </w: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IN MILLIONS</w:t>
            </w: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$825</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$105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$39</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$293</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$88</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$202</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208"/>
              <w:spacing w:after="0" w:line="142" w:lineRule="exact"/>
              <w:rPr>
                <w:sz w:val="20"/>
                <w:szCs w:val="20"/>
                <w:color w:val="auto"/>
              </w:rPr>
            </w:pPr>
            <w:r>
              <w:rPr>
                <w:rFonts w:ascii="Arial" w:cs="Arial" w:eastAsia="Arial" w:hAnsi="Arial"/>
                <w:sz w:val="14"/>
                <w:szCs w:val="14"/>
                <w:color w:val="auto"/>
                <w:w w:val="89"/>
              </w:rPr>
              <w:t>$375</w:t>
            </w:r>
          </w:p>
        </w:tc>
        <w:tc>
          <w:tcPr>
            <w:tcW w:w="0" w:type="dxa"/>
            <w:vAlign w:val="bottom"/>
          </w:tcPr>
          <w:p>
            <w:pPr>
              <w:spacing w:after="0"/>
              <w:rPr>
                <w:sz w:val="1"/>
                <w:szCs w:val="1"/>
                <w:color w:val="auto"/>
              </w:rPr>
            </w:pPr>
          </w:p>
        </w:tc>
      </w:tr>
      <w:tr>
        <w:trPr>
          <w:trHeight w:val="142"/>
        </w:trPr>
        <w:tc>
          <w:tcPr>
            <w:tcW w:w="25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OF</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OTAL</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43%</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123"/>
        </w:trPr>
        <w:tc>
          <w:tcPr>
            <w:tcW w:w="25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ARKET</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OSITION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160" w:type="dxa"/>
            <w:vAlign w:val="bottom"/>
          </w:tcPr>
          <w:p>
            <w:pPr>
              <w:ind w:left="100"/>
              <w:spacing w:after="0" w:line="123" w:lineRule="exact"/>
              <w:rPr>
                <w:sz w:val="20"/>
                <w:szCs w:val="20"/>
                <w:color w:val="auto"/>
              </w:rPr>
            </w:pPr>
            <w:r>
              <w:rPr>
                <w:rFonts w:ascii="Arial" w:cs="Arial" w:eastAsia="Arial" w:hAnsi="Arial"/>
                <w:sz w:val="14"/>
                <w:szCs w:val="14"/>
                <w:color w:val="auto"/>
                <w:w w:val="80"/>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A leading</w:t>
            </w:r>
          </w:p>
        </w:tc>
        <w:tc>
          <w:tcPr>
            <w:tcW w:w="80" w:type="dxa"/>
            <w:vAlign w:val="bottom"/>
          </w:tcPr>
          <w:p>
            <w:pPr>
              <w:spacing w:after="0"/>
              <w:rPr>
                <w:sz w:val="10"/>
                <w:szCs w:val="10"/>
                <w:color w:val="auto"/>
              </w:rPr>
            </w:pPr>
          </w:p>
        </w:tc>
        <w:tc>
          <w:tcPr>
            <w:tcW w:w="10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140" w:type="dxa"/>
            <w:vAlign w:val="bottom"/>
          </w:tcPr>
          <w:p>
            <w:pPr>
              <w:ind w:left="80"/>
              <w:spacing w:after="0" w:line="123" w:lineRule="exact"/>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140" w:type="dxa"/>
            <w:vAlign w:val="bottom"/>
          </w:tcPr>
          <w:p>
            <w:pPr>
              <w:ind w:left="60"/>
              <w:spacing w:after="0" w:line="123"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 supplier of</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fully-automatic</w:t>
            </w:r>
          </w:p>
        </w:tc>
        <w:tc>
          <w:tcPr>
            <w:tcW w:w="160" w:type="dxa"/>
            <w:vAlign w:val="bottom"/>
          </w:tcPr>
          <w:p>
            <w:pPr>
              <w:spacing w:after="0"/>
              <w:rPr>
                <w:sz w:val="12"/>
                <w:szCs w:val="12"/>
                <w:color w:val="auto"/>
              </w:rPr>
            </w:pPr>
          </w:p>
        </w:tc>
        <w:tc>
          <w:tcPr>
            <w:tcW w:w="10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supplier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independent</w:t>
            </w:r>
          </w:p>
        </w:tc>
        <w:tc>
          <w:tcPr>
            <w:tcW w:w="140" w:type="dxa"/>
            <w:vAlign w:val="bottom"/>
          </w:tcPr>
          <w:p>
            <w:pPr>
              <w:spacing w:after="0"/>
              <w:rPr>
                <w:sz w:val="12"/>
                <w:szCs w:val="12"/>
                <w:color w:val="auto"/>
              </w:rPr>
            </w:pPr>
          </w:p>
        </w:tc>
        <w:tc>
          <w:tcPr>
            <w:tcW w:w="11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transmissions</w:t>
            </w:r>
          </w:p>
        </w:tc>
        <w:tc>
          <w:tcPr>
            <w:tcW w:w="20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1,400 dealers</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transmissions</w:t>
            </w:r>
          </w:p>
        </w:tc>
        <w:tc>
          <w:tcPr>
            <w:tcW w:w="160" w:type="dxa"/>
            <w:vAlign w:val="bottom"/>
          </w:tcPr>
          <w:p>
            <w:pPr>
              <w:spacing w:after="0"/>
              <w:rPr>
                <w:sz w:val="12"/>
                <w:szCs w:val="12"/>
                <w:color w:val="auto"/>
              </w:rPr>
            </w:pPr>
          </w:p>
        </w:tc>
        <w:tc>
          <w:tcPr>
            <w:tcW w:w="10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hybrid-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supplier</w:t>
            </w:r>
          </w:p>
        </w:tc>
        <w:tc>
          <w:tcPr>
            <w:tcW w:w="140" w:type="dxa"/>
            <w:vAlign w:val="bottom"/>
          </w:tcPr>
          <w:p>
            <w:pPr>
              <w:spacing w:after="0"/>
              <w:rPr>
                <w:sz w:val="12"/>
                <w:szCs w:val="12"/>
                <w:color w:val="auto"/>
              </w:rPr>
            </w:pPr>
          </w:p>
        </w:tc>
        <w:tc>
          <w:tcPr>
            <w:tcW w:w="11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7"/>
              </w:rPr>
              <w:t>transmissions in</w:t>
            </w: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for the U.S.</w:t>
            </w:r>
          </w:p>
        </w:tc>
        <w:tc>
          <w:tcPr>
            <w:tcW w:w="20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distributors</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propulsion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China and India</w:t>
            </w: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Department of</w:t>
            </w:r>
          </w:p>
        </w:tc>
        <w:tc>
          <w:tcPr>
            <w:tcW w:w="20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82"/>
        </w:trPr>
        <w:tc>
          <w:tcPr>
            <w:tcW w:w="250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systems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Established</w:t>
            </w:r>
          </w:p>
        </w:tc>
        <w:tc>
          <w:tcPr>
            <w:tcW w:w="1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Defense</w:t>
            </w:r>
          </w:p>
        </w:tc>
        <w:tc>
          <w:tcPr>
            <w:tcW w:w="2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50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presence in</w:t>
            </w: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Western Europe</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5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OCATIONS OR</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ND</w:t>
            </w:r>
            <w:r>
              <w:rPr>
                <w:rFonts w:ascii="Arial" w:cs="Arial" w:eastAsia="Arial" w:hAnsi="Arial"/>
                <w:sz w:val="14"/>
                <w:szCs w:val="14"/>
                <w:b w:val="1"/>
                <w:bCs w:val="1"/>
                <w:color w:val="auto"/>
              </w:rPr>
              <w:t xml:space="preserve"> U</w:t>
            </w:r>
            <w:r>
              <w:rPr>
                <w:rFonts w:ascii="Arial" w:cs="Arial" w:eastAsia="Arial" w:hAnsi="Arial"/>
                <w:sz w:val="11"/>
                <w:szCs w:val="11"/>
                <w:b w:val="1"/>
                <w:bCs w:val="1"/>
                <w:color w:val="auto"/>
              </w:rPr>
              <w:t>SE</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Distribution</w:t>
            </w:r>
          </w:p>
        </w:tc>
        <w:tc>
          <w:tcPr>
            <w:tcW w:w="160" w:type="dxa"/>
            <w:vAlign w:val="bottom"/>
          </w:tcPr>
          <w:p>
            <w:pPr>
              <w:ind w:left="100"/>
              <w:spacing w:after="0" w:line="123" w:lineRule="exact"/>
              <w:rPr>
                <w:sz w:val="20"/>
                <w:szCs w:val="20"/>
                <w:color w:val="auto"/>
              </w:rPr>
            </w:pPr>
            <w:r>
              <w:rPr>
                <w:rFonts w:ascii="Arial" w:cs="Arial" w:eastAsia="Arial" w:hAnsi="Arial"/>
                <w:sz w:val="14"/>
                <w:szCs w:val="14"/>
                <w:color w:val="auto"/>
                <w:w w:val="80"/>
              </w:rPr>
              <w:t>•</w:t>
            </w:r>
          </w:p>
        </w:tc>
        <w:tc>
          <w:tcPr>
            <w:tcW w:w="10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Hybrid transit</w:t>
            </w:r>
          </w:p>
        </w:tc>
        <w:tc>
          <w:tcPr>
            <w:tcW w:w="80" w:type="dxa"/>
            <w:vAlign w:val="bottom"/>
          </w:tcPr>
          <w:p>
            <w:pPr>
              <w:spacing w:after="0"/>
              <w:rPr>
                <w:sz w:val="10"/>
                <w:szCs w:val="10"/>
                <w:color w:val="auto"/>
              </w:rPr>
            </w:pPr>
          </w:p>
        </w:tc>
        <w:tc>
          <w:tcPr>
            <w:tcW w:w="10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Energy</w:t>
            </w:r>
          </w:p>
        </w:tc>
        <w:tc>
          <w:tcPr>
            <w:tcW w:w="140" w:type="dxa"/>
            <w:vAlign w:val="bottom"/>
          </w:tcPr>
          <w:p>
            <w:pPr>
              <w:ind w:left="80"/>
              <w:spacing w:after="0" w:line="123" w:lineRule="exact"/>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40" w:type="dxa"/>
            <w:vAlign w:val="bottom"/>
          </w:tcPr>
          <w:p>
            <w:pPr>
              <w:ind w:left="60"/>
              <w:spacing w:after="0" w:line="123"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Medium- and</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Parts</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Emergency</w:t>
            </w:r>
          </w:p>
        </w:tc>
        <w:tc>
          <w:tcPr>
            <w:tcW w:w="160" w:type="dxa"/>
            <w:vAlign w:val="bottom"/>
          </w:tcPr>
          <w:p>
            <w:pPr>
              <w:spacing w:after="0"/>
              <w:rPr>
                <w:sz w:val="12"/>
                <w:szCs w:val="12"/>
                <w:color w:val="auto"/>
              </w:rPr>
            </w:pPr>
          </w:p>
        </w:tc>
        <w:tc>
          <w:tcPr>
            <w:tcW w:w="10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bus</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Mining</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Emergency</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heavy-tactical</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Support equipment</w:t>
            </w: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Hybrid shuttle</w:t>
            </w: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wheeled</w:t>
            </w:r>
          </w:p>
        </w:tc>
        <w:tc>
          <w:tcPr>
            <w:tcW w:w="20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Refuse</w:t>
            </w:r>
          </w:p>
        </w:tc>
        <w:tc>
          <w:tcPr>
            <w:tcW w:w="16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Construction</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Refuse</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40" w:type="dxa"/>
            <w:vAlign w:val="bottom"/>
          </w:tcPr>
          <w:p>
            <w:pPr>
              <w:spacing w:after="0"/>
              <w:rPr>
                <w:sz w:val="12"/>
                <w:szCs w:val="12"/>
                <w:color w:val="auto"/>
              </w:rPr>
            </w:pPr>
          </w:p>
        </w:tc>
        <w:tc>
          <w:tcPr>
            <w:tcW w:w="114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color w:val="auto"/>
              </w:rPr>
              <w:t>platforms</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Remanufactured</w:t>
            </w:r>
          </w:p>
        </w:tc>
        <w:tc>
          <w:tcPr>
            <w:tcW w:w="0" w:type="dxa"/>
            <w:vAlign w:val="bottom"/>
          </w:tcPr>
          <w:p>
            <w:pPr>
              <w:spacing w:after="0"/>
              <w:rPr>
                <w:sz w:val="1"/>
                <w:szCs w:val="1"/>
                <w:color w:val="auto"/>
              </w:rPr>
            </w:pPr>
          </w:p>
        </w:tc>
      </w:tr>
      <w:tr>
        <w:trPr>
          <w:trHeight w:val="115"/>
        </w:trPr>
        <w:tc>
          <w:tcPr>
            <w:tcW w:w="2500" w:type="dxa"/>
            <w:vAlign w:val="bottom"/>
            <w:tcBorders>
              <w:left w:val="single" w:sz="8" w:color="auto"/>
              <w:right w:val="single" w:sz="8" w:color="auto"/>
            </w:tcBorders>
          </w:tcPr>
          <w:p>
            <w:pPr>
              <w:spacing w:after="0"/>
              <w:rPr>
                <w:sz w:val="9"/>
                <w:szCs w:val="9"/>
                <w:color w:val="auto"/>
              </w:rPr>
            </w:pPr>
          </w:p>
        </w:tc>
        <w:tc>
          <w:tcPr>
            <w:tcW w:w="1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right w:val="single" w:sz="8" w:color="auto"/>
            </w:tcBorders>
          </w:tcPr>
          <w:p>
            <w:pPr>
              <w:ind w:left="80"/>
              <w:spacing w:after="0" w:line="115" w:lineRule="exact"/>
              <w:rPr>
                <w:sz w:val="20"/>
                <w:szCs w:val="20"/>
                <w:color w:val="auto"/>
              </w:rPr>
            </w:pPr>
            <w:r>
              <w:rPr>
                <w:rFonts w:ascii="Arial" w:cs="Arial" w:eastAsia="Arial" w:hAnsi="Arial"/>
                <w:sz w:val="13"/>
                <w:szCs w:val="13"/>
                <w:color w:val="auto"/>
              </w:rPr>
              <w:t>bus</w:t>
            </w: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00" w:type="dxa"/>
            <w:vAlign w:val="bottom"/>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00" w:type="dxa"/>
            <w:vAlign w:val="bottom"/>
            <w:tcBorders>
              <w:left w:val="single" w:sz="8" w:color="auto"/>
              <w:right w:val="single" w:sz="8" w:color="auto"/>
            </w:tcBorders>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Specialty</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Tracked</w:t>
            </w:r>
          </w:p>
        </w:tc>
        <w:tc>
          <w:tcPr>
            <w:tcW w:w="200" w:type="dxa"/>
            <w:vAlign w:val="bottom"/>
          </w:tcPr>
          <w:p>
            <w:pPr>
              <w:spacing w:after="0"/>
              <w:rPr>
                <w:sz w:val="14"/>
                <w:szCs w:val="14"/>
                <w:color w:val="auto"/>
              </w:rPr>
            </w:pP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transmissions</w:t>
            </w:r>
          </w:p>
        </w:tc>
        <w:tc>
          <w:tcPr>
            <w:tcW w:w="0" w:type="dxa"/>
            <w:vAlign w:val="bottom"/>
          </w:tcPr>
          <w:p>
            <w:pPr>
              <w:spacing w:after="0"/>
              <w:rPr>
                <w:sz w:val="1"/>
                <w:szCs w:val="1"/>
                <w:color w:val="auto"/>
              </w:rPr>
            </w:pPr>
          </w:p>
        </w:tc>
      </w:tr>
      <w:tr>
        <w:trPr>
          <w:trHeight w:val="95"/>
        </w:trPr>
        <w:tc>
          <w:tcPr>
            <w:tcW w:w="2500" w:type="dxa"/>
            <w:vAlign w:val="bottom"/>
            <w:tcBorders>
              <w:left w:val="single" w:sz="8" w:color="auto"/>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right w:val="single" w:sz="8" w:color="auto"/>
            </w:tcBorders>
            <w:vMerge w:val="restart"/>
          </w:tcPr>
          <w:p>
            <w:pPr>
              <w:ind w:left="60"/>
              <w:spacing w:after="0" w:line="149" w:lineRule="exact"/>
              <w:rPr>
                <w:sz w:val="20"/>
                <w:szCs w:val="20"/>
                <w:color w:val="auto"/>
              </w:rPr>
            </w:pPr>
            <w:r>
              <w:rPr>
                <w:rFonts w:ascii="Arial" w:cs="Arial" w:eastAsia="Arial" w:hAnsi="Arial"/>
                <w:sz w:val="14"/>
                <w:szCs w:val="14"/>
                <w:color w:val="auto"/>
              </w:rPr>
              <w:t>combat</w:t>
            </w:r>
          </w:p>
        </w:tc>
        <w:tc>
          <w:tcPr>
            <w:tcW w:w="2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500" w:type="dxa"/>
            <w:vAlign w:val="bottom"/>
            <w:tcBorders>
              <w:left w:val="single" w:sz="8" w:color="auto"/>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vehicle</w:t>
            </w:r>
          </w:p>
        </w:tc>
        <w:tc>
          <w:tcPr>
            <w:tcW w:w="140" w:type="dxa"/>
            <w:vAlign w:val="bottom"/>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vehicle</w:t>
            </w:r>
          </w:p>
        </w:tc>
        <w:tc>
          <w:tcPr>
            <w:tcW w:w="140" w:type="dxa"/>
            <w:vAlign w:val="bottom"/>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Fluids</w:t>
            </w:r>
          </w:p>
        </w:tc>
        <w:tc>
          <w:tcPr>
            <w:tcW w:w="0" w:type="dxa"/>
            <w:vAlign w:val="bottom"/>
          </w:tcPr>
          <w:p>
            <w:pPr>
              <w:spacing w:after="0"/>
              <w:rPr>
                <w:sz w:val="1"/>
                <w:szCs w:val="1"/>
                <w:color w:val="auto"/>
              </w:rPr>
            </w:pPr>
          </w:p>
        </w:tc>
      </w:tr>
      <w:tr>
        <w:trPr>
          <w:trHeight w:val="128"/>
        </w:trPr>
        <w:tc>
          <w:tcPr>
            <w:tcW w:w="2500" w:type="dxa"/>
            <w:vAlign w:val="bottom"/>
            <w:tcBorders>
              <w:left w:val="single" w:sz="8" w:color="auto"/>
              <w:right w:val="single" w:sz="8" w:color="auto"/>
            </w:tcBorders>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Utility</w:t>
            </w:r>
          </w:p>
        </w:tc>
        <w:tc>
          <w:tcPr>
            <w:tcW w:w="1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platforms</w:t>
            </w:r>
          </w:p>
        </w:tc>
        <w:tc>
          <w:tcPr>
            <w:tcW w:w="200" w:type="dxa"/>
            <w:vAlign w:val="bottom"/>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00" w:type="dxa"/>
            <w:vAlign w:val="bottom"/>
            <w:tcBorders>
              <w:left w:val="single" w:sz="8" w:color="auto"/>
              <w:right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500" w:type="dxa"/>
            <w:vAlign w:val="bottom"/>
            <w:tcBorders>
              <w:left w:val="single" w:sz="8" w:color="auto"/>
              <w:right w:val="single" w:sz="8" w:color="auto"/>
            </w:tcBorders>
          </w:tcPr>
          <w:p>
            <w:pPr>
              <w:spacing w:after="0"/>
              <w:rPr>
                <w:sz w:val="5"/>
                <w:szCs w:val="5"/>
                <w:color w:val="auto"/>
              </w:rPr>
            </w:pPr>
          </w:p>
        </w:tc>
        <w:tc>
          <w:tcPr>
            <w:tcW w:w="180" w:type="dxa"/>
            <w:vAlign w:val="bottom"/>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500" w:type="dxa"/>
            <w:vAlign w:val="bottom"/>
            <w:tcBorders>
              <w:left w:val="single" w:sz="8" w:color="auto"/>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School, transit,</w:t>
            </w: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w w:val="80"/>
              </w:rPr>
              <w:t>•</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Transit, shuttle</w:t>
            </w:r>
          </w:p>
        </w:tc>
        <w:tc>
          <w:tcPr>
            <w:tcW w:w="1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shuttle and</w:t>
            </w:r>
          </w:p>
        </w:tc>
        <w:tc>
          <w:tcPr>
            <w:tcW w:w="1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2"/>
              </w:rPr>
              <w:t>and coach buses</w:t>
            </w: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coach buses</w:t>
            </w:r>
          </w:p>
        </w:tc>
        <w:tc>
          <w:tcPr>
            <w:tcW w:w="1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auto"/>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Motorhome</w:t>
            </w:r>
          </w:p>
        </w:tc>
        <w:tc>
          <w:tcPr>
            <w:tcW w:w="16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500" w:type="dxa"/>
            <w:vAlign w:val="bottom"/>
            <w:tcBorders>
              <w:left w:val="single" w:sz="8" w:color="auto"/>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Metro tractors</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Refer to NOTE 18, “Concentration of Risk” and NOTE 21, “Geographic Information” in Part II, Item 8, of this Annual Report on Form 10-K for additional information on our significant OEM customers and net sales by geographical areas.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 America</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the largest manufacturer of fully-automatic transmissions for the on-highway medium- and heavy-duty commercial vehicle market in North America. Our core markets are those in which the value proposition of a fully-automatic transmission to end users is highest, typically where the vehicle is operated with a high degree of “start and stop” activity. We believe end user preferences for superior acceleration, higher productivity, increased fuel efficiency, reduced operating costs, less driveline shock and smoother shifting relative to both manual transmissions and AMTs results in a willingness to pay a meaningful premium for the attributes of our fully-automatic transmissions.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haul. We have been supplying transmissions for Class 8 straight trucks for decades, and it is a core end market for us. Today, we have very limited exposure to the Class 8 tractor market because lower priced manual transmissions generally meet the needs of these vehicles which are primarily used in long distance hauling. However, we have identified a portion of the Class 8 tractor market that we call metro tractors that are used in urban environments the majority of the time. During 2013, we began production of a new fully-automatic transmission (the “TC10”) that meets the unique duty cycle requirements of the Class 8 metro tractor market. Combining the startability and continuous, uninterrupted power qualities of a fully-automatic transmission with the cruising aspects of a manual transmission, the TC10 offers a new alternative to traditional manual and automated manual transmissions in tractor applications.</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sell substantially all of our transmissions in the North American on-highway market to OEMs, including Blue Bird, Daimler, Hino, Navistar, PACCAR, Spartan Motors, Volvo and many others. These OEMs, in turn, install our transmissions in vehicles in which our transmission is either the exclusive transmission available or is specifically requested by end users who are choosing between a manual transmission, an AMT or a fully-automatic transmission. OEM customers representing approximately 90% of our 2013 North American on-highway unit volume participate in long-term supply agreements (“LTSA”) with us. Generally, these supply agreements offer the OEM customer defined levels of mutual commitment with respect to growing Allison’s presence in the OEMs’ products and promotional efforts, pricing and sharing of commodity cost risk. The typical length of our customer agreements is five years. We often compete in this market against independent manufacturers of manual transmissions and AMTs, and, to a lesser extent, against OEMs in certain weight classes that use their own internally manufactured transmissions in certain vehicles.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On-Highway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169545</wp:posOffset>
            </wp:positionV>
            <wp:extent cx="2915920" cy="2238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Class 4-5 Trucks. </w:t>
      </w:r>
      <w:r>
        <w:rPr>
          <w:rFonts w:ascii="Arial" w:cs="Arial" w:eastAsia="Arial" w:hAnsi="Arial"/>
          <w:sz w:val="18"/>
          <w:szCs w:val="18"/>
          <w:color w:val="auto"/>
        </w:rPr>
        <w:t>Class 4-5 trucks are generally used in urban applications, including distribution, commercial lease and rental, as well as ambulance.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primary demand drivers impacting the purchase of these trucks are economic factors, such as gross domestic product growth, industrial activity and fuel costs, as well as government spending.</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largest Class 4-5 truck OEM is Ford Motor Company (“Ford”), which offers its own transmission in these vehicles. We are the exclusive transmission supplier to the Navistar Class 4-5 TerraStar truck specifically targeted at this end market. We also intend to pursue business with other OEMs, should they choose to participate in this end market.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8" w:name="page9"/>
    <w:bookmarkEnd w:id="8"/>
    <w:p>
      <w:pPr>
        <w:ind w:firstLine="456"/>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6-7 Trucks. </w:t>
      </w:r>
      <w:r>
        <w:rPr>
          <w:rFonts w:ascii="Arial" w:cs="Arial" w:eastAsia="Arial" w:hAnsi="Arial"/>
          <w:sz w:val="18"/>
          <w:szCs w:val="18"/>
          <w:color w:val="auto"/>
        </w:rPr>
        <w:t>Class 6-7 trucks are generally used in urban applications, including larger distribution, commercial lease and rental, ambulance,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rescue and fire trucks. While demand drivers for the Class 6-7 truck end market are generally similar to those of the Class 4-5 truck end market, economic and pre-buy volatility are higher in these classes. The largest OEMs in this end market are Daimler, Ford, Hino, Navistar and PACCAR. Our overall penetration of the Class 6-7 truck transmission end market was approximately 68% in 2013. In this market, we compete primarily with manual transmissions, AMTs and Ford, who offers its own internally-produced transmissions in these vehicles.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Class 8 Straight Trucks. </w:t>
      </w:r>
      <w:r>
        <w:rPr>
          <w:rFonts w:ascii="Arial" w:cs="Arial" w:eastAsia="Arial" w:hAnsi="Arial"/>
          <w:sz w:val="18"/>
          <w:szCs w:val="18"/>
          <w:color w:val="auto"/>
        </w:rPr>
        <w:t>The most common vocations that utilize straight trucks are refuse, construction, fire and emergency. Primary drivers of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 straight truck demand are general economic conditions and federal, state and municipal spending, which affect the purchases of many fire and emergency vehicles, refuse vehicles and construction vehicles, and the purchases of other private refuse fleet operators. The largest Class 8 straight truck OEMs are Daimler, Navistar, PACCAR and Volvo. In 2013, our overall penetration of the Class 8 straight truck transmission end market was approximately 56%. In this market, we compete primarily with manual transmissions and AMTs.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Buses. </w:t>
      </w:r>
      <w:r>
        <w:rPr>
          <w:rFonts w:ascii="Arial" w:cs="Arial" w:eastAsia="Arial" w:hAnsi="Arial"/>
          <w:sz w:val="18"/>
          <w:szCs w:val="18"/>
          <w:color w:val="auto"/>
        </w:rPr>
        <w:t>School buses have historically comprised approximately 76% of the North American bus market by volume. While school buses vary in weight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engine size, the majority of our transmissions are used in Class 6-7 buses. The primary demand driver for school bus purchases is municipal spending, specifically school district budgets and the capital expenditure plans of private fleet operators. School bus demand is also affected by the number of school-age children, which is driven by birth rates and immigration. The demand in this end market has generally been stable, although it does experience declines during economic downturns as municipalities defer purchases. The largest school bus OEMs are Blue Bird, Daimler and Navistar. Our overall penetration of the school bus end market was approximately 93% in 2013. In this market, we primarily compete against Ford, Voith GmbH (“Voith”) and ZF Friedrichshafen AG (“ZF”).</w:t>
      </w:r>
    </w:p>
    <w:p>
      <w:pPr>
        <w:spacing w:after="0" w:line="18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Motorhomes. </w:t>
      </w:r>
      <w:r>
        <w:rPr>
          <w:rFonts w:ascii="Arial" w:cs="Arial" w:eastAsia="Arial" w:hAnsi="Arial"/>
          <w:sz w:val="16"/>
          <w:szCs w:val="16"/>
          <w:color w:val="auto"/>
        </w:rPr>
        <w:t>We sell our transmissions for use primarily in larger motorhomes (Type A). Substantially all of the Type A motorhomes used fully-automatic transmissions in this market in 2013. The motorhome market was severely impacted by the recent economic downturn with volumes declining approximately 49% from 2007 to 2013. We expect motorhome demand will benefit from improving economic conditions, increased availability of credit and favorable demographic trends such as the aging of “baby boomers.” We typically sell to the chassis manufacturers that supply body manufacturers, such as Fleetwood RV, Thor Industries and Winnebago Industries. We had approximately a 52% share of the fully-automatic transmissions used in Type A diesel and gasoline powered motorhomes and substantially all of the share of the fully-automatic transmissions sold in Type A diesel powered motorhomes. In this market, we compete primarily with Ford, who uses its own internally-produced transmission in the lighter-duty motorhomes.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Hybrid Transit Buses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interest in conserving fuel and reducing greenhouse gas emissions is driving demand for more fuel efficient commercial vehicles. As of December 31, 2013, we have delivered over 6,000 H 40/50 EP hybrid-propulsion transit bus systems globally to approximately 250 cities in many countries, making us one of the world’s largest suppliers of hybrid-propulsion transit bus systems. In North America, we sold approximately 75% of all units for the hybrid transit bus market in 2013. Our customers in this North American end market are typically city, state and federal governmental entities, which utilize government funds to subsidize a portion of the purchase price for the transit buses containing our hybrid-propulsion system. In this market, we compete primarily with BAE Systems plc (“BAE”).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Off-Highway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provided products used in vehicles and equipment that serve energy, mining and construction applications for over 50 years.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Off-highway energy applications include well-stimulation equipment, pumping equipment, and well-servicing rigs, which often use a fully-automatic transmission to propel the vehicle and drive auxiliary equipment. We maintain a leadership position in this end market, with nearly all producers of well stimulation and well servicing equipment utilizing our heavy-duty off-highway transmissions. Customers include Baker Hughes, Halliburton Company, Key Energy Services, National Oilwell Varco and Weatherford International. Traditional and new methods of drilling and extracting oil and natural gas from shale formations utilize highly engineered heavy-duty fully-automatic transmissions. Competition includes Caterpillar, Inc. (“Caterpillar”) and Twin Disc, Inc. (“Twin Disc”).</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Construction applications include articulated dump trucks with Caterpillar, Volvo and ZF as competitors.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North America</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On-Highway</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are the largest manufacturer of fully-automatic transmissions for the commercial vehicle market outside of North America. While the use of fully-automatic transmissions in the medium- and heavy-duty commercial vehicle market has been widely accepted in North America, the markets outside North America continue to be dominated by manual transmissions. In 2013,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146050</wp:posOffset>
            </wp:positionV>
            <wp:extent cx="2649855" cy="2066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985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The Europe, Middle East, Africa region (“EMEA”), is composed of several different markets, each of which differs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from our core North American market by the degree of market maturity, sophistication and acceptance of fully-automatic transmission technology. Within Europe, we serve Western European developed markets, as well as Russian and Eastern European emerging markets. Our key on-highway customers in EMEA are Daimler, Iveco, Scania, and Volvo, and we principally serve the refuse, emergency, bus, coach, distribution and utility markets. Fully-automatic transmission technology has approximately a 4% market share in European truck applications. We lead this end market with approximately a 76% share of the fully-automatic transmissions sold in 2013. Transit bus transmission sales are more evenly divided between manual and fully-automatic transmissions. However, we face strong competition from European-based bus-focused competitors in this market such as ZF and Voith. Europe is most notably characterized by a high level of vertical powertrain integration with OEMs such as Daimler, Scania and Volvo often utilizing their own manual transmissions and AMTs in their vehicles. These OEMs have not generally elected to manufacture fully-automatic commercial vehicle transmissions. We believe they have not done so due to the large initial investment required that would be amortized over a limited number of medium and heavy-duty commercial vehicles utilizing fully-automatic transmissions in their European market. The Middle East and Africa regions are generally characterized by very limited local vehicle production, with imports from the U.S., South America, Turkey, China, India and Europe accounting for the majority of vehicles.</w:t>
      </w:r>
    </w:p>
    <w:p>
      <w:pPr>
        <w:spacing w:after="0" w:line="16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Although we have low market penetration today, we supply transmissions to all major European OEMs and have targeted specific vocations in EMEA that we believe benefit from our value proposition. For example, we are the exclusive transmission in refuse chassis with Daimler and Dennis Eagle.</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Asia-Pacific. </w:t>
      </w:r>
      <w:r>
        <w:rPr>
          <w:rFonts w:ascii="Arial" w:cs="Arial" w:eastAsia="Arial" w:hAnsi="Arial"/>
          <w:sz w:val="16"/>
          <w:szCs w:val="16"/>
          <w:color w:val="auto"/>
        </w:rPr>
        <w:t>Currently, manual transmissions are the predominant transmissions used in commercial vehicles in the Asia-Pacific region. We believe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well-positioned to capitalize on the relatively low penetration rate of automatic transmission because of our transmissions’ established reputation for performance and durability, as well as our distributor and dealer network presence in most of the key Asia-Pacific markets, including China and Japan. In China, our largest growth market, we are the leading provider of fully-automatic commercial vehicle transmissions with a substantial installed base of over 54,000 Allison transmissions, including 37,000 units in transit buses, operated by over 100 different bus fleets in over 70 cities as of December 31, 2013. Our success in penetrating the domestic commercial vehicle OEMs combined with the value of our fully-automatic transmissions have generated a significant growth opportunity for us as Chinese OEMs have begun to export products. For example, we have grown significantly in commercial vehicles used to transport cargo at shipping ports (dock spotters) in China, increasing our share to virtually 100% today. In targeted truck vocations, we have increased the number of vehicle configurations in which our transmissions are available from 17 in 2008 to 106 in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1" w:name="page12"/>
    <w:bookmarkEnd w:id="11"/>
    <w:p>
      <w:pPr>
        <w:ind w:right="1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Japanese market for commercial vehicles is unique due to the country’s compact size and its transportation congestion constraints. This generally encourages the use of smaller engines and commensurately lighter-duty commercial vehicles than those used in North America. Sales of fully-automatic transmissions for use in the domestic Japanese commercial vehicle market are expected to grow over the long-term as a result of the declining number of drivers in the active workforce who are trained to operate manual transmissions. Historically, the Japanese commercial vehicle fully-automatic transmission market has been served by local suppliers such as Aisin Seiki Co., Ltd. (“Aisin”), which supplies its products predominantly for vehicles in the Class 4-5 equivalent and lighter weight categories. We have built relationships with domestic Japanese vehicle OEMs, including Hino, Isuzu, Mitsubishi Fuso Truck and Bus Corporation (“Mitsubishi”) and UD Truck Corporation (“UD”), and we are working to expand our commercial vehicle releases in the Japanese market. Japanese OEMs also export vehicles extensively to Australia, Thailand and Indonesia, and our opportunities are improving, particularly in the Australian refuse, construction and distribution markets representing the most significant near-term potential.</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to China and Japan, we actively participate in several other important Asia-Pacific countries. Currently, Taiwan, Indonesia, Malaysia and Thailand are primarily importers of commercial vehicles, with limited domestic manufacturing capabilities. Australia and South Korea have a few OEMs with domestic production capabilities for which we are a supplier, including Daewoo International Corporation, Hyundai Motor Company and Iveco. The distribution of our fully-automatic transmissions throughout the broader Asia-Pacific region helps to develop end user relationships.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Competition in the Asia-Pacific region includes fully-automatic transmissions from Aisin and JATCO for lighter-duty trucks, ZF and Voith for buses, as well as Shaanxi Fast Gear Co., Ltd. (“Fast Gear”) for heavy-duty trucks. We also face competition from the captive OEM production of manual transmissions and AMTs from companies such as Hino, Isuzu, Mitsubishi and UD. Fast Gear also supplies manual transmissions sold for use in the Chinese truck market, while Qijiang focuses on the Chinese tour-coach manual transmission market.</w:t>
      </w:r>
    </w:p>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India. </w:t>
      </w:r>
      <w:r>
        <w:rPr>
          <w:rFonts w:ascii="Arial" w:cs="Arial" w:eastAsia="Arial" w:hAnsi="Arial"/>
          <w:sz w:val="18"/>
          <w:szCs w:val="18"/>
          <w:color w:val="auto"/>
        </w:rPr>
        <w:t>Since 2007, we have had an established foothold in the India on-highway market, beginning with the low-floor transit bus. We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in obtaining releases and generating sales in support of the desire of the Indian government to upgrade its public transportation infrastructure. Currently, Allison transmissions are operating in over 29 major cities across India.</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In order for us to take a more direct and proactive role in the Indian market, we opened a regional office and customization center in 2009, a manufacturing facility in 2010 to produce components for our 3000 and 4000 products assembled in Hungary and an assembly operation for our 1000 and 2000 products in 2012 in India. We have also launched vehicle release programs with Indian OEMs in the truck, bus, defense and off-highway markets.</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Currently, manual transmissions are the predominant transmissions used in commercial vehicles in India; however, we believe opportunity for growth exists as the various Indian vocational end markets seek to upgrade and modernize their equipment to global specifications. Competition primarily comes from the locally produced manual transmissions, as well as from ZF and Voith, which compete with us predominantly in the bus market with their fully-automatic transmissions. Allison is or is expected to be offered as an option by Indian bus and truck OEMs such as Ashok Leyland, Asia Motor Works, BEML, JCBL and Tata. India is also characterized by some OEMs with vertical powertrain integration often utilizing their own manual transmissions and AMTs in their vehicles.</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South America. </w:t>
      </w:r>
      <w:r>
        <w:rPr>
          <w:rFonts w:ascii="Arial" w:cs="Arial" w:eastAsia="Arial" w:hAnsi="Arial"/>
          <w:sz w:val="18"/>
          <w:szCs w:val="18"/>
          <w:color w:val="auto"/>
        </w:rPr>
        <w:t>Currently, manual transmissions are the predominant transmissions used in commercial vehicles in South America.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 presence supporting OEMs such as Agrale S.A., Daimler, Encava C.A., Iveco, MAN, Randon Veículos and Scania. During 2013, the vast majority of the net sales of our products in the region were for use in buses, while on-highway trucks accounted for a small portion of our net sales; however, we are growing our truck release base. The South American region is characterized by a high level of OEM integration, with captive manual transmission and AMT manufacturing by OEMs such as Daimler, MAN and Scania.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Off-Highway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169545</wp:posOffset>
            </wp:positionV>
            <wp:extent cx="2658745" cy="2066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Europe, Middle East, Africa. </w:t>
      </w:r>
      <w:r>
        <w:rPr>
          <w:rFonts w:ascii="Arial" w:cs="Arial" w:eastAsia="Arial" w:hAnsi="Arial"/>
          <w:sz w:val="17"/>
          <w:szCs w:val="17"/>
          <w:color w:val="auto"/>
        </w:rPr>
        <w:t>Our off-highway markets in EMEA are mining and construction. Our major off-highway competitors are Caterpillar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 We also supply mining OEMs such as Astra, Atlas Copco UK, Perlini Equipment, Sandvik AB and Terex.</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Asia-Pacific. </w:t>
      </w:r>
      <w:r>
        <w:rPr>
          <w:rFonts w:ascii="Arial" w:cs="Arial" w:eastAsia="Arial" w:hAnsi="Arial"/>
          <w:sz w:val="16"/>
          <w:szCs w:val="16"/>
          <w:color w:val="auto"/>
        </w:rPr>
        <w:t>Off-highway markets in Asia are shared by the energy, mining and construction applications; all of which are expanding due to China’s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 need for materials, infrastructure and energy. Specifically, we increased our availability in heavy duty mining and construction dump trucks to 26 vehicle configurations and our transmissions are now offered by all major Chinese OEMs serving this market. Our off-highway transmissions are used by energy OEM customers including 4th Petroleum and Yantai Jereh Oilfield Services Group Co., mining and constructions OEMs such as North Hauler, Qinhuangdao Tolian Speciality Transporter Co. and Sany Group Co. Our primary competitors are Caterpillar, Danyang Winstar Auto Parts Co. and Twin Disc in energy applications, Caterpillar and Komatsu in mining applications, and Caterpillar, Volvo and ZF in construction applications.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Defense</w:t>
      </w:r>
    </w:p>
    <w:p>
      <w:pPr>
        <w:spacing w:after="0" w:line="12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and the MRAP All-Terrain Vehicle and for all three potential manufacturers of the Joint Light Tactical Vehicles. Transmissions for our wheeled vehicle platforms are typically sold to OEMs, including BAE, Daimler, General Dynamics Land Systems, Oshkosh, Navistar and Textron Marine &amp; Land Systems.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Overall, we have seen the demand for U.S. defense vehicles decrease as the funding for defense vehicles declines. Additionally, the DOD budgets and supplemental spending have allowed them to recapitalize and reset many vehicle systems, which has reduced the average age of the fleet and the need to procure new vehicles.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Globally, we face competition for the supply of our transmissions in tracked defense vehicles primarily from L-3 Communications Corporation, Renk AG and ZF. Additionally, we face limited competition from Caterpillar in certain defense wheeled vehicle platforms.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and is not significantly impacted by economic cycles. Uninterrupted operation is generally critical for end users’ profitability. End users focus on getting the vehicle back in service, which in some cases results in the aftermarket purchase decision being less price-sensitive.</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distributor and dealer locations to sell, service and support our transmissions. As part of our brand strategy, our independent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Over the last few years, traditional aftermarket sales have been tempered by improvements in product quality and durability. While traditional aftermarket sales are expected to grow, support equipment sales fluctuate with the introduction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Product Offerings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Allison transmissions are sold under the Allison Transmission brand name and remanufactured transmissions are sold under the ReTran brand name, which we believe are recognized throughout the industry for delivering the combination of quality, reliability, durability, vocational value and superior customer service. We have 13 transmission product lines with over 100 different product models. Allison transmissions are included in more than 2,500 vehicle configurations that are compatible with more than 500 combinations of engine brands, models and ratings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135255</wp:posOffset>
            </wp:positionV>
            <wp:extent cx="4802505" cy="523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2505" cy="523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270" w:right="4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34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23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our current product offerings, we began production of a new product in 2013, the TC10, a Class 8 metro tractor fully-automatic transmission, and have other products under development, including the H 3000 and the H 4000 hybrid-propulsion systems designed for use in medium- and heavy-duty commercial trucks and buses.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TC10 combines the startability and continuous, uninterrupted power qualities of a fully-automatic transmission with the cruising aspects of a manual transmission and offers a new alternative to traditional manual transmissions and AMTs in tractor applications. The TC10 maximizes drivetrain efficiency at higher cruise speeds to save operators time and operating costs, yet it is equally appropriate for city and suburban duty cycles. Developed for the Class 8 metro tractor market which represents approximately 30% of the Class 8 tractor market, we believe our new TC10 product is more fuel efficient than the incumbent manual transmissions and AMTs currently used in these vehicles, and is well suited to address end user demands in this market given the high “start and stop” frequency of the Class 8 metro tractor duty cycle.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40" w:right="299" w:bottom="1440" w:gutter="0" w:footer="0" w:header="0"/>
        </w:sectPr>
      </w:pPr>
    </w:p>
    <w:bookmarkStart w:id="16" w:name="page17"/>
    <w:bookmarkEnd w:id="16"/>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August 2009, our success with the hybrid-propulsion systems for transit buses helped us secure a $62.8 million U.S. Department of Energy (“DOE”) cost-share grant award which is being used to develop increased U.S. manufacturing capacity for another family of hybrid-propulsion systems. The first of the new family, the H 3000, is a hybrid variant of our current 3000 product and is nearing validation completion. We plan for the start of production to coincide with market demand. The second of the new family, the H 4000, is a hybrid variant of our current 4000 product. We plan for the start of production to coincide with market demand. The objective for this family of hybrid-propulsion systems is to create an improvement in fuel economy of approximately 25% for a typical vehicle, dependent upon the vocation and duty cycle. The reduction in fuel consumption, while delivering the same productive work in the same amount of time, also reduces greenhouse gas emissions and other air pollutants from commercial trucks. The combustion of a lower quantity of fuel within the engine may also reduce the wear on the engine, and the hybrid regenerative braking captures and stores deceleration energy, thereby potentially reducing wear on the vehicle’s service brakes, helping reduce vehicle maintenance and service costs.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Development and Engineering</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maintain an industry leading product development and engineering capability dedicated to the design, development, refinement and support of our fully-automatic transmissions and hybrid-propulsion systems. Our product development and engineering staff are distinguished by their depth of analytical skills and industry experience and significantly contribute to our product performance. With decades of experience, knowledge and expertise in our markets, we believe we have the skills to create, evolve and apply products to a wide variety of uses under various vocations and operating conditions. Within the product development engineering process, insights gained in one area can be leveraged across our entire portfolio.</w:t>
      </w:r>
    </w:p>
    <w:p>
      <w:pPr>
        <w:spacing w:after="0" w:line="17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superior transmission control software and mechanical components to optimize fuel economy while delivering desired vehicle performance. Further, we are developing new technology and products to improve fuel efficiency and fuel economy by allowing engines to operate more efficiently and at lower speeds to avoid consuming fuel without compromising performance. Building on our engineering capabilities, we pioneered hybrid propulsion in commercial vehicles and are developing new hybrid variants and alternative technologies for use in our global commercial vehicle markets.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recent years, we have accelerated and increased our investment in research and development above our historical levels. Examples of our key innovations include the development of a fully-automatic hybrid-propulsion system for the medium- and heavy-duty commercial truck and bus markets and a twin countershaft, fully-automatic transmission for a portion of the Class 8 tractor truck market. From time to time, we acquire certain licenses to provide us with technology to complement our portfolio of products and product initiatives, such as our engineering development agreement with Torotrak plc (“Torotrak”) and our development agreement with Fallbrook Technologies, Inc. For the years ended December 31, 2013, 2012 and 2011, we have incurred $97.1 million, $115.1 million and $116.4 million of engineering – research and development expense, respectively.</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maintain test tracks on our Indianapolis, Indiana campus and at our location in Szentgotthard, Hungary for vehicle drive, testing and calibration activities in addition to being a demonstration venue for customers. We also use test track facilities in New Carlisle, Indiana; Apache Junction, Arizona; and Sweden.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and Marketing Organization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sales and marketing effort is organized along geographic and customer lines and is comprised of marketing, sales and service professionals, supported by application engineers worldwide. In North America, selling efforts in the on-highway end market, our largest end market, are organized by distributor area responsibility, OEM sales and national accounts, for our large end users. Outside North America, we manage our sales, marketing, service and application engineering professionals through regional areas of responsibility. These regional management teams distribute OEM service and application engineering resources globally. Since 2007, we have significantly expanded our sales and marketing teams and distribution relationships in emerging markets to capitalize on growth opportunities in these regions. We manage our defense products sales, marketing, service and application engineering through professionals based in Indianapolis, Indiana and Detroit, Michigan with extensive defense industry experience.</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end users and attend local trade shows, targeting specific vocations globally and through our plant tour programs, where end users may test our products on the Indianapolis test track and our enhanced customer experience demonstration track at our Hungary facility. In 2013, we hosted approximately 1,200 OEM and end user representatives at these facilities.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process is interactive, as Allison representatives, Allison distributors and OEM dealers educate customers and respond to the specific applications, requirements and needs of numerous specialty markets.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Similarly, we work with customers, dealers and OEMs to educate, improve and simplify how they specify vehicles and vehicle systems in order to optimize vehicle performance and fuel consumption through an instructional initiative known as “Science to Sales.”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Manufacturing</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Netherlands, Brazil, China, Hungary, India and Japan. We have further expanded our global manufacturing presence to provide access to low-cost manufacturing and a regional presence to support our emerging market growth strategy. Our facilities are designed and located globally to respond to customer orders within competitive lead times and to minimize tangible and intangible market entry costs, while taking full advantage of our global supply chain. In support of these initiatives, we opened a plant in Chennai, India in 2010 and a plant in Szentgotthard, Hungary in 2011. Our Chennai facility manufactures gear components for our global manufacturing operations and allows us to control the quality and durability of the gears, consistent with those produced in our U.S. facilities. Assembly of our 1000 and 2000 products at our Chennai facility commenced in 2012. Our Hungarian facility is equipped to customize the units it produces to meet unique customer demands. Our Chennai and Szentgotthard facilities also provide us with a meaningful level of manufacturing redundancy for our high volume on-highway transmission products.</w:t>
      </w:r>
    </w:p>
    <w:p>
      <w:pPr>
        <w:spacing w:after="0" w:line="16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day-to-day manufacturing operations are sustained through the fundamentals of the Allison Transmission Global Manufacturing System (“GMS”). This system supports five key principles to ensure the highest quality and reliable products for our customers: people involvement, standardization, built-in quality, short lead time, and continuous improvement. All on-highway products’ manufacturing plants embrace these concepts in total, while production areas of lower product volumes apply specific GMS concepts applicable to their operations. Each of these principles is supported by key elements that serve as criteria for process execution that ensure minimized waste within the production system.</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high volume on-highway products are produced in multiple global locations while off-highway, hybrid-propulsion and defense tracked products are produced in Indianapolis. The type of facility employed in a given area depends on regional product demand and delivery time requirements. Assemble-to-order is achieved through lean manufacturing processes with short lead times intended to respond to customer line sets in less than 10 days. GMS supports product-focused factories, which include lean-configured manufacturing cells and efficiently designed assembly lines that align with a specific product. We believe a comprehensive quality system and a regimented system structured around Kanban fundamentals are the foundation for the system’s dependability. Each factory is structured with its own dedicated leadership team. We have extensive in-house machining capabilities, significant technical expertise and advanced processes for component manufacturing and total product assembly. Manufacturing operations consist of the vast majority of machining processes utilized in the conversion of cast iron, steel and aluminum products into transmission components, as well as the heat treating facilities that exist in four of our plants.</w:t>
      </w:r>
    </w:p>
    <w:p>
      <w:pPr>
        <w:spacing w:after="0" w:line="19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80% of the part numbers that make up our transmissions are purchased from outside suppliers. Based on thorough on-going analyses of our own manufacturing competencies in the context of supply base capabilities, the proportion of purchased parts has increased in our most recent product designs. This has enabled our valuable operations resources to be focused on the most complex, competitively differentiating, value-adding machining and assembly process elements at optimally efficient levels of capital expenditure.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Suppliers and Raw Materials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2013, we purchased approximately $700.0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10% of our direct material and component costs in 2013.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industry-leading quality.</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50 issued patents, and we have licensing arrangements with respect to more than 600 additional issued patents. We have more than 150 pending patent applications throughout the world that relate to aspects of the technology incorporated in many of our products.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9" w:name="page20"/>
    <w:bookmarkEnd w:id="1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in conjunction with the sale of Allison by Old GM, we acquired an irrevocable, royalty-free, worldwide license of more than 450 U.S. and foreign patents and patent applications, as well as certain unpatented technology and know-how, to manufacture, use and sell fully-automatic transmissions and certain hybrid-propulsion systems for use in vocational and defense vehicles and off-highway products. Such licenses are subject to certain limitations. See Part I, Item 1A, “Risk Factors” of this Annual Report on Form 10-K for a complete discussion of these risks and limitations. In addition, we acquired from Old GM an irrevocable, royalty-free, worldwide license under computer software programs that we use to run our business, including product design. Allison also acquired ownership of trademarks and copyrights relating to our business, subject in some cases to a non-exclusive license back to Old GM for use in connection with its existing six-speed A1000 transmission products, but only up to the termination of production of the A1000 transmission product by GM. GM has assumed Old GM’s obligations under these agreements pursuant to the Cure Agreement, as discussed above.</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However, this pattern has not always held in recent business cycles, particularly during and following an economic downturn. Working capital levels do not fluctuate significantly in the normal course for our business.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December 31, 2013, we had approximately 2,700 employees, with more than 90% of those employees in the U.S. Approximately 60% of our U.S. employees are represented by the International Union, United Automobile, Aerospace and Agricultural Implement Workers of America (“UAW”) and are subject to a collective bargaining agreement. In November 2012, we entered into a new five year agreement with the UAW Local 933 that expires in November 2017. The multi-tiered wage and benefit structure from the prior agreement was retained and the parties agreed to additional changes, such as implementing a new retirement health care plan and eliminating the consumer price index based cost of living allowance that had been part of the prior agreement. As approximately 50% of our represented employees are currently retirement eligible, we anticipate a significant shift toward increasing the number of second tier employees over the coming years. There have been no strikes or work stoppages due to Allison-specific issues in over 30 years.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applicable material environmental laws and regulations in the U.S. Historically, our costs of achieving and maintaining compliance with environmental, health and safety requirements have not been material to our results.</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increasing efforts globally to control emissions of carbon dioxide, methane and other greenhouse gases have the potential to impact our facilities, costs, products and customers. Pursuant to the Clean Air Act (“CAA”), the Environmental Protection Agency (“EPA”) has taken action to control greenhouse gases from certain stationary and mobile sources. These actions include issuance of a greenhouse gas reporting rule applicable to specified stationary sources, as well as a rule requiring limits on greenhouse gas emissions for certain sources under the CAA New Source Review of Significant Deterioration and Title V Operating Permit programs. The U.S. Congress is also considering proposals to limit greenhouse gas emissions, and several states have taken steps, such as adoption of cap and trade programs or other regulatory systems, to address greenhouse gases. At the same time, opponents of greenhouse gas regulation have initiated litigation, as well as introduced legislation in Congress, to delay, limit or eliminate the EPA’s, and possibly states’, actions to regulate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 As described above, we believe increased regulation of greenhouse gases will increase demand for green technologies, including our hybrid technologies.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0" w:name="page21"/>
    <w:bookmarkEnd w:id="20"/>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under the Asset Purchase Agreement, Old GM agreed to indemnify us against certain environmental liabilities, including pre-acquisition offsite waste disposal from our facilities, former facilities associated with our business and any properties or facilities relating to our business that Old GM retained. GM, as successor to Old GM’s obligations pursuant to the Cure Agreement, continues to perform remedial activities at our Indianapolis, Indiana manufacturing facilities relating to historical soil and groundwater contamination at the facilities. GM is performing such activities pursuant to a voluntary Corrective Action Agreement with the EPA and pursuant to the Asset Purchase Agreement retained responsibility for completing all remediation activities covered by the Corrective Action Agreement. Except to the extent specifically retained by GM, we would be responsible for environmental liabilities that may arise at any of our properties, including with respect to contamination that may have occurred at our properties prior to the Acquisition Transaction. Additionally, there can be no assurances that GM will comply with its indemnity obligations or with its remedial obligations at the Indianapolis, Indiana facility, or that future environmental remediation obligations will not have a material adverse impact on our results.</w:t>
      </w:r>
    </w:p>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also may be subject to liability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compete on the basis of product performance, quality, price, distribution capability and service in addition to other factors. We face competition from numerous manufacturers of manual transmissions, AMTs and fully-automatic transmissions for commercial vehicles. We also face competition from manufacturers in our international operations and from international manufacturers entering our domestic market. Furthermore, some of our customers are OEMs that manufacture transmissions for their own products. Despite their transmission manufacturing 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http://ir.allisontransmission.com.We have included our website address throughout this filing as textual references only. The information contained on our website is not incorporated into this Annual Report on Form 10-K.</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actual results differ materially from those described in any forward-looking statements. It is impossible to predict or identify all such factors and, as a result, you should not consider the following factors to be a complete discussion of risks, uncertainties and assumptions.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 significant amount of indebtedness. As of December 31, 2013, we had total indebtedness of $2,678.3 million and we would have been able to borrow an additional $410.0 million under the revolving portion of our credit facility, less $15.0 million of letters of credit. As of December 31, 2013, we had no outstanding borrowings against the revolving credit facility. Of our total indebtedness at December 31, 2013, $2,207.0 million consists of the term loans under ATI’s credit facility, including $423.5 million of indebtedness associated with ATI’s Senior Secured Credit Facility Term B-2 Loan due 2017 (“Term B-2 Loan”), $1,783.5 million of indebtedness associated with ATI’s Senior Secured Credit Facility Term B-3 Loan due 2019 (“Term B-3 Loan” and together with the Term B-2 Loan, Term B-3 Loan and revolving credit facility defined as the “Senior Secured Credit Facility”). We also had indebtedness of $471.3 million of ATI’s 7.125% senior cash pay notes due May 2019 (“7.125% Senior Notes”). For a complete description of the terms of the Senior Secured Credit Facility and the 7.125% Senior Notes, please see Part II, Item 7, “Management’s Discussion and Analysis of Financial Condition and Results of Operations – Recent Developments,” “– Description of the Senior Secured Credit Facility” and “– Description of the Senior Notes.”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30" w:lineRule="exact"/>
        <w:rPr>
          <w:rFonts w:ascii="Arial" w:cs="Arial" w:eastAsia="Arial" w:hAnsi="Arial"/>
          <w:sz w:val="18"/>
          <w:szCs w:val="18"/>
          <w:color w:val="auto"/>
        </w:rPr>
      </w:pPr>
    </w:p>
    <w:p>
      <w:pPr>
        <w:jc w:val="both"/>
        <w:ind w:left="900" w:right="2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revolving portion of our Senior Secured Credit Facility contains a maximum total senior secured leverage ratio. The Senior Secured Credit Facility and the indenture governing the 7.125%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2" w:name="page23"/>
    <w:bookmarkEnd w:id="22"/>
    <w:p>
      <w:pPr>
        <w:ind w:left="240" w:right="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participate in markets that are competitive, and our competitors’ actions could have a material adverse effect on our business, results of operations and financial condition.</w:t>
      </w:r>
    </w:p>
    <w:p>
      <w:pPr>
        <w:spacing w:after="0" w:line="6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business operates in competitive markets. We compete against other global manufacturers on the basis of product performance, quality, price, distribution capability and service in addition to other factors. Actions by our competitors could lead to downward pressure on prices and/or a decline in our market share, either or both of which could adversely affect our results. We face competition from domestic manufacturers of manual transmissions, AMTs and fully-automatic transmissions for commercial vehicles. In particular, we could face competition from well-capitalized entrants into the transmission market, as well as from aggressive pricing tactics by other transmission manufacturers trying to gain market share. We also face competition from international manufacturers in our international markets and from international manufacturers entering our domestic market.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some of our customers or future customers are OEMs that manufacture or could in the future manufacture transmissions for their own products. Despite their transmission manufacturing 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90" w:lineRule="exact"/>
        <w:rPr>
          <w:sz w:val="20"/>
          <w:szCs w:val="20"/>
          <w:color w:val="auto"/>
        </w:rPr>
      </w:pPr>
    </w:p>
    <w:p>
      <w:pPr>
        <w:ind w:left="240" w:right="220"/>
        <w:spacing w:after="0" w:line="308" w:lineRule="auto"/>
        <w:rPr>
          <w:sz w:val="20"/>
          <w:szCs w:val="20"/>
          <w:color w:val="auto"/>
        </w:rPr>
      </w:pPr>
      <w:r>
        <w:rPr>
          <w:rFonts w:ascii="Arial" w:cs="Arial" w:eastAsia="Arial" w:hAnsi="Arial"/>
          <w:sz w:val="17"/>
          <w:szCs w:val="17"/>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3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74"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may include the large existing installed base of manual transmissions, customer preferences for manual transmissions, commercial vehicle OEM integration into manual transmission and AMT manufacturing, and failure to further develop the Allison brand. If the rate of adoption of fully-automatic transmissions does not increase as we have anticipated, our long-term growth prospects and results of operations may be impaired.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 w:name="page24"/>
    <w:bookmarkEnd w:id="23"/>
    <w:p>
      <w:pPr>
        <w:ind w:left="240" w:right="20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sales are concentrated among our top five OEM customers and the loss or consolidation of any one of these customers or the discontinuation of particular vehicle models for which we are a significant supplier could reduce our net sales and have a materially adverse effect on our results of operations.</w:t>
      </w:r>
    </w:p>
    <w:p>
      <w:pPr>
        <w:spacing w:after="0" w:line="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have in the past and may in the future derive a significant portion of our net sales from a relatively limited number of OEM customers. For the years ended December 31, 2013, 2012 and 2011, our top five customers accounted for approximately 48%, 45% and 38% of our net sales, respectively. Our top three customers, Daimler, Navistar and Oshkosh, accounted for approximately 17%, 10% and 8%, respectively, of our net sales during 2013. The commercial vehicle industry, including our customers and suppliers, continues to experience volatility and uncertainty.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273"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Sales of our hybrid-propulsion systems have been, and may continue to be, negatively impacted by governmental entities electing not to subsidize the purchase of such products by end users, and other external factors.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sales of our hybrid-propulsion systems for use in transit buses have been, and may continue to be, negatively impacted by governmental entities electing not to subsidize the purchase of such products by end users. In 2013, we derived approximately 5% of our net sales from the sale of hybrid-propulsion systems for use in transit buses to city, state and federal governmental end users. Such end users may be eligible to receive certain subsidies as a result of their purchase of vehicles using hybrid-propulsion systems. For example, the Federal Transit Authority and the DOE provide funds for end users to pursue alternative fuel propulsion systems. While we do not directly receive these subsidies, if any of the subsidizing entities elect to curtail such subsidies to end users for any reason including governmental budget reductions and related fiscal matters, failure of our hybrid technology to qualify for such subsidies or redundancy by alternative technologies created by our competitors, our sales from our hybrid-propulsion systems may be negatively impacted. In addition, other external factors, including diesel and natural gas fuel price trends, emissions and on-board diagnostics regulatory requirements, availability of compatible engine calibrations from engine manufacturers and alternative emerging green technologies, may negatively impact sales of our hybrid-propulsion systems. For the years ended December 31, 2013, 2012 and 2011, we experienced decreases in revenue generated from hybrid-propulsion systems for use in transit buses of 9%, 14% and 14%, respectively.</w:t>
      </w:r>
    </w:p>
    <w:p>
      <w:pPr>
        <w:spacing w:after="0" w:line="291"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A majority of our sales to the defense end market are to U.S. government entities, and the loss of a significant number of our contracts or declines would have a material adverse effect on our results of operations and financial condition.</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net sales to the defense end market are predominantly derived from contracts (revenue arrangements) with agencies of, and prime system contractors to, the U.S. government. The loss of all or a substantial portion of our net sales to the U.S. government would have a material adverse effect on our results of operations and financial condition. Approximately 11%, or $202.0 million, of our net sales for the year ended December 31, 2013 were made directly or indirectly to U.S. government agencies, including the DOD.</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significant portion of our total net sales are for products and services under contracts with various agencies and procurement offices of the DOD or with prime contractors to the DOD. Although these various agencies, procurement offices and prime contractors are subject to common budgetary pressures and other factors, our customers exercise independent purchasing decisions. Because of this concentration of contracts, if a significant number of our DOD contracts and subcontracts are simultaneously delayed or cancelled for budgetary, performance or other reasons, it would have a material adverse effect on our results of operations and financial condition.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reductions or changes in U.S. government spending could have a material adverse effect on our results of operations and financial condition.</w:t>
      </w:r>
    </w:p>
    <w:p>
      <w:pPr>
        <w:spacing w:after="0" w:line="15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Sales in our defense end market have been, and we expect will continue to be, negatively impacted by declining DOD spending on wheeled and tracked vehicles. Moreover, as U.S. involvement in Afghanistan continues to diminish, the demand for our products may decline significantly, which could have a material adverse effect on our results of operations and financial condition. In particular, significant volume reductions in one of our Indianapolis plants, which primarily produce our U.S. defense tracked products, may increase operating unit costs, which directly impacts our competitive advantage and would materially adversely affect our business, results of operations and financial condition.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declines in agency budgets, our future financial results may be adversely affected by:</w:t>
      </w:r>
    </w:p>
    <w:p>
      <w:pPr>
        <w:spacing w:after="0" w:line="131" w:lineRule="exact"/>
        <w:rPr>
          <w:sz w:val="20"/>
          <w:szCs w:val="20"/>
          <w:color w:val="auto"/>
        </w:rPr>
      </w:pPr>
    </w:p>
    <w:p>
      <w:pPr>
        <w:ind w:left="900" w:right="1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Afghanistan, or other geopolitical developments that affect demand for our products and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ind w:left="240" w:right="2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volatility in and disruption to the global economic environment may have a material adverse effect on our business, results of operations and financial condition.</w:t>
      </w:r>
    </w:p>
    <w:p>
      <w:pPr>
        <w:spacing w:after="0" w:line="62"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w:t>
      </w:r>
    </w:p>
    <w:p>
      <w:pPr>
        <w:spacing w:after="0" w:line="262"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such as our H 40/50 EP hybrid-propulsion transit bus system, where certain units were falling short of their expected service life and our Predecessor decided to cover repair and replacement for an extended period. See NOTE 9 of Notes to Consolidated Financial Statements included in Part II, Item 8 of this Annual Report on Form 10-K for additional details regarding this warranty issue. We cannot give assurance similar product defects will not occur in the future.</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Furthermore, our business depends on the strong brand reputation we have developed. In addition to the risk of defective products we face with our new product installations,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responding to customer needs.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2013, we began production of the TC10 and currently have additional new products under development. The development of new products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those new products become widely-accepted by the market. If we do not adequately anticipate the changing needs of our customers by developing and introducing new and effective products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5" w:name="page26"/>
    <w:bookmarkEnd w:id="25"/>
    <w:p>
      <w:pPr>
        <w:ind w:left="240" w:right="4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international operations, in particular our emerging markets, are subject to various risks which could have a material adverse effect on our business, results of operations and financial condition.</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23% of our net sales for 2013. Most of our operations are in the U.S., but we also have a manufacturing and customization facility in India, a manufacturing and customization facility in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9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risks, including risks of loss due to civil disturbances, acts of terrorism, acts of war, guerilla activities and insurrection;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279"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requirements, which could adversely affect our reputation, business, financial condition and results of operations.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volatility could adversely affect our ability and the ability of our customers and suppliers to obtain credit.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 volatile economic environment,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of December 31, 2013, approximately 60% of our U.S. employees, representing over 50% of our total employees, were represented by the UAW and are subject to a collective bargaining agreement. In November 2012, we reached an agreement on a new five-year collective bargaining agreement with the UAW Local 933, which is effective through November 2017.</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The inability to reach a new agreement could delay or disrupt our operations in the affected regions, including the acquisition of raw materials and components, the manufacture, sales and distribution of products and the provision of services.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the event of a catastrophic loss of one of our key manufacturing facilities, our business would be adversely affected.</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However, those facilities are smaller and newer than the Indianapolis facilities. In the event of a disruption at the Indianapolis facilities, they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7" w:name="page28"/>
    <w:bookmarkEnd w:id="27"/>
    <w:p>
      <w:pPr>
        <w:ind w:left="24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Increases in cost, disruption of supply or shortage of raw materials or components used in our products could harm our business and profitability.</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In recent years, we have experienced significant volatility in the cost of raw materials such as steel, aluminum and nickel, as well as in freight charges, and such volatility in the prices of these commodities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2013, approximately 75% of our total spending on components was sourced from approximately 40 suppliers.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must be validated or materials and components must be purchased from a supplier without a completed PPAP.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Federal Acquisition Regulation, International Traffic in Arms Regulations, Foreign Assets Control documentation and regulations from the Bureau of Alcohol, Tobacco and Firearms and the FCPA.</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ind w:left="240" w:right="5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the requirements of the National Industrial Security Program Operating Manual for our facility security clearance, which is a prerequisite for our ability to perform on classified contracts for the U.S. government.</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Certain contracts with the various departments and agencies of the U.S. government, including the DOD, require that our offices be issued facility security clearances under the National Industrial Security Program. The National Industrial Security Program requires that a corporation maintaining a facility security clearance be effectively insulated from foreign ownership, control or influence (“FOCI”). Because one of our principal stockholders is a Canadian entity, we have agreed to, and have implemented, a Security Control Agreement with the Defense Security Service (“DSS”), as a suitable FOCI mitigation arrangement under the National Industrial Security Program Operating Manual. A FOCI arrangement is necessary for us to continue to maintain the requisite security clearances to complete performance under these contracts. Failure to reach and/or maintain an appropriate agreement with DSS regarding the appropriate FOCI mitigation arrangement could result in invalidation or termination of the security clearances, which in turn would mean that we would not be able to enter into future contracts with the U.S. government requiring facility security clearances, and may result in the loss of our ability to complete certain of our existing contracts with the U.S. government.</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297"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In connection with the Acquisition Transaction, under the patent and technology license agreement (the “Patent and Technology License Agreement”), which was assumed by GM pursuant to the Cure Agreement, we were granted an irrevocable, perpetual, royalty-free, worldwide license under a large number of U.S. and foreign patents and patent applications, as well as certain unpatented technology and know-how, to design, develop, manufacture, use and sell fully-automatic transmissions and H 40/50 EP hybrid-propulsion transit bus systems for use in certain vocational vehicles, defense vehicles and off-road products. With respect to the bulk of the intellectual property licensed to us under such license agreement, our license is exclusive with respect to the design, development, manufacture, use and sale of fully-automatic transmissions and H 40/50 EP hybrid-propulsion transit bus systems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pursuant to the terms of such license agreement, GM has the right, in the first instance, to control the maintenance, enforcement and defense of such patents and the prosecution of the licensed patent applications. In addition, the license agreement limits our ability to sublicense our rights. The Patent and Technology License Agreement permits us to utilize the bulk of the intellectual property rights on an exclusive basis in non-defense vehicles with gross vehicle weights above 5900 kilograms (typically Class 4 and higher) with some limited exceptions for GM light-duty pickup truck and van platforms. It also permits us to utilize the bulk of the intellectual property rights on an exclusive basis in defense vehicles that exceed 4250 kilograms (generally Class 3 to Class 4 and higher). GM continues to have the right under such patents and technology to utilize the licensed intellectual property for use in vehicles below the above mentioned rating thresholds, as well as in some light-duty van and pickup truck platforms.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rely on unpatented technology, which exposes us to certain risks.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have expired since the date of the Acquisition Transaction, and others are set to expire in the next few years. When a patent expires, the inventions it discloses can be used freely by others. Thus, the competitive advantage that we gain from the patents licensed to us from GM pursuant to the Acquisition Transaction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pension funding obligations could increase significantly due to a reduction in funded status as a result of a variety of factors.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requires that income or expense for defined benefit pension plans be calculated at the annual measurement date using actuarial assumptions and calculations. These calculations reflect certain assumptions, the most significant of which relate to the capital markets, interest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2013 defined benefit pension plans obligation of approximately $15.3 million. Likewise, a one percentage point decrease in the effective interest rate for determining defined benefit pension plans contributions would result in an increase in the minimum required contributions for 2014 of approximately $5.0 million. Similarly, a one percentage point decrease in the assumed discount rate would result in an increase in the December 31, 2013 OPEB obligation of approximately $20.2 million. As of December 31, 2013 the funded (unfunded) status of our defined benefit pension plans and OPEB benefits was $2.7 million and ($120.7) million, respectively.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0" w:name="page31"/>
    <w:bookmarkEnd w:id="3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health and safety laws and regulations may impose significant compliance costs and liabilities on us.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in the future, we could incur additional costs in order to ensure that our business and products comply with such regulations.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be subject to liability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GM continues to perform remedial activities at our Indianapolis, Indiana manufacturing facilities relating to historical soil and groundwater contamination at the facilities. GM is performing such activities pursuant to a voluntary Corrective Action Agreement with the U.S. Environmental Protection Agency, which we refer to as the Corrective Action. GM retained responsibility for completing all remediation activities covered by the Corrective Action at the Indianapolis, Indiana facilities, and agreed to indemnify us against certain environmental liabilities. See Part I, Item 1, “Business — Environmental” of this Annual Report on Form 10-K. There can be no assurances that GM will comply with its indemnity obligations or with its remedial obligations at the Indianapolis, Indiana facilities, or that future environmental remediation obligations will not have a material adverse effect on our results of operations. In addition, we occasionally evaluate various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rely on our cost structure and operating discipline to achieve strong operating margins. There are many factors that could affect our ability to realize expected cost savings or achieve future cost savings that we are not able to control, including the inability to meet demand through our low-cost country sourcing initiatives; the need for unexpected significant capital expenditures; unexpected changes in commodity or component pricing that we are unable to pass on to our suppliers or customers; our inability to maintain efficiencies gained from our workforce optimization initiatives; and our failure to achieve and maintain expected cost savings from our multi-tier wage and benefit structure. Additionally, we have substantial indebtedness of approximately $2,678.3 million as of December 31, 2013. Our inability to maintain our cost controls could adversely impact our operating margins.</w:t>
      </w:r>
    </w:p>
    <w:p>
      <w:pPr>
        <w:spacing w:after="0" w:line="287"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publicly traded company, and our management is required to devote substantial time to new and continued compliance initiatives.</w:t>
      </w:r>
    </w:p>
    <w:p>
      <w:pPr>
        <w:spacing w:after="0" w:line="6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a publicly traded company, we have incurred, and will continue to incur, additional legal, accounting and other expenses that we did not previously incur while a private company. In addition, the Sarbanes-Oxley Act of 2002 (the “Sarbanes-Oxley Act”), the Dodd-Frank Wall Street Reform and Consumer Protection Act and the rules of the SEC and the New York Stock Exchange (“NYSE”), have imposed various requirements on public companies. Our management and other personnel devote a substantial amount of time to these compliance initiatives. Moreover, these rules and regulations have increased, and will continue to increase, our legal and financial compliance costs and have made, and will continue to make, some activities more time-consuming and costly. For example, these rules and regulations make it more difficult and more expensive for us to obtain director and officer liability insurance, and we are required to incur additional costs to maintain the same or similar coverage.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experienced significant losses and we cannot assure that we will achieve or maintain profitability.</w:t>
      </w:r>
    </w:p>
    <w:p>
      <w:pPr>
        <w:spacing w:after="0" w:line="117"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Although our net income for fiscal years 2013, 2012, 2011 and 2010 was $165.4 million, $514.2 million, $103.0 million and $29.6 million, respectively, we had net losses of $323.9 million and $328.1 million for fiscal years 2009 and 2008, respectively. Our ability to achieve or maintain profitability is dependent upon a number of risks and uncertainties, many of which are beyond our control. We cannot ensure that we will be successful in executing our business strategy and achieving or maintaining profitability, and our failure to do so could have a material adverse effect on the price of our common stock and our ability to satisfy our obligations, including making payments on our indebtedness.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and our ability to generate cash depends on many factors beyond our control.</w:t>
      </w:r>
    </w:p>
    <w:p>
      <w:pPr>
        <w:spacing w:after="0" w:line="15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275"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$410.0 million under the revolving portion of the Senior Secured Credit Facility. If new debt is added to our current debt levels and our subsidiaries’ current debt levels, the related risks that we and they now face could intensify.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British Pound,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GM’s actions may materially affect our business and operating results.</w:t>
      </w:r>
    </w:p>
    <w:p>
      <w:pPr>
        <w:spacing w:after="0" w:line="117" w:lineRule="exact"/>
        <w:rPr>
          <w:sz w:val="20"/>
          <w:szCs w:val="20"/>
          <w:color w:val="auto"/>
        </w:rPr>
      </w:pPr>
    </w:p>
    <w:p>
      <w:pPr>
        <w:ind w:right="420" w:firstLine="456"/>
        <w:spacing w:after="0" w:line="297" w:lineRule="auto"/>
        <w:rPr>
          <w:sz w:val="20"/>
          <w:szCs w:val="20"/>
          <w:color w:val="auto"/>
        </w:rPr>
      </w:pPr>
      <w:r>
        <w:rPr>
          <w:rFonts w:ascii="Arial" w:cs="Arial" w:eastAsia="Arial" w:hAnsi="Arial"/>
          <w:sz w:val="16"/>
          <w:szCs w:val="16"/>
          <w:color w:val="auto"/>
        </w:rPr>
        <w:t>Although we are an independent company as a result of the Acquisition Transaction, GM’s future actions may still have a material impact on our business and results of operations. Pursuant to the Cure Agreement resulting from GM’s emergence from bankruptcy in 2009, GM has assumed certain agreements from its predecessor, including the Asset Purchase Agreement, intellectual property and software license agreements, lease agreements, engineering services agreements, an employee matters agreement and a hybrid co-branding agreement. GM’s failure to comply with any portion of these agreements for any reason, including the indemnities therein, could inhibit us from operating and expanding our business in the future.</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Additionally, GM has received a non-exclusive, royalty-free, worldwide license to use the “Allison Transmission” name and certain related trademarks on GM’s line of A1000 transmission for use primarily in Class 2 and 3 pick-up trucks. If GM, or any of its subsidiaries or affiliated entities, or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Acquisition Transaction, we entered into a mutual non-compete agreement with GM that restricts GM from competing with us in non-defense vehicles in North America with gross vehicle weights above 5900 kilograms (typically Class 4 and higher) with some limited exceptions for certain GM light-duty pickup truck and van platforms. It also restricts GM from competing with us in defense vehicles globally and in non-defense vehicles outside North America that exceed 4250 kilograms (generally Class 3 to Class 4 and higher) with some limited exceptions. The non-compete periods extend until August 2017 globally, except in Europe, where they expired in 2012. Similarly, we are restricted from competing with GM in weight classes below the above mentioned thresholds for similar periods of time. Upon expiration of the non-competition periods, both Allison and GM will be permitted to compete with each other but such expiration will generally not affect Allison’s rights under the Patent and Technology License Agreement to use on an exclusive basis within its respective weight classes (subject to previously mentioned exceptions) the intellectual property that is licensed to Allison on an exclusive basis.</w:t>
      </w:r>
    </w:p>
    <w:p>
      <w:pPr>
        <w:spacing w:after="0" w:line="166"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addition, because of our current manufacturing services agreement with Opel Szentgotthard Automotive Manufacturing Ltd., a GM subsidiary, we may be materially adversely affected by the failure of GM to perform as expected. This non-performance may consist of delays or failures caused by production issues. The risk of non-performance may also result from the insolvency or bankruptcy of GM. GM’s ability to provide personnel and technical resources to us is also subject to a number of risks, including destruction of our equipment or work stoppages. In addition, our failure to provide an adequate facility, or order sufficient quantities of inventory, may increase the cost of production or may lead to GM refusing to provide resources to us at all. Our efforts to protect against and to minimize these risks may not always be effective.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Usage of our net operating losses for U.S. federal income tax purposes may be subject to limitations in the future.</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As of December 31, 2013, we had $346.5 million of net operating losses for U.S. federal income tax purposes. If we continue to generate taxable income in the future, we may be able to utilize these net operating losses to offset future federal income tax liabilities. In addition, our future financial performance may diminish our tax savings more rapidly than we currently anticipate. To the extent possible, we will structure our operating activities to minimize our income tax liabilities. However, there can be no assurance we will be able to reduce it to a specified level. Additionally, we are a controlled company, with two of our shareholders owning approximately 54% of our common stock, and should either of these shareholders sell a significant amount of their holdings we may experience a delay in our ability to recognize a portion of our net operating losses under the internal revenue code.</w:t>
      </w:r>
    </w:p>
    <w:p>
      <w:pPr>
        <w:spacing w:after="0" w:line="273" w:lineRule="exact"/>
        <w:rPr>
          <w:sz w:val="20"/>
          <w:szCs w:val="20"/>
          <w:color w:val="auto"/>
        </w:rPr>
      </w:pPr>
    </w:p>
    <w:p>
      <w:pPr>
        <w:ind w:left="240" w:right="800"/>
        <w:spacing w:after="0" w:line="277" w:lineRule="auto"/>
        <w:rPr>
          <w:sz w:val="20"/>
          <w:szCs w:val="20"/>
          <w:color w:val="auto"/>
        </w:rPr>
      </w:pPr>
      <w:r>
        <w:rPr>
          <w:rFonts w:ascii="Arial" w:cs="Arial" w:eastAsia="Arial" w:hAnsi="Arial"/>
          <w:sz w:val="18"/>
          <w:szCs w:val="18"/>
          <w:b w:val="1"/>
          <w:bCs w:val="1"/>
          <w:i w:val="1"/>
          <w:iCs w:val="1"/>
          <w:color w:val="auto"/>
        </w:rPr>
        <w:t>An impairment in the carrying value of goodwill or other indefinite-lived intangible assets could negatively affect our consolidated results of operations and net worth.</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annual goodwill and trade name impairment test for the year ended December 31, 2013 resulted in no impairment. Although our analysis regarding the fair values of our goodwill and trade name indicates that they exceed their carrying values, materially different assumptions regarding the future performance of our business could result in impairment losses. See NOTE 2 and NOTE 5 of Notes to Consolidated Financial Statements included in Part II, Item 8 of this Annual Report on Form 10-K for additional details.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controlled by Carlyle and Onex, whose interests in our business may be different than our other stockholders.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As of December 31, 2013, Carlyle and Onex each owned approximately 27.1% of our equity. Pursuant to an amended and restated stockholders agreement, a majority of the Board of Directors has been designated by Carlyle and Onex and is affiliated with Carlyle and Onex. See Part III, Item 13, “Certain Relationships and Related Transactions, and Director Independence” of this Annual Report on Form 10-K. As a result, Carlyle and Onex or their nominees to the Board of Directors have the ability to control the appointment of our management, the entering into of mergers, sales of substantially all of our assets and other extraordinary transactions and influence amendments to our certificate of incorporation. So long as Carlyle and Onex continue to own a majority of our equity, they will have the ability to control the vote in any election of directors and will have the ability to prevent any transaction that requires stockholder approval regardless of whether others believe the transaction is in our best interests. The interests of Carlyle and Onex could conflict with those of our other stockholders. In addition, Carlyle and Onex may in the future own businesses that directly compete with ours.</w:t>
      </w:r>
    </w:p>
    <w:p>
      <w:pPr>
        <w:spacing w:after="0" w:line="274"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and the indenture governing the 7.125% Senior Notes as well as any future agreements.</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declared a quarterly dividend of $0.06 per share of common stock beginning in the second quarter of 2012 and increased the quarterly dividend to $0.12 per share of common stock beginning in the second quarter of 2013.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and the indenture governing the 7.125% Senior Notes also effectively limit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4" w:name="page35"/>
    <w:bookmarkEnd w:id="34"/>
    <w:p>
      <w:pPr>
        <w:ind w:left="240" w:right="240"/>
        <w:spacing w:after="0" w:line="375"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 w:lineRule="exact"/>
        <w:rPr>
          <w:sz w:val="20"/>
          <w:szCs w:val="20"/>
          <w:color w:val="auto"/>
        </w:rPr>
      </w:pPr>
    </w:p>
    <w:p>
      <w:pPr>
        <w:ind w:right="840" w:firstLine="456"/>
        <w:spacing w:after="0" w:line="264" w:lineRule="auto"/>
        <w:rPr>
          <w:sz w:val="20"/>
          <w:szCs w:val="20"/>
          <w:color w:val="auto"/>
        </w:rPr>
      </w:pPr>
      <w:r>
        <w:rPr>
          <w:rFonts w:ascii="Arial" w:cs="Arial" w:eastAsia="Arial" w:hAnsi="Arial"/>
          <w:sz w:val="18"/>
          <w:szCs w:val="18"/>
          <w:color w:val="auto"/>
        </w:rPr>
        <w:t>As of March 12, 2012, 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87" w:lineRule="exact"/>
        <w:rPr>
          <w:sz w:val="20"/>
          <w:szCs w:val="20"/>
          <w:color w:val="auto"/>
        </w:rPr>
      </w:pPr>
    </w:p>
    <w:p>
      <w:pPr>
        <w:ind w:left="900" w:right="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75"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 if the Sponsors and their respective affiliates (other than Allison) collectively cease to own more than 50% of our common stock;</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 if the Sponsors and their respective affiliates (other than Allison) collectively cease to own more than 50% of our common stock;</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 if the Sponsors and their respective affiliates (other than Allison) collectively cease to own more than 50%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classified Board of Directors, with three staggered terms; and</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 if the Sponsors and their respective affiliates (other than Allison) collectively cease to own more than 50% of our common stock.</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our non-controlling stockholders to elect directors of their choosing and cause us to take corporate actions other than those they desire.</w:t>
      </w:r>
    </w:p>
    <w:p>
      <w:pPr>
        <w:spacing w:after="0" w:line="289" w:lineRule="exact"/>
        <w:rPr>
          <w:sz w:val="20"/>
          <w:szCs w:val="20"/>
          <w:color w:val="auto"/>
        </w:rPr>
      </w:pPr>
    </w:p>
    <w:p>
      <w:pPr>
        <w:ind w:left="240" w:right="32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rules and, as a result, qualify for, and rely on, exemptions from certain corporate governance requirements. Our stockholders do not have the same protections afforded to stockholders of companies that are subject to such requirements.</w:t>
      </w:r>
    </w:p>
    <w:p>
      <w:pPr>
        <w:spacing w:after="0" w:line="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2013, Carlyle and Onex continue to control a majority of the voting power of our outstanding common stock. As a result, we are a “controlled company” within the meaning of the NYSE corporate governance standards. Under these rules, a company of which more than 50% of the voting power is held by an individual, group or another company is a “controlled company” and may elect not to comply with certain corporate governance requirements, including:</w:t>
      </w:r>
    </w:p>
    <w:p>
      <w:pPr>
        <w:spacing w:after="0" w:line="9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24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currently utilize certain of these exemptions and intend to continue to do so for so long as we continue to qualify as a “controlled company.” Our nominating and corporate governance and compensation committees do not consist entirely of independent directors and such committees are not subject to annual performance evaluations. Accordingly, our stockholders do not have the same protections afforded to stockholders of companies that are subject to all of the corporate governance requirements of the NYSE.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5" w:name="page36"/>
    <w:bookmarkEnd w:id="35"/>
    <w:p>
      <w:pPr>
        <w:ind w:left="240" w:right="2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sale of a sufficient number of shares by the Sponsors, we will no longer be a controlled company, and we may have difficulties complying with NYSE rules relating to the composition of our board of directors.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listed on the NYSE. Under the NYSE rules, a company of which more than 50% of the voting power is held by a person or group of persons acting together is a “controlled company.” As a controlled company under NYSE rules, we have not been subject to a number of corporate governance rules relating to composition of our board of directors and certain committees.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Upon the sale of a sufficient number of shares by the Sponsors, we will no longer be a controlled company and, in accordance with NYSE rules, would have to phase into compliance with certain requirements from which we are now exempt, including:</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24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intend to comply with these NYSE rules if we cease to be a controlled company. However, there can be no assurance that we will be able to attract and retain the number of independent directors needed to comply with NYSE rules during the phase-in period for compliance.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Sales of substantial amounts of our common stock, or the possibility of such sales, may adversely affect the price of our common stock.</w:t>
      </w:r>
    </w:p>
    <w:p>
      <w:pPr>
        <w:spacing w:after="0" w:line="1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Sales of substantial amounts of our common stock in the public market by the Sponsors or by us, or the perception that such sales will occur, could adversely affect the market price of our common stock and make it difficult for us to raise funds through securities offerings in the future. As of February 10, 2014, there were 183,741,728 shares of our common stock issued and outstanding, of which 76,620,000 shares sold in registered offerings are freely transferable without restriction or further registration under the Securities Act, unless acquired by our “affiliates” as that term is defined in Rule 144 under the Securities Act.</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addition, all shares of common stock issued upon exercise of stock options and other equity-based awards granted under our stock incentive plans will also be freely tradable under the Securities Act unless acquired by our affiliates. A maximum of 30.2 million shares of common stock are reserved for issuance under our stock incentive plans, some of which have already been issued.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remaining shares of common stock outstanding, including the 99,392,499 shares of common stock currently owned by the Sponsors, are “restricted securities” within the meaning of Rule 144 under the Securities Act, but are eligible for resale subject to applicable volume, manner of sale, holding period and other limitations of Rule 144, pursuant to an effective registration statement or pursuant to an exemption from registration under Rule 701 under the Securities Act.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Sponsors have the right under certain circumstances to require that we register all of their shares of common stock for resale under the Securities Act. On April 15, 2013, we filed such a registration statement for the resale of our common stock, from time to time in one or more offerings, by selling stockholders to be named, and upon specific terms to be contained, in one or more supplements to the registration statement. The sale by the Sponsors of such registered shares of common stock would increase the number of shares of our common stock eligible to be traded on the NYSE, which could depress the market price of our common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world headquarters, which we own, is located at One Allison Way, Indianapolis, Indiana 46222. As of December 31, 2013, we have a total of 17 manufacturing and certain other facilities in seven countries. The following table sets forth certain information regarding these facilities.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Plant</w:t>
            </w:r>
          </w:p>
        </w:tc>
        <w:tc>
          <w:tcPr>
            <w:tcW w:w="21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Approximate</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Owned /</w:t>
            </w:r>
          </w:p>
        </w:tc>
        <w:tc>
          <w:tcPr>
            <w:tcW w:w="31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2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Size (ft</w:t>
            </w:r>
            <w:r>
              <w:rPr>
                <w:rFonts w:ascii="Arial" w:cs="Arial" w:eastAsia="Arial" w:hAnsi="Arial"/>
                <w:sz w:val="12"/>
                <w:szCs w:val="12"/>
                <w:b w:val="1"/>
                <w:bCs w:val="1"/>
                <w:color w:val="auto"/>
              </w:rPr>
              <w:t>2</w:t>
            </w:r>
            <w:r>
              <w:rPr>
                <w:rFonts w:ascii="Arial" w:cs="Arial" w:eastAsia="Arial" w:hAnsi="Arial"/>
                <w:sz w:val="14"/>
                <w:szCs w:val="14"/>
                <w:b w:val="1"/>
                <w:bCs w:val="1"/>
                <w:color w:val="auto"/>
              </w:rPr>
              <w:t>)</w:t>
            </w:r>
          </w:p>
        </w:tc>
        <w:tc>
          <w:tcPr>
            <w:tcW w:w="9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5"/>
              </w:rPr>
              <w:t>Leased</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Plant #3</w:t>
            </w:r>
          </w:p>
        </w:tc>
        <w:tc>
          <w:tcPr>
            <w:tcW w:w="8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Indianapolis</w:t>
            </w: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927,000</w:t>
            </w: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Own</w:t>
            </w:r>
          </w:p>
        </w:tc>
        <w:tc>
          <w:tcPr>
            <w:tcW w:w="4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Engineering, Operational Support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#4</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425,900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#6</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431,500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#16</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391,700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#12</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534,900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#14</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481,100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#15</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126,400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#17</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389,000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Parts Distribution Center</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#20 Tech. Center</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#21 Tech. Center</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Szentgotthard</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Hungary</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&amp; Customization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Hungary</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3,900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China</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Santo Amaro/Sorocabo</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Brazil</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31,400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Chennai</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258,500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Dubai</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United Arab Emirates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16,500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tcPr>
          <w:p>
            <w:pPr>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Sliedrecht</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The Netherlands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9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440" w:firstLine="456"/>
        <w:spacing w:after="0" w:line="277" w:lineRule="auto"/>
        <w:rPr>
          <w:sz w:val="20"/>
          <w:szCs w:val="20"/>
          <w:color w:val="auto"/>
        </w:rPr>
      </w:pPr>
      <w:r>
        <w:rPr>
          <w:rFonts w:ascii="Arial" w:cs="Arial" w:eastAsia="Arial" w:hAnsi="Arial"/>
          <w:sz w:val="18"/>
          <w:szCs w:val="18"/>
          <w:color w:val="auto"/>
        </w:rPr>
        <w:t>Our common stock is listed on the NYSE under the symbol “ALSN.” The following table sets forth the high and low sale prices per share for our common stock on the NYSE and the dividends declared per share for each quarter for the periods indicated: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Declared</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First Quarter</w:t>
            </w:r>
          </w:p>
        </w:tc>
        <w:tc>
          <w:tcPr>
            <w:tcW w:w="2680" w:type="dxa"/>
            <w:vAlign w:val="bottom"/>
            <w:gridSpan w:val="3"/>
          </w:tcPr>
          <w:p>
            <w:pPr>
              <w:jc w:val="center"/>
              <w:ind w:left="1570"/>
              <w:spacing w:after="0"/>
              <w:rPr>
                <w:sz w:val="20"/>
                <w:szCs w:val="20"/>
                <w:color w:val="auto"/>
              </w:rPr>
            </w:pPr>
            <w:r>
              <w:rPr>
                <w:rFonts w:ascii="Arial" w:cs="Arial" w:eastAsia="Arial" w:hAnsi="Arial"/>
                <w:sz w:val="18"/>
                <w:szCs w:val="18"/>
                <w:color w:val="auto"/>
                <w:w w:val="90"/>
              </w:rPr>
              <w:t>$24.14</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$20.13</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90"/>
              </w:rPr>
              <w:t>$24.50</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$20.67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Third Quarter</w:t>
            </w:r>
          </w:p>
        </w:tc>
        <w:tc>
          <w:tcPr>
            <w:tcW w:w="2680" w:type="dxa"/>
            <w:vAlign w:val="bottom"/>
            <w:gridSpan w:val="3"/>
          </w:tcPr>
          <w:p>
            <w:pPr>
              <w:jc w:val="center"/>
              <w:ind w:left="1570"/>
              <w:spacing w:after="0"/>
              <w:rPr>
                <w:sz w:val="20"/>
                <w:szCs w:val="20"/>
                <w:color w:val="auto"/>
              </w:rPr>
            </w:pPr>
            <w:r>
              <w:rPr>
                <w:rFonts w:ascii="Arial" w:cs="Arial" w:eastAsia="Arial" w:hAnsi="Arial"/>
                <w:sz w:val="18"/>
                <w:szCs w:val="18"/>
                <w:color w:val="auto"/>
                <w:w w:val="90"/>
              </w:rPr>
              <w:t>$27.48</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$22.08</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8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90"/>
              </w:rPr>
              <w:t>$28.15</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$23.62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(beginning March 15, 2012)</w:t>
            </w:r>
          </w:p>
        </w:tc>
        <w:tc>
          <w:tcPr>
            <w:tcW w:w="268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90"/>
              </w:rPr>
              <w:t>$25.20</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$22.70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3"/>
          </w:tcPr>
          <w:p>
            <w:pPr>
              <w:jc w:val="center"/>
              <w:ind w:left="1570"/>
              <w:spacing w:after="0"/>
              <w:rPr>
                <w:sz w:val="20"/>
                <w:szCs w:val="20"/>
                <w:color w:val="auto"/>
              </w:rPr>
            </w:pPr>
            <w:r>
              <w:rPr>
                <w:rFonts w:ascii="Arial" w:cs="Arial" w:eastAsia="Arial" w:hAnsi="Arial"/>
                <w:sz w:val="18"/>
                <w:szCs w:val="18"/>
                <w:color w:val="auto"/>
                <w:w w:val="90"/>
              </w:rPr>
              <w:t>$25.22</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$15.92</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80" w:type="dxa"/>
            <w:vAlign w:val="bottom"/>
            <w:gridSpan w:val="3"/>
            <w:shd w:val="clear" w:color="auto" w:fill="CCEEFF"/>
          </w:tcPr>
          <w:p>
            <w:pPr>
              <w:jc w:val="center"/>
              <w:ind w:left="1570"/>
              <w:spacing w:after="0"/>
              <w:rPr>
                <w:sz w:val="20"/>
                <w:szCs w:val="20"/>
                <w:color w:val="auto"/>
              </w:rPr>
            </w:pPr>
            <w:r>
              <w:rPr>
                <w:rFonts w:ascii="Arial" w:cs="Arial" w:eastAsia="Arial" w:hAnsi="Arial"/>
                <w:sz w:val="18"/>
                <w:szCs w:val="18"/>
                <w:color w:val="auto"/>
                <w:w w:val="90"/>
              </w:rPr>
              <w:t>$20.65</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$15.82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Fourth Quarter</w:t>
            </w:r>
          </w:p>
        </w:tc>
        <w:tc>
          <w:tcPr>
            <w:tcW w:w="2680" w:type="dxa"/>
            <w:vAlign w:val="bottom"/>
            <w:gridSpan w:val="3"/>
          </w:tcPr>
          <w:p>
            <w:pPr>
              <w:jc w:val="center"/>
              <w:ind w:left="1570"/>
              <w:spacing w:after="0"/>
              <w:rPr>
                <w:sz w:val="20"/>
                <w:szCs w:val="20"/>
                <w:color w:val="auto"/>
              </w:rPr>
            </w:pPr>
            <w:r>
              <w:rPr>
                <w:rFonts w:ascii="Arial" w:cs="Arial" w:eastAsia="Arial" w:hAnsi="Arial"/>
                <w:sz w:val="18"/>
                <w:szCs w:val="18"/>
                <w:color w:val="auto"/>
                <w:w w:val="90"/>
              </w:rPr>
              <w:t>$22.00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$17.95</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February 10, 2014, there were 30 stockholders of record of our common stock. The number of record holders is based upon the actual number of holders registered on the books of the Company at such date and does not include holders of shares in “street name” or persons, partnerships, associations, corporations or other entities identified in security position listings maintained by depositories.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declared quarterly dividends of $0.06 per share beginning in the second quarter of 2012 and increased the quarterly dividend to $0.12 per share beginning in the second quarter of 2013. Prior to these dividend payments, we had not paid dividends on our common stock. We expect to continue paying cash dividends on a quarterly basis; however, future dividends are subject to approval of the Board of Directors and may be adjusted as business needs or market conditions 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period covered by this Annual Report on Form 10-K, we did not offer or sell any securities that were not registered under the Securities Act of 1933, as amended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any of our equity securities during the fourth quarter of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 Item 12 of this Annual Report on Form 10-K.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513"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Comparative Stock Performance Graph</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Pall Corporation, Donaldson Company Inc., Graco Inc., Roper Industries Inc., Gentex Corporation, Rockwell Automation Inc. and Sensata Technologies Holding N.V. The graph assumes $100 was invested on March 15,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222250</wp:posOffset>
            </wp:positionV>
            <wp:extent cx="5831840" cy="3559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184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As of March 15,</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As of December 31,</w:t>
            </w:r>
          </w:p>
        </w:tc>
      </w:tr>
      <w:tr>
        <w:trPr>
          <w:trHeight w:val="171"/>
        </w:trPr>
        <w:tc>
          <w:tcPr>
            <w:tcW w:w="36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Allison Transmission Holdings, Inc.</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3"/>
              </w:rPr>
              <w:t>121.20</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S&amp;P 500 Index</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103.52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137.04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99.32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136.95</w:t>
            </w:r>
          </w:p>
        </w:tc>
      </w:tr>
      <w:tr>
        <w:trPr>
          <w:trHeight w:val="365"/>
        </w:trPr>
        <w:tc>
          <w:tcPr>
            <w:tcW w:w="3660" w:type="dxa"/>
            <w:vAlign w:val="bottom"/>
          </w:tcPr>
          <w:p>
            <w:pPr>
              <w:spacing w:after="0"/>
              <w:rPr>
                <w:sz w:val="24"/>
                <w:szCs w:val="24"/>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270"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Selected Financial Data</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five years ended December 31, 2013.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 31,</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 31,</w:t>
            </w:r>
          </w:p>
        </w:tc>
      </w:tr>
      <w:tr>
        <w:trPr>
          <w:trHeight w:val="171"/>
        </w:trPr>
        <w:tc>
          <w:tcPr>
            <w:tcW w:w="5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sales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1,926.8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2,141.8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2,162.8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1,926.3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1,766.7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Engineering — research and development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impairment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670.9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(235.6)</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Premiums and expenses on tender offer for long-term debt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(expense) income,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(323.9)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Data:</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5,192.6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5,310.4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5,410.8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debt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2,678.3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3,671.1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3,874.1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736.6</w:t>
            </w:r>
          </w:p>
        </w:tc>
      </w:tr>
      <w:tr>
        <w:trPr>
          <w:trHeight w:val="365"/>
        </w:trPr>
        <w:tc>
          <w:tcPr>
            <w:tcW w:w="5100" w:type="dxa"/>
            <w:vAlign w:val="bottom"/>
          </w:tcPr>
          <w:p>
            <w:pPr>
              <w:spacing w:after="0"/>
              <w:rPr>
                <w:sz w:val="24"/>
                <w:szCs w:val="24"/>
                <w:color w:val="auto"/>
              </w:rPr>
            </w:pPr>
          </w:p>
        </w:tc>
        <w:tc>
          <w:tcPr>
            <w:tcW w:w="1800" w:type="dxa"/>
            <w:vAlign w:val="bottom"/>
          </w:tcPr>
          <w:p>
            <w:pPr>
              <w:jc w:val="right"/>
              <w:ind w:right="101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Management’s Discussion and Analysis of Financial Condition and Results of Operations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The following discussion contains forward-looking statements that involve risks and uncertainties. Our actual results may differ materially from those discussed in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design and manufacture fully-automatic transmissions for medium- and heavy-duty commercial vehicles, medium- and heavy-tactical U.S. defense vehicles and hybrid-propulsion systems for transit buses. We generate our net sales primarily from the sale of transmissions, transmission parts, support equipment, defense kits, engineering services and extended transmission coverage (“ETC”) to a wide array of OEMs, distributors and the U.S. government. Although approximately 77% of our net sales were generated in North America in 2013, we have a global presence, serving customers in Europe, Asia, South America and Africa. As of December 31, 2013, we had approximately 2,700 employees and 13 different transmission product lines.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We have developed over 100 different product models that are used in more than 2,500 different vehicle configurations, which are compatible with more than 500 combinations of engine brands, models and ratings. We also sell support equipment and Allison-branded replacement parts for our transmissions and remanufactured transmissions for use in the vehicle aftermarket.</w:t>
      </w:r>
    </w:p>
    <w:p>
      <w:pPr>
        <w:spacing w:after="0" w:line="16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Allison Transmission, which is headquartered in Indianapolis, Indiana, was founded in 1915 and acquired by our Sponsors in August 2007 from Old GM. The Acquisition Transaction was structured as an asset purchase for U.S. federal income tax purposes, which resulted in a step-up in the U.S. federal income tax basis of our assets that allows us to take substantial amortization deductions for U.S. federal income tax purposes. As of December 31, 2013, we had $2,702.4 million of unamortized intangible assets for income tax purposes which may be amortized over a period of approximately 8.6 years. These assets are expected to generate U.S. federal income tax deductions of approximately $314.8 million annually through 2021 and approximately $183.8 million in 2022. If we continue to generate taxable income in the future, the amortization of these assets, together with existing U.S. net operating losses of $346.5 million as of December 31, 2013, will be used to reduce our U.S. federal cash income tax payments.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December 31, 2013, we entered into Amendment No. 9 to the Credit Agreement, dated as of August 7, 2007 which allowed us to add up to an additional $90.0 million to the revolving portion of our Senior Secured Credit Facility prior to February 15, 2014. As of February 15, 2014, we had $465.0 million of borrowing capacity under the revolving portion of our Senior Secured Credit Facility.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Trends Impacting Our Business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ACT Research, commercial truck and bus production volumes in our North American on-highway markets are projected to grow, but to remain below the 1998-2008 average production levels through 2015. Our 2014 net sales guidance assumes a continued recovery in the North America On-Highway end market, lower demand in the North America Hybrid-Propulsion Systems for Transit Bus end market due to engine emissions improvements and non-hybrid alternative technologies that generally require a fully-automatic transmission (e.g. xNG), a slowly emerging improvement in demand from the North America energy sector’s hydraulic fracturing market, previously considered reductions in U.S. defense spending to longer term averages experienced during periods without active conflicts, growth in the Outside North America On-Highway end market, moderately improved second half demand conditions in the Outside North America Off-Highway end market and higher demand in the Service Parts, Support Equipment &amp; Other end market.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 Year 2013 and 2012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58"/>
        </w:trPr>
        <w:tc>
          <w:tcPr>
            <w:tcW w:w="6160" w:type="dxa"/>
            <w:vAlign w:val="bottom"/>
            <w:gridSpan w:val="2"/>
            <w:vMerge w:val="continue"/>
          </w:tcPr>
          <w:p>
            <w:pPr>
              <w:spacing w:after="0"/>
              <w:rPr>
                <w:sz w:val="13"/>
                <w:szCs w:val="13"/>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825</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813</w:t>
            </w:r>
          </w:p>
        </w:tc>
        <w:tc>
          <w:tcPr>
            <w:tcW w:w="6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305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616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1,927</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2,142</w:t>
            </w:r>
          </w:p>
        </w:tc>
        <w:tc>
          <w:tcPr>
            <w:tcW w:w="6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North America On-Highway end market net sales were up 1% for the year ended December 31, 2013 compared to the year ended December 31, 2012. The increase was principally driven by higher demand for Highway Series, Bus Series, Motorhome Series and Rugged Duty Series models partially offset by lower demand for Pupil Transport/Shuttle Series models.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North America Hybrid-Propulsion Systems for Transit Bus end market net sales were down 9% for the year ended December 31, 2013 compared to the year ended December 31, 2012 principally due to engine emissions improvements and non-hybrid alternative technologies that generally require a fully-automatic transmission.</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North America Off-Highway end market net sales were down 75% for the year ended December 31, 2013 compared to the year ended December 31, 2012. The decrease was principally driven by lower demand from hydraulic fracturing applications due to weakness in natural gas pricing.</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Defense end market net sales were down 34% for the year ended December 31, 2013 compared to the year ended December 31, 2012 principally driven by continued reductions in U.S. defense spending to longer term averages experienced during periods without active conflicts.</w:t>
      </w:r>
    </w:p>
    <w:p>
      <w:pPr>
        <w:spacing w:after="0" w:line="170" w:lineRule="exact"/>
        <w:rPr>
          <w:sz w:val="20"/>
          <w:szCs w:val="20"/>
          <w:color w:val="auto"/>
        </w:rPr>
      </w:pPr>
    </w:p>
    <w:p>
      <w:pPr>
        <w:ind w:right="1020" w:firstLine="456"/>
        <w:spacing w:after="0" w:line="342" w:lineRule="auto"/>
        <w:rPr>
          <w:sz w:val="20"/>
          <w:szCs w:val="20"/>
          <w:color w:val="auto"/>
        </w:rPr>
      </w:pPr>
      <w:r>
        <w:rPr>
          <w:rFonts w:ascii="Arial" w:cs="Arial" w:eastAsia="Arial" w:hAnsi="Arial"/>
          <w:sz w:val="16"/>
          <w:szCs w:val="16"/>
          <w:color w:val="auto"/>
        </w:rPr>
        <w:t>Outside North America On-Highway end market net sales were up 1% for the year ended December 31, 2013 compared to the year ended December 31, 2012 principally driven by increased demand in Europe partially offset by lower demand in Japan and South America.</w:t>
      </w:r>
    </w:p>
    <w:p>
      <w:pPr>
        <w:spacing w:after="0" w:line="124"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23% for the year ended December 31, 2013 compared to the year ended December 31, 2012 principally driven by weakness in the mining sector partially offset by strength in the energy sector.</w:t>
      </w:r>
    </w:p>
    <w:p>
      <w:pPr>
        <w:spacing w:after="0" w:line="170"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Service parts, support equipment &amp; other end market net sales were up 8% for the year ended December 31, 2013 compared to the year ended December 31, 2012 principally driven by increased demand for North America On-Highway and Off-Highway service parts.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year ended December 31, 2013, direct material costs were approximately 68%, overhead costs were approximately 26%, and direct labor costs were approximately 6%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incur costs in connection with research and development programs that are expected to contribute to future earnings. Such costs are expensed as incurred. In 2009, we were notified by the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Consolidated Statements of Comprehensive Income included in Part II, Item 8, of this Annual Report on Form 10-K, or in the case of capital expenditure, as a reduction in the cost basis of the capital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Management believes the accounting estimates discussed below represent those accounting estimates that require the exercise of judgment where a different set of judgments could result in changes to our reported results.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sales when title has transferred to the customer, there is evidence of an agreement, the sales price is fixed or determinable, delivery has occurred or services rendered, and collectability is reasonably assured. We sell ETC for which sales are deferred. ETC sales are recognized ratably over the period of the ETC, which typically ranges from three to five years after initial sale. Distributor and customer sales incentives, consisting of allowances and other rebates, are estimated at the time of sale based upon our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Sales under U.S. government production contracts are recorded when the product is accepted, title has transferred to the U.S. government, the sales price is fixed or determinable, and delivery has occurred. Deferred revenue arises from cash received in advance of the culmination of the earnings process and is recognized as revenue in future periods when the applicable revenue recognition criteria have been met. Under the terms of the U.S. government contracts, there are certain price reduction clauses and provisions for potential price reductions which are estimated at the time of sale based upon our history and experience and are recorded as a reduction to net sales. Potential reductions may be attributed to a change in projected sales volumes or plant efficiencies which impact overall costs.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0" w:right="279" w:bottom="1440" w:gutter="0" w:footer="0" w:header="0"/>
        </w:sectPr>
      </w:pPr>
    </w:p>
    <w:bookmarkStart w:id="43" w:name="page44"/>
    <w:bookmarkEnd w:id="43"/>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to a request from the U.S. government, we billed, but did not ship certain tracked transmissions during the second half of 2013. Based on the lack of a fixed delivery date from the U.S. government, we did not recognize revenue as of December 31, 2013 for these transmissions. Revenue will be recognized once delivery has occurred.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value our inventory using the first-in, first-out method, and state our inventories at the lower of cost or net realizable value. In order to determine net realizable value, we analyze our inventory on a periodic basis to determine the amount of excess or obsolete inventory. Any decline in carrying value of estimated excess or obsolete inventory is recorded as a reduction of inventory and as an expense included in cost of sales in the period it is identified.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 and other intangibles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There is one reporting unit which is the same as our one operating and reportable segment. We have elected to perform our annual impairment test on October 31 of every year. A multi-step impairment test is performed on goodwill. In Step 0, we have the option to evaluate various qualitative factors to determine the likelihood of impairment. If determined that the fair value is more likely than not less than the carrying value, then we are required to perform Step 1. If we do not elect to perform Step 0, we can voluntarily proceed directly to Step 1. In Step 1, we perform a quantitative analysis to compare the fair value of the reporting unit to its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performing a quantitative analysis in 2013, our annual goodwill impairment test indicated that the fair value of the reporting unit exceeded its carrying value by approximately 90%, indicating no impairment. The fair value was determined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our trade name, are not amortized but are tested annually for impairment. Our 2013 annual trade name impairment test indicated that the fair value of the trade name exceeded its carrying value by approximately 8%, indicating no impairment. The fair value was determined utilizing an income approach by which the relief from royalty method was applied. Key assumptions incorporated into the analysis were net sales growth derived from market information, industry reports, marketing programs and new product introductions; and risk-adjusted discount rates. Events or circumstances that could unfavorably impact the key assumptions include lower net sales driven by market conditions, our inability to execute on marketing programs and/or delay in introduction of new products, and higher discount rate as a result of market conditions. While unpredictable and inherently uncertain, management believes the forecast estimates are reasonable and incorporate those assumptions that similar market participants would use in their estimates of fair value. 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Impairment of long-lived assets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provide reserves for costs associated with warranty claims at the time the products are sold. Warranty claims arise when a transmission fails while in service during the relevant warranty period. The warranty reserve is provided for by adjusting selling, general and administrative expenses by an amount based on our current and historical warranty claims paid and associated repair costs. These estimates are established using historical information including the nature, frequency and average cost of warranty claims and are adjusted as actual information becomes available. Costs associated with ETC are recorded as incurred during the extended coverage period. From time to time, we may get involved in a specific field action program. As a result of the uncertainty surrounding the nature and frequency of specific field action programs, the liability for such programs is recorded when we commit to a specific field action. We review and assess the liability for these programs on a quarterly basis. We also assess our ability to recover certain costs from our suppliers and record a receivable from the supplier when we believe a recovery is probable.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obligations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post-retirement benefits other than pensions. In accordance with the authoritative accounting guidance, we recognize the funded status of our defined benefit pension plans and OPEB plan in our Consolidated Balance Sheets with a corresponding adjustment to Accumulated other comprehensive loss, net of tax. Currently, our OPEB liability is unfunded and costs related to our obligations are funded by current period cash flows.</w:t>
      </w:r>
    </w:p>
    <w:p>
      <w:pPr>
        <w:spacing w:after="0" w:line="173"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benefit cost components in the Consolidated Statements of Comprehensive Income included in Part II, Item 8, of this Annual Report on Form 10-K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losses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 stock-based compensation plan which allows employees (including executive officers), consultants and directors to receive equity awards. We have adopted the FASB’s authoritative accounting guidance on share-based payments and recognize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80" w:type="dxa"/>
            <w:vAlign w:val="bottom"/>
          </w:tcPr>
          <w:p>
            <w:pPr>
              <w:spacing w:after="0"/>
              <w:rPr>
                <w:sz w:val="14"/>
                <w:szCs w:val="14"/>
                <w:color w:val="auto"/>
              </w:rPr>
            </w:pPr>
          </w:p>
        </w:tc>
        <w:tc>
          <w:tcPr>
            <w:tcW w:w="310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Cash interest expense</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Cash income taxes</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Technology-related investments expense (a)</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Public offering expenses (b)</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to terminate services agreement with the Sponsors (c)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Cash interest expense</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Dual power inverter module extended coverage (d)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Unrealized loss on foreign exchange (e)</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(gain) on commodity hedge contracts (f)</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Restructuring charge (g)</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redemptions and repayments of long-term debt (h)</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Benefit plan re-measurement (i)</w:t>
            </w: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UAW Local 933 contract signing bonus (j)</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Premiums and expenses on tender offer for long-term debt (k)</w:t>
            </w: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plan adjustment (l)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Other (m)</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626.6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excluding technology-related license expenses (n)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1,926.8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2,141.8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Adjusted EBITDA margin excluding technology-related license expenses (n)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469.2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with the Sponsors (c)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Technology-related license expenses (n)</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274"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274" w:right="259" w:bottom="1440" w:gutter="0" w:footer="0" w:header="0"/>
          <w:type w:val="continuous"/>
        </w:sectPr>
      </w:pPr>
    </w:p>
    <w:bookmarkStart w:id="47" w:name="page48"/>
    <w:bookmarkEnd w:id="47"/>
    <w:p>
      <w:pPr>
        <w:ind w:left="452" w:right="280" w:hanging="452"/>
        <w:spacing w:after="0" w:line="258"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an impairment charge (recorded in Other expense, net) for investments in agreements with various companies to expand our position in transmission technologies.</w:t>
      </w:r>
    </w:p>
    <w:p>
      <w:pPr>
        <w:spacing w:after="0" w:line="1"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initial public offering in March 2012, proposed and withdrawn secondary offering in April 2013, and secondary offerings in August 2013, November 2013 and December 2013.</w:t>
      </w: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payment (recorded in Other expense, net) to terminate the services agreement with our Sponsors.</w:t>
      </w:r>
    </w:p>
    <w:p>
      <w:pPr>
        <w:spacing w:after="0" w:line="9" w:lineRule="exact"/>
        <w:rPr>
          <w:rFonts w:ascii="Arial" w:cs="Arial" w:eastAsia="Arial" w:hAnsi="Arial"/>
          <w:sz w:val="18"/>
          <w:szCs w:val="18"/>
          <w:color w:val="auto"/>
        </w:rPr>
      </w:pPr>
    </w:p>
    <w:p>
      <w:pPr>
        <w:ind w:left="452" w:right="8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2013, we conducted a review of the Dual Power Inverter Module (“DPIM”) extended coverage program resulting in a reduction of the DPIM liability, partially offset by a reduction of the associated GM receivable totaling a net credit (recorded in Selling, general and administrative expenses). During the second quarter of 2012, we recorded a charge (recorded in Selling, general and administrative expenses) to increase our liability related to the DPIM extended coverage program due to claims data and additional design issues identified during introduction of replacement units. The total liability and GM receivable will continue to be reviewed for any changes in estimate as additional claims data and field information become available.</w:t>
      </w:r>
    </w:p>
    <w:p>
      <w:pPr>
        <w:spacing w:after="0" w:line="2" w:lineRule="exact"/>
        <w:rPr>
          <w:rFonts w:ascii="Arial" w:cs="Arial" w:eastAsia="Arial" w:hAnsi="Arial"/>
          <w:sz w:val="18"/>
          <w:szCs w:val="18"/>
          <w:color w:val="auto"/>
        </w:rPr>
      </w:pPr>
    </w:p>
    <w:p>
      <w:pPr>
        <w:ind w:left="452" w:right="40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(recorded in Other expense, net) on the mark-to-market of our foreign currency hedge contracts and on intercompany financing transactions related to investments in plant assets for our India facility.</w:t>
      </w: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net) on the mark-to-market of our commodity hedge contracts.</w:t>
      </w:r>
    </w:p>
    <w:p>
      <w:pPr>
        <w:spacing w:after="0" w:line="9" w:lineRule="exact"/>
        <w:rPr>
          <w:rFonts w:ascii="Arial" w:cs="Arial" w:eastAsia="Arial" w:hAnsi="Arial"/>
          <w:sz w:val="18"/>
          <w:szCs w:val="18"/>
          <w:color w:val="auto"/>
        </w:rPr>
      </w:pPr>
    </w:p>
    <w:p>
      <w:pPr>
        <w:ind w:left="452" w:right="10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an employee headcount reduction program in the second quarter of 2013.</w:t>
      </w: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(recorded in Other expense, net) realized on the redemptions and repayments of ATI’s long-term debt.</w:t>
      </w:r>
    </w:p>
    <w:p>
      <w:pPr>
        <w:spacing w:after="0" w:line="9" w:lineRule="exact"/>
        <w:rPr>
          <w:rFonts w:ascii="Arial" w:cs="Arial" w:eastAsia="Arial" w:hAnsi="Arial"/>
          <w:sz w:val="18"/>
          <w:szCs w:val="18"/>
          <w:color w:val="auto"/>
        </w:rPr>
      </w:pPr>
    </w:p>
    <w:p>
      <w:pPr>
        <w:ind w:left="452" w:right="60" w:hanging="452"/>
        <w:spacing w:after="0" w:line="265" w:lineRule="auto"/>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a settlement charge (recorded in Other expense, net) related to the settlement of pension obligations for certain qualified hourly employees from our hourly defined benefit pension plan to GM’s pension plan as part of the asset purchase agreement dated June 28, 2007.</w:t>
      </w:r>
    </w:p>
    <w:p>
      <w:pPr>
        <w:ind w:left="452" w:right="2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bonus (recorded in Cost of sales, Selling, general and administrative expenses, and Engineering – research and development) to eligible employees recorded in the fourth quarter of 2012 as a result of UAW Local 933 – represented employees ratifying a labor contract effective November 2012 through November 2017.</w:t>
      </w:r>
    </w:p>
    <w:p>
      <w:pPr>
        <w:spacing w:after="0" w:line="1"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premiums and expenses (recorded in Other expense, net) related to the tender offer for ATI’s 11.25% senior toggle notes due 2015 (“Senior Toggle Notes”).</w:t>
      </w:r>
    </w:p>
    <w:p>
      <w:pPr>
        <w:ind w:left="452" w:right="860"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favorable adjustment (recorded in Cost of sales, Selling, general and administrative expenses, and Engineering – research and development) related to certain differences between benefits promised under a benefit plan and the administration of the plan.</w:t>
      </w:r>
    </w:p>
    <w:p>
      <w:pPr>
        <w:spacing w:after="0" w:line="1" w:lineRule="exact"/>
        <w:rPr>
          <w:rFonts w:ascii="Arial" w:cs="Arial" w:eastAsia="Arial" w:hAnsi="Arial"/>
          <w:sz w:val="16"/>
          <w:szCs w:val="16"/>
          <w:color w:val="auto"/>
        </w:rPr>
      </w:pPr>
    </w:p>
    <w:p>
      <w:pPr>
        <w:ind w:left="452" w:hanging="452"/>
        <w:spacing w:after="0" w:line="265" w:lineRule="auto"/>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employee stock compensation expense (recorded in Cost of sales, Selling, general and administrative expenses, and Engineering – research and development) and service fees paid to our Sponsors (recorded in Selling, general and administrative expenses).</w:t>
      </w: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payments (recorded in Engineering – research and development) for licenses to expand our position in transmission technologies.</w:t>
      </w:r>
    </w:p>
    <w:p>
      <w:pPr>
        <w:spacing w:after="0" w:line="15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12"/>
          </w:cols>
          <w:pgMar w:left="248" w:top="27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set forth certain financial information for the years ended December 31, 2013 and 2012 and for the years ended December 31, 2012 and 2011. The following tables and discussion should be read in conjunction with the information contained in our consolidated financial statements and the notes thereto included in Part II, Item 8 of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2013 and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of net sales</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1,926.8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2,141.8</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841.9</w:t>
            </w:r>
          </w:p>
        </w:tc>
        <w:tc>
          <w:tcPr>
            <w:tcW w:w="5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43.7%</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954.3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334.9</w:t>
            </w:r>
          </w:p>
        </w:tc>
        <w:tc>
          <w:tcPr>
            <w:tcW w:w="5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419.0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97.1</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432.0</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6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409.9</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(132.9)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(10.9)</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(0.6)</w:t>
            </w:r>
          </w:p>
        </w:tc>
        <w:tc>
          <w:tcPr>
            <w:tcW w:w="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(52.8)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(143.8)</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(100.7)</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298.0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514.2</w:t>
            </w:r>
          </w:p>
        </w:tc>
        <w:tc>
          <w:tcPr>
            <w:tcW w:w="60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Net sales for the year ended December 31, 2013 were $1,926.8 million compared to $2,141.8 million for the year ended December 31, 2012, a decrease of 10.0%. The decrease was principally driven by a $144.0 million, or 53%, decrease in net sales of global off-highway products driven by lower demand from North America natural gas fracturing applications and lower global demand in the mining sector, a $103.0 million, or 34%, decrease in net sales of defense products due to lower U.S. defense spending and a $10.0 million, or 9%, decrease in net sales of North America hybrid-propulsion systems for transit buses primarily driven by lower demand due to engine emissions improvements and non-hybrid alternatives (e.g. xNG), partially offset by a $27.0 million, or 8%, increase in net sales of parts and other products, and a $15.0 million, or 1%, increase in net sales of global on-highway commercial products. See “Trends Impacting Our Business” above for additional information on net sales by end markets.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Gross profit for the year ended December 31, 2013 was $841.9 million compared to $954.3 million for the year ended December 31, 2012, a decrease of 11.8%. The decrease was principally driven by $132.0 million related to decreased sales, partially offset by $7.7 million related to the fourth quarter 2012 UAW Local 933 contract signing bonus, $6.0 million of favorable foreign exchange and $4.0 million of favorable manufacturing performance.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Selling, general and administrative expenses for the year ended December 31, 2013 were $334.9 million compared to $419.0 million for the year ended December 31, 2012, a decrease of 20.1%. The decrease was principally driven by $44.7 million of lower intangible asset amortization, a $9.4 million charge in 2012 related to the DPIM extended coverage program, $8.0 million of unfavorable product warranty adjustments in 2012 from prior period estimates, a $2.4 million favorable adjustment in 2013 related to the DPIM extended coverage program, $1.0 million related to the fourth quarter 2012 UAW Local 933 contract signing bonus and reduced global commercial spending activities, partially offset by $6.0 million of higher stock compensation expense.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0" w:right="25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Engineering — research and development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Engineering expenses for the year ended December 31, 2013 were $97.1 million compared to $115.1 million for the year ended December 31, 2012, a decrease of 15.6%. The decrease was principally driven by $12.0 million of technology-related license expenses in 2012 to expand our position in transmission technologies, $0.1 million related to the fourth quarter 2012 UAW Local 933 contract signing bonus, lower product initiative spending and reduced global spending activities, partially offset by $6.0 million of technology-related license expenses in 2013 to further expand our position in transmission technologies.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Interest expense, net for the year ended December 31, 2013 was $132.9 million compared to $151.2 million for the year ended December 31, 2012, a decrease of 12.1%. The decrease was principally driven by $14.4 million of lower interest expense as a result of debt repayments and purchases, an $8.8 million decrease in mark-to-market expense for our interest rate derivatives, $3.8 million of lower interest expense as a result of a decrease in effective interest rate swaps and $3.4 million of lower amortization of deferred financing fees, partially offset by $9.0 million of higher interest expense as a result of higher interest rates on ATI’s Senior Secured Credit Facility, $3.0 million of higher interest expense related to higher interest rates on our effective interest rate swaps and $0.1 million of lower interest income.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Other expense, net for the year ended December 31, 2013 was $10.9 million compared to $52.8 million for the year ended December 31, 2012, a decrease of 79.4%. The decrease in expense was principally driven by $21.3 million of lower premiums and expenses related to payments on and redemptions of long-term debt, a $16.0 million payment in 2012 to terminate the services agreement with the Sponsors, $9.4 million of lower technology-related investment impairment expense, $4.5 million of lower public offering expenses, $2.3 million related to the hourly pension plan settlement in 2012 and $0.7 million of reduced miscellaneous expenses, partially offset by $3.9 million of higher expenses related to unrealized and realized losses on derivative contracts, $2.1 million of higher unfavorable foreign exchange and $6.3 million of lower Grant Program income.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Income tax expense for the year ended December 31, 2013 was ($100.7) million compared to an income tax benefit of $298.0 million for the year ended December 31, 2012, resulting in an effective tax rate of (37.8%) for the year ended December 31, 2013 versus an effective tax rate of 137.8% for the year ended December 31, 2012. The change in effective tax rate was principally driven by the release of the domestic valuation allowance on our deferred tax assets in the second quarter of 2012.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years ended December 31, 2012 and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0"/>
                <w:szCs w:val="10"/>
                <w:color w:val="auto"/>
              </w:rPr>
            </w:pPr>
          </w:p>
        </w:tc>
        <w:tc>
          <w:tcPr>
            <w:tcW w:w="6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2,141.8</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2,162.8</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954.3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954.5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419.0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409.1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420.2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Premiums and expenses on tender offer for long-term debt</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(204.0)</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(278.4)</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216.2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298.0</w:t>
            </w:r>
          </w:p>
        </w:tc>
        <w:tc>
          <w:tcPr>
            <w:tcW w:w="5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sales for the year ended December 31, 2012 were $2,141.8 million compared to $2,162.8 million for the year ended December 31, 2011, a decrease of 1.0%. The decrease was principally driven by a decrease in net sales of $123.0 million, or 44%, of North America off-highway products driven by lower demand from natural gas fracturing applications due to weakness in natural gas pricing, a decrease in net sales of $19.0 million, or 14%, for North America hybrid-propulsion systems for transit buses primarily driven by lower municipal spending and a decrease in net sales of $6.0 million, or 2%, for parts and other products, partially offset by a $99.0 million, or 10%, increase in net sales of global on-highway commercial products and a $27.0 million, or 31%, increase in net sales of outside North America off-highway products. See “Trends Impacting Our Business” above for additional information on net sales by end markets.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Gross profit for the year ended December 31, 2012 was $954.3 million compared to $954.5 million for the year ended December 31, 2011. The decrease was principally driven by $29.0 million related to decreased sales and $7.7 million related to the fourth quarter 2012 UAW Local 933 contract signing bonus, partially offset by $20.0 million of price increases on certain products, $13.0 million of favorable material costs and $3.5 million attributable to improved manufacturing performance.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Selling, general and administrative expenses for the year ended December 31, 2012 were $419.0 million compared to $409.1 million for the year ended December 31, 2011, an increase of 2.4%. The increase was principally driven by $9.4 million related to the DPIM extended coverage program, $8.0 million of unfavorable product warranty adjustments from prior period estimates, $7.2 million of higher product warranty expense and $1.0 million related to the fourth quarter 2012 UAW Local 933 contract signing bonus, partially offset by $9.0 million of lower incentive compensation expense and reduced global commercial spending activities.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Engineering expenses for the year ended December 31, 2012 were $115.1 million compared to $116.4 million for the year ended December 31, 2011, a decrease of 1.1%. The decrease was principally driven by lower product initiatives spending, partially offset by an increase of $2.1 million related to certain technology-related license expenses and $0.1 million related to the fourth quarter 2012 UAW Local 933 contract signing bonus.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51" w:name="page52"/>
    <w:bookmarkEnd w:id="5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expense, net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expense, net for the year ended December 31, 2012 was $151.2 million compared to $217.3 million for the year ended December 31, 2011, a decrease of 30.4%. The decrease was principally driven by $52.4 million of lower interest expense as a result of debt repayments and purchases, and a $32.5 million decrease in mark-to-market expense for our interest rate derivatives, partially offset by $10.0 million of higher interest expense primarily due to the effectiveness of $700.0 million of new interest rate swaps at higher interest rates, and $8.3 million of higher interest expense primarily driven by higher interest rates and $0.5 million of higher deferred financing fees due to refinancing ATI’s Senior Secured Credit Facility Term B-1 Loan due 2014 (“Term B-1 Loan”).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for long-term debt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May 2011, we completed a cash tender offer to purchase any and all of our Senior Toggle Notes. The tender offer resulted in us purchasing $468.1 million of $505.3 million of our outstanding Senior Toggle Notes with premiums and expenses totaling $56.9 million.</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expense, net for the year ended December 31, 2012 was ($52.8) million compared to ($4.2) million for the year ended December 31, 2011. The increase was principally driven by a $16.0 million payment to terminate the services agreement with the Sponsors, a $14.4 million impairment of technology-related investments, a $6.1 million increase in premiums and expenses related to redemptions of long-term debt, $6.1 million of fees and expenses related to our IPO, $4.1 million of decreased Grant Program income, a $3.7 million favorable vendor settlement in 2011, $2.3 million related to the hourly pension plan settlement and $1.2 million of lower miscellaneous income, partially offset by $4.1 million of favorable foreign currency exchange and $1.2 million of higher gains on derivative contracts.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Income tax benefit for the year ended December 31, 2012 was $298.0 million compared to an income tax expense of ($47.6) million for the year ended December 31, 2011, resulting in an effective tax rate of 137.8% for the year ended December 31, 2012 versus an effective tax rate of (31.6%) for the year ended December 31, 2011. The change in effective tax rate was principally driven by the release of our valuation allowance on our deferred tax assets in the second quarter of 2012. Management determined, based on the evaluation of both objective and subjective evidence available, that a valuation allowance was no longer necessary and that it is more likely than not that the deferred tax assets are fully realizable.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$184.7 million and $80.2 million as of December 31, 2013 and 2012, respectively. Of the available cash and cash equivalents, approximately $179.7 million and $75.2 million were deposited in operating accounts while approximately $5.0 million and $5.0 million were invested in U.S. government backed securities as of December 31, 2013 and 2012, respectively. We expect to meet our domestic funding needs through available cash and credit in the United States and currently do not anticipate repatriating any cash to meet these needs.</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Additionally, we had $395.0 million and $372.1 million available under the revolving credit facility, net of approximately $15.0 million and $27.9 million in letters of credit issued and outstanding as of December 31, 2013 and 2012, respectively. Throughout the year ended December 31, 2013, we made periodic withdrawals on our revolving credit facility as part of our debt management plans. The maximum amount outstanding at any time on the revolving credit facility was $20.0 million, and all balances were repaid within the quarter they were borrowed. As of December 31, 2013 and 2012, we had no outstanding borrowings on our revolving credit facility.</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2012, ATI entered into an amendment with the term loan lenders under its Senior Secured Credit Facility to extend the maturity of approximately $801.1 million in principal amount of the Term B-1 Loan from August 2014 to August 2017 and to increase the applicable margin at our option to either (a) 3.50% over the LIBOR or (b) 2.50% over the greater of the prime lending rate provided by the British Banking Association or the federal funds effective rate published by the Federal Reserve Bank of New York plus 0.50%.</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August 2012, ATI entered into an amendment with the term loan lenders under its Senior Secured Credit Facility to extend the maturity of approximately $850.0 million in principal amount of the Term B-1 Loan from August 2014 to August 2019 and to increase the applicable margin at our option to either (a) 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plus 0.50% (which may not be less than 2.00%).</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the Term B-1 Loan from August 2014 to August 2019 and to increase the applicable margin at our option to either (a) 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(but not less than 2.00%).</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February 2013, ATI entered into an amendment with the term loan lenders under its Senior Secured Credit Facility to refinance the entire outstanding principal amount of our Term B-2 Loan to reduce the applicable margin for such term loans at our option to either (a) 3.00% over the LIBOR or (b) 2.00% over the greater of the prime lending rate provided by the British Banking Association or the federal funds effective rate published by the Federal Reserve Bank of New York. In February 2013, ATI also entered into an additional amendment with the term loan lenders under its Senior Secured Credit Facility to extend the maturity of approximately $411.4 million in principal amount of the Term B-1 Loan from August 2014 to August 2017 and to increase the applicable margin at our option to either (a) 3.00% over the LIBOR or (b) 2.00% over the greater of the prime lending rate provided by the British Banking Association or the federal funds effective rate published by the Federal Reserve Bank of New York plus 0.50%.</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August 2013, ATI entered into an amendment with the term loan lenders under its Senior Secured Credit Facility to refinance the entire outstanding principle amount of our Term B-3 Loan to reduce the applicable margin for such term loans at our option to either (a) 2.75% or 2.50%, subject to our total leverage ratio, over the LIBOR (which may not be less than 1.00%) or (b) 1.75% or 1.50%, subject to our total leverage ratio, over the greater of the prime lending rate provided by the British Banking Association or the federal funds effective rate published by the Federal Reserve Bank of New York plus 0.50% (which may not be less than 2.00%).</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December 2013, ATI entered into an amendment with the term loan lenders under its Senior Secured Credit Facility to extend the maturity of $650.0 million of term loan debt from August 2017 to August 2019 and to reduce the applicable margin at our option to either (a) 2.75% or 2.50%, subject to our total leverage ratio, over the LIBOR (which may not be less than 1.00%) or (b) 1.75% or 1.50%, subject to our total leverage ratio, over the greater of the prime lending rate provided by the British Banking Association or the federal funds effective rate published by the Federal Reserve Bank of New York plus 0.50% (which may not be less than 2.00%). The amendment also extended the maturity of the revolving credit facility to January 2019, increased the borrowing capacity to $410.0 million, reduced the applicable margin to either 2.25%, 2.00% or 1.75% on LIBOR loans or 1.25%, 1.00% or 0.75% on Base Rate loans, subject to our total leverage ratio, reduced the commitment fee to either 0.375% or 0.25%, subject to our total leverage ratio, and increased the letters of credit sublimit to $75.0 million. Lastly, the amendment changed the requirement of the maximum total senior secured leverage ratio, so that it is only applicable to the revolving portion of the Senior Secured Credit Facility and is tested only when revolving commitments (including letters of credit) remain outstanding at the end of any fiscal quarter. The amendment to the term loans was treated as a modification of debt under GAAP, and thus we expensed $0.5 million of deferred financing fees and recorded $10.1 million of new deferred financing fees in the consolidated financial statements. The amendment to the revolving portion of the Senior Secured Credit Facility was treated as a modification of debt under GAAP, and thus we expensed $0.4 million of deferred financing fees and recorded $2.1 million of new deferred financing fees in the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53" w:name="page54"/>
    <w:bookmarkEnd w:id="53"/>
    <w:p>
      <w:pPr>
        <w:ind w:right="4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principal uses of cash are operating expenses, capital expenditures, debt service, dividends on common stock and working capital needs. The following table shows our sources and uses of funds for the years ended December 31, 2013, 2012 and 2011 (in millions):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7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vMerge w:val="continue"/>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$ 453.5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$ 497.5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880" w:type="dxa"/>
            <w:vAlign w:val="bottom"/>
            <w:gridSpan w:val="3"/>
          </w:tcPr>
          <w:p>
            <w:pPr>
              <w:jc w:val="right"/>
              <w:ind w:right="408"/>
              <w:spacing w:after="0"/>
              <w:rPr>
                <w:sz w:val="20"/>
                <w:szCs w:val="20"/>
                <w:color w:val="auto"/>
              </w:rPr>
            </w:pPr>
            <w:r>
              <w:rPr>
                <w:rFonts w:ascii="Arial" w:cs="Arial" w:eastAsia="Arial" w:hAnsi="Arial"/>
                <w:sz w:val="18"/>
                <w:szCs w:val="18"/>
                <w:b w:val="1"/>
                <w:bCs w:val="1"/>
                <w:color w:val="auto"/>
              </w:rPr>
              <w:t>(81.5)</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(138.7)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8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(277.5)</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(593.5)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activities for the year ended December 31, 2013 generated $453.5 million of cash compared to $497.5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decrease was principally driven by decreased net sales, higher accounts receivable principally driven by lower accounts receivable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end of 2012 as a result of earlier than expected receipts and lower other liabilities, net; partially offset by higher accounts payable principally driven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accounts payable at the end of 2012 as a result of labor negotiations planning, decreased spending commensurate with reduced global commercial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initiatives spending, lower cash interest expense and lower cash income taxes.</w:t>
      </w:r>
    </w:p>
    <w:p>
      <w:pPr>
        <w:spacing w:after="0" w:line="21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Operating activities for the year ended December 31, 2012 generated $497.5 million of cash compared to $469.2 million for the year ended December 31, 2011. The increase was primarily driven by lower interest expense, lower accounts receivable commensurate with decreased net sales and decreased spending commensurate with reduced global commercial activities, partially offset by lower accounts payable commensurate with decreased net sales and increased other expense, net.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Investing activities for the year ended December 31, 2013 used $81.5 million of cash compared to $138.7 million for the year ended December 31, 2012. The decrease was principally driven by a decrease of $49.5 million in capital expenditures and a decrease of $5.6 million in investments in technology-related initiatives. The decrease in capital expenditures was principally driven by the 2012 expansion of our India facility and lower product initiatives spending.</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Investing activities for the year ended December 31, 2012 used $138.7 million of cash compared to $55.9 million for the year ended December 31, 2011. The increase was primarily driven by a 2011 reduction in collateral requirements of $39.6 million related to certain of our interest rate derivatives, an increase of $27.0 million in capital expenditures, a $14.4 million investment in technology-related initiatives and the 2011 proceeds related to the sale of property. The increase in capital expenditures was attributable to the continued expansion of our India facility, higher product initiatives spending and increased investments in productivity and replacement programs, partially offset by the 2011 construction of our Hungarian manufacturing facility. The India expansion project was completed and production commenced during the third quarter of 2012.</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activities for the year ended December 31, 2013 used $277.5 million of cash compared to $593.5 million for the year ended December 31,</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2012. The decrease was principally driven by 2012 redemptions of $326.9 million of ATI’s 11.0% senior cash pay notes due November 2015, $103.0 million of decreased principal payments on ATI’s Senior Secured Credit Facility, $17.3 million of increased proceeds from the exercise of stock options, $8.4 million of increased tax benefits from stock based compensation and $5.3 million of decreased debt financing fees, partially offset by $99.5 million related to the repurchase of our common stock in connection with the August 2013 secondary offering by our Sponsors and $44.3 million of increased dividend payments.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activities for the year ended December 31, 2012 used $593.5 million of cash compared to $369.9 million for the year ended December 31,</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2011. The increase was primarily driven by $217.4 million of increased payments, repurchases and redemptions of our long-term debt, $32.8 million of dividend payments in 2012, $20.2 million of payments related to extending a portion of the Senior Secured Credit Facility, and a $2.5 million principal payment on our Japanese Yen denominated unsecured short-term notes, partially offset by $15.0 million of 2011 debt issuance costs and $29.0 million related to the issuance of common stock in 2012.</w:t>
      </w:r>
    </w:p>
    <w:p>
      <w:pPr>
        <w:spacing w:after="0" w:line="19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December 31, 2013 would have no impact on interest expense due to the 1.00% LIBOR floor on our Term B-3 Loan and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ectPr>
          <w:pgSz w:w="11900" w:h="16838" w:orient="portrait"/>
          <w:cols w:equalWidth="0" w:num="1">
            <w:col w:w="11400"/>
          </w:cols>
          <w:pgMar w:left="240" w:top="274"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274" w:right="259" w:bottom="1440" w:gutter="0" w:footer="0" w:header="0"/>
          <w:type w:val="continuous"/>
        </w:sectPr>
      </w:pPr>
    </w:p>
    <w:bookmarkStart w:id="54" w:name="page55"/>
    <w:bookmarkEnd w:id="5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we made principal payments of $142.4 million, $245.4 million and $90.5 million on the Senior Secured Credit Facility for the years ended December 31, 2013, 2012 and 2011, respectively. The principal payments made on the Senior Secured Credit Facility for the years ended December 31, 2013, 2012 and 2011 resulted in losses of $0.8 million, $1.3 million and $0.6 million associated with the write off of related deferred debt financing fees, respectively.</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revolving portion of the Senior Secured Credit Facility requires us to maintain a specified maximum total senior secured leverage ratio of 5.50x when revolving commitments (including letters of credit) remain outstanding at the end of a fiscal quarter. As of December 31, 2013, we were in compliance with the maximum total senior secured leverage ratio, achieving a 3.23x ratio. Within the terms of the Senior Secured Credit Facility, a senior secured leverage ratio at or below 3.50x results in the elimination of excess cash flow payments on the Senior Secured Credit Facility for the applicable year. Additionally,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December 31, 2013, the total leverage ratio was 3.98x.</w:t>
      </w:r>
    </w:p>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maximum total secured leverage ratio for the revolving portion of the Senior Secured Credit Facility, the Senior Secured Credit Facility and the indenture governing the 7.125% Senior Notes include, among other things, customary restrictions (subject to certain exceptions) on our ability to incur certain indebtedness or liens, make certain investments or declare or pay certain dividends. As of December 31, 2013, we are in compliance with all covenants under the Senior Secured Credit Facility.</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currently have eleven interest rate swap contracts as of December 31, 2013 that qualify as derivatives under authoritative accounting guidance for derivative instruments and hedging activities. Our interest rate swaps do not qualify for hedge accounting treatment and, as a result, fair value adjustments are charged directly to interest expense in the Consolidated Statements of Comprehensive Income included in Part II, Item 8, of this Annual Report on Form 10-K. For the years ended December 31, 2013, 2012 and 2011, gains (loss) related to fair value adjustments were $34.3 million, $25.5 million and ($7.0) million, respectively. All contracts are used strictly as an economic hedge and not for speculative purposes.</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December 31, 2013,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December 31, 2013, we have been required to post collateral of $1.7 million in cash and $5.0 million in letters of credit as a result of changes in interest rates. We may be required to post additional collateral until the LIBOR curve reaches zero.</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December 31, 2013 would reduce our collateral requirement by approximately $1.2 million or increase our collateral requirement by approximately $1.2 million, respectively, in a combination of cash and letters of credit.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Senior Secured Credit Facility and Senior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7, “Debt” in Part II, Item 8,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Contractual Obligations, Contingent Liabilities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2013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w w:val="92"/>
              </w:rPr>
              <w:t>Payments due by period</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8"/>
              </w:rPr>
              <w:t>Less than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1-3</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3-5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1 year</w:t>
            </w:r>
          </w:p>
        </w:tc>
        <w:tc>
          <w:tcPr>
            <w:tcW w:w="36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7.125% Senior Notes(1)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Senior Secured Credit Facility(2)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193.7</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595.5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Pension &amp; OPEB liabilities(3)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w w:val="96"/>
              </w:rPr>
              <w:t>see (3) below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673.4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7.125% Senior Notes include principal and interest payments based on a fixed interest rate of 7.125%.</w:t>
      </w:r>
    </w:p>
    <w:p>
      <w:pPr>
        <w:spacing w:after="0" w:line="23"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Senior Secured Credit Facility includes principal payments and estimated interest payments excluding the effects of our interest rate swaps. A portion of the interest is at a variable rate and for the purposes of this table has been calculated using LIBOR as of December 31, 2013, plus the applicable margin of each loan, resulting in an applied rate of 3.17% for Term B-2 Loan and 3.75% for Term B-3 Loan. Actual payments will vary.</w:t>
      </w:r>
    </w:p>
    <w:p>
      <w:pPr>
        <w:spacing w:after="0" w:line="2"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Estimated pension funding and post-retirement benefit payments are based on an increasing discount rate and effective interest rate for funding purposes between 4.8% - 6.0%. Pension funding and post-retirement benefit payments are excluded from the table beyond year 5, though we expect funding and payments to continue beyond year 5. See NOTE 13 of Notes to Consolidated Financial Statements included in Part II, Item 8, of this Annual Report on Form 10-K for the funding status of our pension plans and other post-retirement plan as of December 31, 2013.</w:t>
      </w:r>
    </w:p>
    <w:p>
      <w:pPr>
        <w:spacing w:after="0" w:line="2" w:lineRule="exact"/>
        <w:rPr>
          <w:rFonts w:ascii="Arial" w:cs="Arial" w:eastAsia="Arial" w:hAnsi="Arial"/>
          <w:sz w:val="16"/>
          <w:szCs w:val="16"/>
          <w:color w:val="auto"/>
        </w:rPr>
      </w:pPr>
    </w:p>
    <w:p>
      <w:pPr>
        <w:ind w:left="460" w:right="380" w:hanging="452"/>
        <w:spacing w:after="0" w:line="290"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Estimated warranty obligations, sales allowance programs and defense price reduction reserves, which total $90.5 million, $26.9 million and $49.6 million, respectively, as of December 31, 2013 have been excluded from this table as timing of any payments are uncertain.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7A.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$2,602.0 million including $395.0 million under our revolving credit facility, net of $15.0 million of letters of credit. A one-eighth percent change in assumed interest rates for the Senior Secured Credit Facility, if fully drawn, as of December 31, 2013 would have no impact on interest expense due to the 1.00% LIBOR floor on our Term B-3 Loan and partial offset of our interest rate swaps. As of December 31, 2013, we had no outstanding borrowings against the revolving credit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Notional</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44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millions)</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Fixed Rate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 Capital</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2011-2014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Rate Swap I</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Deutsche Bank</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2011-2014</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350.0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6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7"/>
              </w:rPr>
              <w:t>UBS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2013-2014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Rate Swap K</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UBS</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2013-2014</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125.0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6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Barclays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Rate Swap M</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JP Morgan</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6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Bank of America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Rate Swap O</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Deutsche Bank</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6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Barclays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Rate Swap Q</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Barclays</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6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Deutsche Bank</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2016-2019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 LIBOR floor of 1.00%</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7 and NOTE 8 of Notes to Consolidated Financial Statements included in Part II, Item 8, of this Annual Report on Form 10-K.</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December 31, 2013, we hold hedging contracts in the Japanese Yen, which are intended to hedge either known or forecasted cash flow payments denominated in the currency. We do not hold financial instruments for trading or speculative purposes.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$4 million per year. This includes the partial offset of our hedging contracts described above. All other exposure to foreign currencies is immaterial.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2014 and 2015, as of December 31, 2013, the hedge contracts cover approximately 45% and 25% of our aluminum requirements, respectively. We do not hold financial instruments for trading or speculative purposes.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0" w:right="279" w:bottom="1440" w:gutter="0" w:footer="0" w:header="0"/>
        </w:sectPr>
      </w:pPr>
    </w:p>
    <w:bookmarkStart w:id="57" w:name="page58"/>
    <w:bookmarkEnd w:id="57"/>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cost-sharing arrangements have not been included.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274"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 Financial Statements and Supplementary Data</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Allison Transmission Holdings, Inc.</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comprehensive income, of stockholders’ equity and of cash flows present fairly, in all material respects, the financial position of Allison Transmission Holdings,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(1992)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audits (which was an integrated audit in 2013).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184.7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Accounts receivable — net of allowance for doubtful accounts of $0.4 and $0.9, respectively</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175.1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58.1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8"/>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606.9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563.4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1,941.0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89.4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37.4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29.2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8"/>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387.2</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43.2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2,660.4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3,373.8</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$0.01 par value, 1,880,000,000 shares authorized, 183,375,436 issued and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Non-voting common stock, $0.01 par value, 20,000,000 shares authorized, 1,185 issued and outstanding</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1,631.8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(173.8)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1,438.8</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4,812.6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1,926.8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1,084.9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1,187.5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419.0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Premiums and expenses on tender offer for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298.0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165.4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Premiums and expenses on tender offer for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98.0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(303.8)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Unrealized (gain) loss on derivatives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(32.8)</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(13.7)</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Impairment loss on investments in technology-related initiatives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intercompany foreign exchange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Loss on repurchases and redemptions of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re-measurement of employee benefit plans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17.6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453.5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Additions of long-lived assets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(74.4)</w:t>
            </w:r>
          </w:p>
        </w:tc>
        <w:tc>
          <w:tcPr>
            <w:tcW w:w="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Collateral for interest rate derivatives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(81.5)</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(99.5)</w:t>
            </w: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financing fees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Repurchases and redemptions of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(142.4)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(77.1)</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notes payable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(277.5)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80.2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line="149" w:lineRule="exact"/>
              <w:rPr>
                <w:sz w:val="20"/>
                <w:szCs w:val="20"/>
                <w:color w:val="auto"/>
              </w:rPr>
            </w:pPr>
            <w:r>
              <w:rPr>
                <w:rFonts w:ascii="Arial" w:cs="Arial" w:eastAsia="Arial" w:hAnsi="Arial"/>
                <w:sz w:val="14"/>
                <w:szCs w:val="14"/>
                <w:b w:val="1"/>
                <w:bCs w:val="1"/>
                <w:color w:val="auto"/>
              </w:rPr>
              <w:t>voting</w:t>
            </w:r>
          </w:p>
        </w:tc>
        <w:tc>
          <w:tcPr>
            <w:tcW w:w="20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Preferred</w:t>
            </w:r>
          </w:p>
        </w:tc>
        <w:tc>
          <w:tcPr>
            <w:tcW w:w="20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net of tax</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$1,560.8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w w:val="94"/>
              </w:rPr>
              <w:t>Excess tax benefit from 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2012</w:t>
            </w: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$1,601.5</w:t>
            </w: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Retirement of treasury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Excess tax benefit from stock-based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1,631.8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(173.8)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0"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Allison Transmission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Allison Transmission Holdings, Inc. and its subsidiaries (the “Company,” “we” or “Allison”), design and manufacture commercial and defense fully-automatic transmissions.</w:t>
      </w:r>
    </w:p>
    <w:p>
      <w:pPr>
        <w:spacing w:after="0" w:line="17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business was founded in 1915 and has been headquartered in Indianapolis, Indiana since inception. The Company has approximately 2,700 employees and 13 different transmission product lines. Although approximately 77% percent of revenues were generated in North America in 2013, the Company has a global presence by serving customers in Europe, Asia, South America and Africa. The Company serves customers through an independent network of approximately 1,400 independent distributor and dealer locations worldwide.</w:t>
      </w:r>
    </w:p>
    <w:p>
      <w:pPr>
        <w:spacing w:after="0" w:line="1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was formerly known as Allison Transmission (the “Predecessor”), an operating unit of General Motors Corporation, which, in the course of its bankruptcy proceeding was renamed Motors Liquidation Company (“Old GM”). On August 7, 2007, substantially all of the assets and liabilities of the Predecessor were acquired by the Company, under an Asset Purchase Agreement (the “Asset Purchase Agreement”) dated June 28, 2007 and entered into between Clutch Operating Company, Inc., a Delaware corporation owned by investment funds affiliated with The Carlyle Group and Onex Corporation (collectively, the “Sponsors”), and Old GM, the direct parent of the Predecessor, pursuant to which the Company acquired certain equity interests of, and certain assets and liabilities held by, direct and indirect operating subsidiaries of Old GM (the “Acquisition Transaction”). After completion of the Acquisition Transaction, Clutch Holdings, Inc., changed its name to Allison Transmission Holdings, Inc. and Clutch Operating Company, Inc. changed its name to Allison Transmission, Inc. (“ATI”).</w:t>
      </w:r>
    </w:p>
    <w:p>
      <w:pPr>
        <w:spacing w:after="0" w:line="19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2009, General Motors Company (“GM”) emerged from bankruptcy. In August 2009, the Company and GM finalized an agreement , pursuant to which GM assumed certain contracts and agreements between the Company and Old GM, including among others, the Asset Purchase Agreement, certain intellectual property and software license agreements, lease agreements, engineering services agreements, proving grounds use agreements, an employee matters agreement, a contract manufacturing agreement and a hybrid co-branding agreement. GM also assumed certain other commercial contracts, arrangements and purchase orders with the Company in connection with conducting its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0" w:right="239" w:bottom="1440" w:gutter="0" w:footer="0" w:header="0"/>
        </w:sectPr>
      </w:pPr>
    </w:p>
    <w:bookmarkStart w:id="64" w:name="page65"/>
    <w:bookmarkEnd w:id="6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the fair presentation of the results for the periods presented. The consolidated financial statements herein consist of all wholly-owned domestic and foreign subsidiaries with all significant intercompany transactions eliminated.</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consolidated financial statements present the results of operations, financial position, cash flows and statements of equity. Certain immaterial reclassifications have been made in the consolidated financial statements of prior periods to conform to the current period presentation. These reclassifications have no impact on previously reported net income, total stockholders’ equity or cash flows.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These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liability, determination of discount rate and other assumptions for pension and other postretirement benefit expense, income taxes, lease classification,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the Financial Accounting Standards Board (“FASB”) authoritative accounting guidance on segment reporting, the Company has one operating segment and reportable segment. The Company is in one line of business, which is in the manufacturing and distribution of fully-automatic transmissions.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recognizes government grants when there is reasonable assurance that the Company will comply with the conditions attached to the grant arrangement and the funds will be received. When the government grants relate to reimbursement of costs, the grant income is recognized in Other expense, net in the Consolidated Statements of Comprehensive Income. When the government grants relate to a reimbursement of capital expenditures, the grants are recognized as a reduction of the basis of the assets in the Consolidated Balance Sheets.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2013, the Company’s marketable securities are classified as either available-for-sale or trading.</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Available-for-sale securities are carried at fair value with the unrealized gain or loss reported in Accumulated other comprehensive loss (“AOCL”). Unrealized losses considered to be “other-than-temporary” are recognized in income. Trading securities are carried at fair value with the unrealized gain or loss recognized in Other expense, net. The fair value of the Company’s investment securities is determined by currently available market prices. See NOTE 6 for more details.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0" w:right="239" w:bottom="1440" w:gutter="0" w:footer="0" w:header="0"/>
        </w:sectPr>
      </w:pPr>
    </w:p>
    <w:bookmarkStart w:id="65" w:name="page66"/>
    <w:bookmarkEnd w:id="6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Allowance for Doubtful Accounts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allowance for doubtful trade accounts receivable reflects estimated losses to be incurred in the collection of the receivables. Estimated losses are based on historical collection experience as well as a review by management of the current status of all receivables. Account balances are charged against the allowance after all means of collection have been exhausted and the potential for recovery is considered remote.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Inventories are stated at the lower of cost or market.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980" w:type="dxa"/>
            <w:vAlign w:val="bottom"/>
            <w:gridSpan w:val="2"/>
          </w:tcPr>
          <w:p>
            <w:pPr>
              <w:ind w:left="2040"/>
              <w:spacing w:after="0"/>
              <w:rPr>
                <w:sz w:val="20"/>
                <w:szCs w:val="20"/>
                <w:color w:val="auto"/>
              </w:rPr>
            </w:pPr>
            <w:r>
              <w:rPr>
                <w:rFonts w:ascii="Arial" w:cs="Arial" w:eastAsia="Arial" w:hAnsi="Arial"/>
                <w:sz w:val="14"/>
                <w:szCs w:val="14"/>
                <w:b w:val="1"/>
                <w:bCs w:val="1"/>
                <w:color w:val="auto"/>
                <w:w w:val="90"/>
              </w:rPr>
              <w:t>Range in Years</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 – 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 – 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20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Software</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 – 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10</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66" w:name="page67"/>
    <w:bookmarkEnd w:id="6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Goodwill and Other Intangible Assets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Goodwill represents the excess of purchase price paid over the fair value of net assets acquired. In accordance with the FASB’s authoritative accounting guidance on goodwill, the Company does not amortize goodwill but rather evaluate it for impairment on an annual basis, or more often if events or circumstances change that could cause goodwill to become impaired. There is one reporting unit which is the same as the Company’s one operating and reportable segment. The Company has elected to perform its annual impairment test on October 31 of every year. A multi-step impairment test is performed on goodwill.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the net assets assigned to the reporting unit exceeds the fair value of the reporting unit, then the Company must perform Step 2 of the impairment test in order to determine the implied fair value of the reporting unit’s goodwill. If the carrying value of a reporting unit’s goodwill exceeds its implied fair value, then the Company would record an impairment loss equal to the difference.</w:t>
      </w:r>
    </w:p>
    <w:p>
      <w:pPr>
        <w:spacing w:after="0" w:line="18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After performing a quantitative analysis in 2013, the Company’s annual goodwill impairment test indicated that the fair value of the reporting unit exceeded its carrying value by approximately 90%, indicating no impairment. The fair value was determined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the Company’s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9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Company’s trade name, are not amortized but are tested annually for impairment. The Company’s 2013 annual trade name impairment test indicated that the fair value of the trade name exceeded its carrying value by approximately 8%, indicating no impairment. The fair value was determined utilizing an income approach by which the relief from royalty method was applied. Key assumptions incorporated into the analysis were net sales growth derived from market information, industry reports, marketing programs and new product introductions; and risk-adjusted discount rates.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management believes the forecast estimates are reasonable and incorporate those assumptions that similar market participants would use in their estimates of fair value. 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5 provides further information on Goodwill and Other intangible assets.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Deferred financing costs are stated at cost as a component of other non-current assets and amortized over the life of the related debt using the effective interest method. Amortization of deferred financing costs is recorded as part of interest expense and totaled $10.9 million, $14.5 million and $12.1 million for the years ended December 31, 2013, 2012 and 2011, respectively.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for more detail. The Company’s long-term debt obligations are carried at historical amounts with the Company providing fair value disclosure in NOTE 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67" w:name="page68"/>
    <w:bookmarkEnd w:id="6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Insurable Liabilities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records sales when title has transferred to the customer, there is evidence of an agreement, the sales price is fixed or determinable, delivery has occurred or services have been rendered, and collectability is reasonably assured. The Company sells Extended Transmission Coverage (“ETC”) for which sales are deferred. ETC sales are recognized ratably over the period of the ETC, which typically ranges from three to five years after initial sale.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included $65.2 million, $59.9 million and $59.2 million for the years ended December 31, 2013, 2012 and 2011, respectively.</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Sales under U.S. government production contracts are recorded when the product is accepted, title has transferred to the U.S. government, the sales price is fixed or determinable, and delivery has occurred. Deferred revenue arises from cash received in advance of the culmination of the earnings process and is recognized as revenue in future periods when the applicable revenue recognition criteria have been met. Under the terms of the U.S. government contracts, there are certain price reduction clauses and provisions for potential price reductions which are estimated at the time of sale based upon the Company’s history and experience and are recorded as a reduction to Net sales. Potential reductions may be attributed to a change in projected sales volumes or plant efficiencies which impact overall costs. As of December 31, 2013 and 2012, the Company had $49.6 million and $46.9 million recorded in the price reduction reserve account, respectively.</w:t>
      </w:r>
    </w:p>
    <w:p>
      <w:pPr>
        <w:spacing w:after="0" w:line="18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Due to a request from the U.S. government, the Company billed, but did not ship certain tracked transmissions during the second half of 2013. Based on the lack of a fixed delivery date from the U.S. government, the Company did not recognize revenue as of December 31, 2013 for these transmissions. Revenue will be recognized once delivery has occurred. See NOTE 10 for additional details.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$12.4 million, $7.8 million and $7.1 million for the years ended December 31, 2013, 2012 and 2011, respectively. The associated costs are recorded in Cost of sales.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provided for by adjusting Selling, general and administrative expenses by an amount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Costs associated with ETC programs are recorded as incurred during the extended period.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68" w:name="page69"/>
    <w:bookmarkEnd w:id="6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 Translation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Most of the subsidiaries outside the United States prepare financial statements in currencies other than the U.S. dollar. The functional currency for all these subsidiaries is the local currency, except for the Company’s Hong Kong and Middle East subsidiaries which currently use the U.S. dollar as the functional currency, and balances are translated at period-end exchange rates for assets and liabilities and monthly weighted-average exchange rates for revenues and expenses. The translation gains (losses) are stated as a component of AOCL as disclosed in NOTE 16.</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provides further information on the accounting treatment of the Company’s derivative instruments.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maintains a stock-based compensation plan which allows employees (including executive officers), consultants and directors to receive equity awards. The Company has adopted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74" w:right="299" w:bottom="1440" w:gutter="0" w:footer="0" w:header="0"/>
        </w:sectPr>
      </w:pPr>
    </w:p>
    <w:bookmarkStart w:id="69" w:name="page70"/>
    <w:bookmarkEnd w:id="6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Recently Adopted Accounting Pronouncements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2013, the FASB issued authoritative accounting guidance on the presentation of an unrecognized tax benefit when net operating loss (“NOL”) carryforwards exist. The guidance requires presentation of an unrecognized tax benefit, or a portion of an unrecognized tax benefit, in the financial statements as a reduction to a deferred tax asset for an NOL carryforward, a similar tax loss or a tax credit carryforward. The guidance is effective for fiscal years beginning after December 15, 2013. While the adoption of this guidance is not expected to have a material effect on the Company’s consolidated financial statements, it could affect the accounting treatment applied under these circumstances in the future.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July 2013, the FASB issued authoritative accounting guidance on the inclusion of the Fed Funds Effective Swap Rate as a benchmark interest rate for hedge accounting purposes. The guidance also removes the restriction on using different benchmark rates for similar hedges. The guidance became effective for qualifying new or redesignated hedging relationships entered into on or after July 17, 2013. The adoption of this guidance did not have an effect on the Company’s consolidated financial statements as the Company does not currently elect hedge accounting treatment on its interest rate swaps.</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March 2013, the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the Company’s consolidated financial statements, it could affect the accounting treatment applied under these circumstances in the future.</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February 2013, the FASB issued authoritative accounting guidance on the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became effective for interim and annual reporting periods beginning after December 15, 2012. The adoption of this guidance did not have a material effect on the Company’s consolidated financial statements; however, it requires the Company to present additional disclosures in the footnotes to the consolidated financial statements when significant amounts are reclassified out of accumulated other comprehensive income.</w:t>
      </w:r>
    </w:p>
    <w:p>
      <w:pPr>
        <w:spacing w:after="0" w:line="18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became effective for interim and annual periods beginning on or after January 1, 2013. The adoption of this guidance did not have a material effect on the Company’s consolidated financial statements.</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the Company’s consolidated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66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58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 in progress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Finished goods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r>
              <w:rPr>
                <w:rFonts w:ascii="Arial" w:cs="Arial" w:eastAsia="Arial" w:hAnsi="Arial"/>
                <w:sz w:val="18"/>
                <w:szCs w:val="18"/>
                <w:b w:val="1"/>
                <w:bCs w:val="1"/>
                <w:u w:val="single" w:color="auto"/>
                <w:color w:val="auto"/>
              </w:rPr>
              <w:t>4</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456"/>
        <w:spacing w:after="0" w:line="308" w:lineRule="auto"/>
        <w:rPr>
          <w:sz w:val="20"/>
          <w:szCs w:val="20"/>
          <w:color w:val="auto"/>
        </w:rPr>
      </w:pPr>
      <w:r>
        <w:rPr>
          <w:rFonts w:ascii="Arial" w:cs="Arial" w:eastAsia="Arial" w:hAnsi="Arial"/>
          <w:sz w:val="17"/>
          <w:szCs w:val="17"/>
          <w:color w:val="auto"/>
        </w:rPr>
        <w:t>Inventory components shipped to third parties, primarily cores, parts to re-manufacturers, and parts to contract manufacturers, in which the Company has an obligation to buy back, are included in purchased parts and raw materials, with an offsetting liability in Other current liabilities.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840" w:type="dxa"/>
            <w:vAlign w:val="bottom"/>
            <w:gridSpan w:val="4"/>
          </w:tcPr>
          <w:p>
            <w:pPr>
              <w:ind w:left="156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271.4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Software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1,164.3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(600.9)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(515.5)</w:t>
            </w: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Depreciation of property, plant and equipment was $98.7 million, $102.5 million and $103.8 million for the years ended December 31, 2013, 2012 and 2011,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270" w:right="3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5.</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the carrying value of the Company’s Goodwill was $1,941.0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40" w:type="dxa"/>
            <w:vAlign w:val="bottom"/>
          </w:tcPr>
          <w:p>
            <w:pPr>
              <w:spacing w:after="0"/>
              <w:rPr>
                <w:sz w:val="10"/>
                <w:szCs w:val="10"/>
                <w:color w:val="auto"/>
              </w:rPr>
            </w:pPr>
          </w:p>
        </w:tc>
        <w:tc>
          <w:tcPr>
            <w:tcW w:w="78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4"/>
              </w:rPr>
              <w:t>assets, gross</w:t>
            </w:r>
          </w:p>
        </w:tc>
        <w:tc>
          <w:tcPr>
            <w:tcW w:w="2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assets, net</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assets, gross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assets, net</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870.0</w:t>
            </w:r>
          </w:p>
        </w:tc>
        <w:tc>
          <w:tcPr>
            <w:tcW w:w="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870.0</w:t>
            </w:r>
          </w:p>
        </w:tc>
        <w:tc>
          <w:tcPr>
            <w:tcW w:w="4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2,551.0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(940.2</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1,610.8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2,551.0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1,716.1</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Amortization of intangible assets was $105.3 million, $150.0 million and $151.9 million for the years ended December 31, 2013, 2012 and 2011, respectively.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expected U.S. federal tax basis for Goodwill and Trade name deductions was $1,032.1 million and $709.4 million as of December 31, 2013 and $1,150.0 million and $792.0 million as of December 31, 2012, respectively.</w:t>
      </w:r>
    </w:p>
    <w:p>
      <w:pPr>
        <w:spacing w:after="0" w:line="17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of December 31, 2013, the net carrying value of the Company’s Goodwill and Other intangible assets, net was $3,551.8 million. After performing a quantitative analysis, the Company’s 2013 annual goodwill impairment test indicated that the fair value of the reporting unit exceeded its carrying value by approximately 90%, indicating no impairment. The fair value was determined utilizing a discounted cash flow model which includes key assumptions, such as net sales growth derived from market information, industry reports, marketing programs and new product introductions;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the Company’s inability to execute on marketing programs and/or delay in the introduction and adoption of new products,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6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Company’s 2013 annual trade name impairment test indicated that the fair value of the trade name exceeded its carrying value by approximately 8%, indicating no impairment. The fair value was determined utilizing an income approach by which the relief from royalty method was applied. Key assumptions incorporated into the analysis were net sales growth derived from market information, industry reports, marketing programs and new product introductions; and risk-adjusted discount rates.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management believes the forecast estimates are reasonable and incorporate those assumptions that similar market participants would use in their estimates of fair value.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98.8</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80" w:type="dxa"/>
            <w:vAlign w:val="bottom"/>
            <w:vMerge w:val="restart"/>
          </w:tcPr>
          <w:p>
            <w:pPr>
              <w:jc w:val="right"/>
              <w:ind w:right="1199"/>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2" w:name="page73"/>
    <w:bookmarkEnd w:id="7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6.</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2013 and 2012, the Company did not have any Level 3 financial assets or liabilities.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valuation techniques used to fair value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generally does not elect to apply hedge accounting for these foreign currency contracts, and as a result, unrealized fair value adjustments and realized gains and losses are recorded in Other expense, net in the Consolidated Statements of Comprehensive Income during the period of change.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0" w:right="239" w:bottom="1440" w:gutter="0" w:footer="0" w:header="0"/>
        </w:sectPr>
      </w:pPr>
    </w:p>
    <w:bookmarkStart w:id="73" w:name="page74"/>
    <w:bookmarkEnd w:id="73"/>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has either not qualified for or not elected hedge accounting treatment for these commodity contracts, and as a result, unrealized fair value adjustments and realized gains and losses are recorded in Other expense, net in the Consolidated Statements of Comprehensive Income.</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Consolidated Balance Sheets. The Company has not qualified for hedge accounting treatment for the interest rate swaps and, as a result, fair value adjustments are charged directly to Interest expense in the Consolidated Statements of Comprehensive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92"/>
              </w:rPr>
              <w:t>Fair Value Measurements Using</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640" w:type="dxa"/>
            <w:vAlign w:val="bottom"/>
            <w:gridSpan w:val="7"/>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Assets (Level 1)</w:t>
            </w:r>
          </w:p>
        </w:tc>
        <w:tc>
          <w:tcPr>
            <w:tcW w:w="220" w:type="dxa"/>
            <w:vAlign w:val="bottom"/>
          </w:tcPr>
          <w:p>
            <w:pPr>
              <w:spacing w:after="0"/>
              <w:rPr>
                <w:sz w:val="14"/>
                <w:szCs w:val="14"/>
                <w:color w:val="auto"/>
              </w:rPr>
            </w:pPr>
          </w:p>
        </w:tc>
        <w:tc>
          <w:tcPr>
            <w:tcW w:w="200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6"/>
              </w:rPr>
              <w:t>Observable Inputs (Level 2)</w:t>
            </w:r>
          </w:p>
        </w:tc>
        <w:tc>
          <w:tcPr>
            <w:tcW w:w="12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173.1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Of the available Cash and cash equivalents, approximately $179.7 million and $75.2 million was deposited in operating accounts while approximately $5.0 million and $5.0 million was invested in U.S. government backed securities as of December 31, 2013 and December 31, 2012,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71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100" w:type="dxa"/>
            <w:vAlign w:val="bottom"/>
            <w:gridSpan w:val="3"/>
          </w:tcPr>
          <w:p>
            <w:pPr>
              <w:ind w:left="460"/>
              <w:spacing w:after="0"/>
              <w:rPr>
                <w:sz w:val="20"/>
                <w:szCs w:val="20"/>
                <w:color w:val="auto"/>
              </w:rPr>
            </w:pPr>
            <w:r>
              <w:rPr>
                <w:rFonts w:ascii="Arial" w:cs="Arial" w:eastAsia="Arial" w:hAnsi="Arial"/>
                <w:sz w:val="18"/>
                <w:szCs w:val="18"/>
                <w:color w:val="auto"/>
              </w:rPr>
              <w:t>Long-term debt and maturities are as follows (dollars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1,783.5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Cash Pay Notes, fixed 7.125%, due 2019</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2,678.3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2,820.8</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80" w:firstLine="456"/>
        <w:spacing w:after="0" w:line="277" w:lineRule="auto"/>
        <w:rPr>
          <w:sz w:val="20"/>
          <w:szCs w:val="20"/>
          <w:color w:val="auto"/>
        </w:rPr>
      </w:pPr>
      <w:r>
        <w:rPr>
          <w:rFonts w:ascii="Arial" w:cs="Arial" w:eastAsia="Arial" w:hAnsi="Arial"/>
          <w:sz w:val="18"/>
          <w:szCs w:val="18"/>
          <w:color w:val="auto"/>
        </w:rPr>
        <w:t>Principal payments required on long-term debt during the next five years are $17.9 million in 2014, $17.9 million in 2015, $17.9 million in 2016, $441.4 million in 2017 and $17.9 million in 2018.</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As of December 31, 2013, the Company had $423.5 million of indebtedness associated with ATI’s Senior Secured Credit Facility Term B-2 Loan due 2017 (“Term B-2 Loan”) and $1,783.5 million of indebtedness associated with ATI’s Senior Secured Credit Facility Term B-3 Loan due 2019 (“Term B-3 Loan”) (together the Term B-2 Loan, Term B-3 Loan and revolving credit facility are defined as the “Senior Secured Credit Facility”). The Company also had indebtedness of $471.3 million of ATI’s 7.125% senior cash pay notes due May 2019 (“7.125% Senior Notes”).</w:t>
      </w:r>
    </w:p>
    <w:p>
      <w:pPr>
        <w:spacing w:after="0" w:line="17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December 31, 2013 was $2,724.3 million. The fair value is based on quoted Level 1 market prices of the Company’s debt as of December 31, 2013.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2007, ATI entered into a Senior Secured Credit Facility having a term loan in the amount of $3,100.0 million with a maturity date of August 2014. In November 2008, ATI entered into an amendment related to the Senior Secured Credit Facility that permits the Company to make discounted voluntary prepayments of the term loans in an aggregated amount not to exceed $750.0 million pursuant to a modified Dutch auction. As part of the May 2011 amendment to the Senior Secured Credit Facility, described in more detail below, the amount available for discounted voluntary prepayments of the term loan pursuant to a modified Dutch auction was reset to $750.0 million. This provision is available to the Company for so long as the Senior Secured Credit Facility is outstanding. For the years ended December 31, 2013, 2012 and 2011, the Company has not made any repurchases of our term loan under these amendments.</w:t>
      </w:r>
    </w:p>
    <w:p>
      <w:pPr>
        <w:spacing w:after="0" w:line="189"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In March 2012, ATI entered into an amendment with the term loan lenders under its Senior Secured Credit Facility to extend the maturity of $801.1 million in principal amount of term loan debt from August 2014 to August 2017 and to increase the applicable margin at the Company’s option to either</w:t>
      </w:r>
    </w:p>
    <w:p>
      <w:pPr>
        <w:jc w:val="both"/>
        <w:ind w:right="120" w:firstLine="8"/>
        <w:spacing w:after="0" w:line="254"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3.50% over the LIBOR or (b) 2.50% over the greater of the prime lending rate provided by the British Banking Association or the federal funds effective rate published by the Federal Reserve Bank of New York plus 0.50%. As a result of the debt modification, the Company recorded an additional $2.3 million as deferred financing fees in the Consolidated Balance Sheets and extended the amortization period of $5.1 million of deferred financing fees from 2014 to 2017.</w:t>
      </w:r>
    </w:p>
    <w:p>
      <w:pPr>
        <w:spacing w:after="0" w:line="1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August 2012, ATI entered into an amendment with the term loan lenders under its Senior Secured Credit Facility to extend the maturity of $850.0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 (which may not be less than 2.00%). The amendment was treated as an extinguishment of debt under GAAP, and thus the Company expensed $4.5 million of deferred financing fees and recorded $16.1 million of new deferred financing fees in the consolidated financial statements.</w:t>
      </w:r>
    </w:p>
    <w:p>
      <w:pPr>
        <w:sectPr>
          <w:pgSz w:w="11900" w:h="16838" w:orient="portrait"/>
          <w:cols w:equalWidth="0" w:num="1">
            <w:col w:w="11400"/>
          </w:cols>
          <w:pgMar w:left="240" w:top="270" w:right="259" w:bottom="1440" w:gutter="0" w:footer="0" w:header="0"/>
        </w:sectPr>
      </w:pPr>
    </w:p>
    <w:bookmarkStart w:id="75" w:name="page76"/>
    <w:bookmarkEnd w:id="75"/>
    <w:p>
      <w:pPr>
        <w:ind w:firstLine="456"/>
        <w:spacing w:after="0" w:line="255"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an extinguishment of debt under GAAP, and thus the Company expensed $1.4 million of deferred financing fees and recorded $1.8 million of new deferred financing fees in the consolidated financial statements.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6" w:name="page77"/>
    <w:bookmarkEnd w:id="76"/>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February 2013, ATI entered into an amendment with the term loan lenders under its Senior Secured Credit Facility to refinance $793.1 million of term loan debt and decrease the applicable margin for such term loans at the Company’s option to either (a) 3.00% over the LIBOR or (b) 2.00% over the greater of the prime lending rate provided by the British Banking Association or the federal funds effective rate published by the Federal Reserve Bank of New York plus 0.50%. In February 2013, ATI also entered into an additional amendment with the term loan lenders under its Senior Secured Credit Facility to extend the maturity of $411.4 million of term loan debt from August 2014 to August 2017 and to increase the applicable margin at the Company’s option to either (a) 3.00% over the LIBOR or (b) 2.00% over the greater of the prime lending rate provided by the British Banking Association or the federal funds effective rate published by the Federal Reserve Bank of New York plus 0.50%. The February 2013 amendments were treated as a modification of debt under GAAP, and the Company expensed $1.0 million of deferred financing fees and recorded $1.6 million of new deferred financing fees in the consolidated financial statements.</w:t>
      </w:r>
    </w:p>
    <w:p>
      <w:pPr>
        <w:spacing w:after="0" w:line="19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August 2013, ATI entered into an amendment with the term loan lenders under its Senior Secured Credit Facility to refinance $1,139.3 million of term loan debt and decrease the applicable margin for such term loans at the Company’s option to either (a) 2.75% or 2.50%, subject to the Company’s total leverage ratio, over the LIBOR (which may not be less than 1.00%) or (b) 1.75% or 1.50%,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 modification of debt under GAAP, and thus the Company expensed $2.1 million of deferred financing fees and recorded $1.0 million of new deferred financing fees in the consolidated financial statements.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December 2013, ATI entered into an amendment with the term loan lenders under its Senior Secured Credit Facility to extend the maturity of $650.0 million of term loan debt from August 2017 to August 2019 and to reduce the applicable margin at the Company’s option to either (a) 2.75% or 2.50%, subject to the Company’s total leverage ratio, over the LIBOR (which may not be less than 1.00%) or (b) 1.75% or 1.50%, subject to the Company’s total leverage ratio, over the greater of the prime lending rate provided by the British Banking Association or the federal funds effective rate published by the Federal Reserve Bank of New York plus 0.50% (which may not be less than 2.00%). The amendment also extended the maturity of the revolving credit facility to January 2019, increased the borrowing capacity to $410.0 million, reduced the interest rate spread to either 2.25%, 2.00% or 1.75% on LIBOR loans or 1.25%, 1.00% or 0.75% on Base Rate loans, subject to the Company’s total leverage ratio, reduced the commitment fee to either 0.375% or 0.25%, subject to the Company’s total leverage ratio, and increased the letters of credit sublimit to $75.0 million. Lastly, the amendment changed the requirement of the maximum total senior secured leverage ratio, so that it is only applicable to the revolving portion of the Senior Secured Credit Facility and is tested only when revolving commitments (including letters of credit) remain outstanding at the end of any fiscal quarter. The amendment to the term loans was treated as a modification of debt under GAAP, and thus the Company expensed $0.5 million of deferred financing fees and recorded $10.1 million of new deferred financing fees in the consolidated financial statements. The amendment to the revolving portion of the Senior Secured Credit Facility was treated as a modification of debt under GAAP, and thus the Company expensed $0.4 million of deferred financing fees and recorded $2.1 million of new deferred financing fees in the consolidated financial statements.</w:t>
      </w:r>
    </w:p>
    <w:p>
      <w:pPr>
        <w:spacing w:after="0" w:line="18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December 31, 2013, is equal to the LIBOR plus 3.00% and interest on the Term B-3 Loan, as of December 31, 2013, is equal to the LIBOR (which may not be less than 1.00%) plus 2.75% based on the Company’s total leverage ratio. As of December 31, 2013, these rates were approximately 3.17% and 3.75% on the Term B-2 Loan and Term B-3 Loan, respectively, and the weighted average rate on the Senior Secured Credit Facility was approximately 3.64%.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The minimum required quarterly principal payment on the Term B-3 Loan is $4.5 million and remains through its maturity date of 2019. As of December 31, 2013, there had been no payments required for certain net cash proceeds of non-ordinary course asset sales and casualty and condemnation events. The remaining principal balance on each loan is due upon maturity.</w:t>
      </w:r>
    </w:p>
    <w:p>
      <w:pPr>
        <w:spacing w:after="0" w:line="18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2013, the Company was not required to make an excess cash flow payment.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77" w:name="page78"/>
    <w:bookmarkEnd w:id="77"/>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Senior Secured Credit Facility also provides for $410.0 million in revolving credit borrowings, net of an allowance for up to $75.0 million in outstanding letter of credit commitments. Throughout the year ended December 31, 2013, the Company made periodic withdrawals and payments on the revolving credit facility as part of its debt management plans. The maximum amount outstanding at any time during the year on the revolving credit facility was $20.0 million, and all balances were repaid within the quarter they were borrowed. As of December 31, 2013, the Company had $395.0 million available under the revolving credit facility, net of $15.0 million in letters of credit. Revolving credit borrowings bear interest at a variable base rate plus an applicable margin based on the Company’s total senior secured leverage ratio. As of December 31, 2013, this rate would have been between approximately 2.44% and 4.50%. In addition, there is an annual commitment fee, based on the Company’s total senior secured leverage ratio, which as of December 31, 2013, was equal to 0.375%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revolving portion of the Senior Secured Credit Facility requires the Company to maintain a specified maximum total senior secured leverage ratio of 5.50x when revolving commitments (including letters of credit) remain outstanding at the end of a fiscal quarter. As of December 31, 2013, the Company was in compliance with the maximum total senior secured leverage ratio, achieving a 3.23x ratio. Within the terms of the Senior Secured Credit Facility, a senior secured leverage ratio at or below 3.50x also results in the elimination of excess cash flow payments on the Senior Secured Credit Facility for the applicable year. Additionally, the Senior Secured Credit Facility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December 31, 2013, the total leverage ratio was 3.98x.</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December 31, 2013, the Company is in compliance with all covenants under the Senior Secured Credit Facility.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May 2011, the Company completed an offering of $500.0 million of the 7.125% Senior Notes. 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 For the years ended December 31, 2013, 2012 and 2011 the Company repurchased $0.0 million, $0.0 million and $28.7 million (at face value) of its 7.125% Senior Notes, respectively. The repurchases resulted in a net gain (the discount between the purchase price of the notes and the face value of such notes) of $0.0 million, $0.0 million, and $1.3 million for the years ended December 31, 2013, 2012 and 2011, respectively, net of deferred financing fees written off.</w:t>
      </w:r>
    </w:p>
    <w:p>
      <w:pPr>
        <w:spacing w:after="0" w:line="182" w:lineRule="exact"/>
        <w:rPr>
          <w:sz w:val="20"/>
          <w:szCs w:val="20"/>
          <w:color w:val="auto"/>
        </w:rPr>
      </w:pPr>
    </w:p>
    <w:p>
      <w:pPr>
        <w:ind w:right="1140" w:firstLine="456"/>
        <w:spacing w:after="0" w:line="342" w:lineRule="auto"/>
        <w:rPr>
          <w:sz w:val="20"/>
          <w:szCs w:val="20"/>
          <w:color w:val="auto"/>
        </w:rPr>
      </w:pPr>
      <w:r>
        <w:rPr>
          <w:rFonts w:ascii="Arial" w:cs="Arial" w:eastAsia="Arial" w:hAnsi="Arial"/>
          <w:sz w:val="16"/>
          <w:szCs w:val="16"/>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indenture governing the 7.125%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Certain of these covenants would be suspended if the 7.125% Senior Notes were to reach investment grade.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78" w:name="page79"/>
    <w:bookmarkEnd w:id="7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8.</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Consolidated Statements of Comprehensive Income. A summary of the Company’s interest rate derivatives as of December 31, 2013 and December 31, 2012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December 31, 2013</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1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Notional</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continue"/>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 due 2019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M, due 2019</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 due 2019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O, due 2019</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 due 2019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Swap Q, due 2019</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 due 2019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1,450.0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1,375.0</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July 2013, the Company entered into two new interest rate swaps to hedge its variable interest rate exposure on the Senior Secured Credit Facility. Interest Rate Swap L has a notional amount of $75.0 million and is effective from August 2016 to August 2019 at an all-in fixed rate of 3.44% and a LIBOR floor of 1.00% with no independent collateral requirement. Interest Rate Swap M has a notional amount of $100.0 million and is effective from August 2016 to August 2019 at an all-in fixed rate of 3.43% and a LIBOR floor of 1.00% with no independent collateral requirement.</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September 2013, the Company entered into two new interest rate swaps to hedge its variable interest rate exposure on the Senior Secured Credit Facility. Interest Rate Swap N has a notional amount of $75.0 million and is effective from August 2016 to August 2019 at an all-in fixed rate of 3.37% and a LIBOR floor of 1.00% with no independent collateral requirement. Interest Rate Swap O has a notional amount of $75.0 million and is effective from August 2016 to August 2019 at an all-in fixed rate of 3.17% and a LIBOR floor of 1.00% with no independent collateral requirement.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2013, the Company entered into three new interest rate swaps to hedge its variable interest rate exposure on the Senior Secured Credit Facility. Interest Rate Swap P has a notional amount of $75.0 million and is effective from August 2016 to August 2019 at an all-in fixed rate of 3.08% and a LIBOR floor of 1.00% with no independent collateral requirement. Interest Rate Swap Q has a notional amount of $50.0 million and is effective from August 2016 to August 2019 at an all-in fixed rate of 2.99% and a LIBOR floor of 1.00% with no independent collateral requirement. Interest Rate Swap R has a notional amount of $50.0 million and is effective from August 2016 to August 2019 at an all-in fixed rate of 2.98% and a LIBOR floor of 1.00% with no independent collateral requirement.</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270" w:right="299" w:bottom="1440" w:gutter="0" w:footer="0" w:header="0"/>
        </w:sectPr>
      </w:pPr>
    </w:p>
    <w:bookmarkStart w:id="79" w:name="page80"/>
    <w:bookmarkEnd w:id="79"/>
    <w:p>
      <w:pPr>
        <w:jc w:val="both"/>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2013 and 2012, the Company had recorded cash collateral of $1.7 million and $3.0 million, respectively, in Other current assets in the Consolidated Balance Sheets, as the balances are subject to frequent change. The Company has also posted $5.0 million of collateral in the form of letters of credit.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Consolidated Statements of Comprehensive Income during the period of change.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outstanding foreign currency forward contracts as of December 31, 2013 and 2012 (amounts in millions):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0"/>
              </w:rPr>
              <w:t>December 31, 2013</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0"/>
              </w:rPr>
              <w:t>December 31, 2012</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2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4"/>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Japanese Yen (JPY)</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¥ 600.0</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(0.3</w:t>
            </w:r>
          </w:p>
        </w:tc>
        <w:tc>
          <w:tcPr>
            <w:tcW w:w="560" w:type="dxa"/>
            <w:vAlign w:val="bottom"/>
            <w:tcBorders>
              <w:top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¥ 675.0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3"/>
              </w:rPr>
              <w:t>(0.3</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principally with component suppliers. As a result, the Company entered into various commodity swap contracts that qualified as derivatives under the authoritative accounting guidance to manage certain of these exposures. Swap contracts were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December 31, 2013 and December 31, 2012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2013</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22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200" w:type="dxa"/>
            <w:vAlign w:val="bottom"/>
            <w:vMerge w:val="restart"/>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22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22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11,875 metric tons</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w:t>
            </w: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9,050 metric tons</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Steel</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2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340 metric tons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6"/>
              </w:rPr>
              <w:t>90,000 MMBtu</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80,000 MMBtu</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vMerge w:val="restart"/>
          </w:tcPr>
          <w:p>
            <w:pPr>
              <w:jc w:val="right"/>
              <w:ind w:right="1317"/>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0" w:name="page81"/>
    <w:bookmarkEnd w:id="80"/>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5"/>
              </w:rPr>
              <w:t>December 31, 2013</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December 31, 2012</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Fair Value</w:t>
            </w:r>
          </w:p>
        </w:tc>
        <w:tc>
          <w:tcPr>
            <w:tcW w:w="520" w:type="dxa"/>
            <w:vAlign w:val="bottom"/>
          </w:tcPr>
          <w:p>
            <w:pPr>
              <w:spacing w:after="0"/>
              <w:rPr>
                <w:sz w:val="12"/>
                <w:szCs w:val="12"/>
                <w:color w:val="auto"/>
              </w:rPr>
            </w:pPr>
          </w:p>
        </w:tc>
        <w:tc>
          <w:tcPr>
            <w:tcW w:w="1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2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340"/>
              <w:spacing w:after="0" w:line="198" w:lineRule="exact"/>
              <w:rPr>
                <w:sz w:val="20"/>
                <w:szCs w:val="20"/>
                <w:color w:val="auto"/>
              </w:rPr>
            </w:pPr>
            <w:r>
              <w:rPr>
                <w:rFonts w:ascii="Arial" w:cs="Arial" w:eastAsia="Arial" w:hAnsi="Arial"/>
                <w:sz w:val="18"/>
                <w:szCs w:val="18"/>
                <w:color w:val="auto"/>
              </w:rPr>
              <w:t>Foreign currency contracts</w:t>
            </w: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current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(0.3)</w:t>
            </w:r>
          </w:p>
        </w:tc>
        <w:tc>
          <w:tcPr>
            <w:tcW w:w="19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Commodity contracts</w:t>
            </w:r>
          </w:p>
        </w:tc>
        <w:tc>
          <w:tcPr>
            <w:tcW w:w="2280" w:type="dxa"/>
            <w:vAlign w:val="bottom"/>
            <w:gridSpan w:val="3"/>
            <w:shd w:val="clear" w:color="auto" w:fill="CCEEFF"/>
          </w:tcPr>
          <w:p>
            <w:pPr>
              <w:ind w:left="28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Other current and</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8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non-current 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0.1</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(1.7)</w:t>
            </w:r>
          </w:p>
        </w:tc>
        <w:tc>
          <w:tcPr>
            <w:tcW w:w="19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Interest rate contracts</w:t>
            </w:r>
          </w:p>
        </w:tc>
        <w:tc>
          <w:tcPr>
            <w:tcW w:w="2280" w:type="dxa"/>
            <w:vAlign w:val="bottom"/>
            <w:gridSpan w:val="3"/>
            <w:shd w:val="clear" w:color="auto" w:fill="CCEEFF"/>
          </w:tcPr>
          <w:p>
            <w:pPr>
              <w:ind w:left="280"/>
              <w:spacing w:after="0" w:line="198" w:lineRule="exact"/>
              <w:rPr>
                <w:sz w:val="20"/>
                <w:szCs w:val="20"/>
                <w:color w:val="auto"/>
              </w:rPr>
            </w:pPr>
            <w:r>
              <w:rPr>
                <w:rFonts w:ascii="Arial" w:cs="Arial" w:eastAsia="Arial" w:hAnsi="Arial"/>
                <w:sz w:val="18"/>
                <w:szCs w:val="18"/>
                <w:b w:val="1"/>
                <w:bCs w:val="1"/>
                <w:color w:val="auto"/>
              </w:rPr>
              <w:t>Other non-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8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w:t>
            </w:r>
          </w:p>
        </w:tc>
        <w:tc>
          <w:tcPr>
            <w:tcW w:w="1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(19.5)</w:t>
            </w:r>
          </w:p>
        </w:tc>
        <w:tc>
          <w:tcPr>
            <w:tcW w:w="19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derivatives not designated as hedging instruments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(19.9)</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fair values of the derivatives were recorded between Other current and non-current assets and Other current and non-current liabilities as appropriate in the Consolidated Balance Sheets. As of December 31, 2013, the amount recorded to Other current liabilities for foreign currency contracts was ($0.3) million. The amounts recorded to Other current and non-current assets for commodity contracts were $0.1 million and $0.0 million, respectively. The amounts recorded to Other current and non-current liabilities for commodity contracts were ($1.5) million and ($0.2) million, respectively. The amount recorded to Other non-current assets for interest rate contracts was $1.5 million. The amounts recorded to Other current and non-current liabilities for interest rate contracts were ($18.5) million and ($1.0) million, respectively.</w:t>
      </w:r>
    </w:p>
    <w:p>
      <w:pPr>
        <w:spacing w:after="0" w:line="17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2012, the amount recorded to Other current liabilities for foreign currency contracts was ($0.2) million. The amounts recorded to Other current and non-current assets for commodity were $0.1 million and $0.1 million, respectively. The amounts recorded to Other current and non-current liabilities for commodity contracts were ($0.3) million and ($0.1) million, respectively. The amounts recorded to Other current and non-current liabilities for interest rate contracts were ($31.2) million and ($21.1) million, respectively.</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impact on the Company’s Consolidated Statements of Comprehensive Income related to foreign currency and commodity contracts can be found in NOTE 11, and the following tabular disclosure describes the location and impact on the Company’s results of operations related to unrealized gain (loss) on interest rate derivatives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tcPr>
          <w:p>
            <w:pPr>
              <w:ind w:left="15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34.3</w:t>
            </w:r>
          </w:p>
        </w:tc>
        <w:tc>
          <w:tcPr>
            <w:tcW w:w="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25.5</w:t>
            </w:r>
          </w:p>
        </w:tc>
        <w:tc>
          <w:tcPr>
            <w:tcW w:w="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346"/>
        </w:trPr>
        <w:tc>
          <w:tcPr>
            <w:tcW w:w="3900" w:type="dxa"/>
            <w:vAlign w:val="bottom"/>
          </w:tcPr>
          <w:p>
            <w:pPr>
              <w:spacing w:after="0"/>
              <w:rPr>
                <w:sz w:val="24"/>
                <w:szCs w:val="24"/>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5560" w:type="dxa"/>
            <w:vAlign w:val="bottom"/>
          </w:tcPr>
          <w:p>
            <w:pPr>
              <w:ind w:left="220"/>
              <w:spacing w:after="0"/>
              <w:rPr>
                <w:sz w:val="20"/>
                <w:szCs w:val="20"/>
                <w:color w:val="auto"/>
              </w:rPr>
            </w:pPr>
            <w:r>
              <w:rPr>
                <w:rFonts w:ascii="Arial" w:cs="Arial" w:eastAsia="Arial" w:hAnsi="Arial"/>
                <w:sz w:val="18"/>
                <w:szCs w:val="18"/>
                <w:b w:val="1"/>
                <w:bCs w:val="1"/>
                <w:color w:val="auto"/>
              </w:rPr>
              <w:t>PRODUCT WARRANTY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480" w:type="dxa"/>
            <w:vAlign w:val="bottom"/>
            <w:gridSpan w:val="2"/>
          </w:tcPr>
          <w:p>
            <w:pPr>
              <w:ind w:left="460"/>
              <w:spacing w:after="0"/>
              <w:rPr>
                <w:sz w:val="20"/>
                <w:szCs w:val="20"/>
                <w:color w:val="auto"/>
              </w:rPr>
            </w:pPr>
            <w:r>
              <w:rPr>
                <w:rFonts w:ascii="Arial" w:cs="Arial" w:eastAsia="Arial" w:hAnsi="Arial"/>
                <w:sz w:val="18"/>
                <w:szCs w:val="18"/>
                <w:color w:val="auto"/>
                <w:w w:val="97"/>
              </w:rPr>
              <w:t>Product warranty liability activities consist of the following (dollars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Year ended</w:t>
            </w:r>
          </w:p>
        </w:tc>
        <w:tc>
          <w:tcPr>
            <w:tcW w:w="3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(warranties issued during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9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9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December 31, 2013, the current and non-current liabilities were $37.4 million and $53.1 million, respectively. As of December 31, 2012 the current and non-current liabilities were $36.2 million and $73.5 million, respectively.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June 2007, Old GM recognized the estimated cost of replacing the Dual Power Inverter Module (“DPIM”) used on H 40/50 EP hybrid systems. Certain units were falling short of their expected service life and the Predecessor decided to cover repair or replacement for an extended period. The Company is responsible for the first $12.0 million of qualified cost while GM is responsible for the next $34.0 million of costs, with any amount over $46.0 million being shared one-third by the Company and two-thirds by GM for shipments through June 30, 2009.</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During 2013, the Company completed an analysis of its Dual Power Inverter Module (“DPIM”) extended coverage program and determined, based on current claims, that the product warranty liability should be reduced by $8.2 million. This resulted in a $5.8 million reduction in the GM DPIM receivable and a $2.4 million favorable adjustment to the Consolidated Statements of Comprehensive Income. As of December 31, 2013 and 2012, the DPIM liability was $44.6 million and $52.8 million with an associated receivable from GM of $25.8 million and $31.6 million, respectively. Through December 31, 2013, the Company had paid approximately $25.5 million in DPIM claims and received approximately $9.1 million in reimbursement from GM. The Company will continue to review the total DPIM liability and GM receivable for any changes in estimates as data becomes available.</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During 2012, the Company reviewed its DPIM extended coverage program and determined, based on current claims, that the product liability should be reduced by $7.9 million. This resulted in a $7.3 million reduction in the GM DPIM receivable and a $0.6 million favorable adjustment to the Consolidated Statements of Comprehensive Income. As part of the analysis, it was also determined that design issues related to the early introduction of the replacement DPIM unit resulted in a $10.0 million increase to the product warranty liability. As the replacement DPIM unit is the responsibility of the Company and not covered by the Asset Purchase Agreement, the Company recorded a $10.0 million charge to the Consolidated Statements of Comprehensive Income.</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2011, the Company reviewed its DPIM costs associated with the extended coverage resulting in no change to the DPIM liability and no change to the associated GM receivable.</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remaining adjustments to the total liability in 2013, 2012 and 2011 were the result of general changes in estimates for various products as additional claims data and field information became available.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0" w:right="239" w:bottom="1440" w:gutter="0" w:footer="0" w:header="0"/>
        </w:sectPr>
      </w:pPr>
    </w:p>
    <w:bookmarkStart w:id="82" w:name="page83"/>
    <w:bookmarkEnd w:id="8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10.</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of December 31, 2013, the current and non-current liabilities related to deferred revenue were $29.2 million and $43.2 million, respectively. As of December 31, 2012, the current and non-current liabilities related to deferred revenue were $21.6 million and $42.6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7"/>
              </w:rPr>
              <w:t>Year ended</w:t>
            </w:r>
          </w:p>
        </w:tc>
        <w:tc>
          <w:tcPr>
            <w:tcW w:w="340" w:type="dxa"/>
            <w:vAlign w:val="bottom"/>
          </w:tcPr>
          <w:p>
            <w:pPr>
              <w:spacing w:after="0"/>
              <w:rPr>
                <w:sz w:val="14"/>
                <w:szCs w:val="14"/>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Deferred revenue recorded in current liabilities related to unearned net sales for defense contracts for the years ended December 31, 2013, 2012 and 2011 was approximately $8.8 million, $0.7 million and $0.2 million, respectively. During 2013, the Company recorded deferred revenue for payments received from the U.S. government for certain tracked transmissions that were not shipped at the request of the U.S. government.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7140" w:type="dxa"/>
            <w:vAlign w:val="bottom"/>
          </w:tcPr>
          <w:p>
            <w:pPr>
              <w:ind w:left="220"/>
              <w:spacing w:after="0"/>
              <w:rPr>
                <w:sz w:val="20"/>
                <w:szCs w:val="20"/>
                <w:color w:val="auto"/>
              </w:rPr>
            </w:pPr>
            <w:r>
              <w:rPr>
                <w:rFonts w:ascii="Arial" w:cs="Arial" w:eastAsia="Arial" w:hAnsi="Arial"/>
                <w:sz w:val="18"/>
                <w:szCs w:val="18"/>
                <w:b w:val="1"/>
                <w:bCs w:val="1"/>
                <w:color w:val="auto"/>
              </w:rPr>
              <w:t>OTHER EXPENSE, NET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Other expense, net consists of the following (dollars in millions):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gain on derivative contracts (see NOTE 8)</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(2.4)</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Loss on intercompany foreign exchange</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derivative contracts (see NOTE 8)</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Loss on repayments and redemptions of long-term debt (see NOTE 7)</w:t>
            </w: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(16.0)</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Sponsor services agreement (see NOTE 19)</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Loss on re-measurement of employee benefit plans (see NOTE 13)</w:t>
            </w: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Vendor settlement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Gain on sale of land</w:t>
            </w: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23"/>
        </w:trPr>
        <w:tc>
          <w:tcPr>
            <w:tcW w:w="9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second quarter of 2013, the Company filed a shelf registration statement on Form S-3 for its common stock. During the third quarter of 2013, the Company completed an underwritten secondary public offering of 23,805,000 shares of its common stock held by investment funds affiliated with the Sponsors at a public offering price, less underwriting discounts and commissions, of $21.175 per share. In connection with the offering, the Company repurchased from the underwriters 4,700,000 shares of the 23,805,000 shares at the price paid by the underwriters and subsequently retired those shares. During the fourth quarter of 2013, the Company completed two secondary public offerings of 15,000,000 shares and 12,500,000 shares, respectively, of its common stock held by investment funds affiliated with the Sponsors at a public offering price, less underwriting discounts and commissions, of $23.10 and $25.56, respectively, per share. The Company received no proceeds from any of these sales. For the years ended December 31, 2013, 2012, and 2011, the Company incurred $1.6 million, $6.1 million and $0.0 million, respectively, of expenses related to public offerings.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each of the first quarter and fourth quarter of 2013, the Company made $2.5 million investments as part of an agreement signed in 2012 to expand our position in transmission technologies. Due to various uncertainties surrounding the investments including, but not limited to, the startup nature of the underlying business, its continued negative cash flow, undercapitalization and unproven business plan, the Company has impaired the investments to zero as of December 31, 2013. The related charge of $5.0 million was recorded in Other expense, net in the Consolidated Statements of Comprehensive Income for the year ended December 31, 2013.</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80"/>
          </w:cols>
          <w:pgMar w:left="240" w:top="270" w:right="379" w:bottom="1440" w:gutter="0" w:footer="0" w:header="0"/>
        </w:sectPr>
      </w:pPr>
    </w:p>
    <w:bookmarkStart w:id="83" w:name="page84"/>
    <w:bookmarkEnd w:id="83"/>
    <w:p>
      <w:pPr>
        <w:ind w:right="8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Government’s matching reimbursement is recorded to Other expense, net in the Consolidated Statements of Comprehensive Income. Since inception of the Grant Program, the Company has recorded $46.0 million of Grant Program income to Other expense, net in the Consolidated Statements of Comprehensive Income.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years ended December 31, 2013, 2012 and 2011, the Company recorded $3.9 million, $3.2 million and $4.9 million, respectively, as a reduction of the basis of capital assets purchased under the Grant Program. Under the Grant Program, the Company has acquired approximately $7.1 million of assets of which $7.1 million have been placed in service, resulting in related depreciation of $0.2 million, $0.1 million and $0.1 million for the years ended December 31, 2013, 2012 and 2011, respectively.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55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ind w:right="93"/>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900" w:type="dxa"/>
            <w:vAlign w:val="bottom"/>
            <w:gridSpan w:val="3"/>
          </w:tcPr>
          <w:p>
            <w:pPr>
              <w:jc w:val="center"/>
              <w:ind w:left="95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4"/>
          </w:tcPr>
          <w:p>
            <w:pPr>
              <w:ind w:left="7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2013</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Sales allowances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Taxes payable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accruals</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r>
              <w:rPr>
                <w:rFonts w:ascii="Arial" w:cs="Arial" w:eastAsia="Arial" w:hAnsi="Arial"/>
                <w:sz w:val="18"/>
                <w:szCs w:val="18"/>
                <w:b w:val="1"/>
                <w:bCs w:val="1"/>
                <w:u w:val="single" w:color="auto"/>
                <w:color w:val="auto"/>
              </w:rPr>
              <w:t>3</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580" w:firstLine="456"/>
        <w:spacing w:after="0" w:line="291" w:lineRule="auto"/>
        <w:rPr>
          <w:sz w:val="20"/>
          <w:szCs w:val="20"/>
          <w:color w:val="auto"/>
        </w:rPr>
      </w:pPr>
      <w:r>
        <w:rPr>
          <w:rFonts w:ascii="Arial" w:cs="Arial" w:eastAsia="Arial" w:hAnsi="Arial"/>
          <w:sz w:val="16"/>
          <w:szCs w:val="16"/>
          <w:color w:val="auto"/>
        </w:rPr>
        <w:t>The Company’s hourly defined benefit pension plan generally provides benefits of negotiated, stated amounts for each year of service as well as significant supplemental benefits for employees who retire with 30 years of service before normal retirement age. For all hourly employees hired after</w:t>
      </w:r>
    </w:p>
    <w:p>
      <w:pPr>
        <w:jc w:val="both"/>
        <w:ind w:right="20"/>
        <w:spacing w:after="0" w:line="255" w:lineRule="auto"/>
        <w:rPr>
          <w:sz w:val="20"/>
          <w:szCs w:val="20"/>
          <w:color w:val="auto"/>
        </w:rPr>
      </w:pPr>
      <w:r>
        <w:rPr>
          <w:rFonts w:ascii="Arial" w:cs="Arial" w:eastAsia="Arial" w:hAnsi="Arial"/>
          <w:sz w:val="18"/>
          <w:szCs w:val="18"/>
          <w:color w:val="auto"/>
        </w:rPr>
        <w:t>May 18, 2008, the defined benefit pension plan was replaced with a defined contribution pension plan, and the company-sponsored retiree healthcare was also eliminated for those hired after May 18, 2008. The charge to expense for the hourly defined contribution pension plan was $1.0 million, $0.9 million and $0.6 million for the years ended December 31, 2013, 2012 and 2011, respectively.</w:t>
      </w:r>
    </w:p>
    <w:p>
      <w:pPr>
        <w:spacing w:after="0" w:line="19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accordance with the Asset Purchase Agreement, the Company’s hourly employees who retired prior to October 2, 2011 (the “Cutoff Date”) will have their pension and OPEB paid by GM. The Company was required, pursuant to the Asset Purchase Agreement, to transfer pension assets to GM’s pension plan to cover the Company’s portion of its pension liability related to the employees who retired prior to the Cutoff Date. During the second quarter of 2012, the Company completed the transfer of its pension obligation for certain qualified hourly employees to GM’s pension plan. The transfer required a re-measurement of the hourly defined benefit pension plan resulting in a one-time non-cash settlement charge of $2.3 million recorded in Other expense, net in the Consolidated Statements of Comprehensive Income and a $4.2 million reduction to the Company’s pension liability with corresponding adjustments to AOCL, net of tax. The employees who retired prior to the Cutoff Date are the responsibility of GM and will have their OPEB paid by GM. This resulted in a $17.9 million gain to the Company’s 2011 actuarial valuation. Employees that retire subsequent to the Cutoff Date will have their Allison pension and OPEB paid by the Company and their GM pension benefit paid by GM.</w:t>
      </w:r>
    </w:p>
    <w:p>
      <w:pPr>
        <w:spacing w:after="0" w:line="182"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Company’s salaried defined benefit plan covering salaried employees with a service date prior to January 1, 2001 is generally based on years of service and compensation history. The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$5.4 million, $5.1 million and $4.7 million for the years ended December 31, 2013, 2012 and 2011,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84" w:name="page85"/>
    <w:bookmarkEnd w:id="84"/>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also responsible for OPEB costs (medical, dental, vision, and life insurance) for hourly employees hired prior to May 19, 2008. 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2013 and 2012, the Company had an estimated OPEB liability for hourly employees hired prior to May 19, 2008, excluding those employees eligible to retire at the time of the Acquisition Transaction, of $120.7 million and $142.6 million, respectively.</w:t>
      </w:r>
    </w:p>
    <w:p>
      <w:pPr>
        <w:spacing w:after="0" w:line="16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part of the Health Care Reform Act enacted in 2010, the Company has evaluated the impact on “High-cost Health Plans” in which employers offering health plan coverage exceeding certain thresholds must pay an excise tax equal to 40% of the value of the plan that exceeds the threshold amount. Although the excise tax does not come into effect until 2018, the Company has recorded $3.6 million in its OPEB liability as of December 31, 2013 with a corresponding adjustment to AOCL, net of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provides contributions to certain international benefit plans; however, these contributions are not material for periods presented.</w:t>
      </w:r>
    </w:p>
    <w:p>
      <w:pPr>
        <w:spacing w:after="0" w:line="23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5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Information about the net periodic benefit cost and other changes recognized in Accumulated Other Comprehensive Loss for the pension and post-retirement benefit plans is as follows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Pension Plans</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Post-retirement Benefits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Year ended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33"/>
              <w:spacing w:after="0" w:line="119" w:lineRule="exact"/>
              <w:rPr>
                <w:sz w:val="20"/>
                <w:szCs w:val="20"/>
                <w:color w:val="auto"/>
              </w:rPr>
            </w:pPr>
            <w:r>
              <w:rPr>
                <w:rFonts w:ascii="Arial" w:cs="Arial" w:eastAsia="Arial" w:hAnsi="Arial"/>
                <w:sz w:val="13"/>
                <w:szCs w:val="13"/>
                <w:b w:val="1"/>
                <w:bCs w:val="1"/>
                <w:color w:val="auto"/>
                <w:w w:val="99"/>
              </w:rPr>
              <w:t>Year ended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Year ended</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Year ended</w:t>
            </w:r>
          </w:p>
        </w:tc>
        <w:tc>
          <w:tcPr>
            <w:tcW w:w="6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2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Service cost</w:t>
            </w:r>
          </w:p>
        </w:tc>
        <w:tc>
          <w:tcPr>
            <w:tcW w:w="380" w:type="dxa"/>
            <w:vAlign w:val="bottom"/>
            <w:gridSpan w:val="3"/>
          </w:tcPr>
          <w:p>
            <w:pPr>
              <w:ind w:left="1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40" w:type="dxa"/>
            <w:vAlign w:val="bottom"/>
          </w:tcPr>
          <w:p>
            <w:pPr>
              <w:spacing w:after="0"/>
              <w:rPr>
                <w:sz w:val="18"/>
                <w:szCs w:val="18"/>
                <w:color w:val="auto"/>
              </w:rPr>
            </w:pP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38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54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Pension Plans</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Post-retirement Benefits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Year ended</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Year ended</w:t>
            </w:r>
          </w:p>
        </w:tc>
        <w:tc>
          <w:tcPr>
            <w:tcW w:w="6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Other changes recognized in other comprehensive</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Prior service credit</w:t>
            </w:r>
          </w:p>
        </w:tc>
        <w:tc>
          <w:tcPr>
            <w:tcW w:w="38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38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(28.9)</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(gain) loss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Total recognized – other comprehensive (income)</w:t>
            </w:r>
          </w:p>
        </w:tc>
        <w:tc>
          <w:tcPr>
            <w:tcW w:w="220" w:type="dxa"/>
            <w:vAlign w:val="bottom"/>
            <w:gridSpan w:val="2"/>
            <w:vMerge w:val="restart"/>
            <w:shd w:val="clear" w:color="auto" w:fill="CCEEFF"/>
          </w:tcPr>
          <w:p>
            <w:pPr>
              <w:spacing w:after="0"/>
              <w:rPr>
                <w:sz w:val="17"/>
                <w:szCs w:val="17"/>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380" w:type="dxa"/>
            <w:vAlign w:val="bottom"/>
            <w:gridSpan w:val="3"/>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54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253"/>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provides the weighted-average actuarial assumptions used to determine the net periodic benefit cost.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Pension Plans</w:t>
            </w:r>
          </w:p>
        </w:tc>
        <w:tc>
          <w:tcPr>
            <w:tcW w:w="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Post-retirement Benefits</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1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20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Year ended</w:t>
            </w:r>
          </w:p>
        </w:tc>
        <w:tc>
          <w:tcPr>
            <w:tcW w:w="540" w:type="dxa"/>
            <w:vAlign w:val="bottom"/>
          </w:tcPr>
          <w:p>
            <w:pPr>
              <w:spacing w:after="0"/>
              <w:rPr>
                <w:sz w:val="10"/>
                <w:szCs w:val="10"/>
                <w:color w:val="auto"/>
              </w:rPr>
            </w:pPr>
          </w:p>
        </w:tc>
        <w:tc>
          <w:tcPr>
            <w:tcW w:w="10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Year ended</w:t>
            </w:r>
          </w:p>
        </w:tc>
        <w:tc>
          <w:tcPr>
            <w:tcW w:w="36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116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4.60%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Rate of compensation increase (salaried)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4.00%</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7.00%</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N/A</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135"/>
        </w:trPr>
        <w:tc>
          <w:tcPr>
            <w:tcW w:w="116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Plans</w:t>
            </w: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Post-retirement Benefits</w:t>
            </w:r>
          </w:p>
        </w:tc>
      </w:tr>
      <w:tr>
        <w:trPr>
          <w:trHeight w:val="142"/>
        </w:trPr>
        <w:tc>
          <w:tcPr>
            <w:tcW w:w="64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As of December 31,</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4.80%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3.90%</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4.90%</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4.10%</w:t>
            </w:r>
          </w:p>
        </w:tc>
      </w:tr>
      <w:tr>
        <w:trPr>
          <w:trHeight w:val="234"/>
        </w:trPr>
        <w:tc>
          <w:tcPr>
            <w:tcW w:w="646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3.00%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N/A</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N/A</w:t>
            </w:r>
          </w:p>
        </w:tc>
      </w:tr>
    </w:tbl>
    <w:p>
      <w:pPr>
        <w:spacing w:after="0" w:line="18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2013.</w:t>
      </w:r>
    </w:p>
    <w:p>
      <w:pPr>
        <w:spacing w:after="0" w:line="181"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2013 obligations, future post-retirement medical care costs were forecasted assuming an initial annual increase of 6.70%, decreasing to 4.50% by the year 2027. Future post-retirement prescription drug costs were forecasted assuming an initial annual increase of 6.00%, decreasing to 4.50% by the year 2027.</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health care costs trends have a significant effect on the amounts reported, the following effects of an increase and decrease of one-percentage-point would have the following effects in the year ended December 31, 2013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25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25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1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350"/>
        </w:trPr>
        <w:tc>
          <w:tcPr>
            <w:tcW w:w="3680" w:type="dxa"/>
            <w:vAlign w:val="bottom"/>
          </w:tcPr>
          <w:p>
            <w:pPr>
              <w:spacing w:after="0"/>
              <w:rPr>
                <w:sz w:val="24"/>
                <w:szCs w:val="24"/>
                <w:color w:val="auto"/>
              </w:rPr>
            </w:pPr>
          </w:p>
        </w:tc>
        <w:tc>
          <w:tcPr>
            <w:tcW w:w="2560" w:type="dxa"/>
            <w:vAlign w:val="bottom"/>
          </w:tcPr>
          <w:p>
            <w:pPr>
              <w:jc w:val="right"/>
              <w:ind w:right="1736"/>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reconciliation of the changes in the net benefit obligations and fair value of plan assets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Pension Plans</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c>
          <w:tcPr>
            <w:tcW w:w="10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Year ended</w:t>
            </w:r>
          </w:p>
        </w:tc>
        <w:tc>
          <w:tcPr>
            <w:tcW w:w="18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0"/>
                <w:szCs w:val="10"/>
                <w:color w:val="auto"/>
              </w:rPr>
            </w:pPr>
          </w:p>
        </w:tc>
        <w:tc>
          <w:tcPr>
            <w:tcW w:w="12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Benefit Obligations: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6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103.3</w:t>
            </w:r>
          </w:p>
        </w:tc>
        <w:tc>
          <w:tcPr>
            <w:tcW w:w="3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99.7</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71.4</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142.6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Settlements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Actuarial (gain)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end of year</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w:t>
            </w:r>
            <w:r>
              <w:rPr>
                <w:rFonts w:ascii="Arial" w:cs="Arial" w:eastAsia="Arial" w:hAnsi="Arial"/>
                <w:sz w:val="18"/>
                <w:szCs w:val="18"/>
                <w:b w:val="1"/>
                <w:bCs w:val="1"/>
                <w:u w:val="single" w:color="auto"/>
                <w:color w:val="auto"/>
              </w:rPr>
              <w:t>9</w:t>
            </w:r>
          </w:p>
        </w:tc>
        <w:tc>
          <w:tcPr>
            <w:tcW w:w="3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w:t>
            </w:r>
            <w:r>
              <w:rPr>
                <w:rFonts w:ascii="Arial" w:cs="Arial" w:eastAsia="Arial" w:hAnsi="Arial"/>
                <w:sz w:val="18"/>
                <w:szCs w:val="18"/>
                <w:b w:val="1"/>
                <w:bCs w:val="1"/>
                <w:u w:val="single" w:color="auto"/>
                <w:color w:val="auto"/>
              </w:rPr>
              <w:t>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w:t>
            </w: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89.4</w:t>
            </w:r>
          </w:p>
        </w:tc>
        <w:tc>
          <w:tcPr>
            <w:tcW w:w="3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Settlements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w:t>
            </w:r>
          </w:p>
        </w:tc>
        <w:tc>
          <w:tcPr>
            <w:tcW w:w="3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In the second quarter of 2012, the Company completed its negotiation with GM to determine the amount of pension assets to be transferred from the Company to GM as required by the Asset Purchase Agreement. The Company transferred $18.8 million of plan assets to GM to settle this obligation.</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fourth quarter of 2012, the Company and the International Union, United Automobile, Aerospace and Agricultural Implement Workers of America (“UAW”) Local 933 entered into a new five year collective bargaining agreement that expires in November 2017. The multi-tiered wage and benefit structure from the prior agreement was retained and the parties agreed to additional changes, such as implementing a new retirement health care plan and eliminating the consumer price index based cost of living allowance that had been part of the prior agreement. As a result, the Company recorded a $28.9 million favorable adjustment to the net benefit obligation.</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Company’s pension plan assets consist of money market funds, mutual funds, listed equities and publicly traded bonds. The Company’s valuation techniques used to fair value pension plan assets represents a market approach in active markets for identical assets that qualifies as Level 1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plan assets for the Company’s pension plans as of December 31, 2013 and 2012 are as follows (dollars in millions):</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Quoted Prices in Active Markets</w:t>
      </w:r>
    </w:p>
    <w:p>
      <w:pPr>
        <w:jc w:val="center"/>
        <w:ind w:left="6420"/>
        <w:spacing w:after="0" w:line="236" w:lineRule="auto"/>
        <w:rPr>
          <w:sz w:val="20"/>
          <w:szCs w:val="20"/>
          <w:color w:val="auto"/>
        </w:rPr>
      </w:pPr>
      <w:r>
        <w:rPr>
          <w:rFonts w:ascii="Arial" w:cs="Arial" w:eastAsia="Arial" w:hAnsi="Arial"/>
          <w:sz w:val="14"/>
          <w:szCs w:val="14"/>
          <w:b w:val="1"/>
          <w:bCs w:val="1"/>
          <w:color w:val="auto"/>
        </w:rPr>
        <w:t>for Identical Assets (Level 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9"/>
              </w:rPr>
              <w:t>Asset Category</w:t>
            </w:r>
          </w:p>
        </w:tc>
        <w:tc>
          <w:tcPr>
            <w:tcW w:w="266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30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2"/>
            <w:vMerge w:val="continue"/>
            <w:shd w:val="clear" w:color="auto" w:fill="CCEEFF"/>
          </w:tcPr>
          <w:p>
            <w:pPr>
              <w:spacing w:after="0"/>
              <w:rPr>
                <w:sz w:val="17"/>
                <w:szCs w:val="17"/>
                <w:color w:val="auto"/>
              </w:rPr>
            </w:pPr>
          </w:p>
        </w:tc>
        <w:tc>
          <w:tcPr>
            <w:tcW w:w="3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2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54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51.5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41.1</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20" w:type="dxa"/>
            <w:vAlign w:val="bottom"/>
            <w:vMerge w:val="restart"/>
          </w:tcPr>
          <w:p>
            <w:pPr>
              <w:jc w:val="right"/>
              <w:ind w:right="1190"/>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7" w:name="page88"/>
    <w:bookmarkEnd w:id="87"/>
    <w:p>
      <w:pPr>
        <w:ind w:right="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9"/>
              </w:rPr>
              <w:t>Asset Category</w:t>
            </w:r>
          </w:p>
        </w:tc>
        <w:tc>
          <w:tcPr>
            <w:tcW w:w="3520" w:type="dxa"/>
            <w:vAlign w:val="bottom"/>
            <w:vMerge w:val="restart"/>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080" w:type="dxa"/>
            <w:vAlign w:val="bottom"/>
            <w:gridSpan w:val="2"/>
          </w:tcPr>
          <w:p>
            <w:pPr>
              <w:jc w:val="right"/>
              <w:ind w:right="588"/>
              <w:spacing w:after="0" w:line="129" w:lineRule="exact"/>
              <w:rPr>
                <w:sz w:val="20"/>
                <w:szCs w:val="20"/>
                <w:color w:val="auto"/>
              </w:rPr>
            </w:pPr>
            <w:r>
              <w:rPr>
                <w:rFonts w:ascii="Arial" w:cs="Arial" w:eastAsia="Arial" w:hAnsi="Arial"/>
                <w:sz w:val="14"/>
                <w:szCs w:val="14"/>
                <w:b w:val="1"/>
                <w:bCs w:val="1"/>
                <w:color w:val="auto"/>
                <w:w w:val="90"/>
              </w:rPr>
              <w:t>Hourly</w:t>
            </w: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28"/>
              <w:spacing w:after="0" w:line="203" w:lineRule="exact"/>
              <w:rPr>
                <w:sz w:val="20"/>
                <w:szCs w:val="20"/>
                <w:color w:val="auto"/>
              </w:rPr>
            </w:pPr>
            <w:r>
              <w:rPr>
                <w:rFonts w:ascii="Arial" w:cs="Arial" w:eastAsia="Arial" w:hAnsi="Arial"/>
                <w:sz w:val="18"/>
                <w:szCs w:val="18"/>
                <w:color w:val="auto"/>
              </w:rPr>
              <w:t>3%</w:t>
            </w:r>
          </w:p>
        </w:tc>
        <w:tc>
          <w:tcPr>
            <w:tcW w:w="80" w:type="dxa"/>
            <w:vAlign w:val="bottom"/>
            <w:vMerge w:val="continue"/>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2013, the Company’s investment committee has continued to evaluate the investments and take steps toward the established targets.</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2013 and 2012, on a pre-tax basis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Balance Sheet:</w:t>
            </w:r>
          </w:p>
        </w:tc>
        <w:tc>
          <w:tcPr>
            <w:tcW w:w="2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Noncurrent assets</w:t>
            </w:r>
          </w:p>
        </w:tc>
        <w:tc>
          <w:tcPr>
            <w:tcW w:w="27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$ 7.4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 (liability)</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(13.9)</w:t>
            </w:r>
          </w:p>
        </w:tc>
        <w:tc>
          <w:tcPr>
            <w:tcW w:w="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Actuarial gain (loss)</w:t>
            </w:r>
          </w:p>
        </w:tc>
        <w:tc>
          <w:tcPr>
            <w:tcW w:w="20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(16.7)</w:t>
            </w:r>
          </w:p>
        </w:tc>
        <w:tc>
          <w:tcPr>
            <w:tcW w:w="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2014 are as follows (dollars in millions):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Pension</w:t>
            </w:r>
          </w:p>
        </w:tc>
        <w:tc>
          <w:tcPr>
            <w:tcW w:w="15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Post-retirement</w:t>
            </w:r>
          </w:p>
        </w:tc>
        <w:tc>
          <w:tcPr>
            <w:tcW w:w="10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Plans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5"/>
              </w:rPr>
              <w:t>(0.1)</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Actuarial loss</w:t>
            </w:r>
          </w:p>
        </w:tc>
        <w:tc>
          <w:tcPr>
            <w:tcW w:w="2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accumulated benefit obligation for the Company’s pension plans as of December 31, 2013 and 2012 was $103.1 million and $100.0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88" w:name="page89"/>
    <w:bookmarkEnd w:id="88"/>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2013 and 2012,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780" w:type="dxa"/>
            <w:vAlign w:val="bottom"/>
            <w:gridSpan w:val="5"/>
          </w:tcPr>
          <w:p>
            <w:pPr>
              <w:ind w:left="280"/>
              <w:spacing w:after="0"/>
              <w:rPr>
                <w:sz w:val="20"/>
                <w:szCs w:val="20"/>
                <w:color w:val="auto"/>
              </w:rPr>
            </w:pPr>
            <w:r>
              <w:rPr>
                <w:rFonts w:ascii="Arial" w:cs="Arial" w:eastAsia="Arial" w:hAnsi="Arial"/>
                <w:sz w:val="14"/>
                <w:szCs w:val="14"/>
                <w:b w:val="1"/>
                <w:bCs w:val="1"/>
                <w:color w:val="auto"/>
              </w:rPr>
              <w:t>Hourly Plan</w:t>
            </w: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Salary Plan</w:t>
            </w:r>
          </w:p>
        </w:tc>
      </w:tr>
      <w:tr>
        <w:trPr>
          <w:trHeight w:val="142"/>
        </w:trPr>
        <w:tc>
          <w:tcPr>
            <w:tcW w:w="73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As of December 31,</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0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640" w:type="dxa"/>
            <w:vAlign w:val="bottom"/>
            <w:gridSpan w:val="2"/>
          </w:tcPr>
          <w:p>
            <w:pPr>
              <w:jc w:val="center"/>
              <w:ind w:left="134"/>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48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$51.9</w:t>
            </w:r>
          </w:p>
        </w:tc>
        <w:tc>
          <w:tcPr>
            <w:tcW w:w="9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$53.8</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$51.4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1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$50.3</w:t>
            </w: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3"/>
              </w:rPr>
              <w:t>$49.1</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$39.1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1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$51.9</w:t>
            </w: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3"/>
              </w:rPr>
              <w:t>$50.9</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$48.1</w:t>
            </w:r>
          </w:p>
        </w:tc>
      </w:tr>
      <w:tr>
        <w:trPr>
          <w:trHeight w:val="234"/>
        </w:trPr>
        <w:tc>
          <w:tcPr>
            <w:tcW w:w="73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$50.3</w:t>
            </w:r>
          </w:p>
        </w:tc>
        <w:tc>
          <w:tcPr>
            <w:tcW w:w="9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$49.1</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$39.1</w:t>
            </w:r>
          </w:p>
        </w:tc>
      </w:tr>
    </w:tbl>
    <w:p>
      <w:pPr>
        <w:spacing w:after="0" w:line="210" w:lineRule="exact"/>
        <w:rPr>
          <w:sz w:val="20"/>
          <w:szCs w:val="20"/>
          <w:color w:val="auto"/>
        </w:rPr>
      </w:pPr>
    </w:p>
    <w:p>
      <w:pPr>
        <w:ind w:left="220" w:right="460" w:hanging="212"/>
        <w:spacing w:after="0" w:line="277" w:lineRule="auto"/>
        <w:tabs>
          <w:tab w:leader="none" w:pos="2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 of December 31, 2013, the hourly defined benefit pension plan had plan assets greater than both the projected benefit obligation and accumulated benefit obligation.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20" w:type="dxa"/>
            <w:vAlign w:val="bottom"/>
            <w:gridSpan w:val="3"/>
          </w:tcPr>
          <w:p>
            <w:pPr>
              <w:ind w:left="2140"/>
              <w:spacing w:after="0"/>
              <w:rPr>
                <w:sz w:val="20"/>
                <w:szCs w:val="20"/>
                <w:color w:val="auto"/>
              </w:rPr>
            </w:pPr>
            <w:r>
              <w:rPr>
                <w:rFonts w:ascii="Arial" w:cs="Arial" w:eastAsia="Arial" w:hAnsi="Arial"/>
                <w:sz w:val="14"/>
                <w:szCs w:val="14"/>
                <w:b w:val="1"/>
                <w:bCs w:val="1"/>
                <w:color w:val="auto"/>
                <w:w w:val="84"/>
              </w:rPr>
              <w:t>Pension</w:t>
            </w:r>
          </w:p>
        </w:tc>
        <w:tc>
          <w:tcPr>
            <w:tcW w:w="1900" w:type="dxa"/>
            <w:vAlign w:val="bottom"/>
            <w:gridSpan w:val="4"/>
          </w:tcPr>
          <w:p>
            <w:pPr>
              <w:ind w:left="820"/>
              <w:spacing w:after="0"/>
              <w:rPr>
                <w:sz w:val="20"/>
                <w:szCs w:val="20"/>
                <w:color w:val="auto"/>
              </w:rPr>
            </w:pPr>
            <w:r>
              <w:rPr>
                <w:rFonts w:ascii="Arial" w:cs="Arial" w:eastAsia="Arial" w:hAnsi="Arial"/>
                <w:sz w:val="14"/>
                <w:szCs w:val="14"/>
                <w:b w:val="1"/>
                <w:bCs w:val="1"/>
                <w:color w:val="auto"/>
              </w:rPr>
              <w:t>Post-retirement</w:t>
            </w:r>
          </w:p>
        </w:tc>
      </w:tr>
      <w:tr>
        <w:trPr>
          <w:trHeight w:val="171"/>
        </w:trPr>
        <w:tc>
          <w:tcPr>
            <w:tcW w:w="4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Plans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Employer Contributions:</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2014 expected contributions</w:t>
            </w:r>
          </w:p>
        </w:tc>
        <w:tc>
          <w:tcPr>
            <w:tcW w:w="2260" w:type="dxa"/>
            <w:vAlign w:val="bottom"/>
            <w:gridSpan w:val="2"/>
          </w:tcPr>
          <w:p>
            <w:pPr>
              <w:ind w:left="214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2014</w:t>
            </w:r>
          </w:p>
        </w:tc>
        <w:tc>
          <w:tcPr>
            <w:tcW w:w="2260" w:type="dxa"/>
            <w:vAlign w:val="bottom"/>
            <w:gridSpan w:val="2"/>
          </w:tcPr>
          <w:p>
            <w:pPr>
              <w:ind w:left="214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2016</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2018</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2019-2023</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38.9</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$0.3 million, $0.1 million, and $0.0 million to the Consolidated Statements of Comprehensive Income for the years ended December 31, 2013, 2012 and 2011, respectively, and the fair value of the rabbi trust plan assets and deferred compensation obligation was $1.3 million and $0.2 million as of December 31, 2013 and 2012,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89" w:name="page90"/>
    <w:bookmarkEnd w:id="8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14.</w:t>
      </w:r>
      <w:r>
        <w:rPr>
          <w:sz w:val="20"/>
          <w:szCs w:val="20"/>
          <w:color w:val="auto"/>
        </w:rPr>
        <w:tab/>
      </w:r>
      <w:r>
        <w:rPr>
          <w:rFonts w:ascii="Arial" w:cs="Arial" w:eastAsia="Arial" w:hAnsi="Arial"/>
          <w:sz w:val="17"/>
          <w:szCs w:val="17"/>
          <w:b w:val="1"/>
          <w:bCs w:val="1"/>
          <w:color w:val="auto"/>
        </w:rPr>
        <w:t>STOCK-BASED COMPENSATION</w:t>
      </w:r>
    </w:p>
    <w:p>
      <w:pPr>
        <w:spacing w:after="0" w:line="121"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In March 2012, the Company’s Board of Directors adopted and the Company’s stockholders approved the Allison Transmission Holdings, Inc. 2011 Equity Incentive Award Plan (“2011 Plan”), which became effective as of the day prior to the consummation of the Company’s IPO. Under the 2011 Plan, certain employees (including executive officers), consultants and directors are eligible to receive equity-based compensation, including non-qualified stock options, incentive stock options, restricted stock, dividend equivalents, stock payments, restricted stock units (“RSU”), performance awards, stock appreciation rights and other equity-based awards, or any combination thereof. The 2011 Plan limits the aggregate number of shares of common stock available for issue to 15.3 million and will expire on, and no option or other equity award may be granted pursuant to the 2011 Plan after, the tenth anniversary of the date the 2011 Plan was approved by the Board of Directors.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the adoption of the 2011 Plan, the Company’s equity-based awards were granted under the Equity Incentive Plan of Allison Transmission Holdings, Inc. (“Prior Plan”). As of the effective date of the 2011 Plan, no new awards will be granted under the Prior Plan, but the Prior Plan will continue to govern the equity awards issued under the Prior Plan.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RSUs were issued to certain employees in 2012 and 2013 and certain directors in 2013 under the 2011 Plan at fair market value at the date of grant. These awards entitle the holder to receive one common share for each RSU upon vesting, which generally occurs over either one, two or three years. A summary of RSU activity as of December 31, 2013 and 2012, and changes during the period then ended is presented below:</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RSUs</w:t>
            </w: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58"/>
        </w:trPr>
        <w:tc>
          <w:tcPr>
            <w:tcW w:w="4240" w:type="dxa"/>
            <w:vAlign w:val="bottom"/>
            <w:gridSpan w:val="2"/>
            <w:vMerge w:val="continue"/>
          </w:tcPr>
          <w:p>
            <w:pPr>
              <w:spacing w:after="0"/>
              <w:rPr>
                <w:sz w:val="13"/>
                <w:szCs w:val="13"/>
                <w:color w:val="auto"/>
              </w:rPr>
            </w:pPr>
          </w:p>
        </w:tc>
        <w:tc>
          <w:tcPr>
            <w:tcW w:w="280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as of December 31, 2011</w:t>
            </w:r>
          </w:p>
        </w:tc>
        <w:tc>
          <w:tcPr>
            <w:tcW w:w="15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13"/>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3"/>
              <w:spacing w:after="0"/>
              <w:rPr>
                <w:sz w:val="20"/>
                <w:szCs w:val="20"/>
                <w:color w:val="auto"/>
              </w:rPr>
            </w:pPr>
            <w:r>
              <w:rPr>
                <w:rFonts w:ascii="Arial" w:cs="Arial" w:eastAsia="Arial" w:hAnsi="Arial"/>
                <w:sz w:val="18"/>
                <w:szCs w:val="18"/>
                <w:color w:val="auto"/>
                <w:w w:val="93"/>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93"/>
              </w:rPr>
              <w:t>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3"/>
              <w:spacing w:after="0"/>
              <w:rPr>
                <w:sz w:val="20"/>
                <w:szCs w:val="20"/>
                <w:color w:val="auto"/>
              </w:rPr>
            </w:pPr>
            <w:r>
              <w:rPr>
                <w:rFonts w:ascii="Arial" w:cs="Arial" w:eastAsia="Arial" w:hAnsi="Arial"/>
                <w:sz w:val="18"/>
                <w:szCs w:val="18"/>
                <w:b w:val="1"/>
                <w:bCs w:val="1"/>
                <w:color w:val="auto"/>
                <w:w w:val="93"/>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73"/>
              <w:spacing w:after="0"/>
              <w:rPr>
                <w:sz w:val="20"/>
                <w:szCs w:val="20"/>
                <w:color w:val="auto"/>
              </w:rPr>
            </w:pPr>
            <w:r>
              <w:rPr>
                <w:rFonts w:ascii="Arial" w:cs="Arial" w:eastAsia="Arial" w:hAnsi="Arial"/>
                <w:sz w:val="18"/>
                <w:szCs w:val="18"/>
                <w:b w:val="1"/>
                <w:bCs w:val="1"/>
                <w:color w:val="auto"/>
                <w:w w:val="93"/>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3"/>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ind w:left="473"/>
              <w:spacing w:after="0"/>
              <w:rPr>
                <w:sz w:val="20"/>
                <w:szCs w:val="20"/>
                <w:color w:val="auto"/>
              </w:rPr>
            </w:pPr>
            <w:r>
              <w:rPr>
                <w:rFonts w:ascii="Arial" w:cs="Arial" w:eastAsia="Arial" w:hAnsi="Arial"/>
                <w:sz w:val="18"/>
                <w:szCs w:val="18"/>
                <w:b w:val="1"/>
                <w:bCs w:val="1"/>
                <w:color w:val="auto"/>
                <w:w w:val="93"/>
              </w:rPr>
              <w:t>20.90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December 31, 2013 and 2012, there was $10.4 million and $18.5 million, respectively, of unrecognized compensation cost related to non-vested RSU compensation arrangements granted under the 2011 Plan. This cost is expected to be recognized, on a straight line basis, over a period of approximately two years. RSU incentive compensation expense recorded was $12.0 million, $0.9 million and $0.0 million for the years ended December 31, 2013, 2012 and 2011, respectively.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the share withholding provisions of the 2011 Plan, and the related RSU award agreement, certain employees, in lieu of paying withholding taxes on the vesting of RSUs, authorized the withholding of an aggregate of approximately 0.1 million shares of the Company’s common stock to satisfy their minimum statutory tax withholding requirements related to such vesting events during the second and third quarters of 2013. These shares were recorded as a reduction to equity at the New York Stock Exchange (“NYSE”) closing price per share on the applicable vesting dates of $23.08 and $22.75 per share, respectively, during the second and third quarter of 2013 for a total of approximately $3.6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70" w:right="279" w:bottom="1440" w:gutter="0" w:footer="0" w:header="0"/>
        </w:sectPr>
      </w:pPr>
    </w:p>
    <w:bookmarkStart w:id="90" w:name="page91"/>
    <w:bookmarkEnd w:id="9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Stock options granted under the Prior Plan after the completion of the Acquisition Transaction and through March 2012, have a per share exercise price based on the fair market value of the Company at the date of grant. Stock options granted under the 2011 Plan have a per share exercise price based on the closing price of a share of the Company’s common stock as reported by the NYSE on the date of grant. All stock options expire 10 years after the grant date. The options vest upon the continued performance of services by the option holder over time, with either 20% or 33% of the award vesting on each anniversary of the grant date over three to five years for awards under the Prior Plan and 100% on December 15 of the year that is two years after the year of grant under the 2011 Plan. Upon termination of employment for reasons other than cause, retirement before the age of 65 with less than 90 points (calculated as age plus years of service), death or disability, the options shall cease to be exercisable ninety days following the date of the optionees’ termination of service. Upon termination of employment for cause, the options shall not be exercisable on the date of such termination. Upon termination of employment for retirement at or after the age of 65, the options shall cease to be exercisable three years following such date. Upon termination of employment for retirement before the age of 65 with 90 or more points, the options shall cease to be exercisable two years following such date. Upon termination of employment for death or disability, the options shall cease to be exercisable twelve months following such date.</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accordance with the FASB’s authoritative accounting guidance on stock compensation, each option grant is to be recorded at fair value. When options are granted, the Company used a Black-Scholes option pricing model to calculate the fair value of each option award using the assumptions noted in the following table:</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N/A</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forfeitures</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 – 1.7%</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Expected volatility is based on “the average volatilities of otherwise similar public entities” as defined by authoritative accounting guidance. The Company currently pays a $0.12 dividend per quarter. The expected term is derived from the average of the weighted vesting life and the contractual term. The risk-free rate for periods within the contractual life of the option is based on the U.S. Treasury yield curve in effect at the time of grant. The Company has assumed no forfeitures primarily because of a history of retaining senior executives.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as of December 31, 2013, 2012 and 2011, and changes during the period then ended is presented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7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Exercisable as of December 31, 2010</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13.38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5.84 years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8.44</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Outstanding as of December 31, 2011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13.40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4.94 years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2011</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13.37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 years</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2012</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 years</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Exercisable as of December 31, 2012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14.02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4.91 years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23.39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Forfeited or expired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8.7</w:t>
            </w:r>
          </w:p>
        </w:tc>
        <w:tc>
          <w:tcPr>
            <w:tcW w:w="5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15.33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4.30 years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December 31, 2013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14.79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weighted-average grant-date fair value of options granted during the years ended December 31, 2013, 2012 and 2011 was $9.76, $0.0 and $5.43, respectively. The total fair value of shares vested during the years ended December 31, 2013, 2012 and 2011 was $0.7 million, $7.5 million and $8.1 million, respectively. The total intrinsic value of stock options exercised during the years ended December 31, 2013 and 2012 was $58.0 million and $24.6 million, respectively. The aggregate intrinsic value of shares outstanding and exercisable was $106.8 million and $103.8 million as of December 31, 2013, and $77.5 million and $76.7 million as of December 31, 2012,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91" w:name="page92"/>
    <w:bookmarkEnd w:id="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summary of the status of the Company’s non-vested stock options as of December 31, 2013, 2012 and 2011, and changes during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is presented below:</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Non-vested Stock Options:</w:t>
            </w:r>
          </w:p>
        </w:tc>
        <w:tc>
          <w:tcPr>
            <w:tcW w:w="25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2860" w:type="dxa"/>
            <w:vAlign w:val="bottom"/>
            <w:gridSpan w:val="3"/>
          </w:tcPr>
          <w:p>
            <w:pPr>
              <w:jc w:val="right"/>
              <w:ind w:right="500"/>
              <w:spacing w:after="0" w:line="158"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2010</w:t>
            </w:r>
          </w:p>
        </w:tc>
        <w:tc>
          <w:tcPr>
            <w:tcW w:w="1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ind w:left="572"/>
              <w:spacing w:after="0" w:line="203" w:lineRule="exact"/>
              <w:rPr>
                <w:sz w:val="20"/>
                <w:szCs w:val="20"/>
                <w:color w:val="auto"/>
              </w:rPr>
            </w:pPr>
            <w:r>
              <w:rPr>
                <w:rFonts w:ascii="Arial" w:cs="Arial" w:eastAsia="Arial" w:hAnsi="Arial"/>
                <w:sz w:val="18"/>
                <w:szCs w:val="18"/>
                <w:color w:val="auto"/>
                <w:w w:val="91"/>
              </w:rPr>
              <w:t>2.62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color w:val="auto"/>
                <w:w w:val="91"/>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6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2860" w:type="dxa"/>
            <w:vAlign w:val="bottom"/>
            <w:gridSpan w:val="3"/>
          </w:tcPr>
          <w:p>
            <w:pPr>
              <w:jc w:val="right"/>
              <w:ind w:right="44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b w:val="1"/>
                <w:bCs w:val="1"/>
                <w:color w:val="auto"/>
                <w:w w:val="91"/>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Vested</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b w:val="1"/>
                <w:bCs w:val="1"/>
                <w:color w:val="auto"/>
                <w:w w:val="91"/>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Forfeited</w:t>
            </w:r>
          </w:p>
        </w:tc>
        <w:tc>
          <w:tcPr>
            <w:tcW w:w="16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2013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b w:val="1"/>
                <w:bCs w:val="1"/>
                <w:color w:val="auto"/>
                <w:w w:val="91"/>
              </w:rPr>
              <w:t>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2012 and 2011, there was $4.2 million, $0.5 million and $9.5 million, respectively, of unrecognized compensation cost related to non-vested stock option compensation arrangements granted under the Prior Plan and the 2011 Plan. This cost is expected to be recognized, on a straight line basis, over a period of approximately two years. Stock option incentive compensation expense recorded was $1.7 million, $5.5 million and $8.0 million for the years ended December 31, 2013, 2012 and 2011, respectively.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60"/>
          </w:cols>
          <w:pgMar w:left="240" w:top="274" w:right="399" w:bottom="1440" w:gutter="0" w:footer="0" w:header="0"/>
        </w:sectPr>
      </w:pPr>
    </w:p>
    <w:bookmarkStart w:id="92" w:name="page93"/>
    <w:bookmarkEnd w:id="9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15.</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During 2012, management determined, based on the evaluation of both objective and subjective evidence available, that the domestic valuation allowance was no longer necessary and that it is more likely than not that the deferred tax assets are fully realizable. The Company has reached a sustained period of profitability and objectively measured positive evidence outweighed the negative evidence. Accordingly, in 2012, the Company recognized an income tax benefit as a result of the release of the valuation allowance which had previously been recorded against the deferred tax assets. The Company continues to provide for a valuation allowance on certain of its foreign deferred tax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U.S.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259.0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Foreign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4"/>
              </w:rPr>
              <w:t>266.1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216.2</w:t>
            </w:r>
          </w:p>
        </w:tc>
        <w:tc>
          <w:tcPr>
            <w:tcW w:w="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150.6</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 expense (benefit) was estimated as follows (dollars in millions):</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current income taxes: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0.2</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   1.5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U.S. state and local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0.6</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Deferred income tax expense (credit),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87.6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0.1</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0.1</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10.3</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w:t>
            </w:r>
          </w:p>
        </w:tc>
        <w:tc>
          <w:tcPr>
            <w:tcW w:w="46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(303.8)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4"/>
              </w:rPr>
              <w:t>100.7</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380" w:right="320"/>
        <w:spacing w:after="0" w:line="449" w:lineRule="auto"/>
        <w:rPr>
          <w:sz w:val="20"/>
          <w:szCs w:val="20"/>
          <w:color w:val="auto"/>
        </w:rPr>
      </w:pPr>
      <w:r>
        <w:rPr>
          <w:rFonts w:ascii="Arial" w:cs="Arial" w:eastAsia="Arial" w:hAnsi="Arial"/>
          <w:sz w:val="18"/>
          <w:szCs w:val="18"/>
          <w:color w:val="auto"/>
        </w:rPr>
        <w:t>Cash paid for income taxes for the years ended December 31, 2013, 2012 and 2011 was $3.8 million, $10.7 million and $5.8 million, respectively. 90</w:t>
      </w:r>
    </w:p>
    <w:p>
      <w:pPr>
        <w:sectPr>
          <w:pgSz w:w="11900" w:h="16838" w:orient="portrait"/>
          <w:cols w:equalWidth="0" w:num="1">
            <w:col w:w="11300"/>
          </w:cols>
          <w:pgMar w:left="240" w:top="270" w:right="359" w:bottom="1440" w:gutter="0" w:footer="0" w:header="0"/>
        </w:sectPr>
      </w:pPr>
    </w:p>
    <w:bookmarkStart w:id="93" w:name="page94"/>
    <w:bookmarkEnd w:id="9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reconciliation of the provision for income tax expense compared with the amounts at the U.S. federal statutory rate is as follows (dollars in millions):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U.S. statutory income tax rate</w:t>
            </w:r>
          </w:p>
        </w:tc>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Valuation allowance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(384.1)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Adjustment to deferred tax expense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Branch income taxes-not creditable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adjustments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7"/>
        </w:trPr>
        <w:tc>
          <w:tcPr>
            <w:tcW w:w="4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income tax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(298.0)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$ 47.6</w:t>
            </w:r>
          </w:p>
        </w:tc>
      </w:tr>
      <w:tr>
        <w:trPr>
          <w:trHeight w:val="20"/>
        </w:trPr>
        <w:tc>
          <w:tcPr>
            <w:tcW w:w="4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Deferred income tax assets and liabilities for 2013 and 2012 reflect the effect of temporary differences between amounts of assets, liabilities and equity for financial reporting purposes and the bases of such assets, liabilities and equity as measured by tax laws, as well as tax loss and tax credit carryforwards. The Company has not recognized any deferred tax liabilities associated with investments and earnings in foreign subsidiaries as they are intended to be permanent in duration. Such amounts may become taxable upon an actual or deemed repatriation in the future. Management believes that estimating an unrecognized deferred tax liability is unnecessary at this time.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500" w:type="dxa"/>
            <w:vAlign w:val="bottom"/>
            <w:gridSpan w:val="4"/>
          </w:tcPr>
          <w:p>
            <w:pPr>
              <w:ind w:left="2240"/>
              <w:spacing w:after="0" w:line="149"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20" w:type="dxa"/>
            <w:vAlign w:val="bottom"/>
            <w:gridSpan w:val="2"/>
          </w:tcPr>
          <w:p>
            <w:pPr>
              <w:ind w:left="22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420" w:type="dxa"/>
            <w:vAlign w:val="bottom"/>
          </w:tcPr>
          <w:p>
            <w:pPr>
              <w:spacing w:after="0"/>
              <w:rPr>
                <w:sz w:val="18"/>
                <w:szCs w:val="18"/>
                <w:color w:val="auto"/>
              </w:rPr>
            </w:pPr>
          </w:p>
        </w:tc>
        <w:tc>
          <w:tcPr>
            <w:tcW w:w="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accrual</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Sales allowances and rebates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Post-retirement health care</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derivatives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Operating loss carryforwards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140.7</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Technology-related investments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fees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Pension</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Loan fees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Trade name</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warranty liabilities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Pension</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health care</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(369.2)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Net Deferred tax (liability) asset</w:t>
            </w:r>
          </w:p>
        </w:tc>
        <w:tc>
          <w:tcPr>
            <w:tcW w:w="2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40" w:type="dxa"/>
            <w:vAlign w:val="bottom"/>
            <w:vMerge w:val="restart"/>
          </w:tcPr>
          <w:p>
            <w:pPr>
              <w:jc w:val="right"/>
              <w:ind w:right="1576"/>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94" w:name="page95"/>
    <w:bookmarkEnd w:id="9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estimated net operating loss carryforwards as of December 31, 2013, approximately 88% relates to U.S. federal net operating loss carryforwards and approximately 7% relates to the U.S. state net operating loss carryforwards. Substantially all U.S. Federal and State operating loss carryforwards will not expire until 2027-2032. Should either of the Sponsors sell a significant portion of their holdings, the Company may experience a delay in its ability to recognize net operating losses under the applicable internal revenue code.</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2012, management determined, based on the evaluation of both objective and subjective evidence available, that the domestic valuation allowance was no longer necessary and that it is more likely than not that the deferred tax assets are fully realizable. The Company has reached a sustained period of profitability and objectively measured positive evidence outweighed the negative evidence. Accordingly, in 2012, the Company recognized an income tax benefit as a result of the release of the valuation allowance which had previously been recorded against the deferred tax assets. The Company continues to provide for a valuation allowance on certain of its foreign deferred tax assets. The change in the valuation allowance and related considerations are as follows (dollars in millions):</w:t>
      </w:r>
    </w:p>
    <w:p>
      <w:pPr>
        <w:spacing w:after="0" w:line="2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Reductions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Reductions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(389.2)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Arial" w:cs="Arial" w:eastAsia="Arial" w:hAnsi="Arial"/>
                <w:sz w:val="18"/>
                <w:szCs w:val="18"/>
                <w:b w:val="1"/>
                <w:bCs w:val="1"/>
                <w:color w:val="auto"/>
              </w:rPr>
              <w:t>Additions</w:t>
            </w:r>
          </w:p>
        </w:tc>
        <w:tc>
          <w:tcPr>
            <w:tcW w:w="2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the 2010 Research &amp; Development Credit. The Company had no liability for unrecognized tax benefits for the years ended December 31, 2012 and 2011. The accounting guidance prescribes a recognition threshold and measurement attributes for the financial statement recognition and measurement of a tax position taken or expected to be taken in a tax return. All of the returns (when filed) will remain subject to examination by the various taxing authorities for the duration of the applicable statute of limitations (generally three years from the earlier of the date of filing or the due date of the return). The change in the liability for unrecognized tax benefits are as follows (dollars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w w:val="99"/>
              </w:rPr>
              <w:t>Increases in unrecognized tax benefits as a result of current year activity</w:t>
            </w: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For the years ended December 31, 2013, 2012 and 2011, the Company recognized no interest and penalties in the Consolidated Statements of Comprehensive Income. The Company follows a policy of recording any tax related interest or penalties in Income tax expense.</w:t>
      </w:r>
    </w:p>
    <w:p>
      <w:pPr>
        <w:spacing w:after="0" w:line="12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September 2013, the U.S. Treasury Department and Internal Revenue Service issued final Tangible Property Regulations (“TPR”). The regulations are not effective until tax years beginning on or after January 1, 2014; however, certain portions may require an accounting method change on a retroactive basis, thus requiring an adjustment related to fixed and real asset deferred taxes. The accounting rules treat the release of the regulations as a change in tax law as of the date of issuance and require the Company to determine whether there will be an impact on its financial statements for the period ended December 31, 2013. Any such impact of the final tangible property regulations would affect temporary deferred taxes only and result in a balance sheet reclassification between current and non-current deferred taxes. The Company has analyzed the expected impact of the TPR on the financial statements and concluded that the expected impact is minimal. The Company will continue to monitor the impact of any future changes to the TPR on the Company prospectively.</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274" w:right="299" w:bottom="1440" w:gutter="0" w:footer="0" w:header="0"/>
        </w:sectPr>
      </w:pPr>
    </w:p>
    <w:bookmarkStart w:id="95" w:name="page96"/>
    <w:bookmarkEnd w:id="95"/>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16.</w:t>
      </w:r>
      <w:r>
        <w:rPr>
          <w:sz w:val="20"/>
          <w:szCs w:val="20"/>
          <w:color w:val="auto"/>
        </w:rPr>
        <w:tab/>
      </w: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Company’s comprehensive income consists of unrealized net gains and losses on the translation of the assets and liabilities of its foreign operations, available-for-sale securities, and pension and OPEB liability adjustments. The following table reconciles net income to comprehensive income with the related tax effects (dollars in millions):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580" w:type="dxa"/>
            <w:vAlign w:val="bottom"/>
            <w:gridSpan w:val="4"/>
          </w:tcPr>
          <w:p>
            <w:pPr>
              <w:ind w:left="420"/>
              <w:spacing w:after="0"/>
              <w:rPr>
                <w:sz w:val="20"/>
                <w:szCs w:val="20"/>
                <w:color w:val="auto"/>
              </w:rPr>
            </w:pPr>
            <w:r>
              <w:rPr>
                <w:rFonts w:ascii="Arial" w:cs="Arial" w:eastAsia="Arial" w:hAnsi="Arial"/>
                <w:sz w:val="14"/>
                <w:szCs w:val="14"/>
                <w:b w:val="1"/>
                <w:bCs w:val="1"/>
                <w:color w:val="auto"/>
              </w:rPr>
              <w:t>Comprehensive Income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Before Tax</w:t>
            </w:r>
          </w:p>
        </w:tc>
        <w:tc>
          <w:tcPr>
            <w:tcW w:w="1540" w:type="dxa"/>
            <w:vAlign w:val="bottom"/>
            <w:gridSpan w:val="3"/>
            <w:vMerge w:val="continue"/>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Benefit</w:t>
            </w: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2011</w:t>
            </w:r>
          </w:p>
        </w:tc>
        <w:tc>
          <w:tcPr>
            <w:tcW w:w="4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580" w:type="dxa"/>
            <w:vAlign w:val="bottom"/>
            <w:gridSpan w:val="4"/>
          </w:tcPr>
          <w:p>
            <w:pPr>
              <w:ind w:left="2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150.6</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2400" w:type="dxa"/>
            <w:vAlign w:val="bottom"/>
            <w:gridSpan w:val="3"/>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580" w:type="dxa"/>
            <w:vAlign w:val="bottom"/>
            <w:gridSpan w:val="4"/>
          </w:tcPr>
          <w:p>
            <w:pPr>
              <w:ind w:left="2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298.0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514.2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66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240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580" w:type="dxa"/>
            <w:vAlign w:val="bottom"/>
            <w:gridSpan w:val="4"/>
          </w:tcPr>
          <w:p>
            <w:pPr>
              <w:ind w:left="24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266.1</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(100.7)</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165.4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46.4</w:t>
            </w:r>
          </w:p>
        </w:tc>
        <w:tc>
          <w:tcPr>
            <w:tcW w:w="1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(17.4)</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240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w:t>
            </w:r>
          </w:p>
        </w:tc>
        <w:tc>
          <w:tcPr>
            <w:tcW w:w="660" w:type="dxa"/>
            <w:vAlign w:val="bottom"/>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 AOCL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For the year ended December 31, 2013</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Amount</w:t>
            </w:r>
          </w:p>
        </w:tc>
        <w:tc>
          <w:tcPr>
            <w:tcW w:w="26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1"/>
              </w:rPr>
              <w:t>Affected line item in the consolidated</w:t>
            </w:r>
          </w:p>
        </w:tc>
        <w:tc>
          <w:tcPr>
            <w:tcW w:w="0" w:type="dxa"/>
            <w:vAlign w:val="bottom"/>
          </w:tcPr>
          <w:p>
            <w:pPr>
              <w:spacing w:after="0"/>
              <w:rPr>
                <w:sz w:val="1"/>
                <w:szCs w:val="1"/>
                <w:color w:val="auto"/>
              </w:rPr>
            </w:pPr>
          </w:p>
        </w:tc>
      </w:tr>
      <w:tr>
        <w:trPr>
          <w:trHeight w:val="149"/>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b w:val="1"/>
                <w:bCs w:val="1"/>
                <w:color w:val="auto"/>
                <w:w w:val="90"/>
              </w:rPr>
              <w:t>statements of comprehensive income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8"/>
                <w:szCs w:val="18"/>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4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60" w:type="dxa"/>
            <w:vAlign w:val="bottom"/>
          </w:tcPr>
          <w:p>
            <w:pPr>
              <w:ind w:left="360"/>
              <w:spacing w:after="0" w:line="201" w:lineRule="exact"/>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(0.3)</w:t>
            </w:r>
          </w:p>
        </w:tc>
        <w:tc>
          <w:tcPr>
            <w:tcW w:w="26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(0.3)</w:t>
            </w:r>
          </w:p>
        </w:tc>
        <w:tc>
          <w:tcPr>
            <w:tcW w:w="2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440" w:type="dxa"/>
            <w:vAlign w:val="bottom"/>
          </w:tcPr>
          <w:p>
            <w:pPr>
              <w:spacing w:after="0"/>
              <w:rPr>
                <w:sz w:val="19"/>
                <w:szCs w:val="19"/>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w:t>
            </w: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tcPr>
          <w:p>
            <w:pPr>
              <w:spacing w:after="0"/>
              <w:rPr>
                <w:sz w:val="19"/>
                <w:szCs w:val="19"/>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K for additional details.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60"/>
          </w:cols>
          <w:pgMar w:left="240" w:top="270" w:right="399" w:bottom="1440" w:gutter="0" w:footer="0" w:header="0"/>
        </w:sectPr>
      </w:pPr>
    </w:p>
    <w:bookmarkStart w:id="96" w:name="page97"/>
    <w:bookmarkEnd w:id="96"/>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17.</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Company leases certain facilities under various operating leases. Rent expense under the non-cancelable operating leases was $5.7 million, $5.5 million, and $6.6 million for the years ended December 31, 2013, 2012 and 2011, respectively. Certain leases contain renewal options.</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2013, future payments under non-cancelable operating leases are as follows over each of the next five years and thereafter (dollars in millions):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2015</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2017</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of December 31, 2013 and 2012, the Company employed approximately 2,700 and 2,800 employees, respectively with 90% of those employees in the U.S. Approximately 60% of the Company’s U.S. employees were represented by unions and subject to a collective bargaining agreement as of December 31, 2013 and 2012. In addition, many of the hourly employees outside the U.S. are represented by various unions. The Company is currently operating under a collective bargaining agreement with the UAW Local 933 that expires in November 2017.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net sales within the last three years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net sales</w:t>
            </w: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6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17%</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Navistar, Inc.</w:t>
            </w:r>
          </w:p>
        </w:tc>
        <w:tc>
          <w:tcPr>
            <w:tcW w:w="96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10%</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Oshkosh Corporation</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net sales of the Company during the years ended December 31, 2013, 2012 or 2011.</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outstanding accounts receivable within the last two years presented.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00" w:type="dxa"/>
            <w:vAlign w:val="bottom"/>
          </w:tcPr>
          <w:p>
            <w:pPr>
              <w:spacing w:after="0"/>
              <w:rPr>
                <w:sz w:val="12"/>
                <w:szCs w:val="12"/>
                <w:color w:val="auto"/>
              </w:rPr>
            </w:pPr>
          </w:p>
        </w:tc>
        <w:tc>
          <w:tcPr>
            <w:tcW w:w="3580" w:type="dxa"/>
            <w:vAlign w:val="bottom"/>
            <w:gridSpan w:val="3"/>
          </w:tcPr>
          <w:p>
            <w:pPr>
              <w:jc w:val="center"/>
              <w:ind w:left="139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of accounts receivable</w:t>
            </w:r>
          </w:p>
        </w:tc>
        <w:tc>
          <w:tcPr>
            <w:tcW w:w="2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2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AB Volvo.</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11%</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Navistar, Inc.</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the outstanding accounts receivable as of December 31, 2013 or December 31, 2012.</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0" w:right="31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supplier accounted for greater than 10% of materials purchased for the periods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material purchased</w:t>
            </w: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6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Linamar Corporation Inc.</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supplier accounted for more than 10% of materials purchased during the years ended December 31, 2013, 2012 or 2011.</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In March 2012, the Company and the Sponsors agreed to terminate the services agreement. The Company agreed to make a one-time termination payment of $16.0 million, representing the present value of payments over the estimated term of the services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third quarter of 2013, the Company completed an underwritten secondary public offering of 23,805,000 shares of its common stock held by investment funds affiliated with the Sponsors at a public offering price, less underwriting discounts and commissions, of $21.175 per share. In connection with the offering, the Company repurchased from the underwriters 4,700,000 shares of the 23,805,000 shares at the price paid by the underwriters and subsequently retired those shares.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165.4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514.2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184.5</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182.0</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187.9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0.88</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700"/>
              <w:spacing w:after="0"/>
              <w:rPr>
                <w:sz w:val="20"/>
                <w:szCs w:val="20"/>
                <w:color w:val="auto"/>
              </w:rPr>
            </w:pPr>
            <w:r>
              <w:rPr>
                <w:rFonts w:ascii="Arial" w:cs="Arial" w:eastAsia="Arial" w:hAnsi="Arial"/>
                <w:sz w:val="18"/>
                <w:szCs w:val="18"/>
                <w:color w:val="auto"/>
              </w:rPr>
              <w:t>95</w:t>
            </w: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21.</w:t>
            </w:r>
          </w:p>
        </w:tc>
        <w:tc>
          <w:tcPr>
            <w:tcW w:w="6160" w:type="dxa"/>
            <w:vAlign w:val="bottom"/>
          </w:tcPr>
          <w:p>
            <w:pPr>
              <w:ind w:left="220"/>
              <w:spacing w:after="0"/>
              <w:rPr>
                <w:sz w:val="20"/>
                <w:szCs w:val="20"/>
                <w:color w:val="auto"/>
              </w:rPr>
            </w:pPr>
            <w:r>
              <w:rPr>
                <w:rFonts w:ascii="Arial" w:cs="Arial" w:eastAsia="Arial" w:hAnsi="Arial"/>
                <w:sz w:val="18"/>
                <w:szCs w:val="18"/>
                <w:b w:val="1"/>
                <w:bCs w:val="1"/>
                <w:color w:val="auto"/>
              </w:rPr>
              <w:t>GEOGRAPHIC INFORMATION</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80" w:type="dxa"/>
            <w:vAlign w:val="bottom"/>
            <w:gridSpan w:val="2"/>
          </w:tcPr>
          <w:p>
            <w:pPr>
              <w:ind w:left="460"/>
              <w:spacing w:after="0"/>
              <w:rPr>
                <w:sz w:val="20"/>
                <w:szCs w:val="20"/>
                <w:color w:val="auto"/>
              </w:rPr>
            </w:pPr>
            <w:r>
              <w:rPr>
                <w:rFonts w:ascii="Arial" w:cs="Arial" w:eastAsia="Arial" w:hAnsi="Arial"/>
                <w:sz w:val="18"/>
                <w:szCs w:val="18"/>
                <w:color w:val="auto"/>
                <w:w w:val="99"/>
              </w:rPr>
              <w:t>The Company had the following net sales by country as follows (dollars in millions):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$1,354.3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$1,509.6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$1,532.7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China</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141.0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136.4</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88.6</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Germany</w:t>
            </w:r>
          </w:p>
        </w:tc>
        <w:tc>
          <w:tcPr>
            <w:tcW w:w="1400" w:type="dxa"/>
            <w:vAlign w:val="bottom"/>
            <w:gridSpan w:val="4"/>
          </w:tcPr>
          <w:p>
            <w:pPr>
              <w:jc w:val="right"/>
              <w:ind w:right="188"/>
              <w:spacing w:after="0"/>
              <w:rPr>
                <w:sz w:val="20"/>
                <w:szCs w:val="20"/>
                <w:color w:val="auto"/>
              </w:rPr>
            </w:pPr>
            <w:r>
              <w:rPr>
                <w:rFonts w:ascii="Arial" w:cs="Arial" w:eastAsia="Arial" w:hAnsi="Arial"/>
                <w:sz w:val="18"/>
                <w:szCs w:val="18"/>
                <w:b w:val="1"/>
                <w:bCs w:val="1"/>
                <w:color w:val="auto"/>
              </w:rPr>
              <w:t>53.9</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4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42.5</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Japan</w:t>
            </w:r>
          </w:p>
        </w:tc>
        <w:tc>
          <w:tcPr>
            <w:tcW w:w="1400" w:type="dxa"/>
            <w:vAlign w:val="bottom"/>
            <w:gridSpan w:val="4"/>
          </w:tcPr>
          <w:p>
            <w:pPr>
              <w:jc w:val="right"/>
              <w:ind w:right="188"/>
              <w:spacing w:after="0"/>
              <w:rPr>
                <w:sz w:val="20"/>
                <w:szCs w:val="20"/>
                <w:color w:val="auto"/>
              </w:rPr>
            </w:pPr>
            <w:r>
              <w:rPr>
                <w:rFonts w:ascii="Arial" w:cs="Arial" w:eastAsia="Arial" w:hAnsi="Arial"/>
                <w:sz w:val="18"/>
                <w:szCs w:val="18"/>
                <w:b w:val="1"/>
                <w:bCs w:val="1"/>
                <w:color w:val="auto"/>
              </w:rPr>
              <w:t>37.0</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1,926.8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2,141.8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 had net long-lived assets by country as follows (dollars in millions):</w:t>
            </w: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center"/>
              <w:ind w:left="193"/>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$478.7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$493.6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India</w:t>
            </w:r>
          </w:p>
        </w:tc>
        <w:tc>
          <w:tcPr>
            <w:tcW w:w="16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59.9</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76.8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16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Others</w:t>
            </w:r>
          </w:p>
        </w:tc>
        <w:tc>
          <w:tcPr>
            <w:tcW w:w="900" w:type="dxa"/>
            <w:vAlign w:val="bottom"/>
            <w:gridSpan w:val="2"/>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6.7</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7.4</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563.4</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596.2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color w:val="auto"/>
        </w:rPr>
        <w:t>QUARTERLY FINANCIAL INFORMATION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June 30</w:t>
            </w:r>
          </w:p>
        </w:tc>
        <w:tc>
          <w:tcPr>
            <w:tcW w:w="50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2013</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457.4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512.1</w:t>
            </w:r>
          </w:p>
        </w:tc>
        <w:tc>
          <w:tcPr>
            <w:tcW w:w="7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466.3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198.3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4"/>
              </w:rPr>
              <w:t>226.1</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206.1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81.4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117.7</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111.2</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81.8</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72.4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44.5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0.15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0.27</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0.24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0.26</w:t>
            </w:r>
          </w:p>
        </w:tc>
        <w:tc>
          <w:tcPr>
            <w:tcW w:w="7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0.24</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601.9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559.4</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493.5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283.8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251.9</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154.7</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119.6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412.8</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0" w:firstLine="456"/>
        <w:spacing w:after="0" w:line="308" w:lineRule="auto"/>
        <w:rPr>
          <w:sz w:val="20"/>
          <w:szCs w:val="20"/>
          <w:color w:val="auto"/>
        </w:rPr>
      </w:pPr>
      <w:r>
        <w:rPr>
          <w:rFonts w:ascii="Arial" w:cs="Arial" w:eastAsia="Arial" w:hAnsi="Arial"/>
          <w:sz w:val="17"/>
          <w:szCs w:val="17"/>
          <w:color w:val="auto"/>
        </w:rPr>
        <w:t>The Company’s 2012 quarterly results were affected by certain nonrecurring items. In the quarter ended June 30, 2012, the Company recorded an income tax benefit of $384.8 million related to the release of the Company’s valuation allowance against its deferred tax asset.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270" w:right="319" w:bottom="1440" w:gutter="0" w:footer="0" w:header="0"/>
        </w:sectPr>
      </w:pPr>
    </w:p>
    <w:bookmarkStart w:id="99" w:name="page100"/>
    <w:bookmarkEnd w:id="9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23.</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31, 2013, the Company entered into Amendment No. 9 to the Credit Agreement, dated as of August 7, 2007 which allowed the Company to add up to an additional $90.0 million to the revolving portion of its Senior Secured Credit Facility prior to February 15, 2014. As of February 15, 2014, the Company had $465.0 million available under the revolving portion of its Senior Secured Credit Facility.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0"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1,438.8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stock</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1,631.8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(173.8)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9"/>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General and administrative fees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 of consolidated subsidiary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165.4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514.2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514.2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514.2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165.4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165.4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Deduct items included in net income not providing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ind w:left="360"/>
              <w:spacing w:after="0"/>
              <w:rPr>
                <w:sz w:val="20"/>
                <w:szCs w:val="20"/>
                <w:color w:val="auto"/>
              </w:rPr>
            </w:pPr>
            <w:r>
              <w:rPr>
                <w:rFonts w:ascii="Arial" w:cs="Arial" w:eastAsia="Arial" w:hAnsi="Arial"/>
                <w:sz w:val="18"/>
                <w:szCs w:val="18"/>
                <w:color w:val="auto"/>
              </w:rPr>
              <w:t>Equity in earnings in consolidated subsidiary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(165.4)</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(103.0)</w:t>
            </w: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77.1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(77.1)</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increase (decrease) during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0" w:right="2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of the Consolidated Financial Statements). The entire amount of our consolidated net assets was subject to restrictions on payment of dividends at the end of December 31, 2013 and 2012.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70" w:right="299" w:bottom="1440" w:gutter="0" w:footer="0" w:header="0"/>
        </w:sectPr>
      </w:pPr>
    </w:p>
    <w:bookmarkStart w:id="104" w:name="page105"/>
    <w:bookmarkEnd w:id="10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2013,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2013.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Based on this assessment, management concluded that our internal control over financial reporting was effective as of December 31, 2013. PricewaterhouseCoopers LLP, our independent registered public accounting firm, has audited the effectiveness of our internal control over financial reporting as of December 31, 2013. Their report is included in Part II, Item 8, “Financial Statements and Supplementary Data”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2013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February 18, 2014, the Compensation Committee of the Board of Directors of the Company authorized a plan pursuant to which the Company would enter into a Change in Control Severance Agreement (“Agreement”) in an approved form with each of the Company’s Senior Vice President, Operations and Purchasing; Senior Vice President, Global Marketing, Sales and Service; Vice President, Product Engineering; and Vice President, General Counsel and Secretary. The form of Agreement provides for payment of severance to the executive upon the termination of executive’s employment without cause or the resignation of employment by the executive for good reason, in either case within two years after a change in control of the Company. The severance will be in an amount equal to two times (1) annual base salary plus (2) target bonus amount. In addition, the form of Agreement provides that all unvested equity or equity-based awards will fully vest upon a qualifying termination, and the executive will have additional time to exercise stock options granted under the Company’s equity compensation plans, provided that, unless a provision more favorable to the executive is included in an applicable award agreement, any such awards that are subject to performance-based vesting conditions shall only be payable subject to the attainment of the performance measures for the applicable performance period as provided under the terms of the applicable award agreement.</w:t>
      </w:r>
    </w:p>
    <w:p>
      <w:pPr>
        <w:spacing w:after="0" w:line="16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above description is qualified in its entirety by reference to the form of Change in Control Severance Agreement which is attached hereto as Exhibit 10.34.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0"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2014 annual meeting of stockholders which will be filed with the SEC pursuant to Regulation 14A within 120 days after the end of our last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code of business conduct, or any grant of a waiver from a provision of the code of business conduct.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2014 annual meeting of stockholders which will be filed with the SEC pursuant to Regulation 14A within 120 days after the end of our last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2014 annual meeting of stockholders which will be filed with the SEC pursuant to Regulation 14A within 120 days after the end of our last fiscal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2014 annual meeting of stockholders which will be filed with the SEC pursuant to Regulation 14A within 120 days after the end of our last fiscal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340" w:firstLine="913"/>
        <w:spacing w:after="0" w:line="286" w:lineRule="auto"/>
        <w:rPr>
          <w:sz w:val="20"/>
          <w:szCs w:val="20"/>
          <w:color w:val="auto"/>
        </w:rPr>
      </w:pPr>
      <w:r>
        <w:rPr>
          <w:rFonts w:ascii="Arial" w:cs="Arial" w:eastAsia="Arial" w:hAnsi="Arial"/>
          <w:sz w:val="17"/>
          <w:szCs w:val="17"/>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2014 annual meeting of stockholders which will be filed with the SEC pursuant to Regulation 14A within 120 days after the end of our last fiscal year.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513" w:right="2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Schedule I is included in Part II, Item 8, of this Annual Report on Form 10-K. All other schedules have been omitted because they are not required or because the information required is included in the consolidated financial statements and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 to Item 15(b)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3"/>
            <w:vMerge w:val="restart"/>
          </w:tcPr>
          <w:p>
            <w:pPr>
              <w:ind w:left="45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6"/>
              </w:rPr>
              <w:t>Amended and Restated Certificate of Incorporation of Allison Transmission Holdings, Inc. (incorporated by reference to Exhibit 3.1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Registrant’s Quarterly Report on Form 10-Q for the quarter ended March 31, 2012 filed on April 26, 2012)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Amended and Restated Bylaws of Allison Transmission Holdings, Inc. (incorporated by reference to Exhibit 3.2 to the Registrant’s Quarterly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Report on Form 10-Q for the quarter ended March 31, 2012 filed on April 26, 2012)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Form of Stock Certificate (incorporated by reference to Exhibit 4.1 to Amendment No. 3 to the Registrant’s Registration Statement on Form S-1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filed June 16, 2011)</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Indenture governing the 11.0% Senior Notes due 2015, among Allison Transmission, Inc. as Issuer, the Guarantors named therein, and Wells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Fargo Bank, National Association, as trustee, dated October 16, 2007 (incorporated by reference to Exhibit 4.2 to the Registrant’s Registration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Statement on Form S-1 filed March 18, 2011)</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Form of 11.0% Senior Note due 2015 (included in Exhibit 4.2)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0"/>
              </w:rPr>
              <w:t>Indenture governing the 11.25% Senior Toggle Notes due 2015, among Allison Transmission, Inc. as Issuer, the Guarantors named therein,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6"/>
              </w:rPr>
              <w:t>Wells Fargo Bank, National Association, as trustee, dated October 17, 2007 (incorporated by reference to Exhibit 4.4 to the Registrant’s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Registration Statement on Form S-1 filed March 18, 2011)</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Form of 11.25% Senior Toggle Note due 2015 (included in Exhibit 4.4)</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Indenture governing the 7.125% Senior Notes due 2019, among Allison Transmission, Inc. as Issuer, the Guarantors named therein, and Wells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8"/>
              </w:rPr>
              <w:t>Fargo Bank, National Association, as trustee, dated May 6, 2011 (incorporated by reference to Exhibit 4.6 to Amendment No. 2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Form of 7.125% Senior Note due 2019 (included in Exhibit 4.6)</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Credit Agreement among Allison Transmission Holdings, Inc., Allison Transmission, Inc., as Borrower, the Several Lenders from time to time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parties thereto, Citicorp North America, Inc., as Administrative Agent, Lehman Brothers Commercial Bank and Merrill Lynch, Pierce, Fenner &amp;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Smith Incorporated, as Syndication Agents, Sumitomo Mitsui Banking Corporation, as Documentation Agent and Co-Arranger and Citigroup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8"/>
              </w:rPr>
              <w:t>Global Markets Inc., Lehman Brothers Inc. and Merrill Lynch &amp; Co., Merrill Lynch, Pierce, Fenner &amp; Smith Incorporated, As Joint Lead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Arrangers And Joint Bookrunners, dated as of August 7, 2007 (incorporated by reference to Exhibit 10.1 to Amendment No. 1 to the Registrant’s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Registration Statement on Form S-1 filed April 26, 2011)</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First Amendment to the Credit Agreement among Allison Transmission Holdings, Inc., Allison Transmission, Inc., as Borrower, the Several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6"/>
              </w:rPr>
              <w:t>Lenders from time to time parties thereto, Citicorp North America, Inc., as Administrative Agent, Lehman Brothers Commercial Bank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Merrill Lynch, Pierce, Fenner &amp; Smith Incorporated, as Syndication Agents, Sumitomo Mitsui Banking Corporation, as Documentation Agent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5"/>
              </w:rPr>
              <w:t>and Co-Arranger and Citigroup Global Markets Inc., Lehman Brothers Inc. and Merrill Lynch &amp; Co., Merrill Lynch, Pierce, Fenner &amp; Smith</w:t>
            </w:r>
          </w:p>
        </w:tc>
        <w:tc>
          <w:tcPr>
            <w:tcW w:w="0" w:type="dxa"/>
            <w:vAlign w:val="bottom"/>
          </w:tcPr>
          <w:p>
            <w:pPr>
              <w:spacing w:after="0"/>
              <w:rPr>
                <w:sz w:val="1"/>
                <w:szCs w:val="1"/>
                <w:color w:val="auto"/>
              </w:rPr>
            </w:pPr>
          </w:p>
        </w:tc>
      </w:tr>
    </w:tbl>
    <w:p>
      <w:pPr>
        <w:ind w:left="920" w:right="80"/>
        <w:spacing w:after="0" w:line="261" w:lineRule="auto"/>
        <w:rPr>
          <w:sz w:val="20"/>
          <w:szCs w:val="20"/>
          <w:color w:val="auto"/>
        </w:rPr>
      </w:pPr>
      <w:r>
        <w:rPr>
          <w:rFonts w:ascii="Arial" w:cs="Arial" w:eastAsia="Arial" w:hAnsi="Arial"/>
          <w:sz w:val="18"/>
          <w:szCs w:val="18"/>
          <w:color w:val="auto"/>
        </w:rPr>
        <w:t>Incorporated, As Joint Lead Arrangers And Joint Bookrunners, dated as of November 21, 2008 (incorporated by reference to Exhibit 10.2 to the Registrant’s Registration Statement on Form S-1 filed March 18, 2011)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513" w:right="2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Guarantee And Collateral Agreement made by Allison Transmission Holdings, Inc. Allison Transmission, Inc. as Borrower, and the Subsidiary</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7"/>
              </w:rPr>
              <w:t>Guarantors party hereto in favor of Citicorp North America, Inc., as Administrative Agent, dated as of August 7, 2007 (incorporated by</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reference to Exhibit 10.3 to the Registrant’s Registration Statement on Form S-1 filed March 18,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Trademark Security Agreement made by Allison Transmission, Inc. in favor of Citicorp North America, Inc., as Administrative Agent, dated as</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of August 7, 2007 (incorporated by reference to Exhibit 10.4 to the Registrant’s Registration Statement on Form S-1 filed March 18,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Copyright Security Agreement made by Allison Transmission, Inc. in favor of Citicorp North America, Inc., as Administrative Agent, dated as</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of August 7, 2007 (incorporated by reference to Exhibit 10.5 to Amendment No. 2 to the Registrant’s Registration Statement on Form S-1 filed</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Amended and Restated Stockholders Agreement (incorporated by reference to Exhibit 10.6 to the Registrant’s Quarterly Report on Form 10-Q</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for the quarter ended March 31, 2012 filed on April 26, 2012)</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220"/>
              <w:spacing w:after="0"/>
              <w:rPr>
                <w:sz w:val="20"/>
                <w:szCs w:val="20"/>
                <w:color w:val="auto"/>
              </w:rPr>
            </w:pPr>
            <w:r>
              <w:rPr>
                <w:rFonts w:ascii="Arial" w:cs="Arial" w:eastAsia="Arial" w:hAnsi="Arial"/>
                <w:sz w:val="18"/>
                <w:szCs w:val="18"/>
                <w:color w:val="auto"/>
                <w:w w:val="98"/>
              </w:rPr>
              <w:t>Employment and Severance Agreement, between Allison Transmission, Inc. and Lawrence E. Dewey, dated as of February 7, 2008</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10.7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220"/>
              <w:spacing w:after="0"/>
              <w:rPr>
                <w:sz w:val="20"/>
                <w:szCs w:val="20"/>
                <w:color w:val="auto"/>
              </w:rPr>
            </w:pPr>
            <w:r>
              <w:rPr>
                <w:rFonts w:ascii="Arial" w:cs="Arial" w:eastAsia="Arial" w:hAnsi="Arial"/>
                <w:sz w:val="18"/>
                <w:szCs w:val="18"/>
                <w:color w:val="auto"/>
                <w:w w:val="99"/>
              </w:rPr>
              <w:t>Employment and Severance Agreement, between Allison Transmission, Inc. and David S. Graziosi, dated as of November 1, 2007</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10.8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Allison Transmission Holdings, Inc. Indemnification Agreement (incorporated by reference to Exhibit 10.9 to Amendment No. 2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Allison Transmission Holdings, Inc. 2011 Equity Incentive Award Plan (incorporated by reference to Exhibit 10.10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Form of 2011 Equity Incentive Award Plan Restricted Stock Agreement (incorporated by reference to Exhibit 10.11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2011 Equity Incentive Award Plan Restricted Stock Unit Agreement (incorporated by reference to Exhibit 10.12 to Amendment No. 3</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to the 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Form of 2011 Equity Incentive Award Plan Stock Option Agreement (incorporated by reference to Exhibit 10.13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220"/>
              <w:spacing w:after="0"/>
              <w:rPr>
                <w:sz w:val="20"/>
                <w:szCs w:val="20"/>
                <w:color w:val="auto"/>
              </w:rPr>
            </w:pPr>
            <w:r>
              <w:rPr>
                <w:rFonts w:ascii="Arial" w:cs="Arial" w:eastAsia="Arial" w:hAnsi="Arial"/>
                <w:sz w:val="18"/>
                <w:szCs w:val="18"/>
                <w:color w:val="auto"/>
                <w:w w:val="99"/>
              </w:rPr>
              <w:t>Equity Incentive Plan of Allison Transmission Holdings, Inc. (incorporated by reference to Exhibit 10.14 to Amendment No. 2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Employee Stock Option Agreement under Equity Incentive Plan of Allison Transmission Holdings, Inc. (incorporated by reference to</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Exhibit 10.15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Form of Independent Director Stock Option Agreement under Equity Incentive Plan of Allison Transmission Holdings, Inc. (incorporated by</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reference to Exhibit 10.16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Second Amendment to the Credit Agreement among Allison Transmission Holdings, Inc., Allison Transmission, Inc., as Borrower, the several</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banks and other financial institutions or entities from time to time parties thereto as Lenders, Citicorp North America, Inc., as Administrative</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Agent and Collateral Agent, Lehman Brothers Commercial Bank and Merrill Lynch, Pierce, Fenner &amp; Smith Incorporated, as Syndication</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6"/>
              </w:rPr>
              <w:t>Agents, Sumitomo Mitsui Banking Corporation, as Documentation Agent and Co-Arranger, and Citigroup Global Markets Inc., Lehman</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Brothers Inc., and Merrill Lynch &amp; Co., Merrill Lynch, Pierce, Fenner &amp; Smith Incorporated, as Joint Lead Arrangers and Joint Bookrunners,</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dated as of May 13, 2011 (incorporated by reference to Exhibit 10.17 to Amendment No. 3 to the Registrant’s Registration Statement on Form</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Third Amendment to the Credit Agreement among Allison Transmission Holdings, Inc., Allison Transmission, Inc., as Borrower, the several</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banks and other financial institutions or entities from time to time parties thereto as Lenders, Citicorp North America, Inc., as Administrative</w:t>
            </w:r>
          </w:p>
        </w:tc>
      </w:tr>
    </w:tbl>
    <w:p>
      <w:pPr>
        <w:ind w:left="940" w:right="2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Collateral Agent and the other agents and arrangers party thereto, dated as of March 9, 2012 (incorporated by reference to Exhibit 10.19 to Amendment No. 8 to the Registrant’s Registration Statement on Form S-1 filed March 12, 2012)</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340" w:top="382" w:right="259" w:bottom="1440" w:gutter="0" w:footer="0" w:header="0"/>
        </w:sectPr>
      </w:pPr>
    </w:p>
    <w:bookmarkStart w:id="108" w:name="page109"/>
    <w:bookmarkEnd w:id="108"/>
    <w:p>
      <w:pPr>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10.19*</w:t>
      </w:r>
      <w:r>
        <w:rPr>
          <w:sz w:val="20"/>
          <w:szCs w:val="20"/>
          <w:color w:val="auto"/>
        </w:rPr>
        <w:tab/>
      </w:r>
      <w:r>
        <w:rPr>
          <w:rFonts w:ascii="Arial" w:cs="Arial" w:eastAsia="Arial" w:hAnsi="Arial"/>
          <w:sz w:val="16"/>
          <w:szCs w:val="16"/>
          <w:color w:val="auto"/>
        </w:rPr>
        <w:t>Incentive Plan of Allison Transmission Holdings, Inc. (incorporated by reference to Exhibit 10.20 to the Registrant’s Quarterly Report on Form</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10-Q for the quarter ended June 30, 2012 filed on July 31, 2012)</w:t>
      </w:r>
    </w:p>
    <w:p>
      <w:pPr>
        <w:spacing w:after="0" w:line="103" w:lineRule="exact"/>
        <w:rPr>
          <w:sz w:val="20"/>
          <w:szCs w:val="20"/>
          <w:color w:val="auto"/>
        </w:rPr>
      </w:pPr>
    </w:p>
    <w:p>
      <w:pPr>
        <w:ind w:left="940" w:right="160" w:hanging="935"/>
        <w:spacing w:after="0" w:line="277" w:lineRule="auto"/>
        <w:tabs>
          <w:tab w:leader="none" w:pos="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Deferred Compensation Plan of Allison Transmission Inc. (incorporated by reference to Exhibit 10.21 to the Registrant’s Quarterly Report on Form 10-Q for the quarter ended June 30, 2012 filed on July 31, 2012)</w:t>
      </w:r>
    </w:p>
    <w:p>
      <w:pPr>
        <w:spacing w:after="0" w:line="62" w:lineRule="exact"/>
        <w:rPr>
          <w:sz w:val="20"/>
          <w:szCs w:val="20"/>
          <w:color w:val="auto"/>
        </w:rPr>
      </w:pPr>
    </w:p>
    <w:p>
      <w:pPr>
        <w:ind w:left="940" w:right="220" w:hanging="935"/>
        <w:spacing w:after="0" w:line="259" w:lineRule="auto"/>
        <w:tabs>
          <w:tab w:leader="none" w:pos="9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4 to the Credit Agreement, dated as of August 23,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23, 2012)</w:t>
      </w:r>
    </w:p>
    <w:p>
      <w:pPr>
        <w:spacing w:after="0" w:line="79" w:lineRule="exact"/>
        <w:rPr>
          <w:sz w:val="20"/>
          <w:szCs w:val="20"/>
          <w:color w:val="auto"/>
        </w:rPr>
      </w:pPr>
    </w:p>
    <w:p>
      <w:pPr>
        <w:ind w:left="940" w:right="260" w:hanging="935"/>
        <w:spacing w:after="0" w:line="259" w:lineRule="auto"/>
        <w:tabs>
          <w:tab w:leader="none" w:pos="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5 to the Credit Agreement, dated as of October 4,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October 4, 2012)</w:t>
      </w:r>
    </w:p>
    <w:p>
      <w:pPr>
        <w:spacing w:after="0" w:line="79" w:lineRule="exact"/>
        <w:rPr>
          <w:sz w:val="20"/>
          <w:szCs w:val="20"/>
          <w:color w:val="auto"/>
        </w:rPr>
      </w:pPr>
    </w:p>
    <w:p>
      <w:pPr>
        <w:ind w:left="940" w:right="20" w:hanging="935"/>
        <w:spacing w:after="0" w:line="277" w:lineRule="auto"/>
        <w:tabs>
          <w:tab w:leader="none" w:pos="9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Non-Employee Director Deferred Compensation Plan of Allison Transmission Holdings, Inc. (incorporated by reference to Exhibit 10.23 to the Registrant’s Annual Report on Form 10-K for the year ended December 31, 2012 filed on February 28, 2013)</w:t>
      </w:r>
    </w:p>
    <w:p>
      <w:pPr>
        <w:spacing w:after="0" w:line="62" w:lineRule="exact"/>
        <w:rPr>
          <w:sz w:val="20"/>
          <w:szCs w:val="20"/>
          <w:color w:val="auto"/>
        </w:rPr>
      </w:pPr>
    </w:p>
    <w:p>
      <w:pPr>
        <w:ind w:left="940" w:right="140" w:hanging="935"/>
        <w:spacing w:after="0" w:line="342" w:lineRule="auto"/>
        <w:tabs>
          <w:tab w:leader="none" w:pos="9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 Amendment to Stock Option Agreement under Equity Incentive Plan of Allison Transmission Holdings, Inc. (incorporated by reference to Exhibit 10.24 to the Registrant’s Annual Report on Form 10-K for the year ended December 31, 2012 filed on February 28, 2013)</w:t>
      </w:r>
    </w:p>
    <w:p>
      <w:pPr>
        <w:spacing w:after="0" w:line="16" w:lineRule="exact"/>
        <w:rPr>
          <w:sz w:val="20"/>
          <w:szCs w:val="20"/>
          <w:color w:val="auto"/>
        </w:rPr>
      </w:pPr>
    </w:p>
    <w:p>
      <w:pPr>
        <w:ind w:left="940" w:right="180" w:hanging="935"/>
        <w:spacing w:after="0" w:line="259" w:lineRule="auto"/>
        <w:tabs>
          <w:tab w:leader="none" w:pos="9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 6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February 6, 2013)</w:t>
      </w:r>
    </w:p>
    <w:p>
      <w:pPr>
        <w:spacing w:after="0" w:line="79" w:lineRule="exact"/>
        <w:rPr>
          <w:sz w:val="20"/>
          <w:szCs w:val="20"/>
          <w:color w:val="auto"/>
        </w:rPr>
      </w:pPr>
    </w:p>
    <w:p>
      <w:pPr>
        <w:ind w:left="940" w:right="220" w:hanging="935"/>
        <w:spacing w:after="0" w:line="259" w:lineRule="auto"/>
        <w:tabs>
          <w:tab w:leader="none" w:pos="9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7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10.2 to the Registrant’s Current Report on Form 8-K filed February 6, 2013)</w:t>
      </w:r>
    </w:p>
    <w:p>
      <w:pPr>
        <w:spacing w:after="0" w:line="79" w:lineRule="exact"/>
        <w:rPr>
          <w:sz w:val="20"/>
          <w:szCs w:val="20"/>
          <w:color w:val="auto"/>
        </w:rPr>
      </w:pPr>
    </w:p>
    <w:p>
      <w:pPr>
        <w:ind w:left="940" w:right="280" w:hanging="935"/>
        <w:spacing w:after="0" w:line="258" w:lineRule="auto"/>
        <w:tabs>
          <w:tab w:leader="none" w:pos="9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Amendment to Stock Option Agreement under the Allison Transmission Holdings, Inc. 2011 Equity Incentive Award Plan and Equity Incentive Plan of Allison Transmission Holdings, Inc.</w:t>
      </w:r>
    </w:p>
    <w:p>
      <w:pPr>
        <w:spacing w:after="0" w:line="1" w:lineRule="exact"/>
        <w:rPr>
          <w:sz w:val="20"/>
          <w:szCs w:val="20"/>
          <w:color w:val="auto"/>
        </w:rPr>
      </w:pPr>
    </w:p>
    <w:p>
      <w:pPr>
        <w:ind w:left="940" w:right="340"/>
        <w:spacing w:after="0" w:line="261" w:lineRule="auto"/>
        <w:rPr>
          <w:sz w:val="20"/>
          <w:szCs w:val="20"/>
          <w:color w:val="auto"/>
        </w:rPr>
      </w:pPr>
      <w:r>
        <w:rPr>
          <w:rFonts w:ascii="Arial" w:cs="Arial" w:eastAsia="Arial" w:hAnsi="Arial"/>
          <w:sz w:val="18"/>
          <w:szCs w:val="18"/>
          <w:color w:val="auto"/>
        </w:rPr>
        <w:t>(incorporated by reference to Exhibit 10.27 to the Registrant’s Quarterly Report on Form 10-Q for the quarter ended June 30, 2013 filed on July 30, 2013)</w:t>
      </w:r>
    </w:p>
    <w:p>
      <w:pPr>
        <w:spacing w:after="0" w:line="89" w:lineRule="exact"/>
        <w:rPr>
          <w:sz w:val="20"/>
          <w:szCs w:val="20"/>
          <w:color w:val="auto"/>
        </w:rPr>
      </w:pPr>
    </w:p>
    <w:p>
      <w:pPr>
        <w:ind w:left="940" w:right="520" w:hanging="935"/>
        <w:spacing w:after="0" w:line="277" w:lineRule="auto"/>
        <w:tabs>
          <w:tab w:leader="none" w:pos="9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First Amendment to the Stockholders Agreement dated as of May 8, 2013 (incorporated by reference to Exhibit 10.28 to the Registrant’s Quarterly Report on Form 10-Q for the quarter ended June 30, 2013 filed on July 30, 2013)</w:t>
      </w:r>
    </w:p>
    <w:p>
      <w:pPr>
        <w:spacing w:after="0" w:line="62" w:lineRule="exact"/>
        <w:rPr>
          <w:sz w:val="20"/>
          <w:szCs w:val="20"/>
          <w:color w:val="auto"/>
        </w:rPr>
      </w:pPr>
    </w:p>
    <w:p>
      <w:pPr>
        <w:ind w:left="940" w:right="160" w:hanging="935"/>
        <w:spacing w:after="0" w:line="277" w:lineRule="auto"/>
        <w:tabs>
          <w:tab w:leader="none" w:pos="9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2011 Equity Incentive Award Plan Stock Option Agreement (incorporated by reference to Exhibit 10.29 to the Registrant’s Quarterly Report on Form 10-Q for the quarter ended September 30, 2013 filed on October 29, 2013)</w:t>
      </w:r>
    </w:p>
    <w:p>
      <w:pPr>
        <w:spacing w:after="0" w:line="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2011 Equity Incentive Award Plan Restricted Stock Unit Agreement for Non-Employee Directors (incorporated by reference to Exhibit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10.30 to the Registrant’s Quarterly Report on Form 10-Q for the quarter ended September 30, 2013 filed on October 29, 2013)</w:t>
      </w:r>
    </w:p>
    <w:p>
      <w:pPr>
        <w:spacing w:after="0" w:line="103" w:lineRule="exact"/>
        <w:rPr>
          <w:sz w:val="20"/>
          <w:szCs w:val="20"/>
          <w:color w:val="auto"/>
        </w:rPr>
      </w:pPr>
    </w:p>
    <w:p>
      <w:pPr>
        <w:ind w:left="940" w:right="60" w:hanging="935"/>
        <w:spacing w:after="0" w:line="277" w:lineRule="auto"/>
        <w:tabs>
          <w:tab w:leader="none" w:pos="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Non-Employee Director Compensation Policy (incorporated by reference to Exhibit 10.31 to the Registrant’s Quarterly Report on Form 10-Q for the quarter ended September 30, 2013 filed on October 29, 2013)</w:t>
      </w:r>
    </w:p>
    <w:p>
      <w:pPr>
        <w:spacing w:after="0" w:line="62" w:lineRule="exact"/>
        <w:rPr>
          <w:sz w:val="20"/>
          <w:szCs w:val="20"/>
          <w:color w:val="auto"/>
        </w:rPr>
      </w:pPr>
    </w:p>
    <w:p>
      <w:pPr>
        <w:ind w:left="940" w:right="220" w:hanging="935"/>
        <w:spacing w:after="0" w:line="259" w:lineRule="auto"/>
        <w:tabs>
          <w:tab w:leader="none" w:pos="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8 to the Credit Agreement, dated as of August 26,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26, 2013)</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00"/>
          </w:cols>
          <w:pgMar w:left="340" w:top="382" w:right="2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10.33</w:t>
            </w: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Amendment No. 9 to the Credit Agreement, dated as of December 31, 2013, among Allison Transmission Holdings, Inc., Allison</w:t>
            </w:r>
          </w:p>
        </w:tc>
      </w:tr>
      <w:tr>
        <w:trPr>
          <w:trHeight w:val="216"/>
        </w:trPr>
        <w:tc>
          <w:tcPr>
            <w:tcW w:w="102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Transmission, Inc., as Borrower, the several banks and other financial institutions or entities from time to time parties thereto as Lenders,</w:t>
            </w:r>
          </w:p>
        </w:tc>
      </w:tr>
      <w:tr>
        <w:trPr>
          <w:trHeight w:val="216"/>
        </w:trPr>
        <w:tc>
          <w:tcPr>
            <w:tcW w:w="102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Citicorp North America, Inc., as Administrative Agent and the other agents and arrangers party thereto (incorporated by reference to Exhibit</w:t>
            </w:r>
          </w:p>
        </w:tc>
      </w:tr>
      <w:tr>
        <w:trPr>
          <w:trHeight w:val="230"/>
        </w:trPr>
        <w:tc>
          <w:tcPr>
            <w:tcW w:w="10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10.1 to the Registrant’s Current Report on Form 8-K filed December 31, 2013)</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10.34*</w:t>
            </w:r>
          </w:p>
        </w:tc>
        <w:tc>
          <w:tcPr>
            <w:tcW w:w="10360" w:type="dxa"/>
            <w:vAlign w:val="bottom"/>
          </w:tcPr>
          <w:p>
            <w:pPr>
              <w:ind w:left="240"/>
              <w:spacing w:after="0"/>
              <w:rPr>
                <w:sz w:val="20"/>
                <w:szCs w:val="20"/>
                <w:color w:val="auto"/>
              </w:rPr>
            </w:pPr>
            <w:r>
              <w:rPr>
                <w:rFonts w:ascii="Arial" w:cs="Arial" w:eastAsia="Arial" w:hAnsi="Arial"/>
                <w:sz w:val="18"/>
                <w:szCs w:val="18"/>
                <w:color w:val="auto"/>
              </w:rPr>
              <w:t>Form of Change in Control Severance Agreement (filed herewith)</w:t>
            </w:r>
          </w:p>
        </w:tc>
      </w:tr>
      <w:tr>
        <w:trPr>
          <w:trHeight w:val="310"/>
        </w:trPr>
        <w:tc>
          <w:tcPr>
            <w:tcW w:w="1020" w:type="dxa"/>
            <w:vAlign w:val="bottom"/>
          </w:tcPr>
          <w:p>
            <w:pPr>
              <w:ind w:left="100"/>
              <w:spacing w:after="0"/>
              <w:rPr>
                <w:sz w:val="20"/>
                <w:szCs w:val="20"/>
                <w:color w:val="auto"/>
              </w:rPr>
            </w:pPr>
            <w:r>
              <w:rPr>
                <w:rFonts w:ascii="Arial" w:cs="Arial" w:eastAsia="Arial" w:hAnsi="Arial"/>
                <w:sz w:val="18"/>
                <w:szCs w:val="18"/>
                <w:color w:val="auto"/>
              </w:rPr>
              <w:t>14.1</w:t>
            </w:r>
          </w:p>
        </w:tc>
        <w:tc>
          <w:tcPr>
            <w:tcW w:w="10360" w:type="dxa"/>
            <w:vAlign w:val="bottom"/>
          </w:tcPr>
          <w:p>
            <w:pPr>
              <w:ind w:left="240"/>
              <w:spacing w:after="0"/>
              <w:rPr>
                <w:sz w:val="20"/>
                <w:szCs w:val="20"/>
                <w:color w:val="auto"/>
              </w:rPr>
            </w:pPr>
            <w:r>
              <w:rPr>
                <w:rFonts w:ascii="Arial" w:cs="Arial" w:eastAsia="Arial" w:hAnsi="Arial"/>
                <w:sz w:val="18"/>
                <w:szCs w:val="18"/>
                <w:color w:val="auto"/>
                <w:w w:val="97"/>
              </w:rPr>
              <w:t>Code of Business Conduct, adopted by the Board of Directors on March 14, 2012 (incorporated by reference to Exhibit 14.1 to the</w:t>
            </w:r>
          </w:p>
        </w:tc>
      </w:tr>
      <w:tr>
        <w:trPr>
          <w:trHeight w:val="230"/>
        </w:trPr>
        <w:tc>
          <w:tcPr>
            <w:tcW w:w="10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ended December 31, 2012 filed on February 28, 2013)</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10360" w:type="dxa"/>
            <w:vAlign w:val="bottom"/>
          </w:tcPr>
          <w:p>
            <w:pPr>
              <w:ind w:left="240"/>
              <w:spacing w:after="0"/>
              <w:rPr>
                <w:sz w:val="20"/>
                <w:szCs w:val="20"/>
                <w:color w:val="auto"/>
              </w:rPr>
            </w:pPr>
            <w:r>
              <w:rPr>
                <w:rFonts w:ascii="Arial" w:cs="Arial" w:eastAsia="Arial" w:hAnsi="Arial"/>
                <w:sz w:val="18"/>
                <w:szCs w:val="18"/>
                <w:color w:val="auto"/>
              </w:rPr>
              <w:t>List of Subsidiaries of Allison Transmission Holdings, Inc.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0360" w:type="dxa"/>
            <w:vAlign w:val="bottom"/>
          </w:tcPr>
          <w:p>
            <w:pPr>
              <w:ind w:left="240"/>
              <w:spacing w:after="0"/>
              <w:rPr>
                <w:sz w:val="20"/>
                <w:szCs w:val="20"/>
                <w:color w:val="auto"/>
              </w:rPr>
            </w:pPr>
            <w:r>
              <w:rPr>
                <w:rFonts w:ascii="Arial" w:cs="Arial" w:eastAsia="Arial" w:hAnsi="Arial"/>
                <w:sz w:val="18"/>
                <w:szCs w:val="18"/>
                <w:color w:val="auto"/>
              </w:rPr>
              <w:t>Consent of PricewaterhouseCoopers LLP (filed herewith)</w:t>
            </w:r>
          </w:p>
        </w:tc>
      </w:tr>
      <w:tr>
        <w:trPr>
          <w:trHeight w:val="310"/>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w w:val="96"/>
              </w:rPr>
              <w:t>Certification pursuant to Rule 13a-14(a)/15d-14(a) of the Securities Exchange Act of 1934 of the Chief Executive Officer, as adopted</w:t>
            </w:r>
          </w:p>
        </w:tc>
      </w:tr>
      <w:tr>
        <w:trPr>
          <w:trHeight w:val="230"/>
        </w:trPr>
        <w:tc>
          <w:tcPr>
            <w:tcW w:w="10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310"/>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60" w:type="dxa"/>
            <w:vAlign w:val="bottom"/>
          </w:tcPr>
          <w:p>
            <w:pPr>
              <w:ind w:left="240"/>
              <w:spacing w:after="0"/>
              <w:rPr>
                <w:sz w:val="20"/>
                <w:szCs w:val="20"/>
                <w:color w:val="auto"/>
              </w:rPr>
            </w:pPr>
            <w:r>
              <w:rPr>
                <w:rFonts w:ascii="Arial" w:cs="Arial" w:eastAsia="Arial" w:hAnsi="Arial"/>
                <w:sz w:val="18"/>
                <w:szCs w:val="18"/>
                <w:color w:val="auto"/>
                <w:w w:val="96"/>
              </w:rPr>
              <w:t>Certification pursuant to Rule 13a-14(a)/15d-14(a) of the Securities Exchange Act of 1934 of the Chief Financial Officer, as adopted</w:t>
            </w:r>
          </w:p>
        </w:tc>
      </w:tr>
      <w:tr>
        <w:trPr>
          <w:trHeight w:val="230"/>
        </w:trPr>
        <w:tc>
          <w:tcPr>
            <w:tcW w:w="10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(filed herewith)</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3" w:lineRule="exact"/>
        <w:rPr>
          <w:sz w:val="20"/>
          <w:szCs w:val="20"/>
          <w:color w:val="auto"/>
        </w:rPr>
      </w:pPr>
    </w:p>
    <w:p>
      <w:pPr>
        <w:ind w:left="220" w:hanging="212"/>
        <w:spacing w:after="0" w:line="255"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382" w:right="2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February 24, 2014</w:t>
      </w:r>
      <w:r>
        <w:rPr>
          <w:sz w:val="20"/>
          <w:szCs w:val="20"/>
          <w:color w:val="auto"/>
        </w:rPr>
        <w:tab/>
      </w:r>
      <w:r>
        <w:rPr>
          <w:rFonts w:ascii="Arial" w:cs="Arial" w:eastAsia="Arial" w:hAnsi="Arial"/>
          <w:sz w:val="17"/>
          <w:szCs w:val="17"/>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Chairman of the Board, President and Chief Executive Officer (Principal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Officer)</w:t>
      </w:r>
    </w:p>
    <w:p>
      <w:pPr>
        <w:spacing w:after="0" w:line="224"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SIGNATURES</w:t>
            </w:r>
          </w:p>
        </w:tc>
        <w:tc>
          <w:tcPr>
            <w:tcW w:w="1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CAPACITY</w:t>
            </w: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Lawrence E. Dewey</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and Chief Executive Officer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Lawrence E. Dewey</w:t>
            </w:r>
          </w:p>
        </w:tc>
        <w:tc>
          <w:tcPr>
            <w:tcW w:w="1660" w:type="dxa"/>
            <w:vAlign w:val="bottom"/>
          </w:tcPr>
          <w:p>
            <w:pPr>
              <w:spacing w:after="0"/>
              <w:rPr>
                <w:sz w:val="19"/>
                <w:szCs w:val="19"/>
                <w:color w:val="auto"/>
              </w:rPr>
            </w:pP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S. Graziosi</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 Financial Officer and Treasurer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David S. Graziosi</w:t>
            </w:r>
          </w:p>
        </w:tc>
        <w:tc>
          <w:tcPr>
            <w:tcW w:w="1660" w:type="dxa"/>
            <w:vAlign w:val="bottom"/>
          </w:tcPr>
          <w:p>
            <w:pPr>
              <w:spacing w:after="0"/>
              <w:rPr>
                <w:sz w:val="19"/>
                <w:szCs w:val="19"/>
                <w:color w:val="auto"/>
              </w:rPr>
            </w:pP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(Principal Financial Officer and Principal Accounting Officer)</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Brian A. Bernasek</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Brian A. Bernasek</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Denison</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David Denison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Kosty Gilis</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Kosty Gilis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S. Ledford</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Gregory S. Ledford</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Seth M. Mersky</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W. Rabaut</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Thomas W. Rabaut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Francis Raborn</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Francis Raborn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V. Reynolds</w:t>
            </w:r>
          </w:p>
        </w:tc>
        <w:tc>
          <w:tcPr>
            <w:tcW w:w="1660" w:type="dxa"/>
            <w:vAlign w:val="bottom"/>
            <w:tcBorders>
              <w:bottom w:val="single" w:sz="8" w:color="auto"/>
            </w:tcBorders>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24, 2014</w:t>
            </w:r>
          </w:p>
        </w:tc>
      </w:tr>
      <w:tr>
        <w:trPr>
          <w:trHeight w:val="224"/>
        </w:trPr>
        <w:tc>
          <w:tcPr>
            <w:tcW w:w="2620" w:type="dxa"/>
            <w:vAlign w:val="bottom"/>
            <w:gridSpan w:val="3"/>
          </w:tcPr>
          <w:p>
            <w:pPr>
              <w:spacing w:after="0"/>
              <w:rPr>
                <w:sz w:val="20"/>
                <w:szCs w:val="20"/>
                <w:color w:val="auto"/>
              </w:rPr>
            </w:pPr>
            <w:r>
              <w:rPr>
                <w:rFonts w:ascii="Arial" w:cs="Arial" w:eastAsia="Arial" w:hAnsi="Arial"/>
                <w:sz w:val="18"/>
                <w:szCs w:val="18"/>
                <w:color w:val="auto"/>
              </w:rPr>
              <w:t>Richard V. Reynolds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20" w:type="dxa"/>
            <w:vAlign w:val="bottom"/>
            <w:gridSpan w:val="2"/>
          </w:tcPr>
          <w:p>
            <w:pPr>
              <w:jc w:val="right"/>
              <w:ind w:right="61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Exhibit 10.34</w:t>
            </w:r>
          </w:p>
        </w:tc>
      </w:tr>
      <w:tr>
        <w:trPr>
          <w:trHeight w:val="397"/>
        </w:trPr>
        <w:tc>
          <w:tcPr>
            <w:tcW w:w="11420" w:type="dxa"/>
            <w:vAlign w:val="bottom"/>
            <w:gridSpan w:val="6"/>
          </w:tcPr>
          <w:p>
            <w:pPr>
              <w:ind w:left="3140"/>
              <w:spacing w:after="0"/>
              <w:rPr>
                <w:sz w:val="20"/>
                <w:szCs w:val="20"/>
                <w:color w:val="auto"/>
              </w:rPr>
            </w:pPr>
            <w:r>
              <w:rPr>
                <w:rFonts w:ascii="Arial" w:cs="Arial" w:eastAsia="Arial" w:hAnsi="Arial"/>
                <w:sz w:val="18"/>
                <w:szCs w:val="18"/>
                <w:b w:val="1"/>
                <w:bCs w:val="1"/>
                <w:color w:val="auto"/>
              </w:rPr>
              <w:t>FORM OF CHANGE IN CONTROL SEVERANCE AGREEMENT</w:t>
            </w:r>
          </w:p>
        </w:tc>
      </w:tr>
      <w:tr>
        <w:trPr>
          <w:trHeight w:val="340"/>
        </w:trPr>
        <w:tc>
          <w:tcPr>
            <w:tcW w:w="6480" w:type="dxa"/>
            <w:vAlign w:val="bottom"/>
            <w:gridSpan w:val="3"/>
          </w:tcPr>
          <w:p>
            <w:pPr>
              <w:ind w:left="460"/>
              <w:spacing w:after="0"/>
              <w:rPr>
                <w:sz w:val="20"/>
                <w:szCs w:val="20"/>
                <w:color w:val="auto"/>
              </w:rPr>
            </w:pPr>
            <w:r>
              <w:rPr>
                <w:rFonts w:ascii="Arial" w:cs="Arial" w:eastAsia="Arial" w:hAnsi="Arial"/>
                <w:sz w:val="18"/>
                <w:szCs w:val="18"/>
                <w:color w:val="auto"/>
                <w:w w:val="88"/>
              </w:rPr>
              <w:t>This Change in Control Severance Agreement (“</w:t>
            </w:r>
            <w:r>
              <w:rPr>
                <w:rFonts w:ascii="Arial" w:cs="Arial" w:eastAsia="Arial" w:hAnsi="Arial"/>
                <w:sz w:val="18"/>
                <w:szCs w:val="18"/>
                <w:b w:val="1"/>
                <w:bCs w:val="1"/>
                <w:i w:val="1"/>
                <w:iCs w:val="1"/>
                <w:color w:val="auto"/>
                <w:w w:val="88"/>
              </w:rPr>
              <w:t>Agreement</w:t>
            </w:r>
            <w:r>
              <w:rPr>
                <w:rFonts w:ascii="Arial" w:cs="Arial" w:eastAsia="Arial" w:hAnsi="Arial"/>
                <w:sz w:val="18"/>
                <w:szCs w:val="18"/>
                <w:color w:val="auto"/>
                <w:w w:val="88"/>
              </w:rPr>
              <w:t>”) is made effective as of</w:t>
            </w:r>
          </w:p>
        </w:tc>
        <w:tc>
          <w:tcPr>
            <w:tcW w:w="880" w:type="dxa"/>
            <w:vAlign w:val="bottom"/>
            <w:tcBorders>
              <w:bottom w:val="single" w:sz="8" w:color="auto"/>
            </w:tcBorders>
          </w:tcPr>
          <w:p>
            <w:pPr>
              <w:spacing w:after="0"/>
              <w:rPr>
                <w:sz w:val="24"/>
                <w:szCs w:val="24"/>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Allison</w:t>
            </w: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w w:val="89"/>
              </w:rPr>
              <w:t>Transmission, Inc. a Delaware corporation (the “</w:t>
            </w:r>
            <w:r>
              <w:rPr>
                <w:rFonts w:ascii="Arial" w:cs="Arial" w:eastAsia="Arial" w:hAnsi="Arial"/>
                <w:sz w:val="18"/>
                <w:szCs w:val="18"/>
                <w:b w:val="1"/>
                <w:bCs w:val="1"/>
                <w:i w:val="1"/>
                <w:iCs w:val="1"/>
                <w:color w:val="auto"/>
                <w:w w:val="89"/>
              </w:rPr>
              <w:t>Company</w:t>
            </w:r>
            <w:r>
              <w:rPr>
                <w:rFonts w:ascii="Arial" w:cs="Arial" w:eastAsia="Arial" w:hAnsi="Arial"/>
                <w:sz w:val="18"/>
                <w:szCs w:val="18"/>
                <w:color w:val="auto"/>
                <w:w w:val="89"/>
              </w:rPr>
              <w:t>”), and</w:t>
            </w:r>
          </w:p>
        </w:tc>
        <w:tc>
          <w:tcPr>
            <w:tcW w:w="880" w:type="dxa"/>
            <w:vAlign w:val="bottom"/>
            <w:tcBorders>
              <w:bottom w:val="single" w:sz="8" w:color="auto"/>
            </w:tcBorders>
          </w:tcPr>
          <w:p>
            <w:pPr>
              <w:spacing w:after="0"/>
              <w:rPr>
                <w:sz w:val="17"/>
                <w:szCs w:val="17"/>
                <w:color w:val="auto"/>
              </w:rPr>
            </w:pPr>
          </w:p>
        </w:tc>
        <w:tc>
          <w:tcPr>
            <w:tcW w:w="590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Executive</w:t>
            </w:r>
            <w:r>
              <w:rPr>
                <w:rFonts w:ascii="Arial" w:cs="Arial" w:eastAsia="Arial" w:hAnsi="Arial"/>
                <w:sz w:val="18"/>
                <w:szCs w:val="18"/>
                <w:color w:val="auto"/>
                <w:w w:val="88"/>
              </w:rPr>
              <w:t>”). For purposes of this Agreement (other than Section 1(e) below), the</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the Company and its subsidiaries.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5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WHEREAS, Executive is a key employee of the Company and the Company and Executive desire to set forth herein the terms and conditions of Executive’s compensation in the event of a termination of Executive’s employment in connection with a Change in Control (as defined below); and</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WHEREAS, in the event of a Change in Control, Executive may be vulnerable to dismissal without regard to the quality of Executive’s service, and the Company believes that it is in the best interest of Company to enter into this Agreement in order to ensure fair treatment of Executive and to reduce the distractions and other adverse effects upon such Executive’s performance which are inherent in the event of such a Change in Control.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agree as follows:</w:t>
      </w:r>
    </w:p>
    <w:p>
      <w:pPr>
        <w:spacing w:after="0" w:line="17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171" w:lineRule="exact"/>
        <w:rPr>
          <w:rFonts w:ascii="Arial" w:cs="Arial" w:eastAsia="Arial" w:hAnsi="Arial"/>
          <w:sz w:val="18"/>
          <w:szCs w:val="18"/>
          <w:color w:val="auto"/>
        </w:rPr>
      </w:pPr>
    </w:p>
    <w:p>
      <w:pPr>
        <w:ind w:right="360" w:firstLine="921"/>
        <w:spacing w:after="0" w:line="256" w:lineRule="auto"/>
        <w:tabs>
          <w:tab w:leader="none" w:pos="11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Amount</w:t>
      </w:r>
      <w:r>
        <w:rPr>
          <w:rFonts w:ascii="Arial" w:cs="Arial" w:eastAsia="Arial" w:hAnsi="Arial"/>
          <w:sz w:val="18"/>
          <w:szCs w:val="18"/>
          <w:color w:val="auto"/>
        </w:rPr>
        <w:t>” means the greater of the Executive’s annual base salary (a) at the rate in effect on the day prior to the date of the Executive’s Qualifying Termination, or (b) at the highest rate in effect at any time during the ninety (90) day period prior to the Change in Control, and shall include all amounts of such base salary that are deferred under any qualified and non-qualified employee benefit plans of the Company or under any other agreement or arrangement.</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Parent.</w:t>
      </w:r>
    </w:p>
    <w:p>
      <w:pPr>
        <w:spacing w:after="0" w:line="171" w:lineRule="exact"/>
        <w:rPr>
          <w:rFonts w:ascii="Arial" w:cs="Arial" w:eastAsia="Arial" w:hAnsi="Arial"/>
          <w:sz w:val="18"/>
          <w:szCs w:val="18"/>
          <w:color w:val="auto"/>
        </w:rPr>
      </w:pPr>
    </w:p>
    <w:p>
      <w:pPr>
        <w:ind w:right="400" w:firstLine="921"/>
        <w:spacing w:after="0" w:line="332"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Bonus Amount</w:t>
      </w:r>
      <w:r>
        <w:rPr>
          <w:rFonts w:ascii="Arial" w:cs="Arial" w:eastAsia="Arial" w:hAnsi="Arial"/>
          <w:sz w:val="16"/>
          <w:szCs w:val="16"/>
          <w:color w:val="auto"/>
        </w:rPr>
        <w:t>” means Executive’s target annual bonus amount as in effect at the time of Executive’s Qualifying Termination or, if higher, Executive’s target annual bonus amount at the highest level in effect at any time during the ninety (90) day period prior to the Change in Control.</w:t>
      </w:r>
    </w:p>
    <w:p>
      <w:pPr>
        <w:spacing w:after="0" w:line="85" w:lineRule="exact"/>
        <w:rPr>
          <w:rFonts w:ascii="Arial" w:cs="Arial" w:eastAsia="Arial" w:hAnsi="Arial"/>
          <w:sz w:val="16"/>
          <w:szCs w:val="16"/>
          <w:color w:val="auto"/>
        </w:rPr>
      </w:pPr>
    </w:p>
    <w:p>
      <w:pPr>
        <w:ind w:right="40" w:firstLine="921"/>
        <w:spacing w:after="0" w:line="287" w:lineRule="auto"/>
        <w:tabs>
          <w:tab w:leader="none" w:pos="1162"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any of the following: (i) the Executive’s failure to substantially perform his duties as an employee of the Company (other than any such failure resulting from the Executive’s physical or mental incapacity) that is reasonably expected to result in, or has resulted in, material economic damage to the Company or any of its affiliates (provided, that, to the extent such failure can be fully cured, the Company shall have provided the Executive with at least 30 days’ notice of such failure and the Executive has not remedied the failure within the 30-day period); (ii) the Executive’s failure in any material respect to carry out or comply with any lawful and reasonable directive of the Board or the Executive’s direct supervisor (provided, that, to the extent such failure can be fully cured, the Company shall have provided the Executive with at least 30 days’ notice of such failure and the Executive has not remedied the failure within the 30-day period); (iii) the Executive’s conviction, plea of no contest, plea of nolo contendere, or imposition of unadjudicated probation for any felony or crime involving moral turpitude; (iv) the Executive’s unlawful use (including being under the influence) or possession of illegal drugs on the Company’s (or any of its affiliate’s) premises or while performing the Executive’s duties and responsibilities under this Agreement; or (v) the Executive’s commission of an act of fraud, embezzlement, misappropriation, willful misconduct, or breach of fiduciary duty against the Company or any of its affiliates.</w:t>
      </w:r>
    </w:p>
    <w:p>
      <w:pPr>
        <w:sectPr>
          <w:pgSz w:w="11900" w:h="16838" w:orient="portrait"/>
          <w:cols w:equalWidth="0" w:num="1">
            <w:col w:w="11420"/>
          </w:cols>
          <w:pgMar w:left="240" w:top="108" w:right="239" w:bottom="1440" w:gutter="0" w:footer="0" w:header="0"/>
        </w:sectPr>
      </w:pPr>
    </w:p>
    <w:bookmarkStart w:id="112" w:name="page113"/>
    <w:bookmarkEnd w:id="112"/>
    <w:p>
      <w:pPr>
        <w:ind w:left="1140" w:hanging="23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includes each of the following:</w:t>
      </w:r>
    </w:p>
    <w:p>
      <w:pPr>
        <w:spacing w:after="0" w:line="171" w:lineRule="exact"/>
        <w:rPr>
          <w:rFonts w:ascii="Arial" w:cs="Arial" w:eastAsia="Arial" w:hAnsi="Arial"/>
          <w:sz w:val="18"/>
          <w:szCs w:val="18"/>
          <w:color w:val="auto"/>
        </w:rPr>
      </w:pPr>
    </w:p>
    <w:p>
      <w:pPr>
        <w:ind w:left="-20" w:right="120" w:firstLine="1492"/>
        <w:spacing w:after="0" w:line="253" w:lineRule="auto"/>
        <w:tabs>
          <w:tab w:leader="none" w:pos="16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the Parent’s common stock to the general public through a registration statement filed with the Securities and Exchange Commission) occurring after the Effective Date whereby any “person” or related “group” of “persons” (as such terms are used in Sections 13(d) and 14(d)(2)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(other than the Parent, any of its subsidiaries, an employee benefit plan maintained by the Parent or any of its subsidiaries or a “person” that, prior to such transaction, directly or indirectly controls, is controlled by, or is under common control with, the Parent) directly or indirectly acquires beneficial ownership (within the meaning of Rule 13d-3 under the Exchange Act) of securities of the Parent possessing more than 50% of the total combined voting power of the Parent’s securities outstanding immediately after such transaction; or</w:t>
      </w:r>
    </w:p>
    <w:p>
      <w:pPr>
        <w:spacing w:after="0" w:line="147" w:lineRule="exact"/>
        <w:rPr>
          <w:rFonts w:ascii="Arial" w:cs="Arial" w:eastAsia="Arial" w:hAnsi="Arial"/>
          <w:sz w:val="18"/>
          <w:szCs w:val="18"/>
          <w:color w:val="auto"/>
        </w:rPr>
      </w:pPr>
    </w:p>
    <w:p>
      <w:pPr>
        <w:jc w:val="both"/>
        <w:ind w:left="-20" w:right="280" w:firstLine="1492"/>
        <w:spacing w:after="0" w:line="256" w:lineRule="auto"/>
        <w:tabs>
          <w:tab w:leader="none" w:pos="17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consummation by the Parent (whether directly involving the Parent or indirectly involving the Parent through one or more intermediaries) after the Effective Date of (x) a merger, consolidation, reorganization, or business combination or (y) a sale or other disposition of all or substantially all of the Parent’s assets in any single transaction or series of related transactions or (z) the acquisition of assets or stock of another entity, in each case other than a transaction:</w:t>
      </w:r>
    </w:p>
    <w:p>
      <w:pPr>
        <w:spacing w:after="0" w:line="143" w:lineRule="exact"/>
        <w:rPr>
          <w:rFonts w:ascii="Arial" w:cs="Arial" w:eastAsia="Arial" w:hAnsi="Arial"/>
          <w:sz w:val="18"/>
          <w:szCs w:val="18"/>
          <w:color w:val="auto"/>
        </w:rPr>
      </w:pPr>
    </w:p>
    <w:p>
      <w:pPr>
        <w:ind w:left="-20" w:firstLine="1948"/>
        <w:spacing w:after="0" w:line="255" w:lineRule="auto"/>
        <w:tabs>
          <w:tab w:leader="none" w:pos="2208" w:val="left"/>
        </w:tabs>
        <w:numPr>
          <w:ilvl w:val="2"/>
          <w:numId w:val="16"/>
        </w:numPr>
        <w:rPr>
          <w:rFonts w:ascii="Arial" w:cs="Arial" w:eastAsia="Arial" w:hAnsi="Arial"/>
          <w:sz w:val="18"/>
          <w:szCs w:val="18"/>
          <w:color w:val="auto"/>
        </w:rPr>
      </w:pPr>
      <w:r>
        <w:rPr>
          <w:rFonts w:ascii="Arial" w:cs="Arial" w:eastAsia="Arial" w:hAnsi="Arial"/>
          <w:sz w:val="18"/>
          <w:szCs w:val="18"/>
          <w:color w:val="auto"/>
        </w:rPr>
        <w:t>Which results in the Parent’s voting securities outstanding immediately before the transaction continuing to represent (either by remaining outstanding or by being converted into voting securities of the Parent or the person that, as a result of the transaction, controls, directly or indirectly, the Parent or owns, directly or indirectly, all or substantially all of the Parent’s assets or otherwise succeeds to the business of the Parent (the Parent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42" w:lineRule="exact"/>
        <w:rPr>
          <w:rFonts w:ascii="Arial" w:cs="Arial" w:eastAsia="Arial" w:hAnsi="Arial"/>
          <w:sz w:val="18"/>
          <w:szCs w:val="18"/>
          <w:color w:val="auto"/>
        </w:rPr>
      </w:pPr>
    </w:p>
    <w:p>
      <w:pPr>
        <w:ind w:left="-20" w:firstLine="1948"/>
        <w:spacing w:after="0" w:line="306" w:lineRule="auto"/>
        <w:tabs>
          <w:tab w:leader="none" w:pos="2198" w:val="left"/>
        </w:tabs>
        <w:numPr>
          <w:ilvl w:val="2"/>
          <w:numId w:val="16"/>
        </w:numPr>
        <w:rPr>
          <w:rFonts w:ascii="Arial" w:cs="Arial" w:eastAsia="Arial" w:hAnsi="Arial"/>
          <w:sz w:val="16"/>
          <w:szCs w:val="16"/>
          <w:color w:val="auto"/>
        </w:rPr>
      </w:pPr>
      <w:r>
        <w:rPr>
          <w:rFonts w:ascii="Arial" w:cs="Arial" w:eastAsia="Arial" w:hAnsi="Arial"/>
          <w:sz w:val="16"/>
          <w:szCs w:val="16"/>
          <w:color w:val="auto"/>
        </w:rPr>
        <w:t xml:space="preserve">After which no person or group beneficially owns voting securities representing 50% or more of the combined voting power of the Successor Entity;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person or group shall be treated for purposes of this Section 1(e)(ii)(B) as beneficially owning 50% or more of combined voting power of the Successor Entity solely as a result of the voting power held in the Parent prior to the consummation of the transaction.</w:t>
      </w:r>
    </w:p>
    <w:p>
      <w:pPr>
        <w:spacing w:after="0" w:line="106" w:lineRule="exact"/>
        <w:rPr>
          <w:rFonts w:ascii="Arial" w:cs="Arial" w:eastAsia="Arial" w:hAnsi="Arial"/>
          <w:sz w:val="16"/>
          <w:szCs w:val="16"/>
          <w:color w:val="auto"/>
        </w:rPr>
      </w:pPr>
    </w:p>
    <w:p>
      <w:pPr>
        <w:ind w:left="1120" w:hanging="219"/>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shall mean the Internal Revenue Code of 1986, as amended, and the Treasury Regulations and other interpretive guidance thereunder.</w:t>
      </w:r>
    </w:p>
    <w:p>
      <w:pPr>
        <w:spacing w:after="0" w:line="194" w:lineRule="exact"/>
        <w:rPr>
          <w:rFonts w:ascii="Arial" w:cs="Arial" w:eastAsia="Arial" w:hAnsi="Arial"/>
          <w:sz w:val="16"/>
          <w:szCs w:val="16"/>
          <w:color w:val="auto"/>
        </w:rPr>
      </w:pPr>
    </w:p>
    <w:p>
      <w:pPr>
        <w:ind w:left="1140" w:hanging="23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the occurrence of any of the following events or conditions without Executive’s written consent:</w:t>
      </w:r>
    </w:p>
    <w:p>
      <w:pPr>
        <w:spacing w:after="0" w:line="171" w:lineRule="exact"/>
        <w:rPr>
          <w:rFonts w:ascii="Arial" w:cs="Arial" w:eastAsia="Arial" w:hAnsi="Arial"/>
          <w:sz w:val="18"/>
          <w:szCs w:val="18"/>
          <w:color w:val="auto"/>
        </w:rPr>
      </w:pPr>
    </w:p>
    <w:p>
      <w:pPr>
        <w:ind w:left="-20" w:right="20" w:firstLine="1492"/>
        <w:spacing w:after="0" w:line="256" w:lineRule="auto"/>
        <w:tabs>
          <w:tab w:leader="none" w:pos="16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material diminution in Executive’s authority, duties or responsibilities, other than as a result of a Change in Control where the Executive remains in a position with the Company or its successor (or any other entity that owns substantially all of the Company’s business after such sale) that is substantially equivalent in duties, rank, reporting structure and authority with the Executive’s position prior to such sale, solely as such duties, rank, reporting structure and authority relate to the Company’s business;</w:t>
      </w:r>
    </w:p>
    <w:p>
      <w:pPr>
        <w:spacing w:after="0" w:line="143" w:lineRule="exact"/>
        <w:rPr>
          <w:rFonts w:ascii="Arial" w:cs="Arial" w:eastAsia="Arial" w:hAnsi="Arial"/>
          <w:sz w:val="18"/>
          <w:szCs w:val="18"/>
          <w:color w:val="auto"/>
        </w:rPr>
      </w:pPr>
    </w:p>
    <w:p>
      <w:pPr>
        <w:ind w:left="1740" w:hanging="268"/>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material diminution in Executive’s base salary or target annual bonus level;</w:t>
      </w:r>
    </w:p>
    <w:p>
      <w:pPr>
        <w:spacing w:after="0" w:line="171" w:lineRule="exact"/>
        <w:rPr>
          <w:rFonts w:ascii="Arial" w:cs="Arial" w:eastAsia="Arial" w:hAnsi="Arial"/>
          <w:sz w:val="18"/>
          <w:szCs w:val="18"/>
          <w:color w:val="auto"/>
        </w:rPr>
      </w:pPr>
    </w:p>
    <w:p>
      <w:pPr>
        <w:ind w:left="-20" w:right="180" w:firstLine="1492"/>
        <w:spacing w:after="0" w:line="259" w:lineRule="auto"/>
        <w:tabs>
          <w:tab w:leader="none" w:pos="17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Executive must perform his or her duties, which shall not include a relocation of the Executive’s principal place of employment to any location within a fifty (50) mile radius of the location from which the Executive served the Company immediately prior to the relocation;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13" w:name="page114"/>
    <w:bookmarkEnd w:id="113"/>
    <w:p>
      <w:pPr>
        <w:ind w:right="40" w:firstLine="1492"/>
        <w:spacing w:after="0" w:line="268" w:lineRule="auto"/>
        <w:tabs>
          <w:tab w:leader="none" w:pos="1781"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failure of the Company to obtain an agreement from any successor to the Company or the Parent to assume and agree to perform this Agreement, as contemplated in Section 7.1 of this Agreement.</w:t>
      </w:r>
    </w:p>
    <w:p>
      <w:pPr>
        <w:spacing w:after="0" w:line="132"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Executive must provide written notice to the Company of the occurrence of any of the foregoing events or conditions without Executive’s written consent within ninety (90) days of the occurrence of such event or the date upon which the Executive reasonably became aware that such an event or condition had occurred. The Company or any successor or affiliate shall have a period of thirty (30) days to cure such event or condition after receipt of written notice of such event from Executive. Any voluntary termination for “Good Reason” following such thirty (30) day cure period must occur no later than the date that is six</w:t>
      </w:r>
    </w:p>
    <w:p>
      <w:pPr>
        <w:spacing w:after="0" w:line="3" w:lineRule="exact"/>
        <w:rPr>
          <w:sz w:val="20"/>
          <w:szCs w:val="20"/>
          <w:color w:val="auto"/>
        </w:rPr>
      </w:pPr>
    </w:p>
    <w:p>
      <w:pPr>
        <w:ind w:right="120" w:firstLine="8"/>
        <w:spacing w:after="0" w:line="261"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months following the date notice was provided by Executive. Executive’s voluntary Separation from Service by reason of resignation from employment with the Company for Good Reason shall be treated as involuntary.</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Allison Transmission Holdings, Inc., a Delaware corporation, or its successor.</w:t>
      </w:r>
    </w:p>
    <w:p>
      <w:pPr>
        <w:spacing w:after="0" w:line="171" w:lineRule="exact"/>
        <w:rPr>
          <w:rFonts w:ascii="Arial" w:cs="Arial" w:eastAsia="Arial" w:hAnsi="Arial"/>
          <w:sz w:val="18"/>
          <w:szCs w:val="18"/>
          <w:color w:val="auto"/>
        </w:rPr>
      </w:pPr>
    </w:p>
    <w:p>
      <w:pPr>
        <w:ind w:firstLine="921"/>
        <w:spacing w:after="0" w:line="288" w:lineRule="auto"/>
        <w:tabs>
          <w:tab w:leader="none" w:pos="1123" w:val="left"/>
        </w:tabs>
        <w:numPr>
          <w:ilvl w:val="2"/>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Permanent Disability</w:t>
      </w:r>
      <w:r>
        <w:rPr>
          <w:rFonts w:ascii="Arial" w:cs="Arial" w:eastAsia="Arial" w:hAnsi="Arial"/>
          <w:sz w:val="16"/>
          <w:szCs w:val="16"/>
          <w:color w:val="auto"/>
        </w:rPr>
        <w:t>” means at any time the Company or any of its affiliates sponsors a long-term disability plan for the Company’s employees, “disability” as defined in such long-term disability plan for the purpose of determining a participant’s eligibility for benefits, provided, however, if the long-term disability plan contains multiple definitions of disability, “Disability” shall refer to that definition of disability which, if the Executive qualified for such disability benefits, would provide coverage for the longest period of time. The determination of whether the Executive has a Disability shall be made by the person or persons required to make disability determinations under the long-term disability plan. At any time the Company does not sponsor a long-term disability plan for its employees, Disability shall mean the Executive’s inability to perform, with or without reasonable accommodation, the essential functions of his position hereunder for a total of three months during any six-month period as a result of incapacity due to mental or physical illness as determined by a physician selected by the Company or its insurers and acceptable to the Executive or the Executive’s legal representative, with such agreement as to acceptability not to be unreasonably withheld or delayed.</w:t>
      </w:r>
    </w:p>
    <w:p>
      <w:pPr>
        <w:spacing w:after="0" w:line="119" w:lineRule="exact"/>
        <w:rPr>
          <w:rFonts w:ascii="Arial" w:cs="Arial" w:eastAsia="Arial" w:hAnsi="Arial"/>
          <w:sz w:val="16"/>
          <w:szCs w:val="16"/>
          <w:color w:val="auto"/>
        </w:rPr>
      </w:pPr>
    </w:p>
    <w:p>
      <w:pPr>
        <w:ind w:right="20" w:firstLine="921"/>
        <w:spacing w:after="0" w:line="256" w:lineRule="auto"/>
        <w:tabs>
          <w:tab w:leader="none" w:pos="1123"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(i) a termination by Executive of Executive’s employment with Company for Good Reason within two years after the occurrence of a Change in Control, or (ii) a termination of Executive’s employment without Cause by the Company within two years after the occurrence of a Change in Control. Neither a termination of Executive’s employment due to Permanent Disability nor a termination of Executive’s employment due to death shall constitute a Qualifying Termination.</w:t>
      </w:r>
    </w:p>
    <w:p>
      <w:pPr>
        <w:spacing w:after="0" w:line="143" w:lineRule="exact"/>
        <w:rPr>
          <w:rFonts w:ascii="Arial" w:cs="Arial" w:eastAsia="Arial" w:hAnsi="Arial"/>
          <w:sz w:val="18"/>
          <w:szCs w:val="18"/>
          <w:color w:val="auto"/>
        </w:rPr>
      </w:pPr>
    </w:p>
    <w:p>
      <w:pPr>
        <w:ind w:right="40" w:firstLine="921"/>
        <w:spacing w:after="0" w:line="268" w:lineRule="auto"/>
        <w:tabs>
          <w:tab w:leader="none" w:pos="1162" w:val="left"/>
        </w:tabs>
        <w:numPr>
          <w:ilvl w:val="2"/>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 the Company as such term is defined in Treasury Regulation Section 1.409A-1(h) and any successor provision thereto.</w:t>
      </w:r>
    </w:p>
    <w:p>
      <w:pPr>
        <w:spacing w:after="0" w:line="131" w:lineRule="exact"/>
        <w:rPr>
          <w:rFonts w:ascii="Arial" w:cs="Arial" w:eastAsia="Arial" w:hAnsi="Arial"/>
          <w:sz w:val="18"/>
          <w:szCs w:val="18"/>
          <w:color w:val="auto"/>
        </w:rPr>
      </w:pPr>
    </w:p>
    <w:p>
      <w:pPr>
        <w:ind w:right="40" w:firstLine="464"/>
        <w:spacing w:after="0" w:line="254" w:lineRule="auto"/>
        <w:tabs>
          <w:tab w:leader="none" w:pos="63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this Agreement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shall be for a period beginning on the Effective Date and ending on the three-year anniversary of the Effective Date. On the three-year anniversary of the Effective Date and each successive anniversary of the Effective Date, the term of this Agreement shall automatically be extended for an additional one-year period (“</w:t>
      </w:r>
      <w:r>
        <w:rPr>
          <w:rFonts w:ascii="Arial" w:cs="Arial" w:eastAsia="Arial" w:hAnsi="Arial"/>
          <w:sz w:val="18"/>
          <w:szCs w:val="18"/>
          <w:b w:val="1"/>
          <w:bCs w:val="1"/>
          <w:i w:val="1"/>
          <w:iCs w:val="1"/>
          <w:color w:val="auto"/>
        </w:rPr>
        <w:t>Extension Terms</w:t>
      </w:r>
      <w:r>
        <w:rPr>
          <w:rFonts w:ascii="Arial" w:cs="Arial" w:eastAsia="Arial" w:hAnsi="Arial"/>
          <w:sz w:val="18"/>
          <w:szCs w:val="18"/>
          <w:color w:val="auto"/>
        </w:rPr>
        <w:t>” and, collectively with the Initial Term,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unless the Company gives the Executive a written notice of non-extension no later than ninety (90) days prior to the then-applicable anniversary of the Effective Date. Upon the occurrence of a Change in Control, the Term shall automatically be extended until the two-year anniversary of the date on which the Change in Control occurs, provided that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4" w:name="page115"/>
    <w:bookmarkEnd w:id="11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Executive incurs a Qualifying Termination during the Term of this Agreement, the Term shall be further automatically extended for such additional period as necessary to provide that each party’s rights and obligations are fully satisfied hereunder.</w:t>
      </w:r>
    </w:p>
    <w:p>
      <w:pPr>
        <w:spacing w:after="0" w:line="213" w:lineRule="exact"/>
        <w:rPr>
          <w:sz w:val="20"/>
          <w:szCs w:val="20"/>
          <w:color w:val="auto"/>
        </w:rPr>
      </w:pPr>
    </w:p>
    <w:p>
      <w:pPr>
        <w:ind w:left="640" w:hanging="176"/>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Severance Upon Qualifying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6" w:lineRule="auto"/>
        <w:tabs>
          <w:tab w:leader="none" w:pos="11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Executive has a Qualifying Termination, subject to the requirements of this Section 3, Executive shall be entitled to receive, in lieu of and without duplicating any cash severance payments to which Executive may otherwise be entitled under any Company severance plan or program or other agreement with the Company (except as provided in Section 3(d)), the benefits provided below, which, with respect to clause (ii) will be payable in cash in a lump sum within sixty (60) days following the effective date of such Qualifying Termination:</w:t>
      </w:r>
    </w:p>
    <w:p>
      <w:pPr>
        <w:spacing w:after="0" w:line="143" w:lineRule="exact"/>
        <w:rPr>
          <w:rFonts w:ascii="Arial" w:cs="Arial" w:eastAsia="Arial" w:hAnsi="Arial"/>
          <w:sz w:val="18"/>
          <w:szCs w:val="18"/>
          <w:color w:val="auto"/>
        </w:rPr>
      </w:pPr>
    </w:p>
    <w:p>
      <w:pPr>
        <w:ind w:right="80" w:firstLine="1492"/>
        <w:spacing w:after="0" w:line="256" w:lineRule="auto"/>
        <w:tabs>
          <w:tab w:leader="none" w:pos="1693"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Company shall pay to Executive his or her fully earned but unpaid base salary, when due, through the date of Executive’s Qualifying Termination at the rate then in effect, plus all other benefits, if any, under any Company group retirement plan, nonqualified deferred compensation plan, equity award plan or agreement, health benefits plan or other Company group benefit plan to which Executive may be entitled pursuant to the terms of such plans or agreements;</w:t>
      </w:r>
    </w:p>
    <w:p>
      <w:pPr>
        <w:spacing w:after="0" w:line="143" w:lineRule="exact"/>
        <w:rPr>
          <w:rFonts w:ascii="Arial" w:cs="Arial" w:eastAsia="Arial" w:hAnsi="Arial"/>
          <w:sz w:val="18"/>
          <w:szCs w:val="18"/>
          <w:color w:val="auto"/>
        </w:rPr>
      </w:pPr>
    </w:p>
    <w:p>
      <w:pPr>
        <w:ind w:right="20" w:firstLine="1492"/>
        <w:spacing w:after="0" w:line="268" w:lineRule="auto"/>
        <w:tabs>
          <w:tab w:leader="none" w:pos="1742" w:val="left"/>
        </w:tabs>
        <w:numPr>
          <w:ilvl w:val="3"/>
          <w:numId w:val="19"/>
        </w:numPr>
        <w:rPr>
          <w:rFonts w:ascii="Arial" w:cs="Arial" w:eastAsia="Arial" w:hAnsi="Arial"/>
          <w:sz w:val="18"/>
          <w:szCs w:val="18"/>
          <w:color w:val="auto"/>
        </w:rPr>
      </w:pPr>
      <w:r>
        <w:rPr>
          <w:rFonts w:ascii="Arial" w:cs="Arial" w:eastAsia="Arial" w:hAnsi="Arial"/>
          <w:sz w:val="18"/>
          <w:szCs w:val="18"/>
          <w:color w:val="auto"/>
        </w:rPr>
        <w:t>Subject to Section 3(c) and Section 4, Executive shall be entitled to receive severance pay in an amount equal to two times the sum of the Base Amount and the Bonus Amount;</w:t>
      </w:r>
    </w:p>
    <w:p>
      <w:pPr>
        <w:spacing w:after="0" w:line="131" w:lineRule="exact"/>
        <w:rPr>
          <w:rFonts w:ascii="Arial" w:cs="Arial" w:eastAsia="Arial" w:hAnsi="Arial"/>
          <w:sz w:val="18"/>
          <w:szCs w:val="18"/>
          <w:color w:val="auto"/>
        </w:rPr>
      </w:pPr>
    </w:p>
    <w:p>
      <w:pPr>
        <w:ind w:right="60" w:firstLine="1492"/>
        <w:spacing w:after="0" w:line="291" w:lineRule="auto"/>
        <w:tabs>
          <w:tab w:leader="none" w:pos="1791" w:val="left"/>
        </w:tabs>
        <w:numPr>
          <w:ilvl w:val="3"/>
          <w:numId w:val="19"/>
        </w:numPr>
        <w:rPr>
          <w:rFonts w:ascii="Arial" w:cs="Arial" w:eastAsia="Arial" w:hAnsi="Arial"/>
          <w:sz w:val="16"/>
          <w:szCs w:val="16"/>
          <w:color w:val="auto"/>
        </w:rPr>
      </w:pPr>
      <w:r>
        <w:rPr>
          <w:rFonts w:ascii="Arial" w:cs="Arial" w:eastAsia="Arial" w:hAnsi="Arial"/>
          <w:sz w:val="16"/>
          <w:szCs w:val="16"/>
          <w:color w:val="auto"/>
        </w:rPr>
        <w:t>Subject to Section 3(c) and Section 4, all unvested equity or equity-based awards granted under any equity compensation plans of the Parent shall immediately become 100% vested and the post-termination exercise period of any stock options granted under any equity compensation plans of the Parent that are outstanding on the date of such Qualifying Termination shall be extended until the second anniversary of the date of such Qualifying Termination (subject to the terms of the applicable equity plan), provided that, unless a provision more favorable to the Executive is included in an applicable award agreement, any such awards that are subject to performance-based vesting conditions shall only be payable subject to the attainment of the performance measures for the applicable performance period as provided under the terms of the applicable award agreement).</w:t>
      </w:r>
    </w:p>
    <w:p>
      <w:pPr>
        <w:spacing w:after="0" w:line="120" w:lineRule="exact"/>
        <w:rPr>
          <w:rFonts w:ascii="Arial" w:cs="Arial" w:eastAsia="Arial" w:hAnsi="Arial"/>
          <w:sz w:val="16"/>
          <w:szCs w:val="16"/>
          <w:color w:val="auto"/>
        </w:rPr>
      </w:pPr>
    </w:p>
    <w:p>
      <w:pPr>
        <w:ind w:right="220" w:firstLine="921"/>
        <w:spacing w:after="0" w:line="305" w:lineRule="auto"/>
        <w:tabs>
          <w:tab w:leader="none" w:pos="1161" w:val="left"/>
        </w:tabs>
        <w:numPr>
          <w:ilvl w:val="2"/>
          <w:numId w:val="19"/>
        </w:numPr>
        <w:rPr>
          <w:rFonts w:ascii="Arial" w:cs="Arial" w:eastAsia="Arial" w:hAnsi="Arial"/>
          <w:sz w:val="15"/>
          <w:szCs w:val="15"/>
          <w:color w:val="auto"/>
        </w:rPr>
      </w:pPr>
      <w:r>
        <w:rPr>
          <w:rFonts w:ascii="Arial" w:cs="Arial" w:eastAsia="Arial" w:hAnsi="Arial"/>
          <w:sz w:val="15"/>
          <w:szCs w:val="15"/>
          <w:u w:val="single" w:color="auto"/>
          <w:color w:val="auto"/>
        </w:rPr>
        <w:t>Other Terminations</w:t>
      </w:r>
      <w:r>
        <w:rPr>
          <w:rFonts w:ascii="Arial" w:cs="Arial" w:eastAsia="Arial" w:hAnsi="Arial"/>
          <w:sz w:val="15"/>
          <w:szCs w:val="15"/>
          <w:color w:val="auto"/>
        </w:rPr>
        <w:t>. Upon Executive’s termination of employment for any reason other than as set forth in Section 3(a), the Company shall not have any other or further obligations to Executive under this Agreement (including any financial obligations) except that Executive shall be entitled to receive</w:t>
      </w:r>
    </w:p>
    <w:p>
      <w:pPr>
        <w:ind w:right="220" w:firstLine="8"/>
        <w:spacing w:after="0" w:line="295" w:lineRule="auto"/>
        <w:tabs>
          <w:tab w:leader="none" w:pos="2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Executive’s fully earned but unpaid base salary, through the date of termination at the rate then in effect, and (ii) all other amounts or benefits to which Executive is entitled under any compensation, retirement or benefit plan or practice of the Company at the time of termination in accordance with the terms of such plans or practices, including, without limitation, any continuation of benefits required by COBRA or applicable law. The foregoing shall be in addition to, and not in lieu of, any and all other rights and remedies which may be available to the Company under the circumstances, whether at law or in equity.</w:t>
      </w:r>
    </w:p>
    <w:p>
      <w:pPr>
        <w:spacing w:after="0" w:line="115" w:lineRule="exact"/>
        <w:rPr>
          <w:rFonts w:ascii="Arial" w:cs="Arial" w:eastAsia="Arial" w:hAnsi="Arial"/>
          <w:sz w:val="16"/>
          <w:szCs w:val="16"/>
          <w:color w:val="auto"/>
        </w:rPr>
      </w:pPr>
    </w:p>
    <w:p>
      <w:pPr>
        <w:ind w:right="240" w:firstLine="921"/>
        <w:spacing w:after="0" w:line="256" w:lineRule="auto"/>
        <w:tabs>
          <w:tab w:leader="none" w:pos="1152"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As a condition to Executive’s receipt of any amounts set forth in Section 3(a) above, Executive shall execute and not revoke a general release of all claims in favor of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in the form substantially similar to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any statutorily prescribed revocation period applicable to such Release shall have expired) within the sixty (60) day period following the date of Executive’s Qualifying Termination.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5" w:name="page116"/>
    <w:bookmarkEnd w:id="115"/>
    <w:p>
      <w:pPr>
        <w:ind w:right="20" w:firstLine="921"/>
        <w:spacing w:after="0" w:line="287" w:lineRule="auto"/>
        <w:tabs>
          <w:tab w:leader="none" w:pos="116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Remedy; Other Arrangements</w:t>
      </w:r>
      <w:r>
        <w:rPr>
          <w:rFonts w:ascii="Arial" w:cs="Arial" w:eastAsia="Arial" w:hAnsi="Arial"/>
          <w:sz w:val="16"/>
          <w:szCs w:val="16"/>
          <w:color w:val="auto"/>
        </w:rPr>
        <w:t>. Except as otherwise expressly required by law (e.g., COBRA) or as specifically provided herein, all of Executive’s rights to salary, severance, benefits, bonuses and other amounts (if any) accruing after the termination of Executive’s employment shall cease upon such termination. The severance payments provided for in Section 3(a)(ii) above are not intended to duplicate any severance payments the Executive may become entitled to receive under any other plan, program, policy or agreement with the Company or any of its affiliates (collectively, “</w:t>
      </w:r>
      <w:r>
        <w:rPr>
          <w:rFonts w:ascii="Arial" w:cs="Arial" w:eastAsia="Arial" w:hAnsi="Arial"/>
          <w:sz w:val="16"/>
          <w:szCs w:val="16"/>
          <w:b w:val="1"/>
          <w:bCs w:val="1"/>
          <w:i w:val="1"/>
          <w:iCs w:val="1"/>
          <w:color w:val="auto"/>
        </w:rPr>
        <w:t>Other Arrangements</w:t>
      </w:r>
      <w:r>
        <w:rPr>
          <w:rFonts w:ascii="Arial" w:cs="Arial" w:eastAsia="Arial" w:hAnsi="Arial"/>
          <w:sz w:val="16"/>
          <w:szCs w:val="16"/>
          <w:color w:val="auto"/>
        </w:rPr>
        <w:t>”). Therefore, in the event the Executive becomes entitled to receive the severance payments provided under Section 3(a)(ii) of this Agreement, he or she shall receive the amounts provided under Section 3(a)(ii) of this Agreement and shall not be entitled to receive any cash severance payments pursuant to any Other Arrangements unless the cash severance payments provided under the Other Arrangements exceed the amounts provided under Section 3(a)(ii) of this Agreement (and in such event the Executive shall receive under the Other Arrangements only the excess over the amount provided under Section 3(a)(ii) of this Agreement). This Agreement shall not impact or reduce the Executive’s rights, if any, to receive under any Other Arrangements reimbursement for, or direct payment to the carrier for, premium costs under COBRA (or any similar medical, dental or vision benefit continuation rights or payments).</w:t>
      </w:r>
    </w:p>
    <w:p>
      <w:pPr>
        <w:spacing w:after="0" w:line="122" w:lineRule="exact"/>
        <w:rPr>
          <w:rFonts w:ascii="Arial" w:cs="Arial" w:eastAsia="Arial" w:hAnsi="Arial"/>
          <w:sz w:val="16"/>
          <w:szCs w:val="16"/>
          <w:color w:val="auto"/>
        </w:rPr>
      </w:pPr>
    </w:p>
    <w:p>
      <w:pPr>
        <w:ind w:firstLine="921"/>
        <w:spacing w:after="0" w:line="298"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xml:space="preser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self-employment or by retirement benefits;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loans, advances or other amounts owed by Executive to the Company may be offset by the Company against amounts payable to Executive under this Section 3.</w:t>
      </w:r>
    </w:p>
    <w:p>
      <w:pPr>
        <w:spacing w:after="0" w:line="112" w:lineRule="exact"/>
        <w:rPr>
          <w:rFonts w:ascii="Arial" w:cs="Arial" w:eastAsia="Arial" w:hAnsi="Arial"/>
          <w:sz w:val="16"/>
          <w:szCs w:val="16"/>
          <w:color w:val="auto"/>
        </w:rPr>
      </w:pPr>
    </w:p>
    <w:p>
      <w:pPr>
        <w:ind w:right="20" w:firstLine="921"/>
        <w:spacing w:after="0" w:line="291" w:lineRule="auto"/>
        <w:tabs>
          <w:tab w:leader="none" w:pos="11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Return of the Company’s Property</w:t>
      </w:r>
      <w:r>
        <w:rPr>
          <w:rFonts w:ascii="Arial" w:cs="Arial" w:eastAsia="Arial" w:hAnsi="Arial"/>
          <w:sz w:val="16"/>
          <w:szCs w:val="16"/>
          <w:color w:val="auto"/>
        </w:rPr>
        <w:t>. If Executive’s employment is terminated for any reason, the Company shall have the right, at its option, to require Executive to vacate his or her offices prior to or on the effective date of termination and to cease all activities on the Company’s behalf. Upon the termination of his or her employment in any manner, as a condition to Executive’s receipt of any post-termination benefits described in this Agreement, Executive shall immediately surrender to the Company all lists, books and records of, or in connection with, the Company’s business, and all other property belonging to the Company, it being distinctly understood that all such lists, books and records, and other documents, are the property of the Company. Executive shall deliver to the Company a signed statement certifying compliance with this Section 3(f) prior to the receipt of any post-termination benefits described in this Agreement.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87" w:lineRule="auto"/>
        <w:tabs>
          <w:tab w:leader="none" w:pos="16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It is the objective of this Agreement to maximize Executive’s Net After-Tax Benefit (as defined herein) if payments or benefits provided under this Agreement are subject to excise tax under Section 4999 of the Code. Notwithstanding any other provisions of this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Section 3(a) hereof, being hereinafter referred to as the “</w:t>
      </w:r>
      <w:r>
        <w:rPr>
          <w:rFonts w:ascii="Arial" w:cs="Arial" w:eastAsia="Arial" w:hAnsi="Arial"/>
          <w:sz w:val="16"/>
          <w:szCs w:val="16"/>
          <w:b w:val="1"/>
          <w:bCs w:val="1"/>
          <w:i w:val="1"/>
          <w:iCs w:val="1"/>
          <w:color w:val="auto"/>
        </w:rPr>
        <w:t>Total Payments</w:t>
      </w:r>
      <w:r>
        <w:rPr>
          <w:rFonts w:ascii="Arial" w:cs="Arial" w:eastAsia="Arial" w:hAnsi="Arial"/>
          <w:sz w:val="16"/>
          <w:szCs w:val="16"/>
          <w:color w:val="auto"/>
        </w:rPr>
        <w:t>”), would be subject (in whole or in part)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the cash severance payments shall first be reduced, and the non-cash severance payments shall thereafter be reduced, to the extent necessary so that no portion of the Total Payments shall be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6" w:name="page117"/>
    <w:bookmarkEnd w:id="116"/>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would be subject in respect of such unreduced Total Payments and after taking into account the phase out of itemized deductions and personal exemptions attributable to such unreduced Total Payments).</w:t>
      </w:r>
    </w:p>
    <w:p>
      <w:pPr>
        <w:spacing w:after="0" w:line="132" w:lineRule="exact"/>
        <w:rPr>
          <w:sz w:val="20"/>
          <w:szCs w:val="20"/>
          <w:color w:val="auto"/>
        </w:rPr>
      </w:pPr>
    </w:p>
    <w:p>
      <w:pPr>
        <w:ind w:right="160" w:firstLine="1492"/>
        <w:spacing w:after="0" w:line="302" w:lineRule="auto"/>
        <w:tabs>
          <w:tab w:leader="none" w:pos="1739" w:val="left"/>
        </w:tabs>
        <w:numPr>
          <w:ilvl w:val="3"/>
          <w:numId w:val="22"/>
        </w:numPr>
        <w:rPr>
          <w:rFonts w:ascii="Arial" w:cs="Arial" w:eastAsia="Arial" w:hAnsi="Arial"/>
          <w:sz w:val="15"/>
          <w:szCs w:val="15"/>
          <w:color w:val="auto"/>
        </w:rPr>
      </w:pPr>
      <w:r>
        <w:rPr>
          <w:rFonts w:ascii="Arial" w:cs="Arial" w:eastAsia="Arial" w:hAnsi="Arial"/>
          <w:sz w:val="15"/>
          <w:szCs w:val="15"/>
          <w:color w:val="auto"/>
        </w:rPr>
        <w:t>The Total Payments shall be reduced by the Company in the following order: (i) reduction of any cash severance payments otherwise payable to Executive that are exempt from Section 409A of the Code, (ii) reduction of any other cash payments or benefits otherwise payable to Executive that are exempt from Section 409A of the Code, but excluding any payments attributable to the acceleration of vesting or payments with respect to any equity award with respect to the Parent’s common stock that is exempt from Section 409A of the Code, (iii) reduction of any other payments or benefits otherwise payable to Executive on a pro-rata basis or such other manner that complies with Section 409A of the Code, but excluding any payments attributable to the acceleration of vesting and payments with respect to any equity award with respect to the Parent’s common stock that are exempt from Section 409A of the Code, and</w:t>
      </w:r>
    </w:p>
    <w:p>
      <w:pPr>
        <w:ind w:right="80" w:firstLine="8"/>
        <w:spacing w:after="0" w:line="261"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 of any payments attributable to the acceleration of vesting or payments with respect to any other equity award with respect to the Parent’s common stock that are exempt from Section 409A of the Code.</w:t>
      </w:r>
    </w:p>
    <w:p>
      <w:pPr>
        <w:spacing w:after="0" w:line="137" w:lineRule="exact"/>
        <w:rPr>
          <w:rFonts w:ascii="Arial" w:cs="Arial" w:eastAsia="Arial" w:hAnsi="Arial"/>
          <w:sz w:val="18"/>
          <w:szCs w:val="18"/>
          <w:color w:val="auto"/>
        </w:rPr>
      </w:pPr>
    </w:p>
    <w:p>
      <w:pPr>
        <w:ind w:firstLine="1492"/>
        <w:spacing w:after="0" w:line="286" w:lineRule="auto"/>
        <w:tabs>
          <w:tab w:leader="none" w:pos="1791" w:val="left"/>
        </w:tabs>
        <w:numPr>
          <w:ilvl w:val="3"/>
          <w:numId w:val="23"/>
        </w:numPr>
        <w:rPr>
          <w:rFonts w:ascii="Arial" w:cs="Arial" w:eastAsia="Arial" w:hAnsi="Arial"/>
          <w:sz w:val="16"/>
          <w:szCs w:val="16"/>
          <w:color w:val="auto"/>
        </w:rPr>
      </w:pPr>
      <w:r>
        <w:rPr>
          <w:rFonts w:ascii="Arial" w:cs="Arial" w:eastAsia="Arial" w:hAnsi="Arial"/>
          <w:sz w:val="16"/>
          <w:szCs w:val="16"/>
          <w:color w:val="auto"/>
        </w:rPr>
        <w:t>All determinations regarding the application of this Section 3(g) shall be made by an accounting firm with experience in performing calculations regarding the applicability of Section 280G of the Code and the Excise Tax selected by the Company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For purposes of determining whether and the extent to which the Total Payments will be subject to the Excise Tax, (i) no portion of the Total Payments the receipt or enjoyment of which Executive shall have waived at such time and in such manner as not to constitute a “payment” within the meaning of Section 280G(b) of the Code shall be taken into account, (ii) no portion of the Total Payments shall be taken into account which, in the opinion of the Independent Advisors,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 The costs of obtaining such determination and all related fees and expenses (including related fees and expenses incurred in any later audit) shall be borne by the Company.</w:t>
      </w:r>
    </w:p>
    <w:p>
      <w:pPr>
        <w:spacing w:after="0" w:line="127" w:lineRule="exact"/>
        <w:rPr>
          <w:rFonts w:ascii="Arial" w:cs="Arial" w:eastAsia="Arial" w:hAnsi="Arial"/>
          <w:sz w:val="16"/>
          <w:szCs w:val="16"/>
          <w:color w:val="auto"/>
        </w:rPr>
      </w:pPr>
    </w:p>
    <w:p>
      <w:pPr>
        <w:ind w:right="160" w:firstLine="1492"/>
        <w:spacing w:after="0" w:line="259" w:lineRule="auto"/>
        <w:tabs>
          <w:tab w:leader="none" w:pos="1781" w:val="left"/>
        </w:tabs>
        <w:numPr>
          <w:ilvl w:val="3"/>
          <w:numId w:val="23"/>
        </w:numPr>
        <w:rPr>
          <w:rFonts w:ascii="Arial" w:cs="Arial" w:eastAsia="Arial" w:hAnsi="Arial"/>
          <w:sz w:val="18"/>
          <w:szCs w:val="18"/>
          <w:color w:val="auto"/>
        </w:rPr>
      </w:pPr>
      <w:r>
        <w:rPr>
          <w:rFonts w:ascii="Arial" w:cs="Arial" w:eastAsia="Arial" w:hAnsi="Arial"/>
          <w:sz w:val="18"/>
          <w:szCs w:val="18"/>
          <w:color w:val="auto"/>
        </w:rPr>
        <w:t>In the event it is later determined that a greater reduction in the Total Payments should have been made to implement the objective and intent of this Section 3(g), the excess amount shall be returned immediately by the Executive to the Company, plus interest at a rate equal to 120% of the semi-annual applicable federal rate as in effect at the time of the Change in Control.</w:t>
      </w:r>
    </w:p>
    <w:p>
      <w:pPr>
        <w:spacing w:after="0" w:line="140" w:lineRule="exact"/>
        <w:rPr>
          <w:rFonts w:ascii="Arial" w:cs="Arial" w:eastAsia="Arial" w:hAnsi="Arial"/>
          <w:sz w:val="18"/>
          <w:szCs w:val="18"/>
          <w:color w:val="auto"/>
        </w:rPr>
      </w:pPr>
    </w:p>
    <w:p>
      <w:pPr>
        <w:ind w:right="520" w:firstLine="921"/>
        <w:spacing w:after="0" w:line="268" w:lineRule="auto"/>
        <w:tabs>
          <w:tab w:leader="none" w:pos="1161"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and benefits to Executive hereunder shall be reduced by all federal, state, local and other withholdings and similar taxes and payments required by applicable law.</w:t>
      </w:r>
    </w:p>
    <w:p>
      <w:pPr>
        <w:spacing w:after="0" w:line="131" w:lineRule="exact"/>
        <w:rPr>
          <w:rFonts w:ascii="Arial" w:cs="Arial" w:eastAsia="Arial" w:hAnsi="Arial"/>
          <w:sz w:val="18"/>
          <w:szCs w:val="18"/>
          <w:color w:val="auto"/>
        </w:rPr>
      </w:pPr>
    </w:p>
    <w:p>
      <w:pPr>
        <w:jc w:val="both"/>
        <w:ind w:right="100" w:firstLine="464"/>
        <w:spacing w:after="0" w:line="306" w:lineRule="auto"/>
        <w:tabs>
          <w:tab w:leader="none" w:pos="63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Confidentiality, Restrictive Covenants and Proprietary Rights</w:t>
      </w:r>
      <w:r>
        <w:rPr>
          <w:rFonts w:ascii="Arial" w:cs="Arial" w:eastAsia="Arial" w:hAnsi="Arial"/>
          <w:sz w:val="16"/>
          <w:szCs w:val="16"/>
          <w:color w:val="auto"/>
        </w:rPr>
        <w:t>. The Company shall be entitled to cease all severance payments and benefits to Executive in the event of Executive’s breach of any non-competition, non-solicitation, non-disparagement, confidentiality, or assignment of inventions covenants contained in any agreement between the Executive and the Company, which covenants are hereby incorporated by reference into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7" w:name="page118"/>
    <w:bookmarkEnd w:id="117"/>
    <w:p>
      <w:pPr>
        <w:ind w:right="80" w:firstLine="464"/>
        <w:spacing w:after="0" w:line="288"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to Arbitrate</w:t>
      </w:r>
      <w:r>
        <w:rPr>
          <w:rFonts w:ascii="Arial" w:cs="Arial" w:eastAsia="Arial" w:hAnsi="Arial"/>
          <w:sz w:val="16"/>
          <w:szCs w:val="16"/>
          <w:color w:val="auto"/>
        </w:rPr>
        <w:t>. Any controversy, claim or dispute arising out of or relating to this Agreement, shall be settled solely and exclusively by binding arbitration in Indianapolis, Indiana. Such arbitration shall be conducted in accordance with the then prevailing JAMS Streamlined Arbitration Rules &amp; Procedures, with the following exceptions if in conflict: (a) one arbitrator shall be chosen by JAMS; (b) each party to the arbitration will pay its pro rata share of the expenses and fees of the arbitrator, together with other expenses of the arbitration incurred or approved by the arbitrator; and (c) arbitration may proceed in the absence of any party if written notice (pursuant to the JAMS’ rules and regulations) of the proceedings has been given to such party. Each party shall bear its own attorneys’ fees and expenses.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an action for injunctive relief pursuant to any applicable Other Arrangement.</w:t>
      </w:r>
    </w:p>
    <w:p>
      <w:pPr>
        <w:spacing w:after="0" w:line="119" w:lineRule="exact"/>
        <w:rPr>
          <w:rFonts w:ascii="Arial" w:cs="Arial" w:eastAsia="Arial" w:hAnsi="Arial"/>
          <w:sz w:val="16"/>
          <w:szCs w:val="16"/>
          <w:color w:val="auto"/>
        </w:rPr>
      </w:pPr>
    </w:p>
    <w:p>
      <w:pPr>
        <w:ind w:right="80" w:firstLine="464"/>
        <w:spacing w:after="0" w:line="298"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At-Will Employment Relationship</w:t>
      </w:r>
      <w:r>
        <w:rPr>
          <w:rFonts w:ascii="Arial" w:cs="Arial" w:eastAsia="Arial" w:hAnsi="Arial"/>
          <w:sz w:val="16"/>
          <w:szCs w:val="16"/>
          <w:color w:val="auto"/>
        </w:rPr>
        <w:t>. Except as may be expressly provided in an applicable Other Arrangement,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w:t>
      </w:r>
    </w:p>
    <w:p>
      <w:pPr>
        <w:spacing w:after="0" w:line="193" w:lineRule="exact"/>
        <w:rPr>
          <w:rFonts w:ascii="Arial" w:cs="Arial" w:eastAsia="Arial" w:hAnsi="Arial"/>
          <w:sz w:val="16"/>
          <w:szCs w:val="16"/>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The failure of any such successor to so assume this Agreement shall constitute a material breach of this Agreement by the Company. As used in this Agreement,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mean the Company as hereinbefore defined and any successor to its business and/or assets as aforesaid which assumes and agrees to perform this Agreement by operation of law or otherwise. Executive shall not be entitled to assign any of Executive’s rights or obligations under this Agreement. This Agreement shall inure to the benefit of and be enforceable by Executive’s personal or legal representatives, executors, administrators, successors, heirs, distributees, devisees and legatees.</w:t>
      </w:r>
    </w:p>
    <w:p>
      <w:pPr>
        <w:spacing w:after="0" w:line="12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therefore, the normal rule of construction to the effect that any ambiguities are to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8" w:name="page119"/>
    <w:bookmarkEnd w:id="1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4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will be governed by and construed in accordance with the laws of the United States and the State of Indiana applicable to contracts made and to be performed wholly within such State, and without regard to the conflicts of laws principles thereof. Any suit brought hereon shall be brought in the state or federal courts sitting in Indianapolis, Indiana, the parties hereby waiving any claim or defense that such forum is not convenient or proper. Each party hereby agrees that any such court shall have in personam jurisdiction over it and consents to service of process in any manner authorized by Indiana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indicated: (a) by personal delivery when delivered personally; (b) by overnight courier upon written verification of receipt; (c) by telecopy or facsimile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transmission upon acknowledgment of receipt of electronic transmission; or (d) by certified or registered mail, return receipt requested, upon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receipt. Notice shall be sent to Executive at the address set forth below and to the Company at its principal place of business, or such other address as either party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may specify in writing.</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Survival</w:t>
      </w:r>
      <w:r>
        <w:rPr>
          <w:rFonts w:ascii="Arial" w:cs="Arial" w:eastAsia="Arial" w:hAnsi="Arial"/>
          <w:sz w:val="18"/>
          <w:szCs w:val="18"/>
          <w:color w:val="auto"/>
        </w:rPr>
        <w:t>. Sections 1 (“Definitions”), 3 (“Severance”), 4 (“Confidentiality and Proprietary Rights”), 5 (“Agreement to Arbitrate”) and 7 (“General Provisions”) of this Agreement shall survive termination of Executive’s employment with the Company.</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Addendum hereto entered into as of the Effective Date between the Company and the Executive) and any covenants and agreements incorporated herein by reference as set forth in Section 4 together constitute the entire agreement between the parties in respect of the subject matter contained herein and therein and supersede all prior or simultaneous representations, discussions, negotiations, and agreements, whether written or oral, provided, however, that for the avoidance of doubt, all Other Arrangements (as such Other Arrangements may be amended, modified or terminated from time to time) shall remain in effect in accordance with their terms, subject to Section 3(d) hereof. This Agreement may be amended or modified only with the written consent of Executive and an authorized representative of the Company. No oral waiver, amendment or modification will be effective under any circumstances whatsoever.</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90" w:lineRule="exact"/>
        <w:rPr>
          <w:sz w:val="20"/>
          <w:szCs w:val="20"/>
          <w:color w:val="auto"/>
        </w:rPr>
      </w:pPr>
    </w:p>
    <w:p>
      <w:pPr>
        <w:ind w:right="20" w:firstLine="1492"/>
        <w:spacing w:after="0" w:line="291" w:lineRule="auto"/>
        <w:tabs>
          <w:tab w:leader="none" w:pos="172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Agreement is not intended to provide for any deferral of compensation subject to Section 409A of the Code, and, accordingly, the severance payments payable under Section 3(a) shall be paid no later than the later of: (i) the fifteenth (15</w:t>
      </w:r>
      <w:r>
        <w:rPr>
          <w:rFonts w:ascii="Arial" w:cs="Arial" w:eastAsia="Arial" w:hAnsi="Arial"/>
          <w:sz w:val="10"/>
          <w:szCs w:val="10"/>
          <w:color w:val="auto"/>
        </w:rPr>
        <w:t>th</w:t>
      </w:r>
      <w:r>
        <w:rPr>
          <w:rFonts w:ascii="Arial" w:cs="Arial" w:eastAsia="Arial" w:hAnsi="Arial"/>
          <w:sz w:val="16"/>
          <w:szCs w:val="16"/>
          <w:color w:val="auto"/>
        </w:rPr>
        <w:t>) day of the third month following Executive’s first taxable year in which such severance benefit is no longer subject to a substantial risk of forfeiture, and (ii) the fifteenth (15</w:t>
      </w:r>
      <w:r>
        <w:rPr>
          <w:rFonts w:ascii="Arial" w:cs="Arial" w:eastAsia="Arial" w:hAnsi="Arial"/>
          <w:sz w:val="10"/>
          <w:szCs w:val="10"/>
          <w:color w:val="auto"/>
        </w:rPr>
        <w:t>th</w:t>
      </w:r>
      <w:r>
        <w:rPr>
          <w:rFonts w:ascii="Arial" w:cs="Arial" w:eastAsia="Arial" w:hAnsi="Arial"/>
          <w:sz w:val="16"/>
          <w:szCs w:val="16"/>
          <w:color w:val="auto"/>
        </w:rPr>
        <w:t>) day of the third month following the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w:t>
      </w:r>
    </w:p>
    <w:p>
      <w:pPr>
        <w:spacing w:after="0" w:line="120" w:lineRule="exact"/>
        <w:rPr>
          <w:rFonts w:ascii="Arial" w:cs="Arial" w:eastAsia="Arial" w:hAnsi="Arial"/>
          <w:sz w:val="16"/>
          <w:szCs w:val="16"/>
          <w:color w:val="auto"/>
        </w:rPr>
      </w:pPr>
    </w:p>
    <w:p>
      <w:pPr>
        <w:ind w:right="120" w:firstLine="1492"/>
        <w:spacing w:after="0" w:line="332" w:lineRule="auto"/>
        <w:tabs>
          <w:tab w:leader="none" w:pos="17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9" w:name="page120"/>
    <w:bookmarkEnd w:id="119"/>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7.8(b) shall be paid or distributed to Executive in a lump sum on the earlier of (a) the date that is six (6)-months following Executive’s Separation from Service, (b) the date of Executive’s death or (c) the earliest date as is permitted under Section 409A of the Code. Any remaining payments due under the Agreement shall be paid as otherwise provided herein.</w:t>
      </w:r>
    </w:p>
    <w:p>
      <w:pPr>
        <w:spacing w:after="0" w:line="14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Administration</w:t>
      </w:r>
      <w:r>
        <w:rPr>
          <w:rFonts w:ascii="Arial" w:cs="Arial" w:eastAsia="Arial" w:hAnsi="Arial"/>
          <w:sz w:val="16"/>
          <w:szCs w:val="16"/>
          <w:color w:val="auto"/>
        </w:rPr>
        <w:t>. This Agreement shall be interpreted and administered by the Board or a committee thereof to which the Board may delegate such function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The Board or the Committee shall have the exclusive power, subject to and within the limitations of the express provisions of this Agreement, to interpret this Agreement and to make factual findings and determinations and take such action in connection with the Agreement as it, in its sole discretion, deems appropriate. The Board’s or the Committee’s determination shall be binding and conclusive on all parties, and the Board or the Committee shall not be liable for any action or determination made in good faith with respect to this Agreement.</w:t>
      </w:r>
    </w:p>
    <w:p>
      <w:pPr>
        <w:spacing w:after="0" w:line="116"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Source of Funds</w:t>
      </w:r>
      <w:r>
        <w:rPr>
          <w:rFonts w:ascii="Arial" w:cs="Arial" w:eastAsia="Arial" w:hAnsi="Arial"/>
          <w:sz w:val="18"/>
          <w:szCs w:val="18"/>
          <w:color w:val="auto"/>
        </w:rPr>
        <w:t>. Amounts payable to Executive under this Agreement shall be from the general funds of the Company. Executive’s rights to unpaid amounts under this Agreement shall be solely those of an unsecured creditor of the Company.</w:t>
      </w:r>
    </w:p>
    <w:p>
      <w:pPr>
        <w:spacing w:after="0" w:line="13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Consultation with Legal and Financial Advisors</w:t>
      </w:r>
      <w:r>
        <w:rPr>
          <w:rFonts w:ascii="Arial" w:cs="Arial" w:eastAsia="Arial" w:hAnsi="Arial"/>
          <w:sz w:val="16"/>
          <w:szCs w:val="16"/>
          <w:color w:val="auto"/>
        </w:rPr>
        <w:t>.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w:t>
      </w:r>
    </w:p>
    <w:p>
      <w:pPr>
        <w:spacing w:after="0" w:line="10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but all of which together shall constitute one and the same instrument.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0" w:name="page121"/>
    <w:bookmarkEnd w:id="120"/>
    <w:p>
      <w:pPr>
        <w:ind w:right="6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THIS AGREEMENT HAVE READ THE FOREGOING AGREEMENT AND FULLY UNDERSTAND EACH AND EVERY PROVISION CONTAINED HEREIN. WHEREFORE, THE PARTIES HAVE EXECUTED THIS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LLISON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RANSMISSION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42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tc>
        <w:tc>
          <w:tcPr>
            <w:tcW w:w="0" w:type="dxa"/>
            <w:vAlign w:val="bottom"/>
          </w:tcPr>
          <w:p>
            <w:pPr>
              <w:spacing w:after="0"/>
              <w:rPr>
                <w:sz w:val="1"/>
                <w:szCs w:val="1"/>
                <w:color w:val="auto"/>
              </w:rPr>
            </w:pPr>
          </w:p>
        </w:tc>
      </w:tr>
      <w:tr>
        <w:trPr>
          <w:trHeight w:val="433"/>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42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700" w:type="dxa"/>
            <w:vAlign w:val="bottom"/>
            <w:gridSpan w:val="3"/>
          </w:tcPr>
          <w:p>
            <w:pPr>
              <w:ind w:left="580"/>
              <w:spacing w:after="0" w:line="183" w:lineRule="exact"/>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680" w:type="dxa"/>
            <w:vAlign w:val="bottom"/>
            <w:gridSpan w:val="3"/>
            <w:vMerge w:val="restart"/>
          </w:tcPr>
          <w:p>
            <w:pPr>
              <w:jc w:val="right"/>
              <w:ind w:right="412"/>
              <w:spacing w:after="0"/>
              <w:rPr>
                <w:sz w:val="20"/>
                <w:szCs w:val="20"/>
                <w:color w:val="auto"/>
              </w:rPr>
            </w:pPr>
            <w:r>
              <w:rPr>
                <w:rFonts w:ascii="Arial" w:cs="Arial" w:eastAsia="Arial" w:hAnsi="Arial"/>
                <w:sz w:val="18"/>
                <w:szCs w:val="18"/>
                <w:color w:val="auto"/>
              </w:rPr>
              <w:t>10</w:t>
            </w:r>
          </w:p>
        </w:tc>
        <w:tc>
          <w:tcPr>
            <w:tcW w:w="1020" w:type="dxa"/>
            <w:vAlign w:val="bottom"/>
          </w:tcPr>
          <w:p>
            <w:pPr>
              <w:spacing w:after="0"/>
              <w:rPr>
                <w:sz w:val="20"/>
                <w:szCs w:val="20"/>
                <w:color w:val="auto"/>
              </w:rPr>
            </w:pPr>
          </w:p>
        </w:tc>
        <w:tc>
          <w:tcPr>
            <w:tcW w:w="4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620" w:type="dxa"/>
            <w:vAlign w:val="bottom"/>
          </w:tcPr>
          <w:p>
            <w:pPr>
              <w:spacing w:after="0"/>
              <w:rPr>
                <w:sz w:val="24"/>
                <w:szCs w:val="24"/>
                <w:color w:val="auto"/>
              </w:rPr>
            </w:pPr>
          </w:p>
        </w:tc>
        <w:tc>
          <w:tcPr>
            <w:tcW w:w="568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language in this Release may change based on legal developments and evolving best practices; this form is provided as an example of what will be</w:t>
      </w:r>
      <w:r>
        <w:rPr>
          <w:rFonts w:ascii="Arial" w:cs="Arial" w:eastAsia="Arial" w:hAnsi="Arial"/>
          <w:sz w:val="18"/>
          <w:szCs w:val="18"/>
          <w:color w:val="auto"/>
        </w:rPr>
        <w:t xml:space="preserve"> </w:t>
      </w:r>
      <w:r>
        <w:rPr>
          <w:rFonts w:ascii="Arial" w:cs="Arial" w:eastAsia="Arial" w:hAnsi="Arial"/>
          <w:sz w:val="18"/>
          <w:szCs w:val="18"/>
          <w:i w:val="1"/>
          <w:iCs w:val="1"/>
          <w:color w:val="auto"/>
        </w:rPr>
        <w:t>included in the final Release document.</w:t>
      </w:r>
      <w:r>
        <w:rPr>
          <w:rFonts w:ascii="Arial" w:cs="Arial" w:eastAsia="Arial" w:hAnsi="Arial"/>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ind w:left="460"/>
              <w:spacing w:after="0"/>
              <w:rPr>
                <w:sz w:val="20"/>
                <w:szCs w:val="20"/>
                <w:color w:val="auto"/>
              </w:rPr>
            </w:pPr>
            <w:r>
              <w:rPr>
                <w:rFonts w:ascii="Arial" w:cs="Arial" w:eastAsia="Arial" w:hAnsi="Arial"/>
                <w:sz w:val="18"/>
                <w:szCs w:val="18"/>
                <w:color w:val="auto"/>
                <w:w w:val="88"/>
              </w:rPr>
              <w:t>This General Release of Claims (“</w:t>
            </w:r>
            <w:r>
              <w:rPr>
                <w:rFonts w:ascii="Arial" w:cs="Arial" w:eastAsia="Arial" w:hAnsi="Arial"/>
                <w:sz w:val="18"/>
                <w:szCs w:val="18"/>
                <w:b w:val="1"/>
                <w:bCs w:val="1"/>
                <w:i w:val="1"/>
                <w:iCs w:val="1"/>
                <w:color w:val="auto"/>
                <w:w w:val="88"/>
              </w:rPr>
              <w:t>Release</w:t>
            </w:r>
            <w:r>
              <w:rPr>
                <w:rFonts w:ascii="Arial" w:cs="Arial" w:eastAsia="Arial" w:hAnsi="Arial"/>
                <w:sz w:val="18"/>
                <w:szCs w:val="18"/>
                <w:color w:val="auto"/>
                <w:w w:val="88"/>
              </w:rPr>
              <w:t>”) is entered into as of this</w:t>
            </w:r>
          </w:p>
        </w:tc>
        <w:tc>
          <w:tcPr>
            <w:tcW w:w="360" w:type="dxa"/>
            <w:vAlign w:val="bottom"/>
            <w:tcBorders>
              <w:bottom w:val="single" w:sz="8" w:color="auto"/>
            </w:tcBorders>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340" w:type="dxa"/>
            <w:vAlign w:val="bottom"/>
            <w:tcBorders>
              <w:bottom w:val="single" w:sz="8" w:color="auto"/>
            </w:tcBorders>
          </w:tcPr>
          <w:p>
            <w:pPr>
              <w:spacing w:after="0"/>
              <w:rPr>
                <w:sz w:val="17"/>
                <w:szCs w:val="17"/>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9"/>
              </w:rPr>
              <w:t>, between</w:t>
            </w:r>
          </w:p>
        </w:tc>
        <w:tc>
          <w:tcPr>
            <w:tcW w:w="520" w:type="dxa"/>
            <w:vAlign w:val="bottom"/>
            <w:tcBorders>
              <w:bottom w:val="single" w:sz="8" w:color="auto"/>
            </w:tcBorders>
          </w:tcPr>
          <w:p>
            <w:pPr>
              <w:spacing w:after="0"/>
              <w:rPr>
                <w:sz w:val="17"/>
                <w:szCs w:val="17"/>
                <w:color w:val="auto"/>
              </w:rPr>
            </w:pPr>
          </w:p>
        </w:tc>
        <w:tc>
          <w:tcPr>
            <w:tcW w:w="3080" w:type="dxa"/>
            <w:vAlign w:val="bottom"/>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Executive</w:t>
            </w:r>
            <w:r>
              <w:rPr>
                <w:rFonts w:ascii="Arial" w:cs="Arial" w:eastAsia="Arial" w:hAnsi="Arial"/>
                <w:sz w:val="18"/>
                <w:szCs w:val="18"/>
                <w:color w:val="auto"/>
                <w:w w:val="93"/>
              </w:rPr>
              <w:t>”), and Allison Transmission,</w:t>
            </w:r>
          </w:p>
        </w:tc>
      </w:tr>
      <w:tr>
        <w:trPr>
          <w:trHeight w:val="235"/>
        </w:trPr>
        <w:tc>
          <w:tcPr>
            <w:tcW w:w="6860" w:type="dxa"/>
            <w:vAlign w:val="bottom"/>
            <w:gridSpan w:val="6"/>
          </w:tcPr>
          <w:p>
            <w:pPr>
              <w:spacing w:after="0"/>
              <w:rPr>
                <w:sz w:val="20"/>
                <w:szCs w:val="20"/>
                <w:color w:val="auto"/>
              </w:rPr>
            </w:pPr>
            <w:r>
              <w:rPr>
                <w:rFonts w:ascii="Arial" w:cs="Arial" w:eastAsia="Arial" w:hAnsi="Arial"/>
                <w:sz w:val="18"/>
                <w:szCs w:val="18"/>
                <w:color w:val="auto"/>
                <w:w w:val="91"/>
              </w:rPr>
              <w:t>Inc., a Delaware corporation (the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 (collectively referred to herein as the “</w:t>
            </w:r>
            <w:r>
              <w:rPr>
                <w:rFonts w:ascii="Arial" w:cs="Arial" w:eastAsia="Arial" w:hAnsi="Arial"/>
                <w:sz w:val="18"/>
                <w:szCs w:val="18"/>
                <w:b w:val="1"/>
                <w:bCs w:val="1"/>
                <w:i w:val="1"/>
                <w:iCs w:val="1"/>
                <w:color w:val="auto"/>
                <w:w w:val="91"/>
              </w:rPr>
              <w:t>Parties</w:t>
            </w:r>
            <w:r>
              <w:rPr>
                <w:rFonts w:ascii="Arial" w:cs="Arial" w:eastAsia="Arial" w:hAnsi="Arial"/>
                <w:sz w:val="18"/>
                <w:szCs w:val="18"/>
                <w:color w:val="auto"/>
                <w:w w:val="91"/>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40"/>
        </w:trPr>
        <w:tc>
          <w:tcPr>
            <w:tcW w:w="8940" w:type="dxa"/>
            <w:vAlign w:val="bottom"/>
            <w:gridSpan w:val="10"/>
          </w:tcPr>
          <w:p>
            <w:pPr>
              <w:ind w:left="460"/>
              <w:spacing w:after="0"/>
              <w:rPr>
                <w:sz w:val="20"/>
                <w:szCs w:val="20"/>
                <w:color w:val="auto"/>
              </w:rPr>
            </w:pPr>
            <w:r>
              <w:rPr>
                <w:rFonts w:ascii="Arial" w:cs="Arial" w:eastAsia="Arial" w:hAnsi="Arial"/>
                <w:sz w:val="18"/>
                <w:szCs w:val="18"/>
                <w:color w:val="auto"/>
                <w:w w:val="88"/>
              </w:rPr>
              <w:t>WHEREAS, Executive and the Company are parties to that certain Change in Control Severance Agreement dated as of</w:t>
            </w:r>
          </w:p>
        </w:tc>
        <w:tc>
          <w:tcPr>
            <w:tcW w:w="520" w:type="dxa"/>
            <w:vAlign w:val="bottom"/>
            <w:tcBorders>
              <w:bottom w:val="single" w:sz="8" w:color="auto"/>
            </w:tcBorders>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88"/>
              </w:rPr>
              <w:t>, 2013 (the “</w:t>
            </w:r>
            <w:r>
              <w:rPr>
                <w:rFonts w:ascii="Arial" w:cs="Arial" w:eastAsia="Arial" w:hAnsi="Arial"/>
                <w:sz w:val="18"/>
                <w:szCs w:val="18"/>
                <w:b w:val="1"/>
                <w:bCs w:val="1"/>
                <w:i w:val="1"/>
                <w:iCs w:val="1"/>
                <w:color w:val="auto"/>
                <w:w w:val="88"/>
              </w:rPr>
              <w:t>Agreement</w:t>
            </w:r>
            <w:r>
              <w:rPr>
                <w:rFonts w:ascii="Arial" w:cs="Arial" w:eastAsia="Arial" w:hAnsi="Arial"/>
                <w:sz w:val="18"/>
                <w:szCs w:val="18"/>
                <w:color w:val="auto"/>
                <w:w w:val="88"/>
              </w:rPr>
              <w:t>”);</w:t>
            </w: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the Parties agree that Executive is entitled to certain severance benefits under the Agreement, subject to Executive’s execution of this Release;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Executive now wish to fully and finally to resolve all matters between them.</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spacing w:after="0" w:line="221"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 by Executive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5" w:lineRule="auto"/>
        <w:tabs>
          <w:tab w:leader="none" w:pos="115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from any and all claims, debts, demands, accounts, judgments, rights, causes of action, equitable relief, damages, costs, charges, complaints,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xml:space="preserve">”), which Executive has or may have had against such entities based on any events or circumstances arising or occurring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as amended, 42 U.S.C. § 12101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Rehabilitation Act of 1973, as amended, 29 U.S.C. § 701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Civil Rights Act of 1866, and the Civil Rights Act of 1991; 42 U.S.C. Section 1981,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Age Discrimination in Employment Act, as amended, 29 U.S.C. Section 621,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(the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Equal Pay Act, as amended, 29 U.S.C. Section 206(d); regulations of the Office of Federal Contract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2" w:name="page123"/>
    <w:bookmarkEnd w:id="122"/>
    <w:p>
      <w:pPr>
        <w:ind w:right="2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41 C.F.R. Section 60,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Family and Medical Leave Act, as amended, 29 U.S.C. § 2601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Fair Labor Standards Act of 1938, as amended, 29 U.S.C. § 201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Employee Retirement Income Security Act, as amended, 29 U.S.C. § 1001 </w:t>
      </w:r>
      <w:r>
        <w:rPr>
          <w:rFonts w:ascii="Arial" w:cs="Arial" w:eastAsia="Arial" w:hAnsi="Arial"/>
          <w:sz w:val="15"/>
          <w:szCs w:val="15"/>
          <w:u w:val="single" w:color="auto"/>
          <w:color w:val="auto"/>
        </w:rPr>
        <w:t>et seq</w:t>
      </w:r>
      <w:r>
        <w:rPr>
          <w:rFonts w:ascii="Arial" w:cs="Arial" w:eastAsia="Arial" w:hAnsi="Arial"/>
          <w:sz w:val="15"/>
          <w:szCs w:val="15"/>
          <w:color w:val="auto"/>
        </w:rPr>
        <w:t>.; and any similar state or local law.</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generality of the foregoing, Executive does not release the following:</w:t>
      </w:r>
    </w:p>
    <w:p>
      <w:pPr>
        <w:spacing w:after="0" w:line="90" w:lineRule="exact"/>
        <w:rPr>
          <w:sz w:val="20"/>
          <w:szCs w:val="20"/>
          <w:color w:val="auto"/>
        </w:rPr>
      </w:pPr>
    </w:p>
    <w:p>
      <w:pPr>
        <w:ind w:left="1120" w:hanging="21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for unemployment compensation or any state disability insurance benefits pursuant to the terms of applicable state law;</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Claims for workers’ compensation insurance benefits under the terms of any worker’s compensation insurance policy or fund of the Company;</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pursuant to the terms and conditions of the federal law known as COBRA;</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for indemnity under the bylaws of the Company, as provided for by Delaware law or under any applicable insurance policy with respect to Executive’s liability as an employee, director or officer of the Company pursuant to which Executive is covered as of the effective date of Executive’s termination of employment with the Company and its subsidiaries;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based on any right Executive may have to enforce the Company’s executory obligations under the Agreement;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Executive may have to vested or earned compensation and benefits; and</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rights that cannot be released as a matter of applicable law, but only to the extent such rights may not be released under such applicable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64" w:lineRule="exact"/>
        <w:rPr>
          <w:rFonts w:ascii="Arial" w:cs="Arial" w:eastAsia="Arial" w:hAnsi="Arial"/>
          <w:sz w:val="16"/>
          <w:szCs w:val="16"/>
          <w:color w:val="auto"/>
        </w:rPr>
      </w:pPr>
    </w:p>
    <w:p>
      <w:pPr>
        <w:ind w:firstLine="921"/>
        <w:spacing w:after="0" w:line="291" w:lineRule="auto"/>
        <w:tabs>
          <w:tab w:leader="none" w:pos="11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Executive acknowledges that this Release was presented to him or her on the date indicated above and that Executive is entitled to have [twenty-one (21)/forty-five (45)] days’ time in which to consider it. Executive further acknowledges that the Company has advised him or her that he or she is waiving his or her rights under the ADEA, and that Executive should consult with an attorney of his or her choice before signing this Release, and Executive has had sufficient time to consider the terms of this Release. Executive represents and acknowledges that if Executive executes this Release before [twenty-one (21)/forty-five (45)] days have elapsed, Executive does so knowingly, voluntarily, and upon the advice and with the approval of Executive’s legal counsel (if any), and that Executive voluntarily waives any remaining consideration period.</w:t>
      </w:r>
    </w:p>
    <w:p>
      <w:pPr>
        <w:spacing w:after="0" w:line="120" w:lineRule="exact"/>
        <w:rPr>
          <w:rFonts w:ascii="Arial" w:cs="Arial" w:eastAsia="Arial" w:hAnsi="Arial"/>
          <w:sz w:val="16"/>
          <w:szCs w:val="16"/>
          <w:color w:val="auto"/>
        </w:rPr>
      </w:pPr>
    </w:p>
    <w:p>
      <w:pPr>
        <w:ind w:right="100" w:firstLine="921"/>
        <w:spacing w:after="0" w:line="255" w:lineRule="auto"/>
        <w:tabs>
          <w:tab w:leader="none" w:pos="11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Executive understands that after executing this Release, Executive has the right to revoke it within seven (7) 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p>
    <w:p>
      <w:pPr>
        <w:spacing w:after="0" w:line="142" w:lineRule="exact"/>
        <w:rPr>
          <w:rFonts w:ascii="Arial" w:cs="Arial" w:eastAsia="Arial" w:hAnsi="Arial"/>
          <w:sz w:val="18"/>
          <w:szCs w:val="18"/>
          <w:color w:val="auto"/>
        </w:rPr>
      </w:pPr>
    </w:p>
    <w:p>
      <w:pPr>
        <w:ind w:right="80" w:firstLine="921"/>
        <w:spacing w:after="0" w:line="256" w:lineRule="auto"/>
        <w:tabs>
          <w:tab w:leader="none" w:pos="11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Executive understands that this Release shall become effective, irrevocable, and binding upon Executive on the eighth (8</w:t>
      </w:r>
      <w:r>
        <w:rPr>
          <w:rFonts w:ascii="Arial" w:cs="Arial" w:eastAsia="Arial" w:hAnsi="Arial"/>
          <w:sz w:val="11"/>
          <w:szCs w:val="11"/>
          <w:color w:val="auto"/>
        </w:rPr>
        <w:t>th</w:t>
      </w:r>
      <w:r>
        <w:rPr>
          <w:rFonts w:ascii="Arial" w:cs="Arial" w:eastAsia="Arial" w:hAnsi="Arial"/>
          <w:sz w:val="18"/>
          <w:szCs w:val="18"/>
          <w:color w:val="auto"/>
        </w:rPr>
        <w:t>) day after his or her execution of it, so long as Executive has not revoked it within the time period and in the manner specified in clause (c) above. Executive further understands that Executive will not be given any severance benefits under the Agreement unless this Release is effective on or before the date that is sixty (60) days following the date of Executive’s termination of employment.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3" w:name="page124"/>
    <w:bookmarkEnd w:id="123"/>
    <w:p>
      <w:pPr>
        <w:ind w:left="-40" w:right="140" w:firstLine="464"/>
        <w:spacing w:after="0" w:line="306" w:lineRule="auto"/>
        <w:tabs>
          <w:tab w:leader="none" w:pos="59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Assignment</w:t>
      </w:r>
      <w:r>
        <w:rPr>
          <w:rFonts w:ascii="Arial" w:cs="Arial" w:eastAsia="Arial" w:hAnsi="Arial"/>
          <w:sz w:val="16"/>
          <w:szCs w:val="16"/>
          <w:color w:val="auto"/>
        </w:rPr>
        <w:t>.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spacing w:after="0" w:line="106" w:lineRule="exact"/>
        <w:rPr>
          <w:rFonts w:ascii="Arial" w:cs="Arial" w:eastAsia="Arial" w:hAnsi="Arial"/>
          <w:sz w:val="16"/>
          <w:szCs w:val="16"/>
          <w:color w:val="auto"/>
        </w:rPr>
      </w:pPr>
    </w:p>
    <w:p>
      <w:pPr>
        <w:jc w:val="both"/>
        <w:ind w:left="-40" w:right="140" w:firstLine="464"/>
        <w:spacing w:after="0" w:line="298" w:lineRule="auto"/>
        <w:tabs>
          <w:tab w:leader="none" w:pos="59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12" w:lineRule="exact"/>
        <w:rPr>
          <w:rFonts w:ascii="Arial" w:cs="Arial" w:eastAsia="Arial" w:hAnsi="Arial"/>
          <w:sz w:val="16"/>
          <w:szCs w:val="16"/>
          <w:color w:val="auto"/>
        </w:rPr>
      </w:pPr>
    </w:p>
    <w:p>
      <w:pPr>
        <w:ind w:left="-40" w:right="20" w:firstLine="464"/>
        <w:spacing w:after="0" w:line="291" w:lineRule="auto"/>
        <w:tabs>
          <w:tab w:leader="none" w:pos="59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headings set forth in this Release are for convenience only and shall not be used in interpreting this Agreement. This Release has been drafted by legal counsel representing the Company, but 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spacing w:after="0" w:line="120" w:lineRule="exact"/>
        <w:rPr>
          <w:rFonts w:ascii="Arial" w:cs="Arial" w:eastAsia="Arial" w:hAnsi="Arial"/>
          <w:sz w:val="16"/>
          <w:szCs w:val="16"/>
          <w:color w:val="auto"/>
        </w:rPr>
      </w:pPr>
    </w:p>
    <w:p>
      <w:pPr>
        <w:ind w:left="-40" w:firstLine="464"/>
        <w:spacing w:after="0" w:line="255" w:lineRule="auto"/>
        <w:tabs>
          <w:tab w:leader="none" w:pos="5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Release will be governed by and construed in accordance with the laws of the United States of America and the State of Indiana applicable to contracts made and to be performed wholly within such State, and without regard to the conflicts of laws principles thereof. Any suit brought hereon shall be brought in the state or federal courts sitting in Indianapolis, Indiana, the Parties hereby waiving any claim or defense that such forum is not convenient or proper. Each party hereby agrees that any such court shall have in personam jurisdiction over it and consents to service of process in any manner authorized by Indiana law.</w:t>
      </w:r>
    </w:p>
    <w:p>
      <w:pPr>
        <w:spacing w:after="0" w:line="142" w:lineRule="exact"/>
        <w:rPr>
          <w:rFonts w:ascii="Arial" w:cs="Arial" w:eastAsia="Arial" w:hAnsi="Arial"/>
          <w:sz w:val="18"/>
          <w:szCs w:val="18"/>
          <w:color w:val="auto"/>
        </w:rPr>
      </w:pPr>
    </w:p>
    <w:p>
      <w:pPr>
        <w:ind w:left="-40" w:right="80" w:firstLine="464"/>
        <w:spacing w:after="0" w:line="256" w:lineRule="auto"/>
        <w:tabs>
          <w:tab w:leader="none" w:pos="5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and the Agreement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spacing w:after="0" w:line="143" w:lineRule="exact"/>
        <w:rPr>
          <w:rFonts w:ascii="Arial" w:cs="Arial" w:eastAsia="Arial" w:hAnsi="Arial"/>
          <w:sz w:val="18"/>
          <w:szCs w:val="18"/>
          <w:color w:val="auto"/>
        </w:rPr>
      </w:pPr>
    </w:p>
    <w:p>
      <w:pPr>
        <w:ind w:left="-40" w:right="320" w:firstLine="464"/>
        <w:spacing w:after="0" w:line="268" w:lineRule="auto"/>
        <w:tabs>
          <w:tab w:leader="none" w:pos="5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Release may be executed in multiple counterparts, each of which shall be deemed to be an original but all of which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80" w:right="279" w:bottom="1440" w:gutter="0" w:footer="0" w:header="0"/>
        </w:sectPr>
      </w:pPr>
    </w:p>
    <w:bookmarkStart w:id="124" w:name="page125"/>
    <w:bookmarkEnd w:id="1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and intending to be legally bound, the Parties have executed the foregoing Release as of the date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tc>
        <w:tc>
          <w:tcPr>
            <w:tcW w:w="6060" w:type="dxa"/>
            <w:vAlign w:val="bottom"/>
            <w:gridSpan w:val="2"/>
          </w:tcPr>
          <w:p>
            <w:pPr>
              <w:ind w:left="7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LLISON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RANSMISSION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4"/>
        </w:trPr>
        <w:tc>
          <w:tcPr>
            <w:tcW w:w="1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24"/>
                <w:szCs w:val="24"/>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9840" w:type="dxa"/>
            <w:vAlign w:val="bottom"/>
          </w:tcPr>
          <w:p>
            <w:pPr>
              <w:ind w:left="4540"/>
              <w:spacing w:after="0"/>
              <w:rPr>
                <w:sz w:val="20"/>
                <w:szCs w:val="20"/>
                <w:color w:val="auto"/>
              </w:rPr>
            </w:pPr>
            <w:r>
              <w:rPr>
                <w:rFonts w:ascii="Arial" w:cs="Arial" w:eastAsia="Arial" w:hAnsi="Arial"/>
                <w:sz w:val="18"/>
                <w:szCs w:val="18"/>
                <w:b w:val="1"/>
                <w:bCs w:val="1"/>
                <w:color w:val="auto"/>
              </w:rPr>
              <w:t>List of Subsidiaries*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840" w:type="dxa"/>
            <w:vAlign w:val="bottom"/>
            <w:vMerge w:val="restart"/>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Country of</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318"/>
        </w:trPr>
        <w:tc>
          <w:tcPr>
            <w:tcW w:w="10220" w:type="dxa"/>
            <w:vAlign w:val="bottom"/>
            <w:gridSpan w:val="2"/>
          </w:tcPr>
          <w:p>
            <w:pPr>
              <w:spacing w:after="0"/>
              <w:rPr>
                <w:sz w:val="20"/>
                <w:szCs w:val="20"/>
                <w:color w:val="auto"/>
              </w:rPr>
            </w:pPr>
            <w:r>
              <w:rPr>
                <w:rFonts w:ascii="Arial" w:cs="Arial" w:eastAsia="Arial" w:hAnsi="Arial"/>
                <w:sz w:val="18"/>
                <w:szCs w:val="18"/>
                <w:color w:val="auto"/>
              </w:rPr>
              <w:t>Allison Transmission, Inc.</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  Omits names of subsidiaries that as of December 31, 2013 were not, in the aggregate, a “significant subsidiary.”</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333-180285) and on Form S-3 (No. 333-187903) of Allison Transmission Holdings, Inc. of our report dated February 24, 2014 relating to the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Lawrence E. Dewey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David S. Graziosi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w w:val="92"/>
              </w:rPr>
              <w:t>Executive Vice President, Chief Financial Officer and</w:t>
            </w:r>
          </w:p>
        </w:tc>
      </w:tr>
      <w:tr>
        <w:trPr>
          <w:trHeight w:val="230"/>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Treasurer (Principal Financial Officer)</w:t>
            </w:r>
          </w:p>
        </w:tc>
      </w:tr>
    </w:tbl>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Allison Transmission Holdings, Inc. (the “Company”) on Form 10-K for the fiscal year ended December 31, 2013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§1350 as adopted pursuant to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lvl w:ilvl="1">
      <w:lvlJc w:val="left"/>
      <w:lvlText w:val="(%2)"/>
      <w:numFmt w:val="lowerLetter"/>
      <w:start w:val="1"/>
    </w:lvl>
  </w:abstractNum>
  <w:abstractNum w:abstractNumId="15">
    <w:nsid w:val="6763845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
    <w:nsid w:val="75A2A8D4"/>
    <w:multiLevelType w:val="hybridMultilevel"/>
    <w:lvl w:ilvl="0">
      <w:lvlJc w:val="left"/>
      <w:lvlText w:val="(%1)"/>
      <w:numFmt w:val="lowerRoman"/>
      <w:start w:val="4"/>
    </w:lvl>
  </w:abstractNum>
  <w:abstractNum w:abstractNumId="17">
    <w:nsid w:val="8EDBDAB"/>
    <w:multiLevelType w:val="hybridMultilevel"/>
    <w:lvl w:ilvl="0">
      <w:lvlJc w:val="left"/>
      <w:lvlText w:val="(%1)"/>
      <w:numFmt w:val="decimal"/>
      <w:start w:val="6"/>
    </w:lvl>
    <w:lvl w:ilvl="1">
      <w:lvlJc w:val="left"/>
      <w:lvlText w:val="%2."/>
      <w:numFmt w:val="decimal"/>
      <w:start w:val="1"/>
    </w:lvl>
    <w:lvl w:ilvl="2">
      <w:lvlJc w:val="left"/>
      <w:lvlText w:val="(%3)"/>
      <w:numFmt w:val="lowerLetter"/>
      <w:start w:val="8"/>
    </w:lvl>
  </w:abstractNum>
  <w:abstractNum w:abstractNumId="18">
    <w:nsid w:val="79838CB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9">
    <w:nsid w:val="4353D0C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0">
    <w:nsid w:val="B03E0C6"/>
    <w:multiLevelType w:val="hybridMultilevel"/>
    <w:lvl w:ilvl="0">
      <w:lvlJc w:val="left"/>
      <w:lvlText w:val="(%1)"/>
      <w:numFmt w:val="lowerLetter"/>
      <w:start w:val="4"/>
    </w:lvl>
    <w:lvl w:ilvl="1">
      <w:lvlJc w:val="left"/>
      <w:lvlText w:val="(%2)"/>
      <w:numFmt w:val="lowerLetter"/>
      <w:start w:val="9"/>
    </w:lvl>
  </w:abstractNum>
  <w:abstractNum w:abstractNumId="21">
    <w:nsid w:val="189A769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2">
    <w:nsid w:val="54E49EB4"/>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7"/>
    </w:lvl>
    <w:lvl w:ilvl="3">
      <w:lvlJc w:val="left"/>
      <w:lvlText w:val="(%4)"/>
      <w:numFmt w:val="lowerRoman"/>
      <w:start w:val="3"/>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lowerRoman"/>
      <w:start w:val="1"/>
    </w:lvl>
    <w:lvl w:ilvl="1">
      <w:lvlJc w:val="left"/>
      <w:lvlText w:val="(%2)"/>
      <w:numFmt w:val="lowerLetter"/>
      <w:start w:val="2"/>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2019-12-07T17:20:29Z</dcterms:created>
  <dcterms:modified xsi:type="dcterms:W3CDTF">2019-12-07T17:20:29Z</dcterms:modified>
</cp:coreProperties>
</file>