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2672080</wp:posOffset>
            </wp:positionH>
            <wp:positionV relativeFrom="paragraph">
              <wp:posOffset>191135</wp:posOffset>
            </wp:positionV>
            <wp:extent cx="191262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262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tbl>
      <w:tblPr>
        <w:tblLayout w:type="fixed"/>
        <w:tblInd w:w="1740" w:type="dxa"/>
        <w:tblCellMar>
          <w:top w:w="0" w:type="dxa"/>
          <w:left w:w="0" w:type="dxa"/>
          <w:bottom w:w="0" w:type="dxa"/>
          <w:right w:w="0" w:type="dxa"/>
        </w:tblCellMar>
      </w:tblPr>
      <w:tr>
        <w:trPr>
          <w:trHeight w:val="2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Delaware</w:t>
            </w:r>
          </w:p>
        </w:tc>
        <w:tc>
          <w:tcPr>
            <w:tcW w:w="5200" w:type="dxa"/>
            <w:vAlign w:val="bottom"/>
          </w:tcPr>
          <w:p>
            <w:pPr>
              <w:jc w:val="right"/>
              <w:ind w:right="164"/>
              <w:spacing w:after="0"/>
              <w:rPr>
                <w:sz w:val="20"/>
                <w:szCs w:val="20"/>
                <w:color w:val="auto"/>
              </w:rPr>
            </w:pPr>
            <w:r>
              <w:rPr>
                <w:rFonts w:ascii="Arial" w:cs="Arial" w:eastAsia="Arial" w:hAnsi="Arial"/>
                <w:sz w:val="18"/>
                <w:szCs w:val="18"/>
                <w:b w:val="1"/>
                <w:bCs w:val="1"/>
                <w:color w:val="auto"/>
              </w:rPr>
              <w:t>26-0414014</w:t>
            </w:r>
          </w:p>
        </w:tc>
      </w:tr>
      <w:tr>
        <w:trPr>
          <w:trHeight w:val="149"/>
        </w:trPr>
        <w:tc>
          <w:tcPr>
            <w:tcW w:w="238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5200" w:type="dxa"/>
            <w:vAlign w:val="bottom"/>
          </w:tcPr>
          <w:p>
            <w:pPr>
              <w:jc w:val="center"/>
              <w:ind w:left="378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90"/>
              </w:rPr>
              <w:t>Identification Number)</w:t>
            </w:r>
          </w:p>
        </w:tc>
      </w:tr>
      <w:tr>
        <w:trPr>
          <w:trHeight w:val="418"/>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88"/>
              </w:rPr>
              <w:t>One Allison Way</w:t>
            </w:r>
          </w:p>
        </w:tc>
        <w:tc>
          <w:tcPr>
            <w:tcW w:w="5200" w:type="dxa"/>
            <w:vAlign w:val="bottom"/>
          </w:tcPr>
          <w:p>
            <w:pPr>
              <w:spacing w:after="0"/>
              <w:rPr>
                <w:sz w:val="24"/>
                <w:szCs w:val="24"/>
                <w:color w:val="auto"/>
              </w:rPr>
            </w:pPr>
          </w:p>
        </w:tc>
      </w:tr>
      <w:tr>
        <w:trPr>
          <w:trHeight w:val="231"/>
        </w:trPr>
        <w:tc>
          <w:tcPr>
            <w:tcW w:w="2380" w:type="dxa"/>
            <w:vAlign w:val="bottom"/>
          </w:tcPr>
          <w:p>
            <w:pPr>
              <w:jc w:val="center"/>
              <w:ind w:right="2"/>
              <w:spacing w:after="0"/>
              <w:rPr>
                <w:sz w:val="20"/>
                <w:szCs w:val="20"/>
                <w:color w:val="auto"/>
              </w:rPr>
            </w:pPr>
            <w:r>
              <w:rPr>
                <w:rFonts w:ascii="Arial" w:cs="Arial" w:eastAsia="Arial" w:hAnsi="Arial"/>
                <w:sz w:val="18"/>
                <w:szCs w:val="18"/>
                <w:b w:val="1"/>
                <w:bCs w:val="1"/>
                <w:color w:val="auto"/>
                <w:w w:val="91"/>
              </w:rPr>
              <w:t>Indianapolis, IN</w:t>
            </w:r>
          </w:p>
        </w:tc>
        <w:tc>
          <w:tcPr>
            <w:tcW w:w="5200" w:type="dxa"/>
            <w:vAlign w:val="bottom"/>
          </w:tcPr>
          <w:p>
            <w:pPr>
              <w:jc w:val="right"/>
              <w:ind w:right="364"/>
              <w:spacing w:after="0"/>
              <w:rPr>
                <w:sz w:val="20"/>
                <w:szCs w:val="20"/>
                <w:color w:val="auto"/>
              </w:rPr>
            </w:pPr>
            <w:r>
              <w:rPr>
                <w:rFonts w:ascii="Arial" w:cs="Arial" w:eastAsia="Arial" w:hAnsi="Arial"/>
                <w:sz w:val="18"/>
                <w:szCs w:val="18"/>
                <w:b w:val="1"/>
                <w:bCs w:val="1"/>
                <w:color w:val="auto"/>
              </w:rPr>
              <w:t>46222</w:t>
            </w:r>
          </w:p>
        </w:tc>
      </w:tr>
      <w:tr>
        <w:trPr>
          <w:trHeight w:val="174"/>
        </w:trPr>
        <w:tc>
          <w:tcPr>
            <w:tcW w:w="2380" w:type="dxa"/>
            <w:vAlign w:val="bottom"/>
          </w:tcPr>
          <w:p>
            <w:pPr>
              <w:jc w:val="center"/>
              <w:ind w:right="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5200" w:type="dxa"/>
            <w:vAlign w:val="bottom"/>
          </w:tcPr>
          <w:p>
            <w:pPr>
              <w:jc w:val="center"/>
              <w:ind w:left="378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2380" w:type="dxa"/>
            <w:vAlign w:val="bottom"/>
          </w:tcPr>
          <w:p>
            <w:pPr>
              <w:spacing w:after="0"/>
              <w:rPr>
                <w:sz w:val="24"/>
                <w:szCs w:val="24"/>
                <w:color w:val="auto"/>
              </w:rPr>
            </w:pPr>
          </w:p>
        </w:tc>
        <w:tc>
          <w:tcPr>
            <w:tcW w:w="5200" w:type="dxa"/>
            <w:vAlign w:val="bottom"/>
          </w:tcPr>
          <w:p>
            <w:pPr>
              <w:jc w:val="right"/>
              <w:ind w:right="2984"/>
              <w:spacing w:after="0"/>
              <w:rPr>
                <w:sz w:val="20"/>
                <w:szCs w:val="20"/>
                <w:color w:val="auto"/>
              </w:rPr>
            </w:pPr>
            <w:r>
              <w:rPr>
                <w:rFonts w:ascii="Arial" w:cs="Arial" w:eastAsia="Arial" w:hAnsi="Arial"/>
                <w:sz w:val="18"/>
                <w:szCs w:val="18"/>
                <w:b w:val="1"/>
                <w:bCs w:val="1"/>
                <w:color w:val="auto"/>
              </w:rPr>
              <w:t>(317) 242-5000</w:t>
            </w:r>
          </w:p>
        </w:tc>
      </w:tr>
      <w:tr>
        <w:trPr>
          <w:trHeight w:val="174"/>
        </w:trPr>
        <w:tc>
          <w:tcPr>
            <w:tcW w:w="2380" w:type="dxa"/>
            <w:vAlign w:val="bottom"/>
          </w:tcPr>
          <w:p>
            <w:pPr>
              <w:spacing w:after="0"/>
              <w:rPr>
                <w:sz w:val="15"/>
                <w:szCs w:val="15"/>
                <w:color w:val="auto"/>
              </w:rPr>
            </w:pPr>
          </w:p>
        </w:tc>
        <w:tc>
          <w:tcPr>
            <w:tcW w:w="5200" w:type="dxa"/>
            <w:vAlign w:val="bottom"/>
          </w:tcPr>
          <w:p>
            <w:pPr>
              <w:jc w:val="center"/>
              <w:ind w:right="1944"/>
              <w:spacing w:after="0"/>
              <w:rPr>
                <w:sz w:val="20"/>
                <w:szCs w:val="20"/>
                <w:color w:val="auto"/>
              </w:rPr>
            </w:pPr>
            <w:r>
              <w:rPr>
                <w:rFonts w:ascii="Arial" w:cs="Arial" w:eastAsia="Arial" w:hAnsi="Arial"/>
                <w:sz w:val="14"/>
                <w:szCs w:val="14"/>
                <w:b w:val="1"/>
                <w:bCs w:val="1"/>
                <w:color w:val="auto"/>
                <w:w w:val="86"/>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5">
            <w:col w:w="1500" w:space="420"/>
            <w:col w:w="160" w:space="100"/>
            <w:col w:w="596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60"/>
        <w:spacing w:after="0"/>
        <w:rPr>
          <w:sz w:val="20"/>
          <w:szCs w:val="20"/>
          <w:color w:val="auto"/>
        </w:rPr>
      </w:pPr>
      <w:r>
        <w:rPr>
          <w:rFonts w:ascii="Arial" w:cs="Arial" w:eastAsia="Arial" w:hAnsi="Arial"/>
          <w:sz w:val="15"/>
          <w:szCs w:val="15"/>
          <w:color w:val="auto"/>
        </w:rPr>
        <w:t>As of October 15, 2013, there were 182,375,612 shares of Common Stock and 1,185 shares of Non-voting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720" w:type="dxa"/>
            <w:vAlign w:val="bottom"/>
            <w:gridSpan w:val="10"/>
            <w:vMerge w:val="restart"/>
          </w:tcPr>
          <w:p>
            <w:pPr>
              <w:jc w:val="center"/>
              <w:ind w:right="3740"/>
              <w:spacing w:after="0"/>
              <w:rPr>
                <w:rFonts w:ascii="Arial" w:cs="Arial" w:eastAsia="Arial" w:hAnsi="Arial"/>
                <w:sz w:val="18"/>
                <w:szCs w:val="18"/>
                <w:b w:val="1"/>
                <w:bCs w:val="1"/>
                <w:color w:val="0000EE"/>
                <w:w w:val="99"/>
              </w:rPr>
            </w:pPr>
            <w:hyperlink w:anchor="page3">
              <w:r>
                <w:rPr>
                  <w:rFonts w:ascii="Arial" w:cs="Arial" w:eastAsia="Arial" w:hAnsi="Arial"/>
                  <w:sz w:val="18"/>
                  <w:szCs w:val="18"/>
                  <w:b w:val="1"/>
                  <w:bCs w:val="1"/>
                  <w:color w:val="0000EE"/>
                  <w:w w:val="99"/>
                </w:rPr>
                <w:t>PART I. FINANCIAL INFORMATION</w:t>
              </w:r>
            </w:hyperlink>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720" w:type="dxa"/>
            <w:vAlign w:val="bottom"/>
            <w:gridSpan w:val="10"/>
            <w:vMerge w:val="continue"/>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408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Financial Statements:</w:t>
              </w:r>
            </w:hyperlink>
          </w:p>
        </w:tc>
        <w:tc>
          <w:tcPr>
            <w:tcW w:w="6060" w:type="dxa"/>
            <w:vAlign w:val="bottom"/>
            <w:gridSpan w:val="7"/>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7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80" w:type="dxa"/>
            <w:vAlign w:val="bottom"/>
            <w:tcBorders>
              <w:bottom w:val="single" w:sz="8" w:color="0000EE"/>
            </w:tcBorders>
            <w:gridSpan w:val="13"/>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Condensed Consolidated Statements of Comprehensive Income</w:t>
              </w:r>
            </w:hyperlink>
          </w:p>
        </w:tc>
        <w:tc>
          <w:tcPr>
            <w:tcW w:w="524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00" w:type="dxa"/>
            <w:vAlign w:val="bottom"/>
            <w:tcBorders>
              <w:bottom w:val="single" w:sz="8" w:color="0000EE"/>
            </w:tcBorders>
            <w:gridSpan w:val="12"/>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820" w:type="dxa"/>
            <w:vAlign w:val="bottom"/>
            <w:gridSpan w:val="5"/>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6-22</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Management’s Discussion and Analysis of Financial Condition and Results of Operations</w:t>
              </w:r>
            </w:hyperlink>
          </w:p>
        </w:tc>
        <w:tc>
          <w:tcPr>
            <w:tcW w:w="3840" w:type="dxa"/>
            <w:vAlign w:val="bottom"/>
            <w:gridSpan w:val="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23-36</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10140" w:type="dxa"/>
            <w:vAlign w:val="bottom"/>
            <w:gridSpan w:val="18"/>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Quantitative and Qualitative Disclosures About Market Risk</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6"/>
              </w:rPr>
              <w:t>37-38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900" w:type="dxa"/>
            <w:vAlign w:val="bottom"/>
            <w:gridSpan w:val="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gridSpan w:val="9"/>
          </w:tcPr>
          <w:p>
            <w:pPr>
              <w:jc w:val="center"/>
              <w:ind w:right="3880"/>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OTHER INFORMATION</w:t>
              </w:r>
            </w:hyperlink>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Legal Proceedings</w:t>
              </w:r>
            </w:hyperlink>
          </w:p>
        </w:tc>
        <w:tc>
          <w:tcPr>
            <w:tcW w:w="2260" w:type="dxa"/>
            <w:vAlign w:val="bottom"/>
            <w:gridSpan w:val="4"/>
          </w:tcPr>
          <w:p>
            <w:pPr>
              <w:spacing w:after="0"/>
              <w:rPr>
                <w:sz w:val="24"/>
                <w:szCs w:val="24"/>
                <w:color w:val="auto"/>
              </w:rPr>
            </w:pPr>
          </w:p>
        </w:tc>
        <w:tc>
          <w:tcPr>
            <w:tcW w:w="2700" w:type="dxa"/>
            <w:vAlign w:val="bottom"/>
            <w:tcBorders>
              <w:top w:val="single" w:sz="8" w:color="0000EE"/>
            </w:tcBorders>
            <w:gridSpan w:val="6"/>
          </w:tcPr>
          <w:p>
            <w:pPr>
              <w:spacing w:after="0"/>
              <w:rPr>
                <w:sz w:val="24"/>
                <w:szCs w:val="24"/>
                <w:color w:val="auto"/>
              </w:rPr>
            </w:pPr>
          </w:p>
        </w:tc>
        <w:tc>
          <w:tcPr>
            <w:tcW w:w="3880" w:type="dxa"/>
            <w:vAlign w:val="bottom"/>
            <w:gridSpan w:val="3"/>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Risk Factors</w:t>
              </w:r>
            </w:hyperlink>
          </w:p>
        </w:tc>
        <w:tc>
          <w:tcPr>
            <w:tcW w:w="9260" w:type="dxa"/>
            <w:vAlign w:val="bottom"/>
            <w:gridSpan w:val="1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Exhibits</w:t>
              </w:r>
            </w:hyperlink>
          </w:p>
        </w:tc>
        <w:tc>
          <w:tcPr>
            <w:tcW w:w="9560" w:type="dxa"/>
            <w:vAlign w:val="bottom"/>
            <w:gridSpan w:val="16"/>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740" w:type="dxa"/>
            <w:vAlign w:val="bottom"/>
            <w:tcBorders>
              <w:bottom w:val="single" w:sz="8" w:color="0000EE"/>
            </w:tcBorders>
            <w:gridSpan w:val="3"/>
          </w:tcPr>
          <w:p>
            <w:pPr>
              <w:spacing w:after="0"/>
              <w:rPr>
                <w:rFonts w:ascii="Arial" w:cs="Arial" w:eastAsia="Arial" w:hAnsi="Arial"/>
                <w:sz w:val="18"/>
                <w:szCs w:val="18"/>
                <w:color w:val="0000EE"/>
                <w:w w:val="83"/>
              </w:rPr>
            </w:pPr>
            <w:hyperlink w:anchor="page40">
              <w:r>
                <w:rPr>
                  <w:rFonts w:ascii="Arial" w:cs="Arial" w:eastAsia="Arial" w:hAnsi="Arial"/>
                  <w:sz w:val="18"/>
                  <w:szCs w:val="18"/>
                  <w:color w:val="0000EE"/>
                  <w:w w:val="83"/>
                </w:rPr>
                <w:t>Signatures</w:t>
              </w:r>
            </w:hyperlink>
          </w:p>
        </w:tc>
        <w:tc>
          <w:tcPr>
            <w:tcW w:w="9400" w:type="dxa"/>
            <w:vAlign w:val="bottom"/>
            <w:gridSpan w:val="1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383"/>
        </w:trPr>
        <w:tc>
          <w:tcPr>
            <w:tcW w:w="800" w:type="dxa"/>
            <w:vAlign w:val="bottom"/>
          </w:tcPr>
          <w:p>
            <w:pPr>
              <w:spacing w:after="0"/>
              <w:rPr>
                <w:sz w:val="24"/>
                <w:szCs w:val="24"/>
                <w:color w:val="auto"/>
              </w:rPr>
            </w:pPr>
          </w:p>
        </w:tc>
        <w:tc>
          <w:tcPr>
            <w:tcW w:w="6260" w:type="dxa"/>
            <w:vAlign w:val="bottom"/>
            <w:gridSpan w:val="15"/>
          </w:tcPr>
          <w:p>
            <w:pPr>
              <w:jc w:val="center"/>
              <w:ind w:left="3492"/>
              <w:spacing w:after="0"/>
              <w:rPr>
                <w:sz w:val="20"/>
                <w:szCs w:val="20"/>
                <w:color w:val="auto"/>
              </w:rPr>
            </w:pPr>
            <w:r>
              <w:rPr>
                <w:rFonts w:ascii="Arial" w:cs="Arial" w:eastAsia="Arial" w:hAnsi="Arial"/>
                <w:sz w:val="18"/>
                <w:szCs w:val="18"/>
                <w:color w:val="auto"/>
                <w:w w:val="79"/>
              </w:rPr>
              <w:t>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171"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2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w w:val="84"/>
              </w:rPr>
              <w:t>September 30, 2013</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5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w w:val="96"/>
              </w:rPr>
              <w:t>Accounts receivables — net of allowance for doubtful accounts of $0.9 and $0.9, respectively</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198.7</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Deferred income taxes, net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56.9</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33.2</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607.0</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490.3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553.1</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Intangible assets, net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1,636.0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1,941.0</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income taxes, net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73.0</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spacing w:after="0"/>
              <w:rPr>
                <w:sz w:val="19"/>
                <w:szCs w:val="19"/>
                <w:color w:val="auto"/>
              </w:rPr>
            </w:pPr>
          </w:p>
        </w:tc>
        <w:tc>
          <w:tcPr>
            <w:tcW w:w="340" w:type="dxa"/>
            <w:vAlign w:val="bottom"/>
          </w:tcPr>
          <w:p>
            <w:pPr>
              <w:jc w:val="right"/>
              <w:ind w:right="18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4,811.2</w:t>
            </w:r>
          </w:p>
        </w:tc>
        <w:tc>
          <w:tcPr>
            <w:tcW w:w="9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Current Liabilities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163.9</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Product warranty liability</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398.3</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53.1</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revenue</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41.7</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2,719.8</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Deferred income taxes</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37.0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193.5</w:t>
            </w:r>
          </w:p>
        </w:tc>
        <w:tc>
          <w:tcPr>
            <w:tcW w:w="9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3,443.4</w:t>
            </w: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3,509.1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762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Common stock, $0.01 par value, 1,880,000,000 shares authorized, 182,326,604 issued and</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5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w w:val="97"/>
              </w:rPr>
              <w:t>Non-voting common stock, $0.01 par value, 20,000,000 shares authorized, 1,185 issued and</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tcPr>
          <w:p>
            <w:pPr>
              <w:ind w:left="640"/>
              <w:spacing w:after="0"/>
              <w:rPr>
                <w:sz w:val="20"/>
                <w:szCs w:val="20"/>
                <w:color w:val="auto"/>
              </w:rPr>
            </w:pPr>
            <w:r>
              <w:rPr>
                <w:rFonts w:ascii="Arial" w:cs="Arial" w:eastAsia="Arial" w:hAnsi="Arial"/>
                <w:sz w:val="18"/>
                <w:szCs w:val="18"/>
                <w:color w:val="auto"/>
              </w:rPr>
              <w:t>outstanding</w:t>
            </w: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Preferred stock, $0.01 par value, 100,000,000 shares authorized, none issued and outstanding</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 in capital</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1,611.4</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(194.9)</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 net of tax</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b w:val="1"/>
                <w:bCs w:val="1"/>
                <w:color w:val="auto"/>
              </w:rPr>
              <w:t>(50.5)</w:t>
            </w: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58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1,367.8</w:t>
            </w:r>
          </w:p>
        </w:tc>
        <w:tc>
          <w:tcPr>
            <w:tcW w:w="90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&amp; STOCKHOLDERS’ EQUITY</w:t>
            </w:r>
          </w:p>
        </w:tc>
        <w:tc>
          <w:tcPr>
            <w:tcW w:w="92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4,811.2</w:t>
            </w: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6"/>
              </w:rPr>
              <w:t>Three months ended September 30,</w:t>
            </w:r>
          </w:p>
        </w:tc>
        <w:tc>
          <w:tcPr>
            <w:tcW w:w="80" w:type="dxa"/>
            <w:vAlign w:val="bottom"/>
          </w:tcPr>
          <w:p>
            <w:pPr>
              <w:spacing w:after="0"/>
              <w:rPr>
                <w:sz w:val="14"/>
                <w:szCs w:val="14"/>
                <w:color w:val="auto"/>
              </w:rPr>
            </w:pPr>
          </w:p>
        </w:tc>
        <w:tc>
          <w:tcPr>
            <w:tcW w:w="21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85"/>
              </w:rPr>
              <w:t>Nine months ended September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260.2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247.5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111.2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(37.5)</w:t>
            </w:r>
          </w:p>
        </w:tc>
        <w:tc>
          <w:tcPr>
            <w:tcW w:w="20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22"/>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(27.9)</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30"/>
        </w:trPr>
        <w:tc>
          <w:tcPr>
            <w:tcW w:w="700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122.5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0.66</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0.24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6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0.30</w:t>
            </w:r>
          </w:p>
        </w:tc>
        <w:tc>
          <w:tcPr>
            <w:tcW w:w="2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gridSpan w:val="2"/>
            <w:vMerge w:val="continue"/>
          </w:tcPr>
          <w:p>
            <w:pPr>
              <w:spacing w:after="0"/>
              <w:rPr>
                <w:sz w:val="18"/>
                <w:szCs w:val="18"/>
                <w:color w:val="auto"/>
              </w:rPr>
            </w:pPr>
          </w:p>
        </w:tc>
        <w:tc>
          <w:tcPr>
            <w:tcW w:w="200" w:type="dxa"/>
            <w:vAlign w:val="bottom"/>
          </w:tcPr>
          <w:p>
            <w:pPr>
              <w:jc w:val="right"/>
              <w:ind w:right="15"/>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b w:val="1"/>
                <w:bCs w:val="1"/>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115.9</w:t>
            </w:r>
          </w:p>
        </w:tc>
        <w:tc>
          <w:tcPr>
            <w:tcW w:w="160" w:type="dxa"/>
            <w:vAlign w:val="bottom"/>
          </w:tcPr>
          <w:p>
            <w:pPr>
              <w:spacing w:after="0"/>
              <w:rPr>
                <w:sz w:val="18"/>
                <w:szCs w:val="18"/>
                <w:color w:val="auto"/>
              </w:rPr>
            </w:pPr>
          </w:p>
        </w:tc>
        <w:tc>
          <w:tcPr>
            <w:tcW w:w="2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6980" w:type="dxa"/>
            <w:vAlign w:val="bottom"/>
            <w:tcBorders>
              <w:bottom w:val="single" w:sz="8" w:color="CCEEFF"/>
            </w:tcBorders>
          </w:tcPr>
          <w:p>
            <w:pPr>
              <w:spacing w:after="0"/>
              <w:rPr>
                <w:sz w:val="14"/>
                <w:szCs w:val="14"/>
                <w:color w:val="auto"/>
              </w:rPr>
            </w:pPr>
          </w:p>
        </w:tc>
        <w:tc>
          <w:tcPr>
            <w:tcW w:w="20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503.0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Amortization of intangible assets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80.1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Depreciation of property, plant and equipment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(311.8)</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Unrealized gain on derivatives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(22.2)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Stock-based compensation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Amortization of deferred financing costs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 loss on investment in technology-related initiatives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Loss on intercompany foreign exchange</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on repayments and redemptions of long-term debt</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Loss on re-measurement of employee benefit plan</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Changes in assets and liabilities: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(33.6)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Inventories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Other assets and liabilities</w:t>
            </w: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20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315.4</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Additions of long-lived assets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Investments in technology-related initiatives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Collateral for interest rate derivatives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6980" w:type="dxa"/>
            <w:vAlign w:val="bottom"/>
          </w:tcPr>
          <w:p>
            <w:pPr>
              <w:ind w:left="440"/>
              <w:spacing w:after="0"/>
              <w:rPr>
                <w:sz w:val="20"/>
                <w:szCs w:val="20"/>
                <w:color w:val="auto"/>
              </w:rPr>
            </w:pPr>
            <w:r>
              <w:rPr>
                <w:rFonts w:ascii="Arial" w:cs="Arial" w:eastAsia="Arial" w:hAnsi="Arial"/>
                <w:sz w:val="18"/>
                <w:szCs w:val="18"/>
                <w:color w:val="auto"/>
              </w:rPr>
              <w:t>Proceeds from disposal of assets</w:t>
            </w:r>
          </w:p>
        </w:tc>
        <w:tc>
          <w:tcPr>
            <w:tcW w:w="2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used for investing activities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Repurchase of common stock</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(99.5)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Payments on long-term debt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(89.6)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Dividend payments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(55.2)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Proceeds from exercise of stock options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Excess tax benefit from stock-based compensation</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Taxes paid related to net share settlement of equity awards</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Debt financing fees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6980" w:type="dxa"/>
            <w:vAlign w:val="bottom"/>
          </w:tcPr>
          <w:p>
            <w:pPr>
              <w:ind w:left="440"/>
              <w:spacing w:after="0"/>
              <w:rPr>
                <w:sz w:val="20"/>
                <w:szCs w:val="20"/>
                <w:color w:val="auto"/>
              </w:rPr>
            </w:pPr>
            <w:r>
              <w:rPr>
                <w:rFonts w:ascii="Arial" w:cs="Arial" w:eastAsia="Arial" w:hAnsi="Arial"/>
                <w:sz w:val="18"/>
                <w:szCs w:val="18"/>
                <w:color w:val="auto"/>
              </w:rPr>
              <w:t>Redemptions of long-term debt</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Payments on notes payable</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880"/>
              <w:spacing w:after="0"/>
              <w:rPr>
                <w:sz w:val="20"/>
                <w:szCs w:val="20"/>
                <w:color w:val="auto"/>
              </w:rPr>
            </w:pPr>
            <w:r>
              <w:rPr>
                <w:rFonts w:ascii="Arial" w:cs="Arial" w:eastAsia="Arial" w:hAnsi="Arial"/>
                <w:sz w:val="18"/>
                <w:szCs w:val="18"/>
                <w:color w:val="auto"/>
              </w:rPr>
              <w:t>Net cash used for financing activities</w:t>
            </w: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(207.7)</w:t>
            </w:r>
          </w:p>
        </w:tc>
        <w:tc>
          <w:tcPr>
            <w:tcW w:w="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880"/>
              <w:spacing w:after="0"/>
              <w:rPr>
                <w:sz w:val="20"/>
                <w:szCs w:val="20"/>
                <w:color w:val="auto"/>
              </w:rPr>
            </w:pPr>
            <w:r>
              <w:rPr>
                <w:rFonts w:ascii="Arial" w:cs="Arial" w:eastAsia="Arial" w:hAnsi="Arial"/>
                <w:sz w:val="18"/>
                <w:szCs w:val="18"/>
                <w:color w:val="auto"/>
              </w:rPr>
              <w:t>Net increase (decrease) in cash and cash equivalents</w:t>
            </w:r>
          </w:p>
        </w:tc>
        <w:tc>
          <w:tcPr>
            <w:tcW w:w="20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2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72.1</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17"/>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152.3</w:t>
            </w:r>
          </w:p>
        </w:tc>
        <w:tc>
          <w:tcPr>
            <w:tcW w:w="32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ind w:left="880"/>
              <w:spacing w:after="0"/>
              <w:rPr>
                <w:sz w:val="20"/>
                <w:szCs w:val="20"/>
                <w:color w:val="auto"/>
              </w:rPr>
            </w:pPr>
            <w:r>
              <w:rPr>
                <w:rFonts w:ascii="Arial" w:cs="Arial" w:eastAsia="Arial" w:hAnsi="Arial"/>
                <w:sz w:val="18"/>
                <w:szCs w:val="18"/>
                <w:color w:val="auto"/>
              </w:rPr>
              <w:t>Interest paid</w:t>
            </w:r>
          </w:p>
        </w:tc>
        <w:tc>
          <w:tcPr>
            <w:tcW w:w="21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32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Income taxes paid</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Allison Transmission Holdings, Inc. and its subsidiaries (the “Company” or “Allison”), design and manufacture commercial and defense fully-automatic transmissions.</w:t>
      </w:r>
    </w:p>
    <w:p>
      <w:pPr>
        <w:spacing w:after="0" w:line="132"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business was founded in 1915 and has been headquartered in Indianapolis, Indiana since inception. The Company has 12 different transmission product lines. Although approximately 78% of revenues were generated in North America in 2012, the Company has a global presence by serving customers in Europe, Asia, South America and Africa. The Company serves customers through an independent network of approximately 1,400 independent distributor and dealer locations worldwide.</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Since the introduction of the Company’s first fully-automatic transmission over 60 years ago, the Company’s products have gained acceptance in a wide variety of applications, including on-highway trucks (distribution, refuse, construction, fire and emergency), buses (principally school, transit and hybrid-transit), motorhomes, off-highway vehicles and equipment (principally energy, mining and construction) and defense vehicles (wheeled and tracked). The Company has developed over 100 different product models that are used in more than 2,500 different vehicle configurations, which are compatible with more than 500 combinations of engine brands, models and ratings. The Company also sells support equipment and Allison-branded replacement parts for the Company’s transmissions and remanufactured transmissions for use in the vehicle aftermarket.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condensed consolidated financial statements as of and for the three and nine months ended September 30, 2013 and 2012 have been prepared in accordance with accounting principles for interim financial information and with the instructions to Form 10-Q and Article 10 of Regulation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 of the results for the periods presented. The condensed consolidated financial statements herein consist of all wholly-owned domestic and foreign subsidiaries with all significant intercompany transactions eliminated.</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These condensed consolidated financial statements present the financial position, results of operations and cash flows of the Company. The condensed consolidated financial statements should be read in conjunction with the audited consolidated financial statements included in the Company’s Form 10-K for the year ended December 31, 2012 as filed with the Securities and Exchange Commission (“SEC”) on February 28, 2013. The interim period financial results for the three and nine month periods presented are not necessarily indicative of results to be expected for any other interim period or for the entire year.</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allowance for doubtful accounts, sales allowances, government price adjustments, fair market values and future cash flows associated with goodwill, indefinite life intangibles, long-lived asset impairment tests, useful lives for depreciation and amortization, warranty liability,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July 2013, the Financial Accounting Standards Board (“FASB”) issued authoritative accounting guidance on the presentation of an unrecognized tax benefit when net operating loss (“NOL”) carryforwards exist. The guidance requires presentation of an unrecognized tax benefit, or a portion of an unrecognized tax benefit, in the financial statements as a reduction to a deferred tax asset for an NOL carryforward, a similar tax loss or a tax credit carryforward. The guidance is effective for fiscal years beginning after December 15, 2013. While the adoption of this guidance is not expected to have an effect on the Company’s consolidated financial statements, it could affect the accounting treatment applied under these circumstances in the future.</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July 2013, the FASB issued authoritative accounting guidance on the inclusion of the Fed Funds Effective Swap Rate as a benchmark interest rate for hedge accounting purposes. The guidance also removes the restriction on using different benchmark rates for similar hedges. The guidance became effective for qualifying new or redesignated hedging relationships entered into on or after July 17, 2013. The adoption of this guidance did not have an effect on the Company’s consolidated financial statements as the Company does not currently elect hedge accounting treatment on its interest rate swaps.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2013, the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the Company’s consolidated financial statements, it could affect the accounting treatment applied under these circumstances in the future.</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February 2013, the FASB issued authoritative accounting guidance on the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became effective for interim and annual reporting periods beginning after December 15, 2012. The adoption of this guidance did not have a material effect on the Company’s condensed consolidated financial statements; however, it requires the Company to present additional disclosures in the footnotes to the condensed consolidated financial statements when significant amounts are reclassified out of accumulated other comprehensive income.</w:t>
      </w:r>
    </w:p>
    <w:p>
      <w:pPr>
        <w:spacing w:after="0" w:line="14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became effective for interim and annual periods beginning on or after January 1, 2013. The adoption of this guidance did not have a material effect on the Company’s condensed consolidated financial statements.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the Company’s condensed consolidated financial statements.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7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3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parts and raw materials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82.5</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Work in progress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Finished goods</w:t>
            </w:r>
          </w:p>
        </w:tc>
        <w:tc>
          <w:tcPr>
            <w:tcW w:w="1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29.8</w:t>
            </w: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inventories</w:t>
            </w:r>
          </w:p>
        </w:tc>
        <w:tc>
          <w:tcPr>
            <w:tcW w:w="20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165.9</w:t>
            </w:r>
          </w:p>
        </w:tc>
        <w:tc>
          <w:tcPr>
            <w:tcW w:w="9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Inventory components shipped to third parties, principally transmission cores, parts to re-manufacturers, and parts to contract manufacturers, in which the Company has an obligation to buyback, are included in purchased parts and raw materials, with an offsetting liability in Other current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As of September 30, 2013 and December 31, 2012, the carrying amount of the Company’s Goodwill was $1,941.0 million. The following presents a summary of other intangible assets (dollars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60" w:type="dxa"/>
            <w:vAlign w:val="bottom"/>
            <w:gridSpan w:val="4"/>
          </w:tcPr>
          <w:p>
            <w:pPr>
              <w:jc w:val="right"/>
              <w:ind w:right="118"/>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3"/>
              </w:rPr>
              <w:t>Intangible</w:t>
            </w:r>
          </w:p>
        </w:tc>
        <w:tc>
          <w:tcPr>
            <w:tcW w:w="300" w:type="dxa"/>
            <w:vAlign w:val="bottom"/>
          </w:tcPr>
          <w:p>
            <w:pPr>
              <w:spacing w:after="0"/>
              <w:rPr>
                <w:sz w:val="11"/>
                <w:szCs w:val="11"/>
                <w:color w:val="auto"/>
              </w:rPr>
            </w:pPr>
          </w:p>
        </w:tc>
        <w:tc>
          <w:tcPr>
            <w:tcW w:w="9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300" w:type="dxa"/>
            <w:vAlign w:val="bottom"/>
          </w:tcPr>
          <w:p>
            <w:pPr>
              <w:spacing w:after="0"/>
              <w:rPr>
                <w:sz w:val="11"/>
                <w:szCs w:val="11"/>
                <w:color w:val="auto"/>
              </w:rPr>
            </w:pP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Intangible</w:t>
            </w:r>
          </w:p>
        </w:tc>
        <w:tc>
          <w:tcPr>
            <w:tcW w:w="30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7"/>
              </w:rPr>
              <w:t>Intangible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73"/>
              </w:rPr>
              <w:t>assets, gross</w:t>
            </w:r>
          </w:p>
        </w:tc>
        <w:tc>
          <w:tcPr>
            <w:tcW w:w="30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w w:val="80"/>
              </w:rPr>
              <w:t>assets, net</w:t>
            </w:r>
          </w:p>
        </w:tc>
        <w:tc>
          <w:tcPr>
            <w:tcW w:w="3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75"/>
              </w:rPr>
              <w:t>assets, gross</w:t>
            </w:r>
          </w:p>
        </w:tc>
        <w:tc>
          <w:tcPr>
            <w:tcW w:w="30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720" w:type="dxa"/>
            <w:vAlign w:val="bottom"/>
            <w:gridSpan w:val="3"/>
          </w:tcPr>
          <w:p>
            <w:pPr>
              <w:ind w:left="20"/>
              <w:spacing w:after="0"/>
              <w:rPr>
                <w:sz w:val="20"/>
                <w:szCs w:val="20"/>
                <w:color w:val="auto"/>
              </w:rPr>
            </w:pPr>
            <w:r>
              <w:rPr>
                <w:rFonts w:ascii="Arial" w:cs="Arial" w:eastAsia="Arial" w:hAnsi="Arial"/>
                <w:sz w:val="14"/>
                <w:szCs w:val="14"/>
                <w:b w:val="1"/>
                <w:bCs w:val="1"/>
                <w:color w:val="auto"/>
                <w:w w:val="93"/>
              </w:rPr>
              <w:t>assets, net</w:t>
            </w:r>
          </w:p>
        </w:tc>
        <w:tc>
          <w:tcPr>
            <w:tcW w:w="0" w:type="dxa"/>
            <w:vAlign w:val="bottom"/>
          </w:tcPr>
          <w:p>
            <w:pPr>
              <w:spacing w:after="0"/>
              <w:rPr>
                <w:sz w:val="1"/>
                <w:szCs w:val="1"/>
                <w:color w:val="auto"/>
              </w:rPr>
            </w:pP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198"/>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870.0</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870.0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(361.5)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470.3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831.8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(321.2)</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(234.3)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Non-compete agreement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(20.4)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Tooling rights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38"/>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(255.9)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w w:val="74"/>
              </w:rPr>
              <w:t>)</w:t>
            </w: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2,551.0</w:t>
            </w: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(915.0</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1,636.0</w:t>
            </w:r>
          </w:p>
        </w:tc>
        <w:tc>
          <w:tcPr>
            <w:tcW w:w="3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2,551.0</w:t>
            </w:r>
          </w:p>
        </w:tc>
        <w:tc>
          <w:tcPr>
            <w:tcW w:w="3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(834.9)</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3"/>
              </w:rPr>
              <w:t>1,716.1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As of September 30, 2013 and December 31, 2012, the net carrying value of the Company’s Goodwill and other intangibles was $3,577.0 million and $3,657.1 million, respectively.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Company performs its annual impairment review of Goodwill and trade name carrying values on October 31 of every year. Events or circumstances that could unfavorably impact the key assumptions in the impairment test include lower net sales, the Company’s inability to execute on marketing programs and/or delay in the introduction of new products, lower gross margins or failure to obtain forecasted cost reductions, or a higher discount rate as a result of market conditions.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9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expense</w:t>
            </w:r>
          </w:p>
        </w:tc>
        <w:tc>
          <w:tcPr>
            <w:tcW w:w="35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97.1</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92.4</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89.7</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87.2</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  275.5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580" w:type="dxa"/>
            <w:vAlign w:val="bottom"/>
            <w:vMerge w:val="restart"/>
          </w:tcPr>
          <w:p>
            <w:pPr>
              <w:jc w:val="right"/>
              <w:ind w:right="1362"/>
              <w:spacing w:after="0"/>
              <w:rPr>
                <w:sz w:val="20"/>
                <w:szCs w:val="20"/>
                <w:color w:val="auto"/>
              </w:rPr>
            </w:pPr>
            <w:r>
              <w:rPr>
                <w:rFonts w:ascii="Arial" w:cs="Arial" w:eastAsia="Arial" w:hAnsi="Arial"/>
                <w:sz w:val="18"/>
                <w:szCs w:val="18"/>
                <w:color w:val="auto"/>
              </w:rPr>
              <w:t>8</w:t>
            </w: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62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96"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principally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2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principally consists of financial instruments such as exchange-traded derivatives, listed equities and publicly traded bonds.</w:t>
      </w:r>
    </w:p>
    <w:p>
      <w:pPr>
        <w:spacing w:after="0" w:line="14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Level 2 — Pricing inputs are other than quoted prices in active markets included in Level 1, which are either directly or indirectly observable as of the reported date. Level 2 includes those financial instruments that are valued using models or other valuation methodologies. These models are principally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44"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September 30, 2013 and December 31, 2012, the Company did not have any Level 3 financial assets or liabilities.</w:t>
      </w:r>
    </w:p>
    <w:p>
      <w:pPr>
        <w:spacing w:after="0" w:line="113"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forward contracts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05"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The Company’s valuation techniques used to fair value cash and cash equivalents, available-for-sale securities, assets held in the rabbi trust and the deferred compensation obligation represent a market approach in active markets for identical assets that qualifies as Level 1 in the fair value hierarchy. The Company’s valuation techniques used to calculate the fair value of derivative instruments represent a market approach with observable inputs that qualify as Level 2 in the fair value hierarchy.</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foreign currency contracts consist of forward rate contracts which are intended to hedge exposure of transactions denominated in certain currencies and reduce the impact of currency price volatility on the Company’s financial results. The commodity contracts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43" w:lineRule="exact"/>
        <w:rPr>
          <w:sz w:val="20"/>
          <w:szCs w:val="20"/>
          <w:color w:val="auto"/>
        </w:rPr>
      </w:pPr>
    </w:p>
    <w:p>
      <w:pPr>
        <w:ind w:right="200" w:firstLine="456"/>
        <w:spacing w:after="0" w:line="314" w:lineRule="auto"/>
        <w:rPr>
          <w:sz w:val="20"/>
          <w:szCs w:val="20"/>
          <w:color w:val="auto"/>
        </w:rPr>
      </w:pPr>
      <w:r>
        <w:rPr>
          <w:rFonts w:ascii="Arial" w:cs="Arial" w:eastAsia="Arial" w:hAnsi="Arial"/>
          <w:sz w:val="15"/>
          <w:szCs w:val="15"/>
          <w:color w:val="auto"/>
        </w:rPr>
        <w:t>For the fair value measurement of foreign currency derivatives, the Company uses forward foreign exchange rates received from the issuing financial institution. These rates are periodically corroborated by comparing to third-party broker quotes. The foreign currency hedges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generally does not elect to apply hedge accounting for these foreign currency contracts, and as a result, unrealized fair value adjustments and realized gains and losses are recorded in Other expense, net in the Condensed Consolidated Statements of Comprehensive Income during the period of change.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contracts, and as a result, unrealized fair value adjustments and realized gains and losses are recorded in Other expense, net in the Condensed Consolidated Statements of Comprehensive Income.</w:t>
      </w:r>
    </w:p>
    <w:p>
      <w:pPr>
        <w:spacing w:after="0" w:line="12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0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September 30, 2013 and December 31, 2012 (dollars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right="580"/>
              <w:spacing w:after="0"/>
              <w:rPr>
                <w:sz w:val="20"/>
                <w:szCs w:val="20"/>
                <w:color w:val="auto"/>
              </w:rPr>
            </w:pPr>
            <w:r>
              <w:rPr>
                <w:rFonts w:ascii="Arial" w:cs="Arial" w:eastAsia="Arial" w:hAnsi="Arial"/>
                <w:sz w:val="14"/>
                <w:szCs w:val="14"/>
                <w:b w:val="1"/>
                <w:bCs w:val="1"/>
                <w:color w:val="auto"/>
                <w:w w:val="87"/>
              </w:rPr>
              <w:t>Fair Value Measurements Using</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gridSpan w:val="3"/>
          </w:tcPr>
          <w:p>
            <w:pPr>
              <w:jc w:val="center"/>
              <w:ind w:left="80"/>
              <w:spacing w:after="0" w:line="129" w:lineRule="exact"/>
              <w:rPr>
                <w:sz w:val="20"/>
                <w:szCs w:val="20"/>
                <w:color w:val="auto"/>
              </w:rPr>
            </w:pPr>
            <w:r>
              <w:rPr>
                <w:rFonts w:ascii="Arial" w:cs="Arial" w:eastAsia="Arial" w:hAnsi="Arial"/>
                <w:sz w:val="14"/>
                <w:szCs w:val="14"/>
                <w:b w:val="1"/>
                <w:bCs w:val="1"/>
                <w:color w:val="auto"/>
                <w:w w:val="85"/>
              </w:rPr>
              <w:t>Quoted Prices in Active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3"/>
          </w:tcPr>
          <w:p>
            <w:pPr>
              <w:jc w:val="center"/>
              <w:ind w:left="100"/>
              <w:spacing w:after="0" w:line="149" w:lineRule="exact"/>
              <w:rPr>
                <w:sz w:val="20"/>
                <w:szCs w:val="20"/>
                <w:color w:val="auto"/>
              </w:rPr>
            </w:pPr>
            <w:r>
              <w:rPr>
                <w:rFonts w:ascii="Arial" w:cs="Arial" w:eastAsia="Arial" w:hAnsi="Arial"/>
                <w:sz w:val="14"/>
                <w:szCs w:val="14"/>
                <w:b w:val="1"/>
                <w:bCs w:val="1"/>
                <w:color w:val="auto"/>
                <w:w w:val="91"/>
              </w:rPr>
              <w:t>Markets for Identical</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center"/>
              <w:ind w:left="340"/>
              <w:spacing w:after="0" w:line="149" w:lineRule="exact"/>
              <w:rPr>
                <w:sz w:val="20"/>
                <w:szCs w:val="20"/>
                <w:color w:val="auto"/>
              </w:rPr>
            </w:pPr>
            <w:r>
              <w:rPr>
                <w:rFonts w:ascii="Arial" w:cs="Arial" w:eastAsia="Arial" w:hAnsi="Arial"/>
                <w:sz w:val="14"/>
                <w:szCs w:val="14"/>
                <w:b w:val="1"/>
                <w:bCs w:val="1"/>
                <w:color w:val="auto"/>
                <w:w w:val="88"/>
              </w:rPr>
              <w:t>Significant Other</w:t>
            </w: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3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3"/>
          </w:tcPr>
          <w:p>
            <w:pPr>
              <w:jc w:val="center"/>
              <w:ind w:left="80"/>
              <w:spacing w:after="0"/>
              <w:rPr>
                <w:sz w:val="20"/>
                <w:szCs w:val="20"/>
                <w:color w:val="auto"/>
              </w:rPr>
            </w:pPr>
            <w:r>
              <w:rPr>
                <w:rFonts w:ascii="Arial" w:cs="Arial" w:eastAsia="Arial" w:hAnsi="Arial"/>
                <w:sz w:val="14"/>
                <w:szCs w:val="14"/>
                <w:b w:val="1"/>
                <w:bCs w:val="1"/>
                <w:color w:val="auto"/>
                <w:w w:val="84"/>
              </w:rPr>
              <w:t>Assets (Level 1)</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8"/>
              </w:rPr>
              <w:t>Observable Inputs (Level 2)</w:t>
            </w:r>
          </w:p>
        </w:tc>
        <w:tc>
          <w:tcPr>
            <w:tcW w:w="18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w w:val="83"/>
              </w:rPr>
              <w:t>December 31,</w:t>
            </w: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Borders>
              <w:top w:val="single" w:sz="8" w:color="auto"/>
            </w:tcBorders>
            <w:gridSpan w:val="3"/>
          </w:tcPr>
          <w:p>
            <w:pPr>
              <w:jc w:val="right"/>
              <w:ind w:right="480"/>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80" w:type="dxa"/>
            <w:vAlign w:val="bottom"/>
          </w:tcPr>
          <w:p>
            <w:pPr>
              <w:spacing w:after="0"/>
              <w:rPr>
                <w:sz w:val="11"/>
                <w:szCs w:val="11"/>
                <w:color w:val="auto"/>
              </w:rPr>
            </w:pPr>
          </w:p>
        </w:tc>
        <w:tc>
          <w:tcPr>
            <w:tcW w:w="13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September 30,</w:t>
            </w:r>
          </w:p>
        </w:tc>
        <w:tc>
          <w:tcPr>
            <w:tcW w:w="8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1"/>
                <w:szCs w:val="11"/>
                <w:color w:val="auto"/>
              </w:rPr>
            </w:pPr>
          </w:p>
        </w:tc>
      </w:tr>
      <w:tr>
        <w:trPr>
          <w:trHeight w:val="161"/>
        </w:trPr>
        <w:tc>
          <w:tcPr>
            <w:tcW w:w="32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2013</w:t>
            </w:r>
          </w:p>
        </w:tc>
        <w:tc>
          <w:tcPr>
            <w:tcW w:w="4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83"/>
              </w:rPr>
              <w:t>2012</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2013</w:t>
            </w:r>
          </w:p>
        </w:tc>
        <w:tc>
          <w:tcPr>
            <w:tcW w:w="5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9.5</w:t>
            </w:r>
          </w:p>
        </w:tc>
        <w:tc>
          <w:tcPr>
            <w:tcW w:w="460" w:type="dxa"/>
            <w:vAlign w:val="bottom"/>
          </w:tcPr>
          <w:p>
            <w:pPr>
              <w:spacing w:after="0"/>
              <w:rPr>
                <w:sz w:val="18"/>
                <w:szCs w:val="18"/>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9.5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w:t>
            </w:r>
          </w:p>
        </w:tc>
        <w:tc>
          <w:tcPr>
            <w:tcW w:w="4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0.2</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Derivative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(30.7)</w:t>
            </w:r>
          </w:p>
        </w:tc>
        <w:tc>
          <w:tcPr>
            <w:tcW w:w="26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(52.9)</w:t>
            </w:r>
          </w:p>
        </w:tc>
        <w:tc>
          <w:tcPr>
            <w:tcW w:w="18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(30.7)</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r>
      <w:tr>
        <w:trPr>
          <w:trHeight w:val="27"/>
        </w:trPr>
        <w:tc>
          <w:tcPr>
            <w:tcW w:w="3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161.8</w:t>
            </w: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86.3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(30.5)</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(52.7)</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131.3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r>
      <w:tr>
        <w:trPr>
          <w:trHeight w:val="20"/>
        </w:trPr>
        <w:tc>
          <w:tcPr>
            <w:tcW w:w="3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Of the available Cash and cash equivalents, approximately $147.3 million and $75.2 million was deposited in operating accounts while approximately $5.0 million and $5.0 million was invested in U.S. government backed securities as of September 30, 2013 and December 31, 2012,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and maturities were as follows (dollars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3"/>
              </w:rPr>
              <w:t>September 30,</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6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Senior Secured Credit Facility Term B-1 Loan, variable, due 2014</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411.4</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Credit Facility Term B-2 Loan, variable, due 2017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793.1</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Senior Secured Credit Facility Term B-3 Loan, variable, due 2019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1,136.4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1,145.0</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Senior Notes, fixed 7.125%, due 2019</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471.3</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471.3</w:t>
            </w:r>
          </w:p>
        </w:tc>
        <w:tc>
          <w:tcPr>
            <w:tcW w:w="100" w:type="dxa"/>
            <w:vAlign w:val="bottom"/>
            <w:shd w:val="clear" w:color="auto" w:fill="CCEEFF"/>
          </w:tcPr>
          <w:p>
            <w:pPr>
              <w:spacing w:after="0"/>
              <w:rPr>
                <w:sz w:val="18"/>
                <w:szCs w:val="18"/>
                <w:color w:val="auto"/>
              </w:rPr>
            </w:pPr>
          </w:p>
        </w:tc>
      </w:tr>
      <w:tr>
        <w:trPr>
          <w:trHeight w:val="222"/>
        </w:trPr>
        <w:tc>
          <w:tcPr>
            <w:tcW w:w="6240" w:type="dxa"/>
            <w:vAlign w:val="bottom"/>
          </w:tcPr>
          <w:p>
            <w:pPr>
              <w:ind w:left="440"/>
              <w:spacing w:after="0"/>
              <w:rPr>
                <w:sz w:val="20"/>
                <w:szCs w:val="20"/>
                <w:color w:val="auto"/>
              </w:rPr>
            </w:pPr>
            <w:r>
              <w:rPr>
                <w:rFonts w:ascii="Arial" w:cs="Arial" w:eastAsia="Arial" w:hAnsi="Arial"/>
                <w:sz w:val="18"/>
                <w:szCs w:val="18"/>
                <w:color w:val="auto"/>
              </w:rPr>
              <w:t>Total long-term debt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2,731.2</w:t>
            </w: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2,820.8</w:t>
            </w:r>
          </w:p>
        </w:tc>
        <w:tc>
          <w:tcPr>
            <w:tcW w:w="100" w:type="dxa"/>
            <w:vAlign w:val="bottom"/>
          </w:tcPr>
          <w:p>
            <w:pPr>
              <w:spacing w:after="0"/>
              <w:rPr>
                <w:sz w:val="19"/>
                <w:szCs w:val="19"/>
                <w:color w:val="auto"/>
              </w:rPr>
            </w:pPr>
          </w:p>
        </w:tc>
      </w:tr>
      <w:tr>
        <w:trPr>
          <w:trHeight w:val="217"/>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ind w:left="440"/>
              <w:spacing w:after="0"/>
              <w:rPr>
                <w:sz w:val="20"/>
                <w:szCs w:val="20"/>
                <w:color w:val="auto"/>
              </w:rPr>
            </w:pPr>
            <w:r>
              <w:rPr>
                <w:rFonts w:ascii="Arial" w:cs="Arial" w:eastAsia="Arial" w:hAnsi="Arial"/>
                <w:sz w:val="18"/>
                <w:szCs w:val="18"/>
                <w:color w:val="auto"/>
              </w:rPr>
              <w:t>Total long-term debt less current portion</w:t>
            </w:r>
          </w:p>
        </w:tc>
        <w:tc>
          <w:tcPr>
            <w:tcW w:w="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2,719.8</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9"/>
              </w:rPr>
              <w:t>2,801.3</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September 30, 2013, the Company had $1,123.5 million of indebtedness associated with Allison Transmission, Inc.’s (“ATI”), the Company’s wholly-owned subsidiary, Senior Secured Credit Facility Term B-2 Loan due 2017 (“Term B-2 Loan”) and $1,136.4 million of indebtedness associated with ATI’s Senior Secured Credit Facility Term B-3 Loan due 2019 (“Term B-3 Loan”) (together the Term B-2 Loan, Term B-3 Loan and revolving credit facility are defined as the “Senior Secured Credit Facility”). The Company also had indebtedness of $471.3 million of ATI’s 7.125% senior cash pay notes due May 2019 (“7.125% Senior Notes”).</w:t>
      </w:r>
    </w:p>
    <w:p>
      <w:pPr>
        <w:spacing w:after="0" w:line="143"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The fair value of the Company’s long-term debt obligations as of September 30, 2013 was $2,761.7 million. The fair value was based on quoted Level 1 market prices of the Company’s debt as of September 30, 2013. It is not expected that the Company would be able to repurchase a significant amount of its debt at these levels. The difference between the fair value and carrying value of the long-term debt is driven principally by trends in the financial markets.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2007, ATI entered into a Senior Secured Credit Facility having a term loan in the amount of $3,100.0 million with a maturity date of August 2014. In March 2012, ATI entered into an amendment with the term loan lenders under its Senior Secured Credit Facility to extend the maturity of $801.1 million in principal amount of term loan debt from August 2014 to August 2017 and to increase the applicable margin at the Company’s option to either (a) 3.50% over the LIBOR or (b) 2.50% over the greater of the prime lending rate provided by the British Banking Association or the federal funds effective rate published by the Federal Reserve Bank of New York plus 0.50%. As a result of the debt modification, the Company recorded an additional $2.3 million as deferred financing fees in the Condensed Consolidated Balance Sheets and extended the amortization period of $5.1 million of deferred financing fees from 2014 to 2017.</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$850.0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 (which may not be less than 2.00%). The amendment was treated as an extinguishment of debt under GAAP, and thus the Company expensed $4.5 million of deferred financing fees and recorded $16.1 million of new deferred financing fees in the condensed consolidated financial statements.</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October 2012, ATI entered into an amendment with the term loan lenders under its Senior Secured Credit Facility to extend the maturity of $300.0 million of term loan debt from August 2014 to August 2019 and to increase the applicable margin at the Company’s option to either (a) 3.25% or 3.00%, subject to the Company’s total leverage ratio, over the LIBOR (which may not be less than 1.00%) or (b) 2.25% or 2.00%,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an extinguishment of debt under GAAP, and thus the Company expensed $1.4 million of deferred financing fees and recorded $1.8 million of new deferred financing fees in the condensed consolidated financial statements.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$793.1 million of term loan debt and decrease the applicable margin for such term loans at the Company’s option to either (a) 3.00% over the LIBOR or (b) 2.00% over the greater of the prime lending rate provided by the British Banking Association or the federal funds effective rate published by the Federal Reserve Bank of New York plus 0.50%. In February 2013, ATI also entered into an additional amendment with the term loan lenders under its Senior Secured Credit Facility to extend the maturity of $411.4 million of term loan debt from August 2014 to August 2017 and to increase the applicable margin at the Company’s option to either (a) 3.00% over the LIBOR or (b) 2.00% over the greater of the prime lending rate provided by the British Banking Association or the federal funds effective rate published by the Federal Reserve Bank of New York plus 0.50%. The February 2013 amendments were treated as a modification of debt under GAAP, and the Company expensed $1.0 million of deferred financing fees and recorded $1.6 million of new deferred financing fees in the condensed consolidated financial statements.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August 2013, ATI entered into an amendment with the term loan lenders under its Senior Secured Credit Facility to refinance $1,139.3 million of term loan debt and decrease the applicable margin for such term loans at the Company’s option to either (a) 2.75% or 2.50%, subject to the Company’s total leverage ratio, over the LIBOR (which may not be less than 1.00%) or (b) 1.75% or 1.50%, subject to the Company’s total leverage ratio, over the greater of the prime lending rate provided by the British Banking Association or the federal funds effective rate published by the Federal Reserve Bank of New York plus 0.50% (which may not be less than 2.00%). The amendment was treated as a modification of debt under GAAP, and thus the Company expensed $2.1 million of deferred financing fees and recorded $1.0 million of new deferred financing fees in the condensed consolidated financial statements.</w:t>
      </w:r>
    </w:p>
    <w:p>
      <w:pPr>
        <w:spacing w:after="0" w:line="12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5"/>
          <w:szCs w:val="15"/>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B-2 Loan, as of September 30, 2013, is equal to the LIBOR plus 3.00% and interest on the Term B-3 Loan, as of September 30, 2013, is equal to the LIBOR (which may not be less than 1.00%) plus 2.75% based on the Company’s total leverage ratio. As of September 30, 2013, these rates were approximately 3.19% and</w:t>
      </w:r>
    </w:p>
    <w:p>
      <w:pPr>
        <w:spacing w:after="0" w:line="2"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3.75% on the Term B-2 Loan and Term B-3 Loan, respectively, and the weighted average rate on the Senior Secured Credit Facility was approximately 3.47%. The Senior Secured Credit Facility requires minimum quarterly principal payments on the Term B-2 Loan and Term B-3 Loan as well as prepayments from certain net cash proceeds of non-ordinary course asset sales and casualty and condemnation events and from a percentage of excess cash flow, if applicable. Due to voluntary prepayments, the Company has fulfilled all Term B-2 Loan required quarterly payments through its maturity date of 2017. The minimum required quarterly principal payment on the Term B-3 Loan is $2.8 million and remains through its maturity date of 2019. As of September 30, 2013, there had been no payments required for certain net cash proceeds of non-ordinary course asset sales and casualty and condemnation events. The remaining principal balance on each loan is due upon maturity.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accordance with the Senior Secured Credit Facility, net cash proceeds of non-ordinary course asset sales and casualty and condemnation events will only be required to prepay the term loan if the Company does not reinvest or commit to reinvest such net cash proceeds in assets to be used in its business or to make certain other permitted investments within 15 months of the related transactions or events, subject to certain limitations. The Company must apply 50% of its annual excess cash flow (as defined in the Senior Secured Credit Facility) to the prepayment of the Senior Secured Credit Facility, however this percentage reduces to certain levels and eventually to zero upon achievement of certain total senior secured leverage ratios. For the year ended December 31, 2012, the excess cash flow percentage was 0%, and as a result, the Company was not required to make an excess cash flow payment.</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Senior Secured Credit Facility also provides for $400.0 million in revolving credit borrowings, net of an allowance for up to $50.0 million in outstanding letter of credit commitments. Throughout the nine months ended September 30, 2013, the Company made periodic withdrawals and payments on the revolving credit facility as part of its debt management plans. The maximum amount outstanding at any time during the period on the revolving credit facility was $20.0 million, and all balances were repaid within the quarter they were borrowed. As of September 30, 2013, the Company had $386.4 million available under the revolving credit facility, net of $13.6 million in letters of credit. Revolving credit borrowings bear interest at a variable base rate plus an applicable margin based on the Company’s total senior secured leverage ratio. As of September 30, 2013, this rate would have been between approximately 2.94% and 5.00%. In addition, there is an annual commitment fee, based on the Company’s total senior secured leverage ratio, which as of September 30, 2013, was equal to 0.5% of the average unused revolving credit borrowings available under the Senior Secured Credit Facility. Revolving credit borrowings are payable at the option of the Company throughout the term of the Senior Secured Credit Facility with the balance due in August 2016.</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Senior Secured Credit Facility requires the Company to maintain a specified maximum total senior secured leverage ratio. As of September 30, 2013, the Company was in compliance with the maximum total senior secured leverage ratio achieving a 3.48x ratio versus a 5.50x requirement threshold. Within the terms of the Senior Secured Credit Facility, a senior secured leverage ratio above 3.50x results in a 0.5% commitment fee on the revolving credit facility and requires excess cash flow payments on the term loans for the applicable year. A senior secured leverage ratio at or below 3.50x would result in a 12.5 basis point reduction to the revolving credit facility commitment fee and elimination of excess cash flow payments. Additionally, the Company achieved a total leverage ratio of 4.26x as of September 30, 2013. Within the terms of the Senior Secured Credit Facility, a total leverage ratio at or below 3.25x would result in a 25 basis point reduction to the applicable margin on the Term B-3 Loan. This reduction would remain in effect as long as the Company achieved a total leverage ratio at or below 3.25x.</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the Senior Secured Credit Facility, among other things, includes customary restrictions (subject to certain exceptions) on the Company’s ability to incur certain indebtedness, grant certain liens, make certain investments or declare or pay certain dividends. As of September 30, 2013, the Company is in compliance with all covenants under the Senior Secured Credit Facility.</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7.125% Senior Notes</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 May 2011, the Company completed an offering of $500.0 million of the 7.125% Senior Notes. The Company may from time to time seek to retire the 7.125%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May 15, 2015, the Company may redeem some or all of the 7.125% Senior Notes by paying the applicable “make-whole” premium. At any time on or after May 15, 2015, the Company may redeem some or all of the 7.125% Senior Notes at specified redemption prices in the governing indenture.</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7.125% Senior Notes are unsecured and guaranteed by the subsidiaries that guarantee the Senior Secured Credit Facility and will be unconditionally guaranteed, jointly and severally, by any future domestic subsidiaries that guarantee the Senior Secured Credit Facility.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96" w:lineRule="exact"/>
        <w:rPr>
          <w:sz w:val="20"/>
          <w:szCs w:val="20"/>
          <w:color w:val="auto"/>
        </w:rPr>
      </w:pPr>
    </w:p>
    <w:p>
      <w:pPr>
        <w:jc w:val="both"/>
        <w:ind w:right="480" w:firstLine="456"/>
        <w:spacing w:after="0" w:line="256"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forward contracts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September 30, 2013 and December 31, 2012 follows (dollars in millions):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w w:val="99"/>
              </w:rPr>
              <w:t>September 30, 2013</w:t>
            </w:r>
          </w:p>
        </w:tc>
        <w:tc>
          <w:tcPr>
            <w:tcW w:w="80" w:type="dxa"/>
            <w:vAlign w:val="bottom"/>
          </w:tcPr>
          <w:p>
            <w:pPr>
              <w:spacing w:after="0"/>
              <w:rPr>
                <w:sz w:val="14"/>
                <w:szCs w:val="14"/>
                <w:color w:val="auto"/>
              </w:rPr>
            </w:pPr>
          </w:p>
        </w:tc>
        <w:tc>
          <w:tcPr>
            <w:tcW w:w="17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6460" w:type="dxa"/>
            <w:vAlign w:val="bottom"/>
          </w:tcPr>
          <w:p>
            <w:pPr>
              <w:spacing w:after="0"/>
              <w:rPr>
                <w:sz w:val="11"/>
                <w:szCs w:val="11"/>
                <w:color w:val="auto"/>
              </w:rPr>
            </w:pPr>
          </w:p>
        </w:tc>
        <w:tc>
          <w:tcPr>
            <w:tcW w:w="1120" w:type="dxa"/>
            <w:vAlign w:val="bottom"/>
            <w:tcBorders>
              <w:top w:val="single" w:sz="8" w:color="auto"/>
            </w:tcBorders>
            <w:gridSpan w:val="3"/>
          </w:tcPr>
          <w:p>
            <w:pPr>
              <w:jc w:val="right"/>
              <w:ind w:right="560"/>
              <w:spacing w:after="0" w:line="129" w:lineRule="exact"/>
              <w:rPr>
                <w:sz w:val="20"/>
                <w:szCs w:val="20"/>
                <w:color w:val="auto"/>
              </w:rPr>
            </w:pPr>
            <w:r>
              <w:rPr>
                <w:rFonts w:ascii="Arial" w:cs="Arial" w:eastAsia="Arial" w:hAnsi="Arial"/>
                <w:sz w:val="14"/>
                <w:szCs w:val="14"/>
                <w:b w:val="1"/>
                <w:bCs w:val="1"/>
                <w:color w:val="auto"/>
                <w:w w:val="96"/>
              </w:rPr>
              <w:t>Notional</w:t>
            </w: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6"/>
              </w:rPr>
              <w:t>Notional</w:t>
            </w: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460" w:type="dxa"/>
            <w:vAlign w:val="bottom"/>
          </w:tcPr>
          <w:p>
            <w:pPr>
              <w:spacing w:after="0"/>
              <w:rPr>
                <w:sz w:val="14"/>
                <w:szCs w:val="14"/>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Amount</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4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6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Rate Swap D, due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E, due 2013</w:t>
            </w: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F, due 2013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G, due 2013</w:t>
            </w:r>
          </w:p>
        </w:tc>
        <w:tc>
          <w:tcPr>
            <w:tcW w:w="100" w:type="dxa"/>
            <w:vAlign w:val="bottom"/>
          </w:tcPr>
          <w:p>
            <w:pPr>
              <w:spacing w:after="0"/>
              <w:rPr>
                <w:sz w:val="18"/>
                <w:szCs w:val="18"/>
                <w:color w:val="auto"/>
              </w:rPr>
            </w:pPr>
          </w:p>
        </w:tc>
        <w:tc>
          <w:tcPr>
            <w:tcW w:w="102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H,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(10.2)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I,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350.0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(10.3)</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 due 2014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K, due 2014</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125.0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(2.9)</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 due 2019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M, due 2019</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100.0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 due 2019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Interest Rate Swap O, due 2019</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75.0</w:t>
            </w:r>
          </w:p>
        </w:tc>
        <w:tc>
          <w:tcPr>
            <w:tcW w:w="16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(0.2)</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6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83"/>
              </w:rPr>
              <w:t>1,275.0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1,375.0</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r>
      <w:tr>
        <w:trPr>
          <w:trHeight w:val="20"/>
        </w:trPr>
        <w:tc>
          <w:tcPr>
            <w:tcW w:w="6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July 2013, the Company entered into two new interest rate swaps to hedge its variable interest rate exposure on the Senior Secured Credit Facility. Interest Rate Swap L has a notional amount of $75.0 million and is effective from August 2016 to August 2019 at an all-in fixed rate of 3.44% and a LIBOR floor of 1.00% with no independent collateral requirement. Interest Rate Swap M has a notional amount of $100.0 million and is effective from August 2016 to August 2019 at an all-in fixed rate of 3.43% and a LIBOR floor of 1.00% with no independent collateral requirement.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September 2013, the Company entered into two new interest rate swaps to hedge its variable interest rate exposure on the Senior Secured Credit Facility. Interest Rate Swap N has a notional amount of $75.0 million and is effective from August 2016 to August 2019 at an all-in fixed rate of 3.37% and a LIBOR floor of 1.00% with no independent collateral requirement. Interest Rate Swap O has a notional amount of $75.0 million and is effective from August 2016 to August 2019 at an all-in fixed rate of 3.19% and a LIBOR floor of 1.00% with no independent collateral requirement.</w:t>
      </w:r>
    </w:p>
    <w:p>
      <w:pPr>
        <w:spacing w:after="0" w:line="11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Certain of the Company’s interest rate derivatives contain credit-risk and collateral contingent features under which downgrades in the Company’s credit rating could require the Company to increase its collateral. Certain interest rate derivatives also contain provisions under which the Company may be required to post additional collateral if the LIBOR interest rate curve reaches certain levels.</w:t>
      </w:r>
    </w:p>
    <w:p>
      <w:pPr>
        <w:spacing w:after="0" w:line="140"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As of September 30, 2013 and December 31, 2012, the Company had recorded cash collateral of $1.7 million and $3.0 million, respectively, in Other current assets in the Condensed Consolidated Balance Sheets, as the balances are subject to frequent change. The Company has also posted $9.0 million of collateral in the form of letters of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Currency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Company’s business is subject to foreign exchange rate risk. As a result, the Company enters into various forward rate contracts that qualify as derivatives under the authoritative accounting guidance to manage certain of these exposures. Forward contracts are used to hedge forecasted transactions and known exposure of payables denominated in a foreign currency. The Company generally has not elected to apply hedge accounting under the authoritative accounting guidance and recorded the unrealized fair value adjustments and realized gains and losses associated with these contracts in Other expense, net in the Condensed Consolidated Statements of Comprehensive Income during the period of change.</w:t>
      </w:r>
    </w:p>
    <w:p>
      <w:pPr>
        <w:spacing w:after="0" w:line="1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summarizes the outstanding foreign currency forward contracts as of September 30, 2013 and December 31, 2012 (amounts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September 30, 2013</w:t>
            </w:r>
          </w:p>
        </w:tc>
        <w:tc>
          <w:tcPr>
            <w:tcW w:w="1720" w:type="dxa"/>
            <w:vAlign w:val="bottom"/>
            <w:gridSpan w:val="5"/>
          </w:tcPr>
          <w:p>
            <w:pPr>
              <w:ind w:left="260"/>
              <w:spacing w:after="0"/>
              <w:rPr>
                <w:sz w:val="20"/>
                <w:szCs w:val="20"/>
                <w:color w:val="auto"/>
              </w:rPr>
            </w:pPr>
            <w:r>
              <w:rPr>
                <w:rFonts w:ascii="Arial" w:cs="Arial" w:eastAsia="Arial" w:hAnsi="Arial"/>
                <w:sz w:val="14"/>
                <w:szCs w:val="14"/>
                <w:b w:val="1"/>
                <w:bCs w:val="1"/>
                <w:color w:val="auto"/>
              </w:rPr>
              <w:t>December 31, 2012</w:t>
            </w:r>
          </w:p>
        </w:tc>
      </w:tr>
      <w:tr>
        <w:trPr>
          <w:trHeight w:val="129"/>
        </w:trPr>
        <w:tc>
          <w:tcPr>
            <w:tcW w:w="654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Notional</w:t>
            </w:r>
          </w:p>
        </w:tc>
        <w:tc>
          <w:tcPr>
            <w:tcW w:w="2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color w:val="auto"/>
              </w:rPr>
              <w:t>Notional</w:t>
            </w:r>
          </w:p>
        </w:tc>
        <w:tc>
          <w:tcPr>
            <w:tcW w:w="2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654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680" w:type="dxa"/>
            <w:vAlign w:val="bottom"/>
            <w:gridSpan w:val="3"/>
          </w:tcPr>
          <w:p>
            <w:pPr>
              <w:ind w:left="20"/>
              <w:spacing w:after="0"/>
              <w:rPr>
                <w:sz w:val="20"/>
                <w:szCs w:val="20"/>
                <w:color w:val="auto"/>
              </w:rPr>
            </w:pPr>
            <w:r>
              <w:rPr>
                <w:rFonts w:ascii="Arial" w:cs="Arial" w:eastAsia="Arial" w:hAnsi="Arial"/>
                <w:sz w:val="14"/>
                <w:szCs w:val="14"/>
                <w:color w:val="auto"/>
              </w:rPr>
              <w:t>Fair Value</w:t>
            </w:r>
          </w:p>
        </w:tc>
      </w:tr>
      <w:tr>
        <w:trPr>
          <w:trHeight w:val="210"/>
        </w:trPr>
        <w:tc>
          <w:tcPr>
            <w:tcW w:w="65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Japanese Yen (JPY)</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7"/>
              </w:rPr>
              <w:t>¥550.0</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tcBorders>
              <w:top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¥675.0</w:t>
            </w:r>
          </w:p>
        </w:tc>
        <w:tc>
          <w:tcPr>
            <w:tcW w:w="5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5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w w:val="74"/>
              </w:rPr>
              <w:t>)</w:t>
            </w: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6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business is subject to commodity price risk, principally with component suppliers. As a result, the Company entered into various commodity swap contracts that qualified as derivatives under the authoritative accounting guidance to manage certain of these exposures. Swap contracts were used to hedge forecasted transactions either of the commodity or of components containing the commodity. The Company has not qualified for hedge accounting treatment for these commodity contracts,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outstanding commodity swaps as of September 30, 2013 and December 31, 2012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30, 2013</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2012</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120" w:type="dxa"/>
            <w:vAlign w:val="bottom"/>
          </w:tcPr>
          <w:p>
            <w:pPr>
              <w:spacing w:after="0"/>
              <w:rPr>
                <w:sz w:val="11"/>
                <w:szCs w:val="11"/>
                <w:color w:val="auto"/>
              </w:rPr>
            </w:pPr>
          </w:p>
        </w:tc>
        <w:tc>
          <w:tcPr>
            <w:tcW w:w="800" w:type="dxa"/>
            <w:vAlign w:val="bottom"/>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85"/>
              </w:rPr>
              <w:t>Notional</w:t>
            </w: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w w:val="85"/>
              </w:rPr>
              <w:t>Notional</w:t>
            </w: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512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Amount</w:t>
            </w:r>
          </w:p>
        </w:tc>
        <w:tc>
          <w:tcPr>
            <w:tcW w:w="16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800" w:type="dxa"/>
            <w:vAlign w:val="bottom"/>
            <w:gridSpan w:val="4"/>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Amount</w:t>
            </w: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Quantity</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5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Aluminum</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$ 20.5</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10,075 metric tons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b w:val="1"/>
                <w:bCs w:val="1"/>
                <w:color w:val="auto"/>
                <w:w w:val="70"/>
              </w:rPr>
              <w:t>(1.2)</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$ 19.4</w:t>
            </w: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9,050 metric tons</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Steel</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6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Pr>
          <w:p>
            <w:pPr>
              <w:spacing w:after="0"/>
              <w:rPr>
                <w:sz w:val="18"/>
                <w:szCs w:val="18"/>
                <w:color w:val="auto"/>
              </w:rPr>
            </w:pPr>
          </w:p>
        </w:tc>
        <w:tc>
          <w:tcPr>
            <w:tcW w:w="600" w:type="dxa"/>
            <w:vAlign w:val="bottom"/>
            <w:gridSpan w:val="3"/>
          </w:tcPr>
          <w:p>
            <w:pPr>
              <w:ind w:left="1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0.2</w:t>
            </w:r>
          </w:p>
        </w:tc>
        <w:tc>
          <w:tcPr>
            <w:tcW w:w="14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340 metric tons</w:t>
            </w:r>
          </w:p>
        </w:tc>
        <w:tc>
          <w:tcPr>
            <w:tcW w:w="2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6"/>
              </w:rPr>
              <w:t>N/A</w:t>
            </w: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200" w:type="dxa"/>
            <w:vAlign w:val="bottom"/>
            <w:gridSpan w:val="2"/>
            <w:shd w:val="clear" w:color="auto" w:fill="CCEEFF"/>
          </w:tcPr>
          <w:p>
            <w:pPr>
              <w:spacing w:after="0"/>
              <w:rPr>
                <w:sz w:val="18"/>
                <w:szCs w:val="18"/>
                <w:color w:val="auto"/>
              </w:rPr>
            </w:pP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14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80,000 MMBtu</w:t>
            </w: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3"/>
        </w:trPr>
        <w:tc>
          <w:tcPr>
            <w:tcW w:w="5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20"/>
              <w:spacing w:after="0"/>
              <w:rPr>
                <w:sz w:val="20"/>
                <w:szCs w:val="20"/>
                <w:color w:val="auto"/>
              </w:rPr>
            </w:pPr>
            <w:r>
              <w:rPr>
                <w:rFonts w:ascii="Arial" w:cs="Arial" w:eastAsia="Arial" w:hAnsi="Arial"/>
                <w:sz w:val="18"/>
                <w:szCs w:val="18"/>
                <w:b w:val="1"/>
                <w:bCs w:val="1"/>
                <w:color w:val="auto"/>
                <w:w w:val="83"/>
              </w:rPr>
              <w:t>(1.2</w:t>
            </w:r>
          </w:p>
        </w:tc>
        <w:tc>
          <w:tcPr>
            <w:tcW w:w="2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0"/>
        </w:trPr>
        <w:tc>
          <w:tcPr>
            <w:tcW w:w="5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ectPr>
          <w:pgSz w:w="11900" w:h="16838" w:orient="portrait"/>
          <w:cols w:equalWidth="0" w:num="1">
            <w:col w:w="11420"/>
          </w:cols>
          <w:pgMar w:left="240" w:top="459" w:right="23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3"/>
              </w:rPr>
              <w:t>September 30, 2013</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vMerge w:val="restart"/>
          </w:tcPr>
          <w:p>
            <w:pPr>
              <w:spacing w:after="0"/>
              <w:rPr>
                <w:sz w:val="20"/>
                <w:szCs w:val="20"/>
                <w:color w:val="auto"/>
              </w:rPr>
            </w:pPr>
            <w:r>
              <w:rPr>
                <w:rFonts w:ascii="Arial" w:cs="Arial" w:eastAsia="Arial" w:hAnsi="Arial"/>
                <w:sz w:val="18"/>
                <w:szCs w:val="18"/>
                <w:color w:val="auto"/>
              </w:rPr>
              <w:t>Derivatives not designated as hedging instruments</w:t>
            </w:r>
          </w:p>
        </w:tc>
        <w:tc>
          <w:tcPr>
            <w:tcW w:w="960" w:type="dxa"/>
            <w:vAlign w:val="bottom"/>
          </w:tcPr>
          <w:p>
            <w:pPr>
              <w:spacing w:after="0"/>
              <w:rPr>
                <w:sz w:val="12"/>
                <w:szCs w:val="12"/>
                <w:color w:val="auto"/>
              </w:rPr>
            </w:pPr>
          </w:p>
        </w:tc>
        <w:tc>
          <w:tcPr>
            <w:tcW w:w="162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w w:val="92"/>
              </w:rPr>
              <w:t>Balance Sheet Location</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Fair Value</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860" w:type="dxa"/>
            <w:vAlign w:val="bottom"/>
            <w:vMerge w:val="continue"/>
          </w:tcPr>
          <w:p>
            <w:pPr>
              <w:spacing w:after="0"/>
              <w:rPr>
                <w:sz w:val="16"/>
                <w:szCs w:val="16"/>
                <w:color w:val="auto"/>
              </w:rPr>
            </w:pPr>
          </w:p>
        </w:tc>
        <w:tc>
          <w:tcPr>
            <w:tcW w:w="292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Other current assets</w:t>
            </w:r>
          </w:p>
        </w:tc>
        <w:tc>
          <w:tcPr>
            <w:tcW w:w="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vMerge w:val="restart"/>
          </w:tcPr>
          <w:p>
            <w:pPr>
              <w:jc w:val="right"/>
              <w:ind w:right="22"/>
              <w:spacing w:after="0"/>
              <w:rPr>
                <w:sz w:val="20"/>
                <w:szCs w:val="20"/>
                <w:color w:val="auto"/>
              </w:rPr>
            </w:pPr>
            <w:r>
              <w:rPr>
                <w:rFonts w:ascii="Arial" w:cs="Arial" w:eastAsia="Arial" w:hAnsi="Arial"/>
                <w:sz w:val="18"/>
                <w:szCs w:val="18"/>
                <w:b w:val="1"/>
                <w:bCs w:val="1"/>
                <w:color w:val="auto"/>
              </w:rPr>
              <w:t>0.0</w:t>
            </w:r>
          </w:p>
        </w:tc>
        <w:tc>
          <w:tcPr>
            <w:tcW w:w="0" w:type="dxa"/>
            <w:vAlign w:val="bottom"/>
          </w:tcPr>
          <w:p>
            <w:pPr>
              <w:spacing w:after="0"/>
              <w:rPr>
                <w:sz w:val="1"/>
                <w:szCs w:val="1"/>
                <w:color w:val="auto"/>
              </w:rPr>
            </w:pPr>
          </w:p>
        </w:tc>
      </w:tr>
      <w:tr>
        <w:trPr>
          <w:trHeight w:val="210"/>
        </w:trPr>
        <w:tc>
          <w:tcPr>
            <w:tcW w:w="4860" w:type="dxa"/>
            <w:vAlign w:val="bottom"/>
          </w:tcPr>
          <w:p>
            <w:pPr>
              <w:ind w:left="440"/>
              <w:spacing w:after="0"/>
              <w:rPr>
                <w:sz w:val="20"/>
                <w:szCs w:val="20"/>
                <w:color w:val="auto"/>
              </w:rPr>
            </w:pPr>
            <w:r>
              <w:rPr>
                <w:rFonts w:ascii="Arial" w:cs="Arial" w:eastAsia="Arial" w:hAnsi="Arial"/>
                <w:sz w:val="18"/>
                <w:szCs w:val="18"/>
                <w:color w:val="auto"/>
              </w:rPr>
              <w:t>Foreign currency contracts</w:t>
            </w:r>
          </w:p>
        </w:tc>
        <w:tc>
          <w:tcPr>
            <w:tcW w:w="2920" w:type="dxa"/>
            <w:vAlign w:val="bottom"/>
            <w:gridSpan w:val="3"/>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5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Other 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(0.3)</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Commodity contracts</w:t>
            </w: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Other current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non-current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ind w:right="22"/>
              <w:spacing w:after="0"/>
              <w:rPr>
                <w:sz w:val="20"/>
                <w:szCs w:val="20"/>
                <w:color w:val="auto"/>
              </w:rPr>
            </w:pPr>
            <w:r>
              <w:rPr>
                <w:rFonts w:ascii="Arial" w:cs="Arial" w:eastAsia="Arial" w:hAnsi="Arial"/>
                <w:sz w:val="18"/>
                <w:szCs w:val="18"/>
                <w:b w:val="1"/>
                <w:bCs w:val="1"/>
                <w:color w:val="auto"/>
              </w:rPr>
              <w:t>0.2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18"/>
                <w:szCs w:val="18"/>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Other current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19"/>
                <w:szCs w:val="19"/>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r>
        <w:trPr>
          <w:trHeight w:val="216"/>
        </w:trPr>
        <w:tc>
          <w:tcPr>
            <w:tcW w:w="4860" w:type="dxa"/>
            <w:vAlign w:val="bottom"/>
          </w:tcPr>
          <w:p>
            <w:pPr>
              <w:ind w:left="440"/>
              <w:spacing w:after="0"/>
              <w:rPr>
                <w:sz w:val="20"/>
                <w:szCs w:val="20"/>
                <w:color w:val="auto"/>
              </w:rPr>
            </w:pPr>
            <w:r>
              <w:rPr>
                <w:rFonts w:ascii="Arial" w:cs="Arial" w:eastAsia="Arial" w:hAnsi="Arial"/>
                <w:sz w:val="18"/>
                <w:szCs w:val="18"/>
                <w:color w:val="auto"/>
              </w:rPr>
              <w:t>Interest rate contracts</w:t>
            </w: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Other current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4860" w:type="dxa"/>
            <w:vAlign w:val="bottom"/>
          </w:tcPr>
          <w:p>
            <w:pPr>
              <w:spacing w:after="0"/>
              <w:rPr>
                <w:sz w:val="21"/>
                <w:szCs w:val="21"/>
                <w:color w:val="auto"/>
              </w:rPr>
            </w:pPr>
          </w:p>
        </w:tc>
        <w:tc>
          <w:tcPr>
            <w:tcW w:w="2920" w:type="dxa"/>
            <w:vAlign w:val="bottom"/>
            <w:gridSpan w:val="3"/>
          </w:tcPr>
          <w:p>
            <w:pPr>
              <w:ind w:left="960"/>
              <w:spacing w:after="0"/>
              <w:rPr>
                <w:sz w:val="20"/>
                <w:szCs w:val="20"/>
                <w:color w:val="auto"/>
              </w:rPr>
            </w:pPr>
            <w:r>
              <w:rPr>
                <w:rFonts w:ascii="Arial" w:cs="Arial" w:eastAsia="Arial" w:hAnsi="Arial"/>
                <w:sz w:val="18"/>
                <w:szCs w:val="18"/>
                <w:b w:val="1"/>
                <w:bCs w:val="1"/>
                <w:color w:val="auto"/>
              </w:rPr>
              <w:t>non-current liabilities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(29.0)</w:t>
            </w:r>
          </w:p>
        </w:tc>
        <w:tc>
          <w:tcPr>
            <w:tcW w:w="0" w:type="dxa"/>
            <w:vAlign w:val="bottom"/>
          </w:tcPr>
          <w:p>
            <w:pPr>
              <w:spacing w:after="0"/>
              <w:rPr>
                <w:sz w:val="1"/>
                <w:szCs w:val="1"/>
                <w:color w:val="auto"/>
              </w:rPr>
            </w:pPr>
          </w:p>
        </w:tc>
      </w:tr>
      <w:tr>
        <w:trPr>
          <w:trHeight w:val="225"/>
        </w:trPr>
        <w:tc>
          <w:tcPr>
            <w:tcW w:w="4860" w:type="dxa"/>
            <w:vAlign w:val="bottom"/>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9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(30.5</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-1311275</wp:posOffset>
            </wp:positionV>
            <wp:extent cx="72466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-745490</wp:posOffset>
            </wp:positionV>
            <wp:extent cx="7246620" cy="2832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-1585595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December 31,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15690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ind w:left="80"/>
        <w:spacing w:after="0"/>
        <w:tabs>
          <w:tab w:leader="none" w:pos="1840" w:val="left"/>
        </w:tabs>
        <w:rPr>
          <w:sz w:val="20"/>
          <w:szCs w:val="20"/>
          <w:color w:val="auto"/>
        </w:rPr>
      </w:pPr>
      <w:r>
        <w:rPr>
          <w:rFonts w:ascii="Arial" w:cs="Arial" w:eastAsia="Arial" w:hAnsi="Arial"/>
          <w:sz w:val="14"/>
          <w:szCs w:val="14"/>
          <w:b w:val="1"/>
          <w:bCs w:val="1"/>
          <w:color w:val="auto"/>
        </w:rPr>
        <w:t>Balance Sheet Location</w:t>
      </w:r>
      <w:r>
        <w:rPr>
          <w:sz w:val="20"/>
          <w:szCs w:val="20"/>
          <w:color w:val="auto"/>
        </w:rPr>
        <w:tab/>
      </w:r>
      <w:r>
        <w:rPr>
          <w:rFonts w:ascii="Arial" w:cs="Arial" w:eastAsia="Arial" w:hAnsi="Arial"/>
          <w:sz w:val="12"/>
          <w:szCs w:val="12"/>
          <w:b w:val="1"/>
          <w:bCs w:val="1"/>
          <w:u w:val="single" w:color="auto"/>
          <w:color w:val="auto"/>
        </w:rPr>
        <w:t>Fair Value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non-current assets</w:t>
            </w:r>
          </w:p>
        </w:tc>
        <w:tc>
          <w:tcPr>
            <w:tcW w:w="16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Other current and</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18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18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8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(52.7)</w:t>
            </w:r>
          </w:p>
        </w:tc>
      </w:tr>
      <w:tr>
        <w:trPr>
          <w:trHeight w:val="20"/>
        </w:trPr>
        <w:tc>
          <w:tcPr>
            <w:tcW w:w="1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ectPr>
          <w:pgSz w:w="11900" w:h="16838" w:orient="portrait"/>
          <w:cols w:equalWidth="0" w:num="2">
            <w:col w:w="8460" w:space="380"/>
            <w:col w:w="2580"/>
          </w:cols>
          <w:pgMar w:left="240" w:top="459" w:right="239" w:bottom="1440" w:gutter="0" w:footer="0" w:header="0"/>
          <w:type w:val="continuous"/>
        </w:sectPr>
      </w:pPr>
    </w:p>
    <w:p>
      <w:pPr>
        <w:ind w:right="20" w:firstLine="456"/>
        <w:spacing w:after="0" w:line="291" w:lineRule="auto"/>
        <w:rPr>
          <w:sz w:val="20"/>
          <w:szCs w:val="20"/>
          <w:color w:val="auto"/>
        </w:rPr>
      </w:pPr>
      <w:r>
        <w:rPr>
          <w:rFonts w:ascii="Arial" w:cs="Arial" w:eastAsia="Arial" w:hAnsi="Arial"/>
          <w:sz w:val="16"/>
          <w:szCs w:val="16"/>
          <w:color w:val="auto"/>
        </w:rPr>
        <w:t>The fair values of the derivatives were recorded between Other current and non-current assets and Other current and non-current liabilities as appropriate in the Condensed Consolidated Balance Sheets. As of September 30, 2013, the amount recorded to Other current assets for foreign currency contracts was $0.0 million, and the amount recorded to Other current liabilities for foreign currency contracts was ($0.3) million. The amounts recorded to Other current and non-current assets for commodity contracts were $0.1 million and $0.1 million, respectively. The amounts recorded to Other current and non-current liabilities for commodity contracts were ($1.2) million and ($0.2) million, respectively. The amounts recorded to Other current and non-current liabilities for interest rate contracts were ($26.2) million and ($2.8) million, respectively.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of December 31, 2012, the amount recorded to Other current liabilities for foreign currency contracts was ($0.2) million. The amounts recorded to Other current and non-current assets and Other current and non-current liabilities for commodity contracts were $0.1 million, $0.1 million, ($0.3) million and ($0.1) million, respectively. The amounts recorded to Other current and non-current liabilities for interest rate contracts were ($31.2) million and ($21.1) million, respectively.</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results of operations of the Company (dollars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85"/>
              </w:rPr>
              <w:t>Three months ended</w:t>
            </w: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645"/>
              <w:spacing w:after="0"/>
              <w:rPr>
                <w:sz w:val="20"/>
                <w:szCs w:val="20"/>
                <w:color w:val="auto"/>
              </w:rPr>
            </w:pPr>
            <w:r>
              <w:rPr>
                <w:rFonts w:ascii="Arial" w:cs="Arial" w:eastAsia="Arial" w:hAnsi="Arial"/>
                <w:sz w:val="14"/>
                <w:szCs w:val="14"/>
                <w:b w:val="1"/>
                <w:bCs w:val="1"/>
                <w:color w:val="auto"/>
                <w:w w:val="85"/>
              </w:rPr>
              <w:t>September 30, 2013</w:t>
            </w:r>
          </w:p>
        </w:tc>
        <w:tc>
          <w:tcPr>
            <w:tcW w:w="7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7"/>
              </w:rPr>
              <w:t>September 30,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9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620" w:type="dxa"/>
            <w:vAlign w:val="bottom"/>
          </w:tcPr>
          <w:p>
            <w:pPr>
              <w:spacing w:after="0"/>
              <w:rPr>
                <w:sz w:val="11"/>
                <w:szCs w:val="11"/>
                <w:color w:val="auto"/>
              </w:rPr>
            </w:pPr>
          </w:p>
        </w:tc>
        <w:tc>
          <w:tcPr>
            <w:tcW w:w="18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80" w:type="dxa"/>
            <w:vAlign w:val="bottom"/>
          </w:tcPr>
          <w:p>
            <w:pPr>
              <w:spacing w:after="0"/>
              <w:rPr>
                <w:sz w:val="11"/>
                <w:szCs w:val="11"/>
                <w:color w:val="auto"/>
              </w:rPr>
            </w:pPr>
          </w:p>
        </w:tc>
        <w:tc>
          <w:tcPr>
            <w:tcW w:w="7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gain</w:t>
            </w: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0"/>
              </w:rPr>
              <w:t>gain</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gain</w:t>
            </w: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gain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recognized on</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9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2"/>
              </w:rPr>
              <w:t>recognized 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derivatives</w:t>
            </w: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derivatives</w:t>
            </w:r>
          </w:p>
        </w:tc>
        <w:tc>
          <w:tcPr>
            <w:tcW w:w="1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derivatives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Derivatives not designated as hedging</w:t>
            </w:r>
          </w:p>
        </w:tc>
        <w:tc>
          <w:tcPr>
            <w:tcW w:w="1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Other expense, net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0.2</w:t>
            </w: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Other expense,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1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86"/>
              </w:rPr>
              <w:t>Other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0.4</w:t>
            </w: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Other expense, net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rate contracts</w:t>
            </w:r>
          </w:p>
        </w:tc>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5.2</w:t>
            </w:r>
          </w:p>
        </w:tc>
        <w:tc>
          <w:tcPr>
            <w:tcW w:w="1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gain recognized on derivatives</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5.8</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 designated as hedging instruments</w:t>
            </w: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900" w:type="dxa"/>
            <w:vAlign w:val="bottom"/>
            <w:gridSpan w:val="2"/>
          </w:tcPr>
          <w:p>
            <w:pPr>
              <w:jc w:val="center"/>
              <w:ind w:left="725"/>
              <w:spacing w:after="0"/>
              <w:rPr>
                <w:sz w:val="20"/>
                <w:szCs w:val="20"/>
                <w:color w:val="auto"/>
              </w:rPr>
            </w:pPr>
            <w:r>
              <w:rPr>
                <w:rFonts w:ascii="Arial" w:cs="Arial" w:eastAsia="Arial" w:hAnsi="Arial"/>
                <w:sz w:val="14"/>
                <w:szCs w:val="14"/>
                <w:b w:val="1"/>
                <w:bCs w:val="1"/>
                <w:color w:val="auto"/>
                <w:w w:val="84"/>
              </w:rPr>
              <w:t>Nine months ended</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00" w:type="dxa"/>
            <w:vAlign w:val="bottom"/>
            <w:gridSpan w:val="3"/>
          </w:tcPr>
          <w:p>
            <w:pPr>
              <w:ind w:left="740"/>
              <w:spacing w:after="0"/>
              <w:rPr>
                <w:sz w:val="20"/>
                <w:szCs w:val="20"/>
                <w:color w:val="auto"/>
              </w:rPr>
            </w:pPr>
            <w:r>
              <w:rPr>
                <w:rFonts w:ascii="Arial" w:cs="Arial" w:eastAsia="Arial" w:hAnsi="Arial"/>
                <w:sz w:val="14"/>
                <w:szCs w:val="14"/>
                <w:b w:val="1"/>
                <w:bCs w:val="1"/>
                <w:color w:val="auto"/>
                <w:w w:val="87"/>
              </w:rPr>
              <w:t>Nine months ended</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00" w:type="dxa"/>
            <w:vAlign w:val="bottom"/>
            <w:tcBorders>
              <w:bottom w:val="single" w:sz="8" w:color="auto"/>
            </w:tcBorders>
            <w:gridSpan w:val="3"/>
          </w:tcPr>
          <w:p>
            <w:pPr>
              <w:jc w:val="center"/>
              <w:ind w:left="645"/>
              <w:spacing w:after="0"/>
              <w:rPr>
                <w:sz w:val="20"/>
                <w:szCs w:val="20"/>
                <w:color w:val="auto"/>
              </w:rPr>
            </w:pPr>
            <w:r>
              <w:rPr>
                <w:rFonts w:ascii="Arial" w:cs="Arial" w:eastAsia="Arial" w:hAnsi="Arial"/>
                <w:sz w:val="14"/>
                <w:szCs w:val="14"/>
                <w:b w:val="1"/>
                <w:bCs w:val="1"/>
                <w:color w:val="auto"/>
                <w:w w:val="85"/>
              </w:rPr>
              <w:t>September 30, 2013</w:t>
            </w:r>
          </w:p>
        </w:tc>
        <w:tc>
          <w:tcPr>
            <w:tcW w:w="70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Borders>
              <w:bottom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w w:val="87"/>
              </w:rPr>
              <w:t>September 30, 2012</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9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10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Amount of</w:t>
            </w:r>
          </w:p>
        </w:tc>
        <w:tc>
          <w:tcPr>
            <w:tcW w:w="620" w:type="dxa"/>
            <w:vAlign w:val="bottom"/>
          </w:tcPr>
          <w:p>
            <w:pPr>
              <w:spacing w:after="0"/>
              <w:rPr>
                <w:sz w:val="11"/>
                <w:szCs w:val="11"/>
                <w:color w:val="auto"/>
              </w:rPr>
            </w:pPr>
          </w:p>
        </w:tc>
        <w:tc>
          <w:tcPr>
            <w:tcW w:w="182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87"/>
              </w:rPr>
              <w:t>Location of</w:t>
            </w:r>
          </w:p>
        </w:tc>
        <w:tc>
          <w:tcPr>
            <w:tcW w:w="80" w:type="dxa"/>
            <w:vAlign w:val="bottom"/>
          </w:tcPr>
          <w:p>
            <w:pPr>
              <w:spacing w:after="0"/>
              <w:rPr>
                <w:sz w:val="11"/>
                <w:szCs w:val="11"/>
                <w:color w:val="auto"/>
              </w:rPr>
            </w:pPr>
          </w:p>
        </w:tc>
        <w:tc>
          <w:tcPr>
            <w:tcW w:w="7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(loss) gain</w:t>
            </w: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2"/>
              </w:rPr>
              <w:t>(loss) gain</w:t>
            </w:r>
          </w:p>
        </w:tc>
        <w:tc>
          <w:tcPr>
            <w:tcW w:w="18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2"/>
              </w:rPr>
              <w:t>gain (loss)</w:t>
            </w:r>
          </w:p>
        </w:tc>
        <w:tc>
          <w:tcPr>
            <w:tcW w:w="8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2"/>
              </w:rPr>
              <w:t>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9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42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18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recognized 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9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derivatives</w:t>
            </w:r>
          </w:p>
        </w:tc>
        <w:tc>
          <w:tcPr>
            <w:tcW w:w="14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4"/>
              </w:rPr>
              <w:t>derivatives</w:t>
            </w:r>
          </w:p>
        </w:tc>
        <w:tc>
          <w:tcPr>
            <w:tcW w:w="18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derivatives</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derivatives</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Derivatives not designated as hedging</w:t>
            </w:r>
          </w:p>
        </w:tc>
        <w:tc>
          <w:tcPr>
            <w:tcW w:w="14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instruments</w:t>
            </w: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Foreign currency contracts</w:t>
            </w:r>
          </w:p>
        </w:tc>
        <w:tc>
          <w:tcPr>
            <w:tcW w:w="19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6"/>
              </w:rPr>
              <w:t>Other expense, net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(1.3)</w:t>
            </w:r>
          </w:p>
        </w:tc>
        <w:tc>
          <w:tcPr>
            <w:tcW w:w="1820" w:type="dxa"/>
            <w:vAlign w:val="bottom"/>
            <w:gridSpan w:val="2"/>
          </w:tcPr>
          <w:p>
            <w:pPr>
              <w:jc w:val="center"/>
              <w:ind w:right="520"/>
              <w:spacing w:after="0"/>
              <w:rPr>
                <w:sz w:val="20"/>
                <w:szCs w:val="20"/>
                <w:color w:val="auto"/>
              </w:rPr>
            </w:pPr>
            <w:r>
              <w:rPr>
                <w:rFonts w:ascii="Arial" w:cs="Arial" w:eastAsia="Arial" w:hAnsi="Arial"/>
                <w:sz w:val="18"/>
                <w:szCs w:val="18"/>
                <w:color w:val="auto"/>
                <w:w w:val="84"/>
              </w:rPr>
              <w:t>Other expense,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Commodity contracts</w:t>
            </w:r>
          </w:p>
        </w:tc>
        <w:tc>
          <w:tcPr>
            <w:tcW w:w="19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86"/>
              </w:rPr>
              <w:t>Other expense, net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(2.1)</w:t>
            </w:r>
          </w:p>
        </w:tc>
        <w:tc>
          <w:tcPr>
            <w:tcW w:w="1820" w:type="dxa"/>
            <w:vAlign w:val="bottom"/>
            <w:gridSpan w:val="2"/>
            <w:shd w:val="clear" w:color="auto" w:fill="CCEEFF"/>
          </w:tcPr>
          <w:p>
            <w:pPr>
              <w:jc w:val="center"/>
              <w:ind w:right="520"/>
              <w:spacing w:after="0"/>
              <w:rPr>
                <w:sz w:val="20"/>
                <w:szCs w:val="20"/>
                <w:color w:val="auto"/>
              </w:rPr>
            </w:pPr>
            <w:r>
              <w:rPr>
                <w:rFonts w:ascii="Arial" w:cs="Arial" w:eastAsia="Arial" w:hAnsi="Arial"/>
                <w:sz w:val="18"/>
                <w:szCs w:val="18"/>
                <w:color w:val="auto"/>
                <w:w w:val="84"/>
              </w:rPr>
              <w:t>Other expense, net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Interest rate contracts</w:t>
            </w:r>
          </w:p>
        </w:tc>
        <w:tc>
          <w:tcPr>
            <w:tcW w:w="1900" w:type="dxa"/>
            <w:vAlign w:val="bottom"/>
            <w:gridSpan w:val="2"/>
          </w:tcPr>
          <w:p>
            <w:pPr>
              <w:spacing w:after="0"/>
              <w:rPr>
                <w:sz w:val="20"/>
                <w:szCs w:val="20"/>
                <w:color w:val="auto"/>
              </w:rPr>
            </w:pPr>
            <w:r>
              <w:rPr>
                <w:rFonts w:ascii="Arial" w:cs="Arial" w:eastAsia="Arial" w:hAnsi="Arial"/>
                <w:sz w:val="18"/>
                <w:szCs w:val="18"/>
                <w:b w:val="1"/>
                <w:bCs w:val="1"/>
                <w:color w:val="auto"/>
              </w:rPr>
              <w:t>Interest expense</w:t>
            </w:r>
          </w:p>
        </w:tc>
        <w:tc>
          <w:tcPr>
            <w:tcW w:w="100" w:type="dxa"/>
            <w:vAlign w:val="bottom"/>
          </w:tcPr>
          <w:p>
            <w:pPr>
              <w:spacing w:after="0"/>
              <w:rPr>
                <w:sz w:val="18"/>
                <w:szCs w:val="18"/>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23.3</w:t>
            </w:r>
          </w:p>
        </w:tc>
        <w:tc>
          <w:tcPr>
            <w:tcW w:w="18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gain recognized on derivatives</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vMerge w:val="restart"/>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19.9</w:t>
            </w:r>
          </w:p>
        </w:tc>
        <w:tc>
          <w:tcPr>
            <w:tcW w:w="1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 designated as hedging instruments</w:t>
            </w:r>
          </w:p>
        </w:tc>
        <w:tc>
          <w:tcPr>
            <w:tcW w:w="14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0" w:type="dxa"/>
            <w:vAlign w:val="bottom"/>
            <w:vMerge w:val="restart"/>
          </w:tcPr>
          <w:p>
            <w:pPr>
              <w:jc w:val="right"/>
              <w:ind w:right="445"/>
              <w:spacing w:after="0"/>
              <w:rPr>
                <w:sz w:val="20"/>
                <w:szCs w:val="20"/>
                <w:color w:val="auto"/>
              </w:rPr>
            </w:pPr>
            <w:r>
              <w:rPr>
                <w:rFonts w:ascii="Arial" w:cs="Arial" w:eastAsia="Arial" w:hAnsi="Arial"/>
                <w:sz w:val="18"/>
                <w:szCs w:val="18"/>
                <w:color w:val="auto"/>
              </w:rPr>
              <w:t>15</w:t>
            </w: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PRODUCT WARRANTY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Product warranty liability activities consisted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85"/>
              </w:rPr>
              <w:t>Three months ended 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86"/>
              </w:rPr>
              <w:t>Nine months ended September 30,</w:t>
            </w:r>
          </w:p>
        </w:tc>
      </w:tr>
      <w:tr>
        <w:trPr>
          <w:trHeight w:val="161"/>
        </w:trPr>
        <w:tc>
          <w:tcPr>
            <w:tcW w:w="5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(30.4)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Net adjustment to liability</w:t>
            </w:r>
          </w:p>
        </w:tc>
        <w:tc>
          <w:tcPr>
            <w:tcW w:w="12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r>
      <w:tr>
        <w:trPr>
          <w:trHeight w:val="223"/>
        </w:trPr>
        <w:tc>
          <w:tcPr>
            <w:tcW w:w="534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91.7</w:t>
            </w:r>
          </w:p>
        </w:tc>
        <w:tc>
          <w:tcPr>
            <w:tcW w:w="300" w:type="dxa"/>
            <w:vAlign w:val="bottom"/>
          </w:tcPr>
          <w:p>
            <w:pPr>
              <w:spacing w:after="0"/>
              <w:rPr>
                <w:sz w:val="19"/>
                <w:szCs w:val="19"/>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91.7</w:t>
            </w:r>
          </w:p>
        </w:tc>
        <w:tc>
          <w:tcPr>
            <w:tcW w:w="300" w:type="dxa"/>
            <w:vAlign w:val="bottom"/>
          </w:tcPr>
          <w:p>
            <w:pPr>
              <w:spacing w:after="0"/>
              <w:rPr>
                <w:sz w:val="19"/>
                <w:szCs w:val="19"/>
                <w:color w:val="auto"/>
              </w:rPr>
            </w:pPr>
          </w:p>
        </w:tc>
        <w:tc>
          <w:tcPr>
            <w:tcW w:w="44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106.5</w:t>
            </w:r>
          </w:p>
        </w:tc>
      </w:tr>
      <w:tr>
        <w:trPr>
          <w:trHeight w:val="20"/>
        </w:trPr>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September 30, 2013, the current and non-current liabilities were $38.6 million and $53.1 million, respectively. As of September 30, 2012, the current and non-current liabilities were $33.2 million and $73.3 million, respectively.</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During the third quarter of 2013, the Company completed an analysis of its Dual Power Inverter Module (“DPIM”) extended coverage program and determined, based on current claims, that the product warranty liability should be reduced by $8.2 million. This resulted in a $5.8 million reduction in the General Motors (“GM”) DPIM receivable and a $2.4 million favorable adjustment to the Condensed Consolidated Statements of Comprehensive Income. As of September 30, 2013 and 2012, the DPIM liability was $44.6 million and $52.8 million with an associated receivable from GM of $18.2 million and $31.6 million, respectively. Through September 30, 2013, the Company had paid approximately $23.1 million in DPIM claims and received approximately $7.6 million in reimbursement from GM. The Company will continue to review the total DPIM liability and GM receivable for any changes in estimates as data becomes available.</w:t>
      </w:r>
    </w:p>
    <w:p>
      <w:pPr>
        <w:spacing w:after="0" w:line="14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remaining $3.2 million in adjustments to the total liability were the result of general changes in estimates for various products as additional claims data and field information became available.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extended transmission coverage activity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87"/>
              </w:rPr>
              <w:t>Three months ended September 30,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49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Increases</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15.7</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6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(16.2)</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0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34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380" w:type="dxa"/>
            <w:vAlign w:val="bottom"/>
            <w:vMerge w:val="continue"/>
          </w:tcPr>
          <w:p>
            <w:pPr>
              <w:spacing w:after="0"/>
              <w:rPr>
                <w:sz w:val="19"/>
                <w:szCs w:val="19"/>
                <w:color w:val="auto"/>
              </w:rPr>
            </w:pPr>
          </w:p>
        </w:tc>
        <w:tc>
          <w:tcPr>
            <w:tcW w:w="52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September 30, 2013, the current and non-current liabilities were $21.3 million and $41.7 million, respectively. As of September 30, 2012, the current and non-current liabilities were $20.7 million and $43.1 million, respectively. The activity above excludes deferred revenue related to defense contracts, which was $0.3 million as of September 30, 2013.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 net consisted of the following (dollars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7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61"/>
        </w:trPr>
        <w:tc>
          <w:tcPr>
            <w:tcW w:w="49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Grant Program income</w:t>
            </w:r>
          </w:p>
        </w:tc>
        <w:tc>
          <w:tcPr>
            <w:tcW w:w="560" w:type="dxa"/>
            <w:vAlign w:val="bottom"/>
            <w:shd w:val="clear" w:color="auto" w:fill="CCEEFF"/>
          </w:tcPr>
          <w:p>
            <w:pPr>
              <w:jc w:val="right"/>
              <w:ind w:right="408"/>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rPr>
              <w:t>Impairment loss on investments in technology-related</w:t>
            </w:r>
          </w:p>
        </w:tc>
        <w:tc>
          <w:tcPr>
            <w:tcW w:w="560" w:type="dxa"/>
            <w:vAlign w:val="bottom"/>
          </w:tcPr>
          <w:p>
            <w:pPr>
              <w:spacing w:after="0"/>
              <w:rPr>
                <w:sz w:val="18"/>
                <w:szCs w:val="18"/>
                <w:color w:val="auto"/>
              </w:rPr>
            </w:pPr>
          </w:p>
        </w:tc>
        <w:tc>
          <w:tcPr>
            <w:tcW w:w="1000" w:type="dxa"/>
            <w:vAlign w:val="bottom"/>
            <w:gridSpan w:val="2"/>
            <w:vMerge w:val="restart"/>
          </w:tcPr>
          <w:p>
            <w:pPr>
              <w:jc w:val="right"/>
              <w:ind w:right="8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restart"/>
          </w:tcPr>
          <w:p>
            <w:pPr>
              <w:jc w:val="right"/>
              <w:ind w:right="640"/>
              <w:spacing w:after="0"/>
              <w:rPr>
                <w:sz w:val="20"/>
                <w:szCs w:val="20"/>
                <w:color w:val="auto"/>
              </w:rPr>
            </w:pPr>
            <w:r>
              <w:rPr>
                <w:rFonts w:ascii="Arial" w:cs="Arial" w:eastAsia="Arial" w:hAnsi="Arial"/>
                <w:sz w:val="18"/>
                <w:szCs w:val="18"/>
                <w:b w:val="1"/>
                <w:bCs w:val="1"/>
                <w:color w:val="auto"/>
              </w:rPr>
              <w:t>(2.5)</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initiatives</w:t>
            </w:r>
          </w:p>
        </w:tc>
        <w:tc>
          <w:tcPr>
            <w:tcW w:w="5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on intercompany foreign exchange</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(2.3)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(2.3)</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Realized loss on derivative contracts (see NOTE G)</w:t>
            </w:r>
          </w:p>
        </w:tc>
        <w:tc>
          <w:tcPr>
            <w:tcW w:w="5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6"/>
              </w:rPr>
              <w:t>(0.7)</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(2.3)</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Gain (loss) on foreign exchange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(1.8)</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Unrealized gain (loss) on derivative contracts (see NOTE G)</w:t>
            </w:r>
          </w:p>
        </w:tc>
        <w:tc>
          <w:tcPr>
            <w:tcW w:w="5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(1.1)</w:t>
            </w:r>
          </w:p>
        </w:tc>
        <w:tc>
          <w:tcPr>
            <w:tcW w:w="2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fees and expenses</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w w:val="86"/>
              </w:rPr>
              <w:t>(0.3)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Loss on repayments and redemptions of long-term debt</w:t>
            </w:r>
          </w:p>
        </w:tc>
        <w:tc>
          <w:tcPr>
            <w:tcW w:w="560" w:type="dxa"/>
            <w:vAlign w:val="bottom"/>
          </w:tcPr>
          <w:p>
            <w:pPr>
              <w:spacing w:after="0"/>
              <w:rPr>
                <w:sz w:val="18"/>
                <w:szCs w:val="18"/>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6"/>
              </w:rPr>
              <w:t>(0.5)</w:t>
            </w:r>
          </w:p>
        </w:tc>
        <w:tc>
          <w:tcPr>
            <w:tcW w:w="2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(0.5)</w:t>
            </w:r>
          </w:p>
        </w:tc>
        <w:tc>
          <w:tcPr>
            <w:tcW w:w="2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Termination of Sponsor services agreement</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8"/>
        </w:trPr>
        <w:tc>
          <w:tcPr>
            <w:tcW w:w="4980" w:type="dxa"/>
            <w:vAlign w:val="bottom"/>
          </w:tcPr>
          <w:p>
            <w:pPr>
              <w:spacing w:after="0"/>
              <w:rPr>
                <w:sz w:val="20"/>
                <w:szCs w:val="20"/>
                <w:color w:val="auto"/>
              </w:rPr>
            </w:pPr>
            <w:r>
              <w:rPr>
                <w:rFonts w:ascii="Arial" w:cs="Arial" w:eastAsia="Arial" w:hAnsi="Arial"/>
                <w:sz w:val="18"/>
                <w:szCs w:val="18"/>
                <w:color w:val="auto"/>
                <w:w w:val="98"/>
              </w:rPr>
              <w:t>Loss on re-measurement of employee benefit plans (see NOTE</w:t>
            </w:r>
          </w:p>
        </w:tc>
        <w:tc>
          <w:tcPr>
            <w:tcW w:w="560" w:type="dxa"/>
            <w:vAlign w:val="bottom"/>
          </w:tcPr>
          <w:p>
            <w:pPr>
              <w:spacing w:after="0"/>
              <w:rPr>
                <w:sz w:val="18"/>
                <w:szCs w:val="18"/>
                <w:color w:val="auto"/>
              </w:rPr>
            </w:pPr>
          </w:p>
        </w:tc>
        <w:tc>
          <w:tcPr>
            <w:tcW w:w="1000" w:type="dxa"/>
            <w:vAlign w:val="bottom"/>
            <w:gridSpan w:val="2"/>
            <w:vMerge w:val="restart"/>
          </w:tcPr>
          <w:p>
            <w:pPr>
              <w:jc w:val="right"/>
              <w:ind w:right="82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restart"/>
          </w:tcPr>
          <w:p>
            <w:pPr>
              <w:jc w:val="right"/>
              <w:ind w:right="7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tcPr>
          <w:p>
            <w:pPr>
              <w:ind w:left="220"/>
              <w:spacing w:after="0"/>
              <w:rPr>
                <w:sz w:val="20"/>
                <w:szCs w:val="20"/>
                <w:color w:val="auto"/>
              </w:rPr>
            </w:pPr>
            <w:r>
              <w:rPr>
                <w:rFonts w:ascii="Arial" w:cs="Arial" w:eastAsia="Arial" w:hAnsi="Arial"/>
                <w:sz w:val="18"/>
                <w:szCs w:val="18"/>
                <w:color w:val="auto"/>
              </w:rPr>
              <w:t>K)</w:t>
            </w:r>
          </w:p>
        </w:tc>
        <w:tc>
          <w:tcPr>
            <w:tcW w:w="56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w w:val="88"/>
              </w:rPr>
              <w:t>—</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0.1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86"/>
              </w:rPr>
              <w:t>(1.5)</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6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(7.2)</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During the third quarter of 2013, the Company completed a secondary offering of 23,805,000 shares of its common stock held by investment funds affiliated with The Carlyle Group and Onex Corporation (collectively, the “Sponsors”) to the underwriters in the public offering at the public offering price, less the underwriting discounts and commissions, or $21.175 per share. The Company received no proceeds from the sale. In connection with the offering, the Company repurchased from the underwriters 4,700,000 shares of the 23,805,000 shares at the price paid by the underwriters and subsequently retired those shares. For the three and nine months ended September 30, 2013, the Company incurred $0.3 million and $0.9 million, respectively, of expenses related to public offerings.</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first quarter of 2013, the Company made a $2.5 million investment as part of a co-development agreement signed in 2012 to expand our position in transmission technologies. Due to various uncertainties surrounding the investment including, but not limited to, the startup nature of the underlying business, its continued negative cash flow, undercapitalization and unproven business plan, the Company has impaired the investment to zero as of September 30, 2013. The related charge of $2.5 million was recorded in Other expense, net in the Condensed Consolidated Statements of Comprehensive Income for the nine months ended September 30, 2013.</w:t>
      </w:r>
    </w:p>
    <w:p>
      <w:pPr>
        <w:spacing w:after="0" w:line="143"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In 2009, the Company was notified by the U.S. Department of Energy that it was selected to receive matching funds from a grant program funded by the American Recovery and Reinvestment Act for the development of hybrid manufacturing capacity in the U.S. (the “Grant Program”). All applicable costs associated with the Grant Program have been charged to Engineering — research and development while the U.S. government’s matching reimbursement is recorded to Other expense, net in the Condensed Consolidated Statements of Comprehensive Income. Since inception of the Grant Program, the Company has recorded $44.9 million of Grant Program income to Other expense, net in the Condensed Consolidated Statements of Comprehensive Income.</w:t>
      </w:r>
    </w:p>
    <w:p>
      <w:pPr>
        <w:spacing w:after="0" w:line="11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For the three months ended September 30, 2013 and 2012, the Company recorded $0.2 million and $0.4 million, respectively, as a reduction of the basis of capital assets purchased under the Grant Program. For the nine months ended September 30, 2013 and 2012, the Company recorded $2.9 million and $2.6 million, respectively, as a reduction of the basis of capital assets purchased under the Grant Program. Under the Grant Program, the Company has acquired approximately $13.1 million of assets of which $7.1 million have been placed in service, resulting in related depreciation of $0.1 million and $0.2 million for the three months ended September 30, 2013 and 2012, respectively, and $0.2 million and $0.5 million for the nine months ended September 30, 2013 and 2012,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current liabilities consisted of the following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5"/>
              </w:rPr>
              <w:t>As of</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4"/>
          </w:tcPr>
          <w:p>
            <w:pPr>
              <w:ind w:left="3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Payroll and related costs</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Sales allowances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Other accruals</w:t>
            </w: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K. EMPLOYEE BENEFIT PLANS</w:t>
            </w: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4620" w:type="dxa"/>
            <w:vAlign w:val="bottom"/>
            <w:gridSpan w:val="3"/>
            <w:vMerge w:val="continue"/>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740" w:type="dxa"/>
            <w:vAlign w:val="bottom"/>
            <w:gridSpan w:val="5"/>
          </w:tcPr>
          <w:p>
            <w:pPr>
              <w:ind w:left="460"/>
              <w:spacing w:after="0"/>
              <w:rPr>
                <w:sz w:val="20"/>
                <w:szCs w:val="20"/>
                <w:color w:val="auto"/>
              </w:rPr>
            </w:pPr>
            <w:r>
              <w:rPr>
                <w:rFonts w:ascii="Arial" w:cs="Arial" w:eastAsia="Arial" w:hAnsi="Arial"/>
                <w:sz w:val="18"/>
                <w:szCs w:val="18"/>
                <w:color w:val="auto"/>
                <w:w w:val="91"/>
              </w:rPr>
              <w:t>Components of net periodic benefit cost consisted of the following (dollars in millions):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Pension Plans</w:t>
            </w:r>
          </w:p>
        </w:tc>
        <w:tc>
          <w:tcPr>
            <w:tcW w:w="216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86"/>
              </w:rPr>
              <w:t>Post-retirement Benefits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80" w:type="dxa"/>
            <w:vAlign w:val="bottom"/>
            <w:tcBorders>
              <w:top w:val="single" w:sz="8" w:color="auto"/>
            </w:tcBorders>
            <w:gridSpan w:val="8"/>
          </w:tcPr>
          <w:p>
            <w:pPr>
              <w:ind w:left="20"/>
              <w:spacing w:after="0" w:line="129" w:lineRule="exact"/>
              <w:rPr>
                <w:sz w:val="20"/>
                <w:szCs w:val="20"/>
                <w:color w:val="auto"/>
              </w:rPr>
            </w:pPr>
            <w:r>
              <w:rPr>
                <w:rFonts w:ascii="Arial" w:cs="Arial" w:eastAsia="Arial" w:hAnsi="Arial"/>
                <w:sz w:val="14"/>
                <w:szCs w:val="14"/>
                <w:b w:val="1"/>
                <w:bCs w:val="1"/>
                <w:color w:val="auto"/>
                <w:w w:val="85"/>
              </w:rPr>
              <w:t>Three months ended September 30,</w:t>
            </w:r>
          </w:p>
        </w:tc>
        <w:tc>
          <w:tcPr>
            <w:tcW w:w="180" w:type="dxa"/>
            <w:vAlign w:val="bottom"/>
          </w:tcPr>
          <w:p>
            <w:pPr>
              <w:spacing w:after="0"/>
              <w:rPr>
                <w:sz w:val="11"/>
                <w:szCs w:val="11"/>
                <w:color w:val="auto"/>
              </w:rPr>
            </w:pPr>
          </w:p>
        </w:tc>
        <w:tc>
          <w:tcPr>
            <w:tcW w:w="2060" w:type="dxa"/>
            <w:vAlign w:val="bottom"/>
            <w:tcBorders>
              <w:top w:val="single" w:sz="8" w:color="auto"/>
            </w:tcBorders>
            <w:gridSpan w:val="8"/>
          </w:tcPr>
          <w:p>
            <w:pPr>
              <w:ind w:left="20"/>
              <w:spacing w:after="0" w:line="129" w:lineRule="exact"/>
              <w:rPr>
                <w:sz w:val="20"/>
                <w:szCs w:val="20"/>
                <w:color w:val="auto"/>
              </w:rPr>
            </w:pPr>
            <w:r>
              <w:rPr>
                <w:rFonts w:ascii="Arial" w:cs="Arial" w:eastAsia="Arial" w:hAnsi="Arial"/>
                <w:sz w:val="14"/>
                <w:szCs w:val="14"/>
                <w:b w:val="1"/>
                <w:bCs w:val="1"/>
                <w:color w:val="auto"/>
                <w:w w:val="85"/>
              </w:rPr>
              <w:t>Three months ended 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76"/>
              </w:rPr>
              <w:t>2013</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120" w:type="dxa"/>
            <w:vAlign w:val="bottom"/>
            <w:gridSpan w:val="2"/>
          </w:tcPr>
          <w:p>
            <w:pPr>
              <w:ind w:left="19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0.8</w:t>
            </w: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60"/>
              <w:spacing w:after="0"/>
              <w:rPr>
                <w:sz w:val="20"/>
                <w:szCs w:val="20"/>
                <w:color w:val="auto"/>
              </w:rPr>
            </w:pPr>
            <w:r>
              <w:rPr>
                <w:rFonts w:ascii="Arial" w:cs="Arial" w:eastAsia="Arial" w:hAnsi="Arial"/>
                <w:sz w:val="18"/>
                <w:szCs w:val="18"/>
                <w:color w:val="auto"/>
                <w:w w:val="79"/>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6"/>
              </w:rPr>
              <w:t>(0.9)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Loss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gridSpan w:val="3"/>
          </w:tcPr>
          <w:p>
            <w:pPr>
              <w:ind w:left="460"/>
              <w:spacing w:after="0"/>
              <w:rPr>
                <w:sz w:val="20"/>
                <w:szCs w:val="20"/>
                <w:color w:val="auto"/>
              </w:rPr>
            </w:pPr>
            <w:r>
              <w:rPr>
                <w:rFonts w:ascii="Arial" w:cs="Arial" w:eastAsia="Arial" w:hAnsi="Arial"/>
                <w:sz w:val="18"/>
                <w:szCs w:val="18"/>
                <w:color w:val="auto"/>
              </w:rPr>
              <w:t>Net periodic benefit cost</w:t>
            </w:r>
          </w:p>
        </w:tc>
        <w:tc>
          <w:tcPr>
            <w:tcW w:w="19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3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60"/>
              <w:spacing w:after="0"/>
              <w:rPr>
                <w:sz w:val="20"/>
                <w:szCs w:val="20"/>
                <w:color w:val="auto"/>
              </w:rPr>
            </w:pPr>
            <w:r>
              <w:rPr>
                <w:rFonts w:ascii="Arial" w:cs="Arial" w:eastAsia="Arial" w:hAnsi="Arial"/>
                <w:sz w:val="18"/>
                <w:szCs w:val="18"/>
                <w:color w:val="auto"/>
                <w:w w:val="79"/>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2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8"/>
          </w:tcPr>
          <w:p>
            <w:pPr>
              <w:jc w:val="right"/>
              <w:ind w:right="820"/>
              <w:spacing w:after="0"/>
              <w:rPr>
                <w:sz w:val="20"/>
                <w:szCs w:val="20"/>
                <w:color w:val="auto"/>
              </w:rPr>
            </w:pPr>
            <w:r>
              <w:rPr>
                <w:rFonts w:ascii="Arial" w:cs="Arial" w:eastAsia="Arial" w:hAnsi="Arial"/>
                <w:sz w:val="14"/>
                <w:szCs w:val="14"/>
                <w:b w:val="1"/>
                <w:bCs w:val="1"/>
                <w:color w:val="auto"/>
              </w:rPr>
              <w:t>Pension Plans</w:t>
            </w:r>
          </w:p>
        </w:tc>
        <w:tc>
          <w:tcPr>
            <w:tcW w:w="2160" w:type="dxa"/>
            <w:vAlign w:val="bottom"/>
            <w:gridSpan w:val="9"/>
          </w:tcPr>
          <w:p>
            <w:pPr>
              <w:jc w:val="center"/>
              <w:ind w:right="80"/>
              <w:spacing w:after="0"/>
              <w:rPr>
                <w:sz w:val="20"/>
                <w:szCs w:val="20"/>
                <w:color w:val="auto"/>
              </w:rPr>
            </w:pPr>
            <w:r>
              <w:rPr>
                <w:rFonts w:ascii="Arial" w:cs="Arial" w:eastAsia="Arial" w:hAnsi="Arial"/>
                <w:sz w:val="14"/>
                <w:szCs w:val="14"/>
                <w:b w:val="1"/>
                <w:bCs w:val="1"/>
                <w:color w:val="auto"/>
                <w:w w:val="86"/>
              </w:rPr>
              <w:t>Post-retirement Benefits</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80" w:type="dxa"/>
            <w:vAlign w:val="bottom"/>
            <w:tcBorders>
              <w:top w:val="single" w:sz="8" w:color="auto"/>
            </w:tcBorders>
            <w:gridSpan w:val="8"/>
          </w:tcPr>
          <w:p>
            <w:pPr>
              <w:jc w:val="right"/>
              <w:ind w:right="60"/>
              <w:spacing w:after="0" w:line="129" w:lineRule="exact"/>
              <w:rPr>
                <w:sz w:val="20"/>
                <w:szCs w:val="20"/>
                <w:color w:val="auto"/>
              </w:rPr>
            </w:pPr>
            <w:r>
              <w:rPr>
                <w:rFonts w:ascii="Arial" w:cs="Arial" w:eastAsia="Arial" w:hAnsi="Arial"/>
                <w:sz w:val="14"/>
                <w:szCs w:val="14"/>
                <w:b w:val="1"/>
                <w:bCs w:val="1"/>
                <w:color w:val="auto"/>
                <w:w w:val="87"/>
              </w:rPr>
              <w:t>Nine months ended September 30,</w:t>
            </w:r>
          </w:p>
        </w:tc>
        <w:tc>
          <w:tcPr>
            <w:tcW w:w="180" w:type="dxa"/>
            <w:vAlign w:val="bottom"/>
          </w:tcPr>
          <w:p>
            <w:pPr>
              <w:spacing w:after="0"/>
              <w:rPr>
                <w:sz w:val="11"/>
                <w:szCs w:val="11"/>
                <w:color w:val="auto"/>
              </w:rPr>
            </w:pPr>
          </w:p>
        </w:tc>
        <w:tc>
          <w:tcPr>
            <w:tcW w:w="2060" w:type="dxa"/>
            <w:vAlign w:val="bottom"/>
            <w:tcBorders>
              <w:top w:val="single" w:sz="8" w:color="auto"/>
            </w:tcBorders>
            <w:gridSpan w:val="8"/>
          </w:tcPr>
          <w:p>
            <w:pPr>
              <w:jc w:val="center"/>
              <w:spacing w:after="0" w:line="129" w:lineRule="exact"/>
              <w:rPr>
                <w:sz w:val="20"/>
                <w:szCs w:val="20"/>
                <w:color w:val="auto"/>
              </w:rPr>
            </w:pPr>
            <w:r>
              <w:rPr>
                <w:rFonts w:ascii="Arial" w:cs="Arial" w:eastAsia="Arial" w:hAnsi="Arial"/>
                <w:sz w:val="14"/>
                <w:szCs w:val="14"/>
                <w:b w:val="1"/>
                <w:bCs w:val="1"/>
                <w:color w:val="auto"/>
                <w:w w:val="86"/>
              </w:rPr>
              <w:t>Nine months ended 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3240" w:type="dxa"/>
            <w:vAlign w:val="bottom"/>
            <w:tcBorders>
              <w:bottom w:val="single" w:sz="8" w:color="CCEEFF"/>
            </w:tcBorders>
          </w:tcPr>
          <w:p>
            <w:pPr>
              <w:spacing w:after="0"/>
              <w:rPr>
                <w:sz w:val="14"/>
                <w:szCs w:val="14"/>
                <w:color w:val="auto"/>
              </w:rPr>
            </w:pPr>
          </w:p>
        </w:tc>
        <w:tc>
          <w:tcPr>
            <w:tcW w:w="19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w w:val="76"/>
              </w:rPr>
              <w:t>2013</w:t>
            </w: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1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1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2120" w:type="dxa"/>
            <w:vAlign w:val="bottom"/>
            <w:gridSpan w:val="2"/>
          </w:tcPr>
          <w:p>
            <w:pPr>
              <w:ind w:left="192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6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w:t>
            </w: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60"/>
              <w:spacing w:after="0"/>
              <w:rPr>
                <w:sz w:val="20"/>
                <w:szCs w:val="20"/>
                <w:color w:val="auto"/>
              </w:rPr>
            </w:pPr>
            <w:r>
              <w:rPr>
                <w:rFonts w:ascii="Arial" w:cs="Arial" w:eastAsia="Arial" w:hAnsi="Arial"/>
                <w:sz w:val="18"/>
                <w:szCs w:val="18"/>
                <w:color w:val="auto"/>
                <w:w w:val="79"/>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1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6"/>
              </w:rPr>
              <w:t>(2.7)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Loss</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ind w:left="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 loss</w:t>
            </w:r>
          </w:p>
        </w:tc>
        <w:tc>
          <w:tcPr>
            <w:tcW w:w="19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20" w:type="dxa"/>
            <w:vAlign w:val="bottom"/>
            <w:gridSpan w:val="3"/>
          </w:tcPr>
          <w:p>
            <w:pPr>
              <w:ind w:left="460"/>
              <w:spacing w:after="0"/>
              <w:rPr>
                <w:sz w:val="20"/>
                <w:szCs w:val="20"/>
                <w:color w:val="auto"/>
              </w:rPr>
            </w:pPr>
            <w:r>
              <w:rPr>
                <w:rFonts w:ascii="Arial" w:cs="Arial" w:eastAsia="Arial" w:hAnsi="Arial"/>
                <w:sz w:val="18"/>
                <w:szCs w:val="18"/>
                <w:color w:val="auto"/>
              </w:rPr>
              <w:t>Net periodic benefit cost</w:t>
            </w:r>
          </w:p>
        </w:tc>
        <w:tc>
          <w:tcPr>
            <w:tcW w:w="19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300" w:type="dxa"/>
            <w:vAlign w:val="bottom"/>
          </w:tcPr>
          <w:p>
            <w:pPr>
              <w:spacing w:after="0"/>
              <w:rPr>
                <w:sz w:val="19"/>
                <w:szCs w:val="19"/>
                <w:color w:val="auto"/>
              </w:rPr>
            </w:pPr>
          </w:p>
        </w:tc>
        <w:tc>
          <w:tcPr>
            <w:tcW w:w="220" w:type="dxa"/>
            <w:vAlign w:val="bottom"/>
            <w:gridSpan w:val="3"/>
          </w:tcPr>
          <w:p>
            <w:pPr>
              <w:jc w:val="right"/>
              <w:ind w:right="120"/>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60"/>
              <w:spacing w:after="0"/>
              <w:rPr>
                <w:sz w:val="20"/>
                <w:szCs w:val="20"/>
                <w:color w:val="auto"/>
              </w:rPr>
            </w:pPr>
            <w:r>
              <w:rPr>
                <w:rFonts w:ascii="Arial" w:cs="Arial" w:eastAsia="Arial" w:hAnsi="Arial"/>
                <w:sz w:val="18"/>
                <w:szCs w:val="18"/>
                <w:color w:val="auto"/>
                <w:w w:val="79"/>
              </w:rPr>
              <w:t>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20" w:type="dxa"/>
            <w:vAlign w:val="bottom"/>
            <w:vMerge w:val="restart"/>
          </w:tcPr>
          <w:p>
            <w:pPr>
              <w:jc w:val="right"/>
              <w:ind w:right="652"/>
              <w:spacing w:after="0"/>
              <w:rPr>
                <w:sz w:val="20"/>
                <w:szCs w:val="20"/>
                <w:color w:val="auto"/>
              </w:rPr>
            </w:pPr>
            <w:r>
              <w:rPr>
                <w:rFonts w:ascii="Arial" w:cs="Arial" w:eastAsia="Arial" w:hAnsi="Arial"/>
                <w:sz w:val="18"/>
                <w:szCs w:val="18"/>
                <w:color w:val="auto"/>
              </w:rPr>
              <w:t>18</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effective tax rate for the three and nine months ended September 30, 2013 was (38.5%) and (38.3%), respectively. For the three and nine months ended September 30, 2013, the Company recorded total tax expense of ($27.9) million and ($76.1) million, respectively. The effective tax rate for the three and nine months ended September 30, 2012 was (34.6%) and 157.8%, respectively. For the three and nine months ended September 30, 2012, the Company recorded a total tax (expense) benefit of ($17.0) million and $307.9 million, respectively. The change in the effective tax rates from 2012 to 2013 was principally driven by the release of the domestic valuation allowance on the Company’s deferred tax assets in the second quarter of 2012 resulting in an income tax benefit of $384.8 million.</w:t>
      </w:r>
    </w:p>
    <w:p>
      <w:pPr>
        <w:spacing w:after="0" w:line="14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In assessing the realizability of deferred tax assets, management considers whether it is more likely than not that all or some portion of the deferred tax assets will not be realized. This assessment considers, among other matters, the nature, frequency and severity of recent losses, forecasts of future profitability, the duration of statutory carryforward periods, experience with tax attributes expiring unused, and tax planning alternatives.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w:t>
      </w:r>
    </w:p>
    <w:p>
      <w:pPr>
        <w:spacing w:after="0" w:line="118"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Management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September 2013, the U.S. Department of the Treasury and the Internal Revenue Service issued final and proposed regulations which provide guidance with respect to capitalization treatment of tangible personal property. The Company has reviewed the changes and anticipates no material impact to the Company’s consolidated financial statements.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accordance with the FASB’s authoritative guidance on accounting for uncertainty in income taxes, the Company had no liability for unrecognized tax benefits as of September 30, 2013 and December 31, 2012. The accounting guidance prescribes a recognition threshold and measurement attributes for the financial statement recognition and measurement of a tax position taken or expected to be taken in a tax return. For the year ended December 31, 2012, the return will remain subject to examination by the various taxing authorities for the duration of the applicable statute of limitations (generally three years from the later of the date of filing or the due date of the return).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changes in Accumulated other comprehensive loss (“AOCL”) by component (net of tax, dollars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Nine months ended September 30, 2013</w:t>
            </w: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w w:val="93"/>
              </w:rPr>
              <w:t>Defined</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Available-for-</w:t>
            </w:r>
          </w:p>
        </w:tc>
        <w:tc>
          <w:tcPr>
            <w:tcW w:w="140" w:type="dxa"/>
            <w:vAlign w:val="bottom"/>
          </w:tcPr>
          <w:p>
            <w:pPr>
              <w:spacing w:after="0"/>
              <w:rPr>
                <w:sz w:val="12"/>
                <w:szCs w:val="12"/>
                <w:color w:val="auto"/>
              </w:rPr>
            </w:pPr>
          </w:p>
        </w:tc>
        <w:tc>
          <w:tcPr>
            <w:tcW w:w="104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5"/>
              </w:rPr>
              <w:t>benefit</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3"/>
              </w:rPr>
              <w:t>Foreign</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sale securities</w:t>
            </w: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pension items</w:t>
            </w:r>
          </w:p>
        </w:tc>
        <w:tc>
          <w:tcPr>
            <w:tcW w:w="32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currency items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Beginning balance of AOCL</w:t>
            </w:r>
          </w:p>
        </w:tc>
        <w:tc>
          <w:tcPr>
            <w:tcW w:w="5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7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(36.9)</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Other comprehensive loss before reclassifications</w:t>
            </w: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(0.1)</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reclassified from AOCL</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loss</w:t>
            </w:r>
          </w:p>
        </w:tc>
        <w:tc>
          <w:tcPr>
            <w:tcW w:w="5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w:t>
            </w:r>
          </w:p>
        </w:tc>
        <w:tc>
          <w:tcPr>
            <w:tcW w:w="7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AOCL</w:t>
            </w:r>
          </w:p>
        </w:tc>
        <w:tc>
          <w:tcPr>
            <w:tcW w:w="84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(38.2)</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(14.4)</w:t>
            </w:r>
          </w:p>
        </w:tc>
        <w:tc>
          <w:tcPr>
            <w:tcW w:w="50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(50.5)</w:t>
            </w: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table shows the location in the Condensed Consolidated Statements of Comprehensive Income affected by reclassifications from AOCL (dollars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85"/>
              </w:rPr>
              <w:t>Three months ended September 30, 2013</w:t>
            </w: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202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Affected line item in the condensed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reclassified from</w:t>
            </w: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consolidated statements of</w:t>
            </w:r>
          </w:p>
        </w:tc>
        <w:tc>
          <w:tcPr>
            <w:tcW w:w="0" w:type="dxa"/>
            <w:vAlign w:val="bottom"/>
          </w:tcPr>
          <w:p>
            <w:pPr>
              <w:spacing w:after="0"/>
              <w:rPr>
                <w:sz w:val="1"/>
                <w:szCs w:val="1"/>
                <w:color w:val="auto"/>
              </w:rPr>
            </w:pPr>
          </w:p>
        </w:tc>
      </w:tr>
      <w:tr>
        <w:trPr>
          <w:trHeight w:val="161"/>
        </w:trPr>
        <w:tc>
          <w:tcPr>
            <w:tcW w:w="6320" w:type="dxa"/>
            <w:vAlign w:val="bottom"/>
          </w:tcPr>
          <w:p>
            <w:pPr>
              <w:ind w:left="2500"/>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AOCL</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0.7</w:t>
            </w:r>
          </w:p>
        </w:tc>
        <w:tc>
          <w:tcPr>
            <w:tcW w:w="16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632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18"/>
                <w:szCs w:val="18"/>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(0.1)</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(0.1)</w:t>
            </w: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Engineering – research and</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88"/>
              </w:rPr>
              <w:t>Income before income taxes</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(0.2)</w:t>
            </w: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0.5</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ind w:right="92"/>
              <w:spacing w:after="0"/>
              <w:rPr>
                <w:sz w:val="20"/>
                <w:szCs w:val="20"/>
                <w:color w:val="auto"/>
              </w:rPr>
            </w:pPr>
            <w:r>
              <w:rPr>
                <w:rFonts w:ascii="Arial" w:cs="Arial" w:eastAsia="Arial" w:hAnsi="Arial"/>
                <w:sz w:val="14"/>
                <w:szCs w:val="14"/>
                <w:b w:val="1"/>
                <w:bCs w:val="1"/>
                <w:color w:val="auto"/>
                <w:w w:val="85"/>
              </w:rPr>
              <w:t>Nine months ended September 30, 2013</w:t>
            </w:r>
          </w:p>
        </w:tc>
        <w:tc>
          <w:tcPr>
            <w:tcW w:w="0" w:type="dxa"/>
            <w:vAlign w:val="bottom"/>
          </w:tcPr>
          <w:p>
            <w:pPr>
              <w:spacing w:after="0"/>
              <w:rPr>
                <w:sz w:val="1"/>
                <w:szCs w:val="1"/>
                <w:color w:val="auto"/>
              </w:rPr>
            </w:pPr>
          </w:p>
        </w:tc>
      </w:tr>
      <w:tr>
        <w:trPr>
          <w:trHeight w:val="129"/>
        </w:trPr>
        <w:tc>
          <w:tcPr>
            <w:tcW w:w="6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3"/>
          </w:tcPr>
          <w:p>
            <w:pPr>
              <w:jc w:val="center"/>
              <w:ind w:right="340"/>
              <w:spacing w:after="0" w:line="129" w:lineRule="exact"/>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1"/>
                <w:szCs w:val="11"/>
                <w:color w:val="auto"/>
              </w:rPr>
            </w:pPr>
          </w:p>
        </w:tc>
        <w:tc>
          <w:tcPr>
            <w:tcW w:w="2020" w:type="dxa"/>
            <w:vAlign w:val="bottom"/>
          </w:tcPr>
          <w:p>
            <w:pPr>
              <w:spacing w:after="0" w:line="129" w:lineRule="exact"/>
              <w:rPr>
                <w:sz w:val="20"/>
                <w:szCs w:val="20"/>
                <w:color w:val="auto"/>
              </w:rPr>
            </w:pPr>
            <w:r>
              <w:rPr>
                <w:rFonts w:ascii="Arial" w:cs="Arial" w:eastAsia="Arial" w:hAnsi="Arial"/>
                <w:sz w:val="14"/>
                <w:szCs w:val="14"/>
                <w:b w:val="1"/>
                <w:bCs w:val="1"/>
                <w:color w:val="auto"/>
                <w:w w:val="84"/>
              </w:rPr>
              <w:t>Affected line item in the condensed</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9"/>
              </w:rPr>
              <w:t>reclassified from</w:t>
            </w:r>
          </w:p>
        </w:tc>
        <w:tc>
          <w:tcPr>
            <w:tcW w:w="100" w:type="dxa"/>
            <w:vAlign w:val="bottom"/>
          </w:tcPr>
          <w:p>
            <w:pPr>
              <w:spacing w:after="0"/>
              <w:rPr>
                <w:sz w:val="12"/>
                <w:szCs w:val="12"/>
                <w:color w:val="auto"/>
              </w:rPr>
            </w:pPr>
          </w:p>
        </w:tc>
        <w:tc>
          <w:tcPr>
            <w:tcW w:w="2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consolidated statements of</w:t>
            </w:r>
          </w:p>
        </w:tc>
        <w:tc>
          <w:tcPr>
            <w:tcW w:w="0" w:type="dxa"/>
            <w:vAlign w:val="bottom"/>
          </w:tcPr>
          <w:p>
            <w:pPr>
              <w:spacing w:after="0"/>
              <w:rPr>
                <w:sz w:val="1"/>
                <w:szCs w:val="1"/>
                <w:color w:val="auto"/>
              </w:rPr>
            </w:pPr>
          </w:p>
        </w:tc>
      </w:tr>
      <w:tr>
        <w:trPr>
          <w:trHeight w:val="161"/>
        </w:trPr>
        <w:tc>
          <w:tcPr>
            <w:tcW w:w="6320" w:type="dxa"/>
            <w:vAlign w:val="bottom"/>
          </w:tcPr>
          <w:p>
            <w:pPr>
              <w:ind w:left="2500"/>
              <w:spacing w:after="0"/>
              <w:rPr>
                <w:sz w:val="20"/>
                <w:szCs w:val="20"/>
                <w:color w:val="auto"/>
              </w:rPr>
            </w:pPr>
            <w:r>
              <w:rPr>
                <w:rFonts w:ascii="Arial" w:cs="Arial" w:eastAsia="Arial" w:hAnsi="Arial"/>
                <w:sz w:val="14"/>
                <w:szCs w:val="14"/>
                <w:b w:val="1"/>
                <w:bCs w:val="1"/>
                <w:color w:val="auto"/>
              </w:rPr>
              <w:t>AOCL Components</w:t>
            </w:r>
          </w:p>
        </w:tc>
        <w:tc>
          <w:tcPr>
            <w:tcW w:w="160" w:type="dxa"/>
            <w:vAlign w:val="bottom"/>
          </w:tcPr>
          <w:p>
            <w:pPr>
              <w:spacing w:after="0"/>
              <w:rPr>
                <w:sz w:val="14"/>
                <w:szCs w:val="14"/>
                <w:color w:val="auto"/>
              </w:rPr>
            </w:pPr>
          </w:p>
        </w:tc>
        <w:tc>
          <w:tcPr>
            <w:tcW w:w="9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AOCL</w:t>
            </w:r>
          </w:p>
        </w:tc>
        <w:tc>
          <w:tcPr>
            <w:tcW w:w="10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w w:val="83"/>
              </w:rPr>
              <w:t>comprehensive income</w:t>
            </w:r>
          </w:p>
        </w:tc>
        <w:tc>
          <w:tcPr>
            <w:tcW w:w="0" w:type="dxa"/>
            <w:vAlign w:val="bottom"/>
          </w:tcPr>
          <w:p>
            <w:pPr>
              <w:spacing w:after="0"/>
              <w:rPr>
                <w:sz w:val="1"/>
                <w:szCs w:val="1"/>
                <w:color w:val="auto"/>
              </w:rPr>
            </w:pPr>
          </w:p>
        </w:tc>
      </w:tr>
      <w:tr>
        <w:trPr>
          <w:trHeight w:val="196"/>
        </w:trPr>
        <w:tc>
          <w:tcPr>
            <w:tcW w:w="6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Prior service cost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2.1</w:t>
            </w:r>
          </w:p>
        </w:tc>
        <w:tc>
          <w:tcPr>
            <w:tcW w:w="160" w:type="dxa"/>
            <w:vAlign w:val="bottom"/>
          </w:tcPr>
          <w:p>
            <w:pPr>
              <w:spacing w:after="0"/>
              <w:rPr>
                <w:sz w:val="18"/>
                <w:szCs w:val="18"/>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8"/>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0.6</w:t>
            </w:r>
          </w:p>
        </w:tc>
        <w:tc>
          <w:tcPr>
            <w:tcW w:w="160" w:type="dxa"/>
            <w:vAlign w:val="bottom"/>
            <w:shd w:val="clear" w:color="auto" w:fill="CCEEFF"/>
          </w:tcPr>
          <w:p>
            <w:pPr>
              <w:spacing w:after="0"/>
              <w:rPr>
                <w:sz w:val="18"/>
                <w:szCs w:val="18"/>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8"/>
        </w:trPr>
        <w:tc>
          <w:tcPr>
            <w:tcW w:w="6320" w:type="dxa"/>
            <w:vAlign w:val="bottom"/>
          </w:tcPr>
          <w:p>
            <w:pPr>
              <w:ind w:left="440"/>
              <w:spacing w:after="0"/>
              <w:rPr>
                <w:sz w:val="20"/>
                <w:szCs w:val="20"/>
                <w:color w:val="auto"/>
              </w:rPr>
            </w:pPr>
            <w:r>
              <w:rPr>
                <w:rFonts w:ascii="Arial" w:cs="Arial" w:eastAsia="Arial" w:hAnsi="Arial"/>
                <w:sz w:val="18"/>
                <w:szCs w:val="18"/>
                <w:color w:val="auto"/>
              </w:rPr>
              <w:t>Actuarial loss</w:t>
            </w:r>
          </w:p>
        </w:tc>
        <w:tc>
          <w:tcPr>
            <w:tcW w:w="160" w:type="dxa"/>
            <w:vAlign w:val="bottom"/>
          </w:tcPr>
          <w:p>
            <w:pPr>
              <w:spacing w:after="0"/>
              <w:rPr>
                <w:sz w:val="18"/>
                <w:szCs w:val="18"/>
                <w:color w:val="auto"/>
              </w:rPr>
            </w:pP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vMerge w:val="continue"/>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(0.3)</w:t>
            </w: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0"/>
              </w:rPr>
              <w:t>Engineering – research and</w:t>
            </w:r>
          </w:p>
        </w:tc>
        <w:tc>
          <w:tcPr>
            <w:tcW w:w="0" w:type="dxa"/>
            <w:vAlign w:val="bottom"/>
          </w:tcPr>
          <w:p>
            <w:pPr>
              <w:spacing w:after="0"/>
              <w:rPr>
                <w:sz w:val="1"/>
                <w:szCs w:val="1"/>
                <w:color w:val="auto"/>
              </w:rPr>
            </w:pPr>
          </w:p>
        </w:tc>
      </w:tr>
      <w:tr>
        <w:trPr>
          <w:trHeight w:val="224"/>
        </w:trPr>
        <w:tc>
          <w:tcPr>
            <w:tcW w:w="6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w w:val="88"/>
              </w:rPr>
              <w:t>Income before income taxes</w:t>
            </w:r>
          </w:p>
        </w:tc>
        <w:tc>
          <w:tcPr>
            <w:tcW w:w="0" w:type="dxa"/>
            <w:vAlign w:val="bottom"/>
          </w:tcPr>
          <w:p>
            <w:pPr>
              <w:spacing w:after="0"/>
              <w:rPr>
                <w:sz w:val="1"/>
                <w:szCs w:val="1"/>
                <w:color w:val="auto"/>
              </w:rPr>
            </w:pPr>
          </w:p>
        </w:tc>
      </w:tr>
      <w:tr>
        <w:trPr>
          <w:trHeight w:val="217"/>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(0.8)</w:t>
            </w:r>
          </w:p>
        </w:tc>
        <w:tc>
          <w:tcPr>
            <w:tcW w:w="21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120" w:type="dxa"/>
            <w:vAlign w:val="bottom"/>
            <w:gridSpan w:val="2"/>
          </w:tcPr>
          <w:p>
            <w:pPr>
              <w:ind w:left="1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left="700"/>
        <w:spacing w:after="0" w:line="440" w:lineRule="auto"/>
        <w:rPr>
          <w:sz w:val="20"/>
          <w:szCs w:val="20"/>
          <w:color w:val="auto"/>
        </w:rPr>
      </w:pPr>
      <w:r>
        <w:rPr>
          <w:rFonts w:ascii="Arial" w:cs="Arial" w:eastAsia="Arial" w:hAnsi="Arial"/>
          <w:sz w:val="18"/>
          <w:szCs w:val="18"/>
          <w:color w:val="auto"/>
        </w:rPr>
        <w:t>Prior service cost and actuarial loss were included in the computation of the Company’s net periodic benefit cost. Please see NOTE K for additional details. 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is party to various legal actions, administrative proceedings and claims arising in the ordinary course of business. These proceedings principally involve commercial claims, product liability claims, personal injury claims and workers’ compensation claims. The Company believes that the ultimate liability, if any, in excess of amounts already provided for in the financial statements or covered by insurance on the disposition of these matters will not have a material adverse effect on the financial position, results of operations or cash flows of the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CERTAIN RELATIONSHIPS AND RELATED PARTY TRANSACTIONS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of September 30, 2013, investment funds affiliated with the Sponsors owned a total of approximately 69.6% of the Company’s equity. Pursuant to an amended and restated stockholders agreement, a majority of the Board of Directors has been designated by the Sponsors and is affiliated with the Sponsors. As a result, the Sponsors or their nominees to the Board of Directors have the ability to control the appointment of management, the entering into of mergers, sales of substantially all of the Company’s assets and other extraordinary transactions and influence amendments to the Company’s certificate of incorporation. So long as the Sponsors continue to own a majority of the Company’s equity, they will have the ability to control the vote in any election of directors and will have the ability to prevent any transaction that requires stockholder approval regardless of whether others believe the transaction is in the Company’s best interests. The interests of the Sponsors could conflict with those of the Company’s other stockholders. In addition, the Sponsors may in the future own businesses that directly compete with the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7.125% Senior Notes held by Executive Officers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As of September 30,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During the third quarter of 2013, the Company completed a secondary offering of 23,805,000 shares of its common stock held by investment funds affiliated with the Sponsors to the underwriters in the public offering at the public offering price, less the underwriting discounts and commissions, or $21.175 per share. The Company received no proceeds from the sale. In connection with the offering, the Company repurchased from the underwriters 4,700,000 shares of the 23,805,000 shares at the price paid by the underwriters and subsequently retired those shares.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EARNINGS PER SHARE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presents both basic and diluted earnings per share (“EPS”) amounts. Basic EPS was calculated by dividing net income by the weighted average number of common shares outstanding during the reporting period. Diluted EPS was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numerators and denominators used to calculate basic EPS and diluted EPS (in millions, except per share data):</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61"/>
        </w:trPr>
        <w:tc>
          <w:tcPr>
            <w:tcW w:w="5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2013</w:t>
            </w:r>
          </w:p>
        </w:tc>
        <w:tc>
          <w:tcPr>
            <w:tcW w:w="6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184.4</w:t>
            </w: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181.9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185.0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80" w:type="dxa"/>
            <w:vAlign w:val="bottom"/>
          </w:tcPr>
          <w:p>
            <w:pPr>
              <w:ind w:left="440"/>
              <w:spacing w:after="0"/>
              <w:rPr>
                <w:sz w:val="20"/>
                <w:szCs w:val="20"/>
                <w:color w:val="auto"/>
              </w:rPr>
            </w:pPr>
            <w:r>
              <w:rPr>
                <w:rFonts w:ascii="Arial" w:cs="Arial" w:eastAsia="Arial" w:hAnsi="Arial"/>
                <w:sz w:val="18"/>
                <w:szCs w:val="18"/>
                <w:color w:val="auto"/>
              </w:rPr>
              <w:t>Diluted weighted average shares of common stock</w:t>
            </w:r>
          </w:p>
        </w:tc>
        <w:tc>
          <w:tcPr>
            <w:tcW w:w="140" w:type="dxa"/>
            <w:vAlign w:val="bottom"/>
          </w:tcPr>
          <w:p>
            <w:pPr>
              <w:spacing w:after="0"/>
              <w:rPr>
                <w:sz w:val="18"/>
                <w:szCs w:val="18"/>
                <w:color w:val="auto"/>
              </w:rPr>
            </w:pP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188.0</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188.6</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6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185.5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0.24</w:t>
            </w:r>
          </w:p>
        </w:tc>
        <w:tc>
          <w:tcPr>
            <w:tcW w:w="7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0.66</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ind w:left="440"/>
              <w:spacing w:after="0"/>
              <w:rPr>
                <w:sz w:val="20"/>
                <w:szCs w:val="20"/>
                <w:color w:val="auto"/>
              </w:rPr>
            </w:pPr>
            <w:r>
              <w:rPr>
                <w:rFonts w:ascii="Arial" w:cs="Arial" w:eastAsia="Arial" w:hAnsi="Arial"/>
                <w:sz w:val="18"/>
                <w:szCs w:val="18"/>
                <w:color w:val="auto"/>
              </w:rPr>
              <w:t>Diluted earnings per share attributable to common</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180" w:type="dxa"/>
            <w:vAlign w:val="bottom"/>
            <w:vMerge w:val="continue"/>
          </w:tcPr>
          <w:p>
            <w:pPr>
              <w:spacing w:after="0"/>
              <w:rPr>
                <w:sz w:val="17"/>
                <w:szCs w:val="17"/>
                <w:color w:val="auto"/>
              </w:rPr>
            </w:pP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0.24</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vMerge w:val="restart"/>
          </w:tcPr>
          <w:p>
            <w:pPr>
              <w:jc w:val="right"/>
              <w:ind w:right="600"/>
              <w:spacing w:after="0"/>
              <w:rPr>
                <w:sz w:val="20"/>
                <w:szCs w:val="20"/>
                <w:color w:val="auto"/>
              </w:rPr>
            </w:pPr>
            <w:r>
              <w:rPr>
                <w:rFonts w:ascii="Arial" w:cs="Arial" w:eastAsia="Arial" w:hAnsi="Arial"/>
                <w:sz w:val="18"/>
                <w:szCs w:val="18"/>
                <w:b w:val="1"/>
                <w:bCs w:val="1"/>
                <w:color w:val="auto"/>
              </w:rPr>
              <w:t>0.65</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660"/>
              <w:spacing w:after="0"/>
              <w:rPr>
                <w:sz w:val="20"/>
                <w:szCs w:val="20"/>
                <w:color w:val="auto"/>
              </w:rPr>
            </w:pPr>
            <w:r>
              <w:rPr>
                <w:rFonts w:ascii="Arial" w:cs="Arial" w:eastAsia="Arial" w:hAnsi="Arial"/>
                <w:sz w:val="18"/>
                <w:szCs w:val="18"/>
                <w:color w:val="auto"/>
              </w:rPr>
              <w:t>stockholders</w:t>
            </w:r>
          </w:p>
        </w:tc>
        <w:tc>
          <w:tcPr>
            <w:tcW w:w="140" w:type="dxa"/>
            <w:vAlign w:val="bottom"/>
            <w:vMerge w:val="continue"/>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7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0.17</w:t>
            </w:r>
          </w:p>
        </w:tc>
        <w:tc>
          <w:tcPr>
            <w:tcW w:w="380" w:type="dxa"/>
            <w:vAlign w:val="bottom"/>
            <w:gridSpan w:val="2"/>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SUBSEQUENT EVENTS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October 2013, the Company entered into three new interest rate swaps to hedge its variable interest rate exposure on the Senior Secured Credit Facility. The first has a notional amount of $75.0 million and is effective from August 2016 to August 2019 at an all-in fixed rate of 3.08% and a LIBOR floor of 1.00% with no independent collateral requirement. The second has a notional amount of $50.0 million and is effective from August 2016 to August 2019 at an all-in fixed rate of 2.99% and a LIBOR floor of 1.00% with no independent collateral requirement. The third has a notional amount of $50.0 million and is effective from August 2016 to August 2019 at an all-in fixed rate of 2.98% and a LIBOR floor of 1.00% with no independent collateral requirement.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40"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Allison Transmission Holdings, Inc. and its subsidiaries (“our,” “us” or “we”) design and manufacture fully-automatic transmissions for medium- and heavy-duty commercial vehicles, medium- and heavy-tactical U.S. defense vehicles and hybrid-propulsion systems for transit buses. We generate our net sales principally from the sale of transmissions, transmission parts, support equipment, defense kits, engineering services and extended transmission warranty coverage to a wide array of original equipment manufacturers (“OEMs”), distributors and the U.S. government. Although approximately 78% of our net sales were generated in North America in 2012, we have a global presence, serving customers in Europe, Asia, South America and Africa. We have 12 different transmission product lines and serve customers through an established network of approximately 1,400 authorized independent distributors and dealers worldwide. Since the introduction of our first fully-automatic transmission over 60 years ago, our products have gained acceptance in a wide variety of applications, including on-highway trucks (distribution, refuse, construction, fire and emergency), buses (principally school, transit and hybrid-transit), motorhomes, off-highway vehicles and equipment (principally energy, mining and construction) and defense vehicles (wheeled and tracked).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In October 2013, we entered into three new interest rate swaps to hedge our variable interest rate exposure on the Senior Secured Credit Facility. The first has a notional amount of $75.0 million and is effective from August 2016 to August 2019 at an all-in fixed rate of 3.08% and a London Interbank Offered Rate (“LIBOR”) floor of 1.00% with no independent collateral requirement. The second has a notional amount of $50.0 million and is effective from August 2016 to August 2019 at an all-in fixed rate of 2.99% and a LIBOR floor of 1.00% with no independent collateral requirement. The third has a notional amount of $50.0 million and is effective from August 2016 to August 2019 at an all-in fixed rate of 2.98% and a LIBOR floor of 1.00% with no independent collateral requirement.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According to America’s Commercial Transportation Research, commercial truck and bus production volumes in our North American on-highway markets are projected to grow, but to remain below the 1998-2008 average production levels through 2015. In the fourth quarter of 2013, we expect net sales to stabilize on a year-over-year basis, an improvement relative to the sales declines experienced through the first three quarters of the year. We continue to anticipate improving trends in the fourth quarter of 2013 which we expect to be driven by growth in global On-Highway and Service Parts, Support Equipment &amp; Other end markets, and abating year-over-year declines in the North America Off-Highway and North America Hybrid-Propulsion Systems for Transit Bus end markets.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Third Quarter Net Sales by End Market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8"/>
              </w:rPr>
              <w:t>End Market</w:t>
            </w:r>
          </w:p>
        </w:tc>
        <w:tc>
          <w:tcPr>
            <w:tcW w:w="5380" w:type="dxa"/>
            <w:vAlign w:val="bottom"/>
            <w:vMerge w:val="restart"/>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Q3 2013</w:t>
            </w:r>
          </w:p>
        </w:tc>
        <w:tc>
          <w:tcPr>
            <w:tcW w:w="7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Q3 2012</w:t>
            </w: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60" w:type="dxa"/>
            <w:vAlign w:val="bottom"/>
            <w:tcBorders>
              <w:bottom w:val="single" w:sz="8" w:color="auto"/>
            </w:tcBorders>
            <w:vMerge w:val="continue"/>
          </w:tcPr>
          <w:p>
            <w:pPr>
              <w:spacing w:after="0"/>
              <w:rPr>
                <w:sz w:val="12"/>
                <w:szCs w:val="12"/>
                <w:color w:val="auto"/>
              </w:rPr>
            </w:pPr>
          </w:p>
        </w:tc>
        <w:tc>
          <w:tcPr>
            <w:tcW w:w="5380" w:type="dxa"/>
            <w:vAlign w:val="bottom"/>
            <w:vMerge w:val="continue"/>
          </w:tcPr>
          <w:p>
            <w:pPr>
              <w:spacing w:after="0"/>
              <w:rPr>
                <w:sz w:val="12"/>
                <w:szCs w:val="12"/>
                <w:color w:val="auto"/>
              </w:rPr>
            </w:pPr>
          </w:p>
        </w:tc>
        <w:tc>
          <w:tcPr>
            <w:tcW w:w="52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79"/>
              </w:rPr>
              <w:t>Net Sales</w:t>
            </w:r>
          </w:p>
        </w:tc>
        <w:tc>
          <w:tcPr>
            <w:tcW w:w="720" w:type="dxa"/>
            <w:vAlign w:val="bottom"/>
          </w:tcPr>
          <w:p>
            <w:pPr>
              <w:spacing w:after="0"/>
              <w:rPr>
                <w:sz w:val="12"/>
                <w:szCs w:val="12"/>
                <w:color w:val="auto"/>
              </w:rPr>
            </w:pPr>
          </w:p>
        </w:tc>
        <w:tc>
          <w:tcPr>
            <w:tcW w:w="5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2"/>
              </w:rPr>
              <w:t>Net Sales</w:t>
            </w:r>
          </w:p>
        </w:tc>
        <w:tc>
          <w:tcPr>
            <w:tcW w:w="720" w:type="dxa"/>
            <w:vAlign w:val="bottom"/>
          </w:tcPr>
          <w:p>
            <w:pPr>
              <w:spacing w:after="0"/>
              <w:rPr>
                <w:sz w:val="12"/>
                <w:szCs w:val="12"/>
                <w:color w:val="auto"/>
              </w:rPr>
            </w:pPr>
          </w:p>
        </w:tc>
        <w:tc>
          <w:tcPr>
            <w:tcW w:w="94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8"/>
              </w:rPr>
              <w:t>% Variance</w:t>
            </w:r>
          </w:p>
        </w:tc>
        <w:tc>
          <w:tcPr>
            <w:tcW w:w="0" w:type="dxa"/>
            <w:vAlign w:val="bottom"/>
          </w:tcPr>
          <w:p>
            <w:pPr>
              <w:spacing w:after="0"/>
              <w:rPr>
                <w:sz w:val="1"/>
                <w:szCs w:val="1"/>
                <w:color w:val="auto"/>
              </w:rPr>
            </w:pPr>
          </w:p>
        </w:tc>
      </w:tr>
      <w:tr>
        <w:trPr>
          <w:trHeight w:val="20"/>
        </w:trPr>
        <w:tc>
          <w:tcPr>
            <w:tcW w:w="614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40" w:type="dxa"/>
            <w:vAlign w:val="bottom"/>
            <w:tcBorders>
              <w:right w:val="single" w:sz="8" w:color="CCEEFF"/>
            </w:tcBorders>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212</w:t>
            </w:r>
          </w:p>
        </w:tc>
        <w:tc>
          <w:tcPr>
            <w:tcW w:w="7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189</w:t>
            </w:r>
          </w:p>
        </w:tc>
        <w:tc>
          <w:tcPr>
            <w:tcW w:w="72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30</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22</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61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w:t>
            </w: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6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North America On-Highway end market net sales were up 12% for the third quarter 2013 compared to the third quarter 2012, principally driven by higher demand for Rugged Duty and Highway Series models.</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North America Hybrid-Propulsion Systems for Transit Bus end market net sales were down 50% for the third quarter 2013 compared to the third quarter 2012, principally driven by lower demand and intra-year movement in the timing of orders.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North America Off-Highway end market net sales were down 59% for the third quarter 2013 compared to the third quarter of 2012, principally driven by lower demand from hydraulic fracturing applications, but essentially flat for the third consecutive quarter.</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Defense end market net sales were down 30% for the third quarter 2013 compared to the third quarter 2012, principally driven by continued reductions in U.S. defense spending to longer term averages experienced during periods without active conflicts.</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Outside North America On-Highway end market net sales were down 4% for the third quarter 2013 compared to the third quarter 2012 reflecting weakness in Japan truck, China and Latin America bus tenders timing, partially offset by improved demand conditions in Russia bus.</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Outside North America Off-Highway end market net sales were down 27% for the third quarter 2013 compared to the third quarter 2012, principally driven by weakness in the mining sector.</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Service parts, support equipment and other end market net sales were up 10% for the third quarter 2013 compared to the third quarter 2012 principally driven by higher demand for North America On-Highway and Off-Highway service parts.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generate our net sales principally from the sale of transmissions, transmission parts, support equipment, defense kits, engineering services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90"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Our most significant components of cost of sales are purchased parts, the overhead expense related to our manufacturing operations and direct labor associated with the manufacture and assembly of transmissions and parts. For the nine months ended September 30, 2013, direct material costs were approximately 68%, overhead costs were approximately 26%, and direct labor costs were approximately 6% of total cost of sales. We are subject to changes in our cost of sales caused by movements in underlying commodity prices. We seek to hedge against this risk by using commodity swap contracts and long-term supply agreements (“LTSAs”). See “Item 3 Quantitative and Qualitative Disclosures about Market Risk—Commodity Price Risk” included below.</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incur costs in connection with research and development programs that are expected to contribute to future earnings. Such costs are expensed as incurred. In 2009, we were notified by the U.S. Department of Energy (“DOE”) that we were selected to receive matching funds up to $62.8 million from a cost-share grant program funded by the American Recovery and Reinvestment Act for the development of hybrid-propulsion system manufacturing capacity in the U.S. (the “Grant Program”). Applicable costs associated with the Grant Program have been charged to Engineering — research and development. The DOE’s matching reimbursement is recorded to Other expense, net in the Condensed Consolidated Statements of Comprehensive Income, included in Part I, Item 1 of this Quarterly Report on Form 10-Q, or in the case of capital expenditure, as a reduction in the cost basis of the capital asset.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excluding technology-related license expenses, Adjusted EBITDA margin, Adjusted EBITDA margin excluding technology-related license expenses and Adjusted free cash flow to evaluate and control our cash operating costs and to measure our operating profitability. We believe the presentation of Adjusted net income, Adjusted EBITDA, Adjusted EBITDA excluding technology-related license expenses, Adjusted EBITDA margin, Adjusted EBITDA margin excluding technology-related license expenses and Adjusted free cash flow enhances our investors’ overall understanding of the financial performance and cash flow of our business.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You should not consider Adjusted net income, Adjusted EBITDA, Adjusted EBITDA excluding technology-related license expenses, Adjusted EBITDA margin and Adjusted EBITDA margin excluding technology-related license expenses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 directly comparable GAAP measure to Adjusted net income, Adjusted EBITDA and Adjusted EBITDA excluding technology-related license expenses is Net income. A directly comparable GAAP measure to Adjusted free cash flow is Net cash provided by operating activities. The following is a reconciliation of Net income to Adjusted net income, Adjusted EBITDA, Adjusted EBITDA excluding technology-related license expenses, Adjusted EBITDA margin and Adjusted EBITDA margin excluding technology-related license expenses, and a reconciliation of Net cash provided by operating activities to Adjusted free cash flow:</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center"/>
              <w:ind w:left="275"/>
              <w:spacing w:after="0"/>
              <w:rPr>
                <w:sz w:val="20"/>
                <w:szCs w:val="20"/>
                <w:color w:val="auto"/>
              </w:rPr>
            </w:pPr>
            <w:r>
              <w:rPr>
                <w:rFonts w:ascii="Arial" w:cs="Arial" w:eastAsia="Arial" w:hAnsi="Arial"/>
                <w:sz w:val="14"/>
                <w:szCs w:val="14"/>
                <w:b w:val="1"/>
                <w:bCs w:val="1"/>
                <w:color w:val="auto"/>
                <w:w w:val="88"/>
              </w:rPr>
              <w:t>For the three</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For the nine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7"/>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months ended</w:t>
            </w:r>
          </w:p>
        </w:tc>
        <w:tc>
          <w:tcPr>
            <w:tcW w:w="0" w:type="dxa"/>
            <w:vAlign w:val="bottom"/>
          </w:tcPr>
          <w:p>
            <w:pPr>
              <w:spacing w:after="0"/>
              <w:rPr>
                <w:sz w:val="1"/>
                <w:szCs w:val="1"/>
                <w:color w:val="auto"/>
              </w:rPr>
            </w:pPr>
          </w:p>
        </w:tc>
      </w:tr>
      <w:tr>
        <w:trPr>
          <w:trHeight w:val="161"/>
        </w:trPr>
        <w:tc>
          <w:tcPr>
            <w:tcW w:w="6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87"/>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42"/>
        </w:trPr>
        <w:tc>
          <w:tcPr>
            <w:tcW w:w="64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2013</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2013</w:t>
            </w: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plus: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(33.3)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8"/>
              </w:rPr>
              <w:t>(112.9)</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(3.5)</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Technology-related investments expense (a)</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Public offering expenses (b)</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0.9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Fee to terminate services agreement with Sponsors (c)</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Amortization of intangible assets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80.1</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101.3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Cash interest expense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31.8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112.9</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Depreciation of property, plant and equipment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26.1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74.1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repayments and redemptions of long-term debt (d)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Dual power inverter module extended coverage (e)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Benefit plan re-measurement (f)</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Unrealized (gain) loss on commodity hedge contracts (g)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loss (gain) on foreign exchange (h)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Restructuring charge (i)</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(j)</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161.6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159.5</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473.9</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573.2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Adjusted EBITDA excluding technology-related license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expenses (k)</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161.6</w:t>
            </w:r>
          </w:p>
        </w:tc>
        <w:tc>
          <w:tcPr>
            <w:tcW w:w="30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479.9</w:t>
            </w: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466.3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493.5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83"/>
              </w:rPr>
              <w:t>1,435.8</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1,654.8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33.0%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b w:val="1"/>
                <w:bCs w:val="1"/>
                <w:color w:val="auto"/>
                <w:w w:val="98"/>
              </w:rPr>
              <w:t>Adjusted EBITDA margin excluding technology-related license expenses (k)</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34.7%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33.4%</w:t>
            </w:r>
          </w:p>
        </w:tc>
        <w:tc>
          <w:tcPr>
            <w:tcW w:w="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131.0</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315.4</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(15.4)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(41.2)</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Fee to terminate services agreement with Sponsors (c)</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Technology-related license expenses (k)</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4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20" w:type="dxa"/>
            <w:vAlign w:val="bottom"/>
            <w:gridSpan w:val="2"/>
          </w:tcPr>
          <w:p>
            <w:pPr>
              <w:spacing w:after="0"/>
              <w:rPr>
                <w:sz w:val="20"/>
                <w:szCs w:val="20"/>
                <w:color w:val="auto"/>
              </w:rPr>
            </w:pPr>
            <w:r>
              <w:rPr>
                <w:rFonts w:ascii="Arial" w:cs="Arial" w:eastAsia="Arial" w:hAnsi="Arial"/>
                <w:sz w:val="18"/>
                <w:szCs w:val="18"/>
                <w:b w:val="1"/>
                <w:bCs w:val="1"/>
                <w:color w:val="auto"/>
              </w:rPr>
              <w:t>Adjusted free cash flow</w:t>
            </w: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115.6</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280.2</w:t>
            </w: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319.5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2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impairment charge (recorded in Other expense, net) for investments in co-development agreements with various companies to expand our position in transmission technologies.</w:t>
      </w:r>
    </w:p>
    <w:p>
      <w:pPr>
        <w:ind w:left="460" w:right="3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fees and expenses (recorded in Other expense, net) related to our initial public offering in March 2012, proposed and withdrawn secondary offering in April 2013 and secondary offering in August 2013.</w:t>
      </w:r>
    </w:p>
    <w:p>
      <w:pPr>
        <w:ind w:left="460" w:right="36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one-time payment (recorded in Other expense, net) to terminate the services agreement with investment funds affiliated with The Carlyle Group and Onex Corporation (collectively, our “Sponsors”).</w:t>
      </w:r>
    </w:p>
    <w:p>
      <w:pPr>
        <w:ind w:left="460" w:right="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expense, net) realized on the redemptions and repayments of Allison Transmission, Inc.’s (“ATI”), our wholly owned subsidiary, long-term debt.</w:t>
      </w:r>
    </w:p>
    <w:p>
      <w:pPr>
        <w:ind w:left="460" w:right="4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During the third quarter of 2013, we conducted a review of the Dual Power Inverter Module (“DPIM”) extended coverage program resulting in a reduction of the DPIM liability, partially offset by a reduction of the associated General Motors (“GM”) receivable totaling a net credit (recorded in Selling, general and administrative expenses). During the second quarter of 2012, we recorded a charge (recorded in Selling, general and administrative expenses) to increase our liability related to the DPIM extended coverage program due to claims data and additional design issues identified during introduction of replacement units. The total liability and GM receivable will continue to be reviewed for any changes in estimate as additional claims data and field information become available.</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settlement charge (recorded in Other expense, net) related to the settlement of pension obligations for certain qualified hourly employees from our hourly defined benefit pension plan to GM’s pension plan as part of the asset purchase agreement dated June 28, 2007.</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(gains) losses (recorded in Other expense, net) on the mark-to-market of our commodity hedge contracts.</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net) on the mark-to-market of our foreign currency hedge contracts and on intercompany financing transactions related to investments in plant assets for our India facility.</w:t>
      </w:r>
    </w:p>
    <w:p>
      <w:pPr>
        <w:ind w:left="460" w:right="4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(recorded in Selling, general and administrative, and Engineering – research and development) related to an employee headcount reduction program in the second quarter of 2013.</w:t>
      </w:r>
    </w:p>
    <w:p>
      <w:pPr>
        <w:ind w:left="460" w:right="72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employee stock compensation expense (recorded in Cost of sales, Selling, general and administrative, and Engineering – research and development) and service fees paid to our Sponsors (recorded in Selling, general and administrative expenses).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payments (recorded in Engineering – research and development) for licenses to expand our position in transmission technologies.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2013 and 2012</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three months ended September 30, 2013 and 2012.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4"/>
                <w:szCs w:val="14"/>
                <w:b w:val="1"/>
                <w:bCs w:val="1"/>
                <w:color w:val="auto"/>
                <w:w w:val="94"/>
              </w:rPr>
              <w:t>Three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jc w:val="right"/>
              <w:ind w:right="156"/>
              <w:spacing w:after="0" w:line="129"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2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77"/>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4"/>
              <w:spacing w:after="0"/>
              <w:rPr>
                <w:sz w:val="20"/>
                <w:szCs w:val="20"/>
                <w:color w:val="auto"/>
              </w:rPr>
            </w:pPr>
            <w:r>
              <w:rPr>
                <w:rFonts w:ascii="Arial" w:cs="Arial" w:eastAsia="Arial" w:hAnsi="Arial"/>
                <w:sz w:val="14"/>
                <w:szCs w:val="14"/>
                <w:b w:val="1"/>
                <w:bCs w:val="1"/>
                <w:color w:val="auto"/>
                <w:w w:val="83"/>
              </w:rPr>
              <w:t>2012</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466.3</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493.5</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4"/>
              </w:rPr>
              <w:t>206.1</w:t>
            </w:r>
          </w:p>
        </w:tc>
        <w:tc>
          <w:tcPr>
            <w:tcW w:w="240" w:type="dxa"/>
            <w:vAlign w:val="bottom"/>
          </w:tcPr>
          <w:p>
            <w:pPr>
              <w:spacing w:after="0"/>
              <w:rPr>
                <w:sz w:val="18"/>
                <w:szCs w:val="18"/>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44.2%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84"/>
              </w:rPr>
              <w:t>224.4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74.0</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15.9</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96.7</w:t>
            </w:r>
          </w:p>
        </w:tc>
        <w:tc>
          <w:tcPr>
            <w:tcW w:w="64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132.6</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111.2</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(37.3)</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(40.8)</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w:t>
            </w:r>
          </w:p>
        </w:tc>
        <w:tc>
          <w:tcPr>
            <w:tcW w:w="132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(38.8)</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(42.6)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2"/>
        </w:trPr>
        <w:tc>
          <w:tcPr>
            <w:tcW w:w="63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72.4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15.5</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(27.9)</w:t>
            </w:r>
          </w:p>
        </w:tc>
        <w:tc>
          <w:tcPr>
            <w:tcW w:w="13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(17.0)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2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rPr>
              <w:t>32.2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Net sales for the quarter ended September 30, 2013 were $466.3 million compared to $493.5 million for the quarter ended September 30, 2012, a decrease of 5.5%. The decrease was principally driven by a $22.0 million, or 30%, decrease in net sales of defense products due to lower U.S. defense spending, a $19.0 million, or 43%, decrease in net sales of global off-highway products driven by lower demand from North America natural gas fracturing applications due to weakness in natural gas pricing and lower global demand in the mining sector, and a $15.0 million, or 50%, decrease in net sales of North America hybrid-propulsion systems for transit buses principally driven by lower demand and intra-year movement in the timing of orders, partially offset by a $23.0 million, or 12%, increase in net sales of North America on-highway commercial products and a $8.0 million, or 10%, increase in net sales of parts and other products.</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Gross profit for the quarter ended September 30, 2013 was $206.1 million compared to $224.4 million for the quarter ended September 30, 2012, a decrease of 8.2%. The decrease was principally driven by $19.0 million related to decreased net sales and $4.0 million of unfavorable manufacturing performance principally driven by favorable 2012 performance associated with the building of inventory in preparation for the 2012 UAW Local 933 contract negotiations, partially offset by $2.0 million of favorable material costs, $2.0 million of favorable foreign exchange and $1.0 million of price increases on certain products.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Selling, general and administrative expenses for the quarter ended September 30, 2013 were $74.0 million compared to $96.7 million for the quarter ended September 30, 2012, a decrease of 23.5%. The decrease was principally driven by $12.4 million of lower intangible asset amortization, a $2.4 million favorable adjustment related to the DPIM extended coverage program, lower product warranty expense driven by improved performance and reduced global commercial spending activities, partially offset by $1.9 million of higher stock compensation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Engineering expenses for the quarter ended September 30, 2013 were $20.9 million compared to $35.9 million for the quarter ended September 30, 2012, a decrease of 41.8%. The decrease was principally driven by $12.0 million of technology-related license expenses in 2012 to expand our position in transmission technologies and reduced global spending activities.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Interest expense, net for the quarter ended September 30, 2013 was $37.3 million compared to $40.8 million for the quarter ended September 30, 2012, a decrease of 8.6%. The decrease was principally driven by $3.1 million of lower amortization of deferred financing charges, $1.5 million of lower interest expense as a result of debt repayments, $0.5 million of lower interest expense related to our interest rate swaps, $0.1 million of more favorable mark-to-market adjustments for our interest rate derivatives and $0.1 million of higher interest income, partially offset by $1.8 million of higher interest expense as a result of higher interest rates on ATI’s Senior Secured Credit Facility (defined as the Term B-2 Loan due 2017 (“Term B-2 Loan”), Term B-3 Loan due 2019 (“Term B-3 Loan”) and revolving credit facility).</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expense, net for the quarter ended September 30, 2013 was $1.5 million compared to $1.8 million for the quarter ended September 30, 2012, a decrease of 16.7%. The decrease in expense was principally driven by a $6.4 million impairment of technology-related investments in 2012 and $0.3 million of reduced miscellaneous expenses, partially offset by $3.8 million of higher unfavorable foreign exchange, $1.4 million of decreased Grant Program income, $0.8 million of higher unrealized losses on derivative contracts, $0.3 million of increased public offering expenses related to our secondary offering in the third quarter of 2013 and $0.1 million of higher realized losses on derivative contracts.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Income tax expense for the third quarter of 2013 was $27.9 million resulting in an effective tax rate of 38.5% versus an effective tax rate of 34.6% in the third quarter of 2012. The change in effective tax rate was principally driven by decreased discrete activity.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2013 and 2012</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following table sets forth certain financial information for the nine months ended September 30, 2013 and 2012. The following table and discussion should be read in conjunction with the information contained in our condensed consolidated financial statements and the notes thereto included in Part I, Item 1 of this Quarterly Report on Form 10-Q.</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w w:val="94"/>
              </w:rPr>
              <w:t>Nine months ended September 30,</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right"/>
              <w:ind w:right="176"/>
              <w:spacing w:after="0" w:line="129" w:lineRule="exact"/>
              <w:rPr>
                <w:sz w:val="20"/>
                <w:szCs w:val="20"/>
                <w:color w:val="auto"/>
              </w:rPr>
            </w:pPr>
            <w:r>
              <w:rPr>
                <w:rFonts w:ascii="Arial" w:cs="Arial" w:eastAsia="Arial" w:hAnsi="Arial"/>
                <w:sz w:val="14"/>
                <w:szCs w:val="14"/>
                <w:b w:val="1"/>
                <w:bCs w:val="1"/>
                <w:color w:val="auto"/>
              </w:rPr>
              <w:t>%</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jc w:val="right"/>
              <w:ind w:right="175"/>
              <w:spacing w:after="0" w:line="12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40" w:type="dxa"/>
            <w:vAlign w:val="bottom"/>
            <w:gridSpan w:val="2"/>
          </w:tcPr>
          <w:p>
            <w:pPr>
              <w:spacing w:after="0"/>
              <w:rPr>
                <w:sz w:val="20"/>
                <w:szCs w:val="20"/>
                <w:color w:val="auto"/>
              </w:rPr>
            </w:pPr>
            <w:r>
              <w:rPr>
                <w:rFonts w:ascii="Arial" w:cs="Arial" w:eastAsia="Arial" w:hAnsi="Arial"/>
                <w:sz w:val="14"/>
                <w:szCs w:val="14"/>
                <w:i w:val="1"/>
                <w:iCs w:val="1"/>
                <w:color w:val="auto"/>
              </w:rPr>
              <w:t>(unaudited, dollars in millions)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77"/>
              </w:rPr>
              <w:t>of net sales</w:t>
            </w:r>
          </w:p>
        </w:tc>
        <w:tc>
          <w:tcPr>
            <w:tcW w:w="18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0"/>
              </w:rPr>
              <w:t>of net sales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1,435.8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1,654.8</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Gross profit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630.5</w:t>
            </w:r>
          </w:p>
        </w:tc>
        <w:tc>
          <w:tcPr>
            <w:tcW w:w="280" w:type="dxa"/>
            <w:vAlign w:val="bottom"/>
          </w:tcPr>
          <w:p>
            <w:pPr>
              <w:spacing w:after="0"/>
              <w:rPr>
                <w:sz w:val="18"/>
                <w:szCs w:val="18"/>
                <w:color w:val="auto"/>
              </w:rPr>
            </w:pPr>
          </w:p>
        </w:tc>
        <w:tc>
          <w:tcPr>
            <w:tcW w:w="152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43.9%</w:t>
            </w: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760.1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247.5</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17.2</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307.0</w:t>
            </w:r>
          </w:p>
        </w:tc>
        <w:tc>
          <w:tcPr>
            <w:tcW w:w="6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Engineering — research and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394.0</w:t>
            </w:r>
          </w:p>
        </w:tc>
        <w:tc>
          <w:tcPr>
            <w:tcW w:w="5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310.3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21.6</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366.1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(104.5)</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(115.6)</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ind w:left="420"/>
              <w:spacing w:after="0"/>
              <w:rPr>
                <w:sz w:val="20"/>
                <w:szCs w:val="20"/>
                <w:color w:val="auto"/>
              </w:rPr>
            </w:pPr>
            <w:r>
              <w:rPr>
                <w:rFonts w:ascii="Arial" w:cs="Arial" w:eastAsia="Arial" w:hAnsi="Arial"/>
                <w:sz w:val="18"/>
                <w:szCs w:val="18"/>
                <w:color w:val="auto"/>
              </w:rPr>
              <w:t>Other expense,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(7.2)</w:t>
            </w:r>
          </w:p>
        </w:tc>
        <w:tc>
          <w:tcPr>
            <w:tcW w:w="152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(0.5)</w:t>
            </w:r>
          </w:p>
        </w:tc>
        <w:tc>
          <w:tcPr>
            <w:tcW w:w="18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(55.4)</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(111.7)</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(171.0)</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574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198.6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13.8</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5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(76.1)</w:t>
            </w:r>
          </w:p>
        </w:tc>
        <w:tc>
          <w:tcPr>
            <w:tcW w:w="15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307.9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122.5</w:t>
            </w:r>
          </w:p>
        </w:tc>
        <w:tc>
          <w:tcPr>
            <w:tcW w:w="280" w:type="dxa"/>
            <w:vAlign w:val="bottom"/>
          </w:tcPr>
          <w:p>
            <w:pPr>
              <w:spacing w:after="0"/>
              <w:rPr>
                <w:sz w:val="19"/>
                <w:szCs w:val="19"/>
                <w:color w:val="auto"/>
              </w:rPr>
            </w:pPr>
          </w:p>
        </w:tc>
        <w:tc>
          <w:tcPr>
            <w:tcW w:w="240" w:type="dxa"/>
            <w:vAlign w:val="bottom"/>
            <w:vMerge w:val="continue"/>
          </w:tcPr>
          <w:p>
            <w:pPr>
              <w:spacing w:after="0"/>
              <w:rPr>
                <w:sz w:val="19"/>
                <w:szCs w:val="19"/>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8.5%</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503.0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sales for the nine months ended September 30, 2013 were $1,435.8 million compared to $1,654.8 million for the nine months ended September 30, 2012, a decrease of 13.2%. The decrease was principally driven by a $126.0 million, or 56%, decrease in net sales of global off-highway products driven by lower demand from North America natural gas fracturing applications due to weakness in natural gas pricing and lower global demand in the mining sector, a $64.0 million, or 28%, decrease in net sales of defense products due to lower U.S. defense spending, a $19.0 million, or 2%, decrease in net sales of global on-highway commercial products and a $10.0 million, or 12%, decrease in net sales of North America hybrid-propulsion systems for transit buses principally driven by lower demand due to municipal subsidy and spending constraints, engine emissions improvements and non-hybrid alternatives (e.g. xNG).</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Gross profit for the nine months ended September 30, 2013 was $630.5 million compared to $760.1 million for the nine months ended September 30, 2012, a decrease of 17.1%. The decrease was principally driven by $138.0 million related to decreased net sales and $1.0 million of unfavorable manufacturing performance, partially offset by $4.0 million of price increases on certain products, $4.0 million of favorable foreign exchange and $1.0 million of favorable material costs.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Selling, general and administrative expenses for the nine months ended September 30, 2013 were $247.5 million compared to $307.0 million for the nine months ended September 30, 2012, a decrease of 19.4%. The decrease was principally driven by $32.4 million of lower intangible asset amortization, a $9.4 million charge in 2012 related to the DPIM extended coverage program, a $2.4 million favorable adjustment in 2013 related to the DPIM extended coverage program and reduced global commercial spending activities, partially offset by $6.2 million of higher stock compensation expense.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90"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Engineering expenses for the nine months ended September 30, 2013 were $72.7 million compared to $87.0 million for the nine months ended September 30, 2012, a decrease of 16.4%. The decrease was principally driven by $12.0 million of technology-related license expenses in 2012 to expand our position in transmission technologies and reduced global spending activities, partially offset by $6.0 million of technology-related license expenses in 2013 to further expand our position in transmission technologies.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Interest expense, net for the nine months ended September 30, 2013 was $104.5 million compared to $115.6 million for the nine months ended September 30, 2012, a decrease of 9.6%. The decrease was principally driven by $12.4 million of lower interest expense as a result of debt repayments and purchases, $6.9 million more favorable mark-to-market adjustments for our interest rate derivatives, $2.9 million of lower amortization of deferred financing fees and $2.4 million of lower interest expense as a result of the maturity of $425.0 million of interest rate swaps, partially offset by $10.6 million of higher interest expense as a result of higher interest rates on ATI’s Senior Secured Credit Facility, $2.8 million of higher interest expense related to higher interest rates on our effective interest rate swaps and $0.1 million of lower interest income.</w:t>
      </w:r>
    </w:p>
    <w:p>
      <w:pPr>
        <w:sectPr>
          <w:pgSz w:w="11900" w:h="16838" w:orient="portrait"/>
          <w:cols w:equalWidth="0" w:num="1">
            <w:col w:w="11400"/>
          </w:cols>
          <w:pgMar w:left="240" w:top="459" w:right="259" w:bottom="1440" w:gutter="0" w:footer="0" w:header="0"/>
        </w:sectPr>
      </w:pP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expense, net for the nine months ended September 30, 2013 was $7.2 million compared to $55.4 million for the nine months ended September 30, 2012, a decrease of 87.0%. The decrease in expense was principally driven by $21.1 million of premiums and expenses in 2012 related to redemptions of long-term debt, a $16.0 million payment in 2012 to terminate the services agreement with the Sponsors, $11.9 million of lower technology-related investment impairment expense, $5.2 million of lower public offering expenses, $2.3 million related to the hourly pension plan settlement in 2012 and $0.4 million of reduced miscellaneous expenses, partially offset by $3.7 million of expenses related to unrealized and realized losses on derivative contracts, $2.7 million of higher unfavorable foreign exchange and $2.3 million of lower Grant Program income.</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Income tax expense for the nine months ended September 30, 2013 was ($76.1) million resulting in an effective tax rate of (38.3%) versus an effective tax rate of 157.8% for the nine months ended September 30, 2012. The change in effective tax rate was principally driven by the release of the domestic valuation allowance on our deferred tax assets in 2012.</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00"/>
          </w:cols>
          <w:pgMar w:left="24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generate cash principally from our operating activities. We had total available cash and cash equivalents of $152.3 million and $80.2 million as of September 30, 2013 and December 31, 2012, respectively. Of the available cash and cash equivalents, approximately $147.3 million and $75.2 million was deposited in operating accounts while approximately $5.0 million and $5.0 million was invested in U.S. government backed securities as of September 30, 2013 and December 31, 2012, respectively.</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Additionally, we had $386.4 million and $372.1 million available under the revolving portion of our Senior Secured Credit Facility, net of approximately $13.6 million and $27.9 million in letters of credit issued and outstanding as of September 30, 2013 and December 31, 2012, respectively. For the nine months ended September 30, 2013, we made periodic withdrawals and payments on our revolving credit facility as part of our debt management plans. The maximum amount outstanding at any time during the period on the revolving credit facility was $20.0 million, and all balances were repaid within the quarter they were borrowed. As of September 30, 2013 and December 31, 2012, we had no outstanding borrowings on our revolving credit facility.</w:t>
      </w:r>
    </w:p>
    <w:p>
      <w:pPr>
        <w:spacing w:after="0" w:line="11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March 2012, ATI entered into an amendment with the term loan lenders under its Senior Secured Credit Facility to extend the maturity of approximately $801.1 million in principal amount of ATI’s Senior Secured Credit Facility Term B-1 Loan due 2014 (“Term B-1 Loan”) from August 2014 to August 2017 and to increase the applicable margin at our option to either (a) 3.50% over the LIBOR or (b) 2.50% over the greater of the prime lending rate provided by the British Banking Association or the federal funds effective rate published by the Federal Reserve Bank of New York plus 0.50%.</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August 2012, ATI entered into an amendment with the term loan lenders under its Senior Secured Credit Facility to extend the maturity of approximately $850.0 million in principal amount of the Term B-1 Loan from August 2014 to August 2019 and to increase the applicable margin at our option to either</w:t>
      </w:r>
    </w:p>
    <w:p>
      <w:pPr>
        <w:jc w:val="both"/>
        <w:ind w:right="180" w:firstLine="8"/>
        <w:spacing w:after="0" w:line="255" w:lineRule="auto"/>
        <w:tabs>
          <w:tab w:leader="none" w:pos="239" w:val="left"/>
        </w:tabs>
        <w:numPr>
          <w:ilvl w:val="0"/>
          <w:numId w:val="4"/>
        </w:numPr>
        <w:rPr>
          <w:rFonts w:ascii="Arial" w:cs="Arial" w:eastAsia="Arial" w:hAnsi="Arial"/>
          <w:sz w:val="18"/>
          <w:szCs w:val="18"/>
          <w:color w:val="auto"/>
        </w:rPr>
      </w:pPr>
      <w:r>
        <w:rPr>
          <w:rFonts w:ascii="Arial" w:cs="Arial" w:eastAsia="Arial" w:hAnsi="Arial"/>
          <w:sz w:val="18"/>
          <w:szCs w:val="18"/>
          <w:color w:val="auto"/>
        </w:rPr>
        <w:t>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plus 0.50% (which may not be less than 2.00%).</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October 2012, ATI entered into an amendment with the term loan lenders under its Senior Secured Credit Facility to extend the maturity of $300.0 million of the Term B-1 Loan from August 2014 to August 2019 and to increase the applicable margin at our option to either (a) 3.25% or 3.00%, subject to our total leverage ratio, over the LIBOR (which may not be less than 1.00%) or (b) 2.25% or 2.00%, subject to our total leverage ratio, over the greater of the prime lending rate provided by the British Banking Association or the federal funds effective rate published by the Federal Reserve Bank of New York (but not less than 2.00%).</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February 2013, ATI entered into an amendment with the term loan lenders under its Senior Secured Credit Facility to refinance the entire outstanding principal amount of our Term B-2 Loan to reduce the applicable margin for such term loans at our option to either (a) 3.00% over the LIBOR or (b) 2.00% over the greater of the prime lending rate provided by the British Banking Association or the federal funds effective rate published by the Federal Reserve Bank of New York. In February 2013, ATI also entered into an additional amendment with the term loan lenders under its Senior Secured Credit Facility to extend the maturity of approximately $411.4 million in principal amount of the Term B-1 Loan from August 2014 to August 2017 and to increase the applicable margin at our option to either (a) 3.00% over the LIBOR or (b) 2.00% over the greater of the prime lending rate provided by the British Banking Association or the federal funds effective rate published by the Federal Reserve Bank of New York plus 0.50%.</w:t>
      </w:r>
    </w:p>
    <w:p>
      <w:pPr>
        <w:spacing w:after="0" w:line="118" w:lineRule="exact"/>
        <w:rPr>
          <w:sz w:val="20"/>
          <w:szCs w:val="20"/>
          <w:color w:val="auto"/>
        </w:rPr>
      </w:pPr>
    </w:p>
    <w:p>
      <w:pPr>
        <w:ind w:right="400" w:firstLine="456"/>
        <w:spacing w:after="0" w:line="255" w:lineRule="auto"/>
        <w:rPr>
          <w:sz w:val="20"/>
          <w:szCs w:val="20"/>
          <w:color w:val="auto"/>
        </w:rPr>
      </w:pPr>
      <w:r>
        <w:rPr>
          <w:rFonts w:ascii="Arial" w:cs="Arial" w:eastAsia="Arial" w:hAnsi="Arial"/>
          <w:sz w:val="18"/>
          <w:szCs w:val="18"/>
          <w:color w:val="auto"/>
        </w:rPr>
        <w:t>In August 2013, ATI entered into an amendment with the term loan lenders under its Senior Secured Credit Facility to refinance the entire outstanding principle amount of our Term B-3 Loan to reduce the applicable margin for such term loans at our option to either (a) 2.75% or 2.50%, subject to our total leverage ratio, over the LIBOR (which may not be less than 1.00%) or (b) 1.75% or 1.50%, subject to our total leverage ratio, over the greater of the prime lending rate provided by the British Banking Association or the federal funds effective rate published by the Federal Reserve Bank of New York plus 0.50% (which may not be less than 2.00%).</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principal uses of cash are operating expenses, capital expenditures, debt service, dividends on common stock and working capital needs. The following table shows our sources and uses of funds for the nine months ended September 30, 2013 and 2012 (in millions):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4480" w:type="dxa"/>
            <w:vAlign w:val="bottom"/>
            <w:tcBorders>
              <w:bottom w:val="single" w:sz="8" w:color="CCEEFF"/>
            </w:tcBorders>
            <w:vMerge w:val="continue"/>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2013</w:t>
            </w:r>
          </w:p>
        </w:tc>
        <w:tc>
          <w:tcPr>
            <w:tcW w:w="6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from operating activities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(45.8)</w:t>
            </w: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(207.7)</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Operating activities for the nine months ended September 30, 2013 generated $315.4 million of cash compared to $385.4 million for the nine months ended September 30, 2012. The decrease was principally driven by decreased net sales, higher accounts receivable principally driven by lower accounts receivable at the end of 2012 as a result of an earlier than expected receipt and lower other liabilities, net; partially offset by lower inventories and higher accounts payable principally driven by unusually higher inventories and lower accounts payable at the end of 2012 as a result of labor negotiations planning, decreased spending commensurate with reduced global commercial and product initiatives spending, lower cash interest expense and lower cash income taxes.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Investing activities for the nine months ended September 30, 2013 used $45.8 million of cash compared to $108.5 million for the nine months ended September 30, 2012. The decrease was principally driven by a decrease of $52.7 million in capital expenditures and a decrease of $8.1 million in investments in technology-related initiatives. The decrease in capital expenditures was principally driven by the 2012 expansion of our India facility and lower product initiatives spending.</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Financing activities for the nine months ended September 30, 2013 used $207.7 million of cash compared to $508.3 million for the nine months ended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The decrease was principally driven by 2012 redemptions of $326.9 million of ATI’s 11.0% senior cash pay notes due November 2015,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$60.9 million of decreased principal payments on ATI’s Senior Secured Credit Facility, $23.4 million of increased proceeds from the exercise of stock options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$15.8 million of decreased debt financing fees, partially offset by $99.5 million related to the repurchase of our common stock in connection with the August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secondary offering by our Sponsors and $33.4 million of increased dividend payments.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liquidity requirements are significant, principally due to our debt service requirements. A one-eighth percent change in assumed interest rates for the Senior Secured Credit Facility, if fully drawn, as of September 30, 2013 would have a yearly impact of $0.7 million on interest expense, which includes the partial offset of our interest rate swaps. 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Senior Secured Credit Facility requires us to maintain a specified maximum total senior secured leverage ratio of 5.50x for the remainder of the term of the loans. As of September 30, 2013, we were in compliance with the maximum total senior secured leverage ratio, achieving a 3.48x ratio. Within the terms of the Senior Secured Credit Facility, a senior secured leverage ratio at or below 3.50x results in a 12.5 basis point reduction to the revolving credit facility commitment fee and elimination of excess cash flow payments on the Senior Secured Credit Facility for the applicable year. These reductions remain in effect as long as we continue to achieve a senior secured leverage ratio at or below 3.50x. A total leverage ratio at or below 3.25x results in a 25 basis point reduction to the applicable margin on our Term B-3 Loan. This reduction would remain in effect as long as we achieve a total leverage ratio at or below 3.25x. As of September 30, 2013, the total leverage ratio was 4.26x.</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maximum total secured leverage ratio, the Senior Secured Credit Facility and the indenture governing ATI’s 7.125% senior cash pay notes due May 2019 (“7.125% Senior Notes”) include, among other things, customary restrictions (subject to certain exceptions) on our ability to incur certain indebtedness or liens, make certain investments or declare or pay certain dividends. As of September 30, 2013, we are in compliance with all covenants under the Senior Secured Credit Facility.</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Prior to May 15, 2015, we may redeem some or all of our 7.125% Senior Notes by paying the applicable “make-whole” premium. At any time on or after May 15, 2015, we may redeem some or all of the 7.125% Senior Notes at specified redemption prices in the governing indenture.</w:t>
      </w:r>
    </w:p>
    <w:p>
      <w:pPr>
        <w:spacing w:after="0" w:line="8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To manage interest rate risk associated with our variable rate debt, we have eight interest rate swap contracts as of September 30, 2013 that qualify as derivatives under authoritative accounting guidance for derivative instruments and hedging activities. Our interest rate swaps do not qualify for hedge accounting treatment and, as a result, fair value adjustments are charged directly to interest expense in the Condensed Consolidated Statements of Comprehensive Income. Despite the fact that we have elected a mark-to-market approach as opposed to hedge accounting treatment, the contracts are used strictly as an economic hedge and not for speculative purposes.</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Certain of our interest rate derivatives contain credit-risk and collateral contingent features under which downgrades in our credit rating could require us to increase our collateral. Certain interest rate derivatives also contain provisions under which we may be required to post additional collateral if LIBOR reaches certain levels. As of September 30, 2013, we have posted collateral of $1.7 million in cash and $9.0 million in letters of credit as a result of changes in interest rates. We may be required to post additional collateral until the LIBOR curve reaches zero.</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Assuming all collateral contingent features remain the same, a 1% increase or decrease in the LIBOR interest rate curve as of September 30, 2013 would correspondingly reduce our collateral requirement by approximately $4.5 million or increase our collateral requirement by approximately $4.5 million, respectively, in a combination of cash and letters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safety, health, taxes, environmental and other matters. For more information, see NOTE N of the notes to our condensed consolidated financial statements included in Part I, Item 1 of this Quarterly Report on Form 10-Q.</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principal accounting policies are described in the “Basis of Presentation and Principles of Consolidation” section in the notes to the consolidated financial statements in Part II, Item 8 of our Annual Report on Form 10-K for the year ended December 31, 2012 as filed with the Securities and Exchange Commission (“SEC”) on February 28, 2013.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Differences between actual and estimate are recorded in the period identified. Management believes the accounting estimates discussed above represent those accounting estimates requiring the exercise of judgment where a different set of judgments could result in the greatest changes to our reported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July 2013, the Financial Accounting Standards Board (“FASB”) issued authoritative accounting guidance on the presentation of an unrecognized tax benefit when net operating loss (“NOL”) carryforwards exist. The guidance requires presentation of an unrecognized tax benefit, or a portion of an unrecognized tax benefit, in the financial statements as a reduction to a deferred tax asset for an NOL carryforward, a similar tax loss or a tax credit carryforward. The guidance is effective for fiscal years beginning after December 15, 2013. While the adoption of this guidance is not expected to have an effect on our consolidated financial statements, it could affect the accounting treatment applied under these circumstances in the future.</w:t>
      </w:r>
    </w:p>
    <w:p>
      <w:pPr>
        <w:spacing w:after="0" w:line="1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July 2013, the FASB issued authoritative accounting guidance on the inclusion of the Fed Funds Effective Swap Rate as a benchmark interest rate for hedge accounting purposes. The guidance also removes the restriction on using different benchmark rates for similar hedges. The guidance became effective for qualifying new or redesignated hedging relationships entered into on or after July 17, 2013. The adoption of this guidance did not have an effect on our consolidated financial statements as the Company does not currently elect hedge accounting treatment on its interest rate swaps.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March 2013, the FASB issued authoritative accounting guidance on a parent company’s accounting for the cumulative translation adjustment upon derecognition of certain subsidiaries or groups of assets within a foreign entity or of an investment in a foreign entity. The guidance clarifies that when a parent company ceases to have a controlling financial interest in a subsidiary or group of assets, the cumulative translation adjustment should be released into net income only if the sale or transfer results in the complete or substantially complete liquidation of the foreign entity in which the subsidiary or group of assets had resided. The guidance is effective for fiscal years beginning after December 15, 2013. While the adoption of this guidance is not expected to have an effect on our consolidated financial statements, it could affect the accounting treatment applied under these circumstances in the future.</w:t>
      </w:r>
    </w:p>
    <w:p>
      <w:pPr>
        <w:spacing w:after="0" w:line="12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February 2013, the FASB issued authoritative accounting guidance on presentation and disclosure of reclassifications out of accumulated other comprehensive income. The guidance gives an entity the option to present significant amounts reclassified out of each component of accumulated other comprehensive income and the income statement line items affected by the reclassification either parenthetically on the face of the financial statements or in the footnotes to the financial statements. The guidance is effective for interim and annual reporting periods beginning after December 15, 2012. The adoption of this guidance did not have a material effect on our condensed consolidated financial statements; however, it requires us to present additional disclosures in the footnotes to the condensed consolidated financial statements when significant amounts are reclassified out of accumulated other comprehensive income.</w:t>
      </w:r>
    </w:p>
    <w:p>
      <w:pPr>
        <w:spacing w:after="0" w:line="12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January 2013, the FASB issued authoritative accounting guidance clarifying the scope of new balance sheet offsetting disclosures issued in December 2011 for derivatives, repurchase agreements, and securities lending transactions that are either offset in the financial statements or subject to an enforceable master netting arrangement or similar agreement. The guidance is effective for interim and annual periods beginning on or after January 1, 2013. The adoption of this guidance did not have a material effect on our condensed consolidated financial statements.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December 2011, the FASB issued authoritative accounting guidance on enhancing disclosures to evaluate the effect or potential effect of netting arrangements on an entity’s financial position. The guidance requires improved information and disclosures about gross and net amounts of recognized assets and liabilities of financial and derivative instruments that are offset in an entity’s statement of financial position. The guidance applies retrospectively for interim and annual reporting periods beginning on or after January 1, 2013. The adoption of this guidance did not have a material effect on our condensed consolidated financial statements.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of September 30, 2013, our Sponsors each owned approximately 34.8% of our equity. Pursuant to an amended and restated stockholders agreement, a majority of the Board of Directors has been designated by our Sponsors and is affiliated with our Sponsors. As a result, our Sponsors or their nominees to the Board of Directors have the ability to control the appointment of our management, the entering into of mergers, sales of substantially all of our assets and other extraordinary transactions and influence amendments to our certificate of incorporation. So long as our Sponsors continue to own a majority of our equity, they will have the ability to control the vote in any election of directors and will have the ability to prevent any transaction that requires stockholder approval regardless of whether others believe the transaction is in our best interests. The interests of our Sponsors could conflict with those of our other stockholders. In addition, our Sponsors may in the future own businesses that directly compete with ours.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7.125% Senior Notes held by Executive Officers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September 30, 2013, Lawrence E. Dewey, our Chairman, President and Chief Executive Officer, David S. Graziosi, our Executive Vice President, Chief Financial Officer and Treasurer, and Robert M. Price, our Vice President, Human Resources, held approximately $100,000, $450,000, and $150,000, respectively in aggregate principal amount of the 7.125% Senior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Common Stock held by Sponsors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During the third quarter of 2013, we completed a secondary offering of 23,805,000 shares of our common stock held by investment funds affiliated with the Sponsors to the underwriters in the public offering at the public offering price, less the underwriting discounts and commissions, or $21.175 per share. We received no proceeds from the sale. In connection with the offering, we repurchased from the underwriters 4,700,000 shares of the 23,805,000 shares at the price paid by the underwriters and subsequently retired those shares.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00"/>
          </w:cols>
          <w:pgMar w:left="240" w:top="45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96"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risks related to our substantial indebtedness;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for hybrid vehicles,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and changing customer needs; risks associated with our international operations; and labor strikes, work stoppages or similar labor disputes, which could significantly disrupt our operations or those of our principal customers.</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2012 as filed with the SEC on February 28, 2013, as updated by Part II, Item 1A “Risk Factors” of our Quarterly Report on Form 10-Q for the quarter ended March 31, 2013 as filed with the SEC on April 30, 2013.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are subject to interest rate market risk in connection with a portion of our long-term debt. Our interest rate exposure relates to outstanding amounts under our Senior Secured Credit Facility. Our Senior Secured Credit Facility provides for variable rate borrowings of up to $2,646.3 million including $386.4 million under our revolving credit facility, net of $13.6 million of letters of credit. Assuming the Senior Secured Credit Facility is fully drawn as of September 30, 2013, a one-eighth percentage point increase or decrease in the applicable interest rates would correspondingly change our interest expense on the Senior Secured Credit Facility by approximately $0.7 million per year. This includes the partial offset of the effective interest rate swaps described below. As of September 30, 2013, we had no outstanding borrowings against the revolving credit facility.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2013:</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4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9"/>
              </w:rPr>
              <w:t>Notional</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49"/>
        </w:trPr>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Amount</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9"/>
        </w:trPr>
        <w:tc>
          <w:tcPr>
            <w:tcW w:w="5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Effective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(in</w:t>
            </w:r>
          </w:p>
        </w:tc>
        <w:tc>
          <w:tcPr>
            <w:tcW w:w="106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LIBOR</w:t>
            </w:r>
          </w:p>
        </w:tc>
      </w:tr>
      <w:tr>
        <w:trPr>
          <w:trHeight w:val="161"/>
        </w:trPr>
        <w:tc>
          <w:tcPr>
            <w:tcW w:w="54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Counterparty</w:t>
            </w:r>
          </w:p>
        </w:tc>
        <w:tc>
          <w:tcPr>
            <w:tcW w:w="4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4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millions)</w:t>
            </w:r>
          </w:p>
        </w:tc>
        <w:tc>
          <w:tcPr>
            <w:tcW w:w="5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w w:val="95"/>
              </w:rPr>
              <w:t>Fixed Rate</w:t>
            </w:r>
          </w:p>
        </w:tc>
        <w:tc>
          <w:tcPr>
            <w:tcW w:w="28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Rate Swap H</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 Capital</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2011-2014</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350.0</w:t>
            </w: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3.75%</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Interest Rate Swap I</w:t>
            </w: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Deutsche Bank</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2011-2014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350.0</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3.77%</w:t>
            </w:r>
          </w:p>
        </w:tc>
      </w:tr>
      <w:tr>
        <w:trPr>
          <w:trHeight w:val="208"/>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J</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2013-</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1"/>
              </w:rPr>
              <w:t>UBS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125.0</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2.96%</w:t>
            </w: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Interest Rate Swap K</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2013-</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UBS</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125.0</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rPr>
              <w:t>3.05%</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2016-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Barclays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3.44%*</w:t>
            </w: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Interest Rate Swap M</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2016-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166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JP Morgan</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w w:val="93"/>
              </w:rPr>
              <w:t>100.0</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3.43%*</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2016-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24"/>
        </w:trPr>
        <w:tc>
          <w:tcPr>
            <w:tcW w:w="54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0"/>
              </w:rPr>
              <w:t>Bank of America</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75.0</w:t>
            </w:r>
          </w:p>
        </w:tc>
        <w:tc>
          <w:tcPr>
            <w:tcW w:w="1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6"/>
              </w:rPr>
              <w:t>3.37%*</w:t>
            </w:r>
          </w:p>
        </w:tc>
      </w:tr>
      <w:tr>
        <w:trPr>
          <w:trHeight w:val="208"/>
        </w:trPr>
        <w:tc>
          <w:tcPr>
            <w:tcW w:w="5420" w:type="dxa"/>
            <w:vAlign w:val="bottom"/>
          </w:tcPr>
          <w:p>
            <w:pPr>
              <w:spacing w:after="0"/>
              <w:rPr>
                <w:sz w:val="20"/>
                <w:szCs w:val="20"/>
                <w:color w:val="auto"/>
              </w:rPr>
            </w:pPr>
            <w:r>
              <w:rPr>
                <w:rFonts w:ascii="Arial" w:cs="Arial" w:eastAsia="Arial" w:hAnsi="Arial"/>
                <w:sz w:val="18"/>
                <w:szCs w:val="18"/>
                <w:color w:val="auto"/>
              </w:rPr>
              <w:t>Interest Rate Swap O</w:t>
            </w: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6"/>
              </w:rPr>
              <w:t>2016-</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5420" w:type="dxa"/>
            <w:vAlign w:val="bottom"/>
          </w:tcPr>
          <w:p>
            <w:pPr>
              <w:spacing w:after="0"/>
              <w:rPr>
                <w:sz w:val="19"/>
                <w:szCs w:val="19"/>
                <w:color w:val="auto"/>
              </w:rPr>
            </w:pPr>
          </w:p>
        </w:tc>
        <w:tc>
          <w:tcPr>
            <w:tcW w:w="1660" w:type="dxa"/>
            <w:vAlign w:val="bottom"/>
            <w:gridSpan w:val="2"/>
          </w:tcPr>
          <w:p>
            <w:pPr>
              <w:jc w:val="center"/>
              <w:ind w:right="440"/>
              <w:spacing w:after="0"/>
              <w:rPr>
                <w:sz w:val="20"/>
                <w:szCs w:val="20"/>
                <w:color w:val="auto"/>
              </w:rPr>
            </w:pPr>
            <w:r>
              <w:rPr>
                <w:rFonts w:ascii="Arial" w:cs="Arial" w:eastAsia="Arial" w:hAnsi="Arial"/>
                <w:sz w:val="18"/>
                <w:szCs w:val="18"/>
                <w:color w:val="auto"/>
                <w:w w:val="86"/>
              </w:rPr>
              <w:t>Deutsche Bank</w:t>
            </w: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560"/>
              <w:spacing w:after="0"/>
              <w:rPr>
                <w:sz w:val="20"/>
                <w:szCs w:val="20"/>
                <w:color w:val="auto"/>
              </w:rPr>
            </w:pPr>
            <w:r>
              <w:rPr>
                <w:rFonts w:ascii="Arial" w:cs="Arial" w:eastAsia="Arial" w:hAnsi="Arial"/>
                <w:sz w:val="18"/>
                <w:szCs w:val="18"/>
                <w:color w:val="auto"/>
              </w:rPr>
              <w:t>75.0</w:t>
            </w: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96"/>
              </w:rPr>
              <w:t>3.19%*</w:t>
            </w:r>
          </w:p>
        </w:tc>
      </w:tr>
    </w:tbl>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 LIBOR floor of 1.00%</w:t>
      </w:r>
    </w:p>
    <w:p>
      <w:pPr>
        <w:spacing w:after="0" w:line="17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certain circumstances, we and the counterparty are required to provide additional collateral under these swaps. We are exposed to increased interest expense if a counterparty defaults. Refer to NOTE F and NOTE G of the notes to our condensed consolidated financial statements included in Part I, Item 1 of this Quarterly Report on Form 10-Q.</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While our net sales and costs are denominated principally in U.S. Dollars, net sales, costs, assets and liabilities are generated in other currencies including Japanese Yen, Euro, Indian Rupee, Brazilian Real, Chinese Yuan Renminbi, and Canadian Dollar. The expansion of our business outside North America may further increase the risk that cash flows resulting from these activities may be adversely affected by changes in currency exchange rates. As of September 30, 2013, we hold forward rate contracts for the Japanese Yen, which are intended to hedge either known or forecasted cash flow payments denominated in the currency. We do not hold financial instruments for trading or speculative purposes.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Assuming current levels of foreign currency transactions, a 10% increase or decrease in the Japanese Yen, Euro, Indian Rupee, Chinese Yuan Renminbi and Canadian Dollar would correspondingly change our earnings by an estimated $4 million per year. This includes the partial offset of our hedging contracts described above. All other exposure to foreign currencies is considered immaterial.</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financial forward contracts that are intended to hedge forecasted aluminum purchases. Based on our forecasted demand for 2013 and 2014, as of September 30, 2013, the hedge contracts cover approximately 25% and 27% of our aluminum requirements, respectively. We do not hold financial instruments for trading or speculative purposes.</w:t>
      </w:r>
    </w:p>
    <w:p>
      <w:pPr>
        <w:spacing w:after="0" w:line="118"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Assuming current levels of commodity purchases, a 10% increase or decrease in the cost of aluminum and steel would correspondingly change our earnings by approximately $1 million and $4 million per year, respectively. This includes the partial offset of our hedging contracts described above.</w:t>
      </w:r>
    </w:p>
    <w:p>
      <w:pPr>
        <w:sectPr>
          <w:pgSz w:w="11900" w:h="16838" w:orient="portrait"/>
          <w:cols w:equalWidth="0" w:num="1">
            <w:col w:w="11420"/>
          </w:cols>
          <w:pgMar w:left="240" w:top="459" w:right="239" w:bottom="144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only hedge for our exposure and do not hedge any portion of the customers’ exposure. For purposes of the sensitivity analysis above, the impact of these cost sharing arrangements have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Rules 13a-15(e) or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There were no changes in our internal control over financial reporting (as defined in Rules 13a-15(f) or 15d-15(f) under the Exchange Act) during the period covered by this Quarterly Report on Form 10-Q that have materially affected, or are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From time to time, we are a party to various legal actions in the normal course of our business, including those related to commercial transactions, product liability, safety, health, taxes, environmental and other matters. See NOTE N of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Except as set forth in our Quarterly Report on Form 10-Q for the quarter ended March 31, 2013, there have been no material changes from our risk factors as previously reported in Part I, Item 1A of our most recent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760" w:type="dxa"/>
            <w:vAlign w:val="bottom"/>
            <w:gridSpan w:val="3"/>
          </w:tcPr>
          <w:p>
            <w:pPr>
              <w:ind w:left="380"/>
              <w:spacing w:after="0"/>
              <w:rPr>
                <w:sz w:val="20"/>
                <w:szCs w:val="20"/>
                <w:color w:val="auto"/>
              </w:rPr>
            </w:pPr>
            <w:r>
              <w:rPr>
                <w:rFonts w:ascii="Arial" w:cs="Arial" w:eastAsia="Arial" w:hAnsi="Arial"/>
                <w:sz w:val="18"/>
                <w:szCs w:val="18"/>
                <w:b w:val="1"/>
                <w:bCs w:val="1"/>
                <w:color w:val="auto"/>
              </w:rPr>
              <w:t>Exhibits</w:t>
            </w:r>
          </w:p>
        </w:tc>
      </w:tr>
      <w:tr>
        <w:trPr>
          <w:trHeight w:val="97"/>
        </w:trPr>
        <w:tc>
          <w:tcPr>
            <w:tcW w:w="180" w:type="dxa"/>
            <w:vAlign w:val="bottom"/>
            <w:tcBorders>
              <w:bottom w:val="single" w:sz="8" w:color="auto"/>
            </w:tcBorders>
          </w:tcPr>
          <w:p>
            <w:pPr>
              <w:spacing w:after="0"/>
              <w:rPr>
                <w:sz w:val="8"/>
                <w:szCs w:val="8"/>
                <w:color w:val="auto"/>
              </w:rPr>
            </w:pPr>
          </w:p>
        </w:tc>
        <w:tc>
          <w:tcPr>
            <w:tcW w:w="5700" w:type="dxa"/>
            <w:vAlign w:val="bottom"/>
            <w:tcBorders>
              <w:bottom w:val="single" w:sz="8" w:color="auto"/>
            </w:tcBorders>
            <w:gridSpan w:val="2"/>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840" w:type="dxa"/>
            <w:vAlign w:val="bottom"/>
            <w:tcBorders>
              <w:bottom w:val="single" w:sz="8" w:color="auto"/>
            </w:tcBorders>
          </w:tcPr>
          <w:p>
            <w:pPr>
              <w:spacing w:after="0"/>
              <w:rPr>
                <w:sz w:val="8"/>
                <w:szCs w:val="8"/>
                <w:color w:val="auto"/>
              </w:rPr>
            </w:pPr>
          </w:p>
        </w:tc>
      </w:tr>
      <w:tr>
        <w:trPr>
          <w:trHeight w:val="370"/>
        </w:trPr>
        <w:tc>
          <w:tcPr>
            <w:tcW w:w="180" w:type="dxa"/>
            <w:vAlign w:val="bottom"/>
          </w:tcPr>
          <w:p>
            <w:pPr>
              <w:spacing w:after="0"/>
              <w:rPr>
                <w:sz w:val="24"/>
                <w:szCs w:val="24"/>
                <w:color w:val="auto"/>
              </w:rPr>
            </w:pPr>
          </w:p>
        </w:tc>
        <w:tc>
          <w:tcPr>
            <w:tcW w:w="11240" w:type="dxa"/>
            <w:vAlign w:val="bottom"/>
            <w:gridSpan w:val="4"/>
          </w:tcPr>
          <w:p>
            <w:pPr>
              <w:ind w:left="280"/>
              <w:spacing w:after="0"/>
              <w:rPr>
                <w:sz w:val="20"/>
                <w:szCs w:val="20"/>
                <w:color w:val="auto"/>
              </w:rPr>
            </w:pPr>
            <w:r>
              <w:rPr>
                <w:rFonts w:ascii="Arial" w:cs="Arial" w:eastAsia="Arial" w:hAnsi="Arial"/>
                <w:sz w:val="18"/>
                <w:szCs w:val="18"/>
                <w:color w:val="auto"/>
              </w:rPr>
              <w:t>(a) Exhibits</w:t>
            </w:r>
          </w:p>
        </w:tc>
      </w:tr>
      <w:tr>
        <w:trPr>
          <w:trHeight w:val="340"/>
        </w:trPr>
        <w:tc>
          <w:tcPr>
            <w:tcW w:w="1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68"/>
        </w:trPr>
        <w:tc>
          <w:tcPr>
            <w:tcW w:w="1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52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840" w:type="dxa"/>
            <w:vAlign w:val="bottom"/>
          </w:tcPr>
          <w:p>
            <w:pPr>
              <w:spacing w:after="0"/>
              <w:rPr>
                <w:sz w:val="14"/>
                <w:szCs w:val="14"/>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00" w:type="dxa"/>
            <w:vAlign w:val="bottom"/>
          </w:tcPr>
          <w:p>
            <w:pPr>
              <w:ind w:left="100"/>
              <w:spacing w:after="0"/>
              <w:rPr>
                <w:sz w:val="20"/>
                <w:szCs w:val="20"/>
                <w:color w:val="auto"/>
              </w:rPr>
            </w:pPr>
            <w:r>
              <w:rPr>
                <w:rFonts w:ascii="Arial" w:cs="Arial" w:eastAsia="Arial" w:hAnsi="Arial"/>
                <w:sz w:val="18"/>
                <w:szCs w:val="18"/>
                <w:color w:val="auto"/>
              </w:rPr>
              <w:t>10.29*</w:t>
            </w:r>
          </w:p>
        </w:tc>
        <w:tc>
          <w:tcPr>
            <w:tcW w:w="10520" w:type="dxa"/>
            <w:vAlign w:val="bottom"/>
          </w:tcPr>
          <w:p>
            <w:pPr>
              <w:ind w:left="140"/>
              <w:spacing w:after="0"/>
              <w:rPr>
                <w:sz w:val="20"/>
                <w:szCs w:val="20"/>
                <w:color w:val="auto"/>
              </w:rPr>
            </w:pPr>
            <w:r>
              <w:rPr>
                <w:rFonts w:ascii="Arial" w:cs="Arial" w:eastAsia="Arial" w:hAnsi="Arial"/>
                <w:sz w:val="18"/>
                <w:szCs w:val="18"/>
                <w:color w:val="auto"/>
              </w:rPr>
              <w:t>Form of 2011 Equity Incentive Award Plan Stock Option Agreement (filed herewith)</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10.30*</w:t>
            </w:r>
          </w:p>
        </w:tc>
        <w:tc>
          <w:tcPr>
            <w:tcW w:w="10520" w:type="dxa"/>
            <w:vAlign w:val="bottom"/>
          </w:tcPr>
          <w:p>
            <w:pPr>
              <w:ind w:left="140"/>
              <w:spacing w:after="0"/>
              <w:rPr>
                <w:sz w:val="20"/>
                <w:szCs w:val="20"/>
                <w:color w:val="auto"/>
              </w:rPr>
            </w:pPr>
            <w:r>
              <w:rPr>
                <w:rFonts w:ascii="Arial" w:cs="Arial" w:eastAsia="Arial" w:hAnsi="Arial"/>
                <w:sz w:val="18"/>
                <w:szCs w:val="18"/>
                <w:color w:val="auto"/>
              </w:rPr>
              <w:t>Form of 2011 Equity Incentive Award Plan Restricted Stock Unit Agreement for Non-Employee Directors (filed herewith)</w:t>
            </w:r>
          </w:p>
        </w:tc>
      </w:tr>
      <w:tr>
        <w:trPr>
          <w:trHeight w:val="324"/>
        </w:trPr>
        <w:tc>
          <w:tcPr>
            <w:tcW w:w="900" w:type="dxa"/>
            <w:vAlign w:val="bottom"/>
          </w:tcPr>
          <w:p>
            <w:pPr>
              <w:ind w:left="100"/>
              <w:spacing w:after="0"/>
              <w:rPr>
                <w:sz w:val="20"/>
                <w:szCs w:val="20"/>
                <w:color w:val="auto"/>
              </w:rPr>
            </w:pPr>
            <w:r>
              <w:rPr>
                <w:rFonts w:ascii="Arial" w:cs="Arial" w:eastAsia="Arial" w:hAnsi="Arial"/>
                <w:sz w:val="18"/>
                <w:szCs w:val="18"/>
                <w:color w:val="auto"/>
              </w:rPr>
              <w:t>10.31*</w:t>
            </w:r>
          </w:p>
        </w:tc>
        <w:tc>
          <w:tcPr>
            <w:tcW w:w="10520" w:type="dxa"/>
            <w:vAlign w:val="bottom"/>
          </w:tcPr>
          <w:p>
            <w:pPr>
              <w:ind w:left="140"/>
              <w:spacing w:after="0"/>
              <w:rPr>
                <w:sz w:val="20"/>
                <w:szCs w:val="20"/>
                <w:color w:val="auto"/>
              </w:rPr>
            </w:pPr>
            <w:r>
              <w:rPr>
                <w:rFonts w:ascii="Arial" w:cs="Arial" w:eastAsia="Arial" w:hAnsi="Arial"/>
                <w:sz w:val="18"/>
                <w:szCs w:val="18"/>
                <w:color w:val="auto"/>
              </w:rPr>
              <w:t>Amended and Restated Non-Employee Director Compensation Policy (filed herewith)</w:t>
            </w: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10.32</w:t>
            </w:r>
          </w:p>
        </w:tc>
        <w:tc>
          <w:tcPr>
            <w:tcW w:w="10520" w:type="dxa"/>
            <w:vAlign w:val="bottom"/>
          </w:tcPr>
          <w:p>
            <w:pPr>
              <w:ind w:left="140"/>
              <w:spacing w:after="0"/>
              <w:rPr>
                <w:sz w:val="20"/>
                <w:szCs w:val="20"/>
                <w:color w:val="auto"/>
              </w:rPr>
            </w:pPr>
            <w:r>
              <w:rPr>
                <w:rFonts w:ascii="Arial" w:cs="Arial" w:eastAsia="Arial" w:hAnsi="Arial"/>
                <w:sz w:val="18"/>
                <w:szCs w:val="18"/>
                <w:color w:val="auto"/>
                <w:w w:val="90"/>
              </w:rPr>
              <w:t>Amendment No. 8 to the Credit Agreement, dated as of August 26, 2013, among Allison Transmission Holdings, Inc., Allison Transmission, Inc.,</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89"/>
              </w:rPr>
              <w:t>as Borrower, the several banks and other financial institutions or entities from time to time parties thereto as Lenders, Citicorp North America, Inc.,</w:t>
            </w:r>
          </w:p>
        </w:tc>
      </w:tr>
      <w:tr>
        <w:trPr>
          <w:trHeight w:val="216"/>
        </w:trPr>
        <w:tc>
          <w:tcPr>
            <w:tcW w:w="900" w:type="dxa"/>
            <w:vAlign w:val="bottom"/>
          </w:tcPr>
          <w:p>
            <w:pPr>
              <w:spacing w:after="0"/>
              <w:rPr>
                <w:sz w:val="18"/>
                <w:szCs w:val="18"/>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w w:val="91"/>
              </w:rPr>
              <w:t>as Administrative Agent and the other agents and arrangers party thereto (incorporated by reference to Exhibit 10.1 to the Registrant’s Current</w:t>
            </w:r>
          </w:p>
        </w:tc>
      </w:tr>
      <w:tr>
        <w:trPr>
          <w:trHeight w:val="222"/>
        </w:trPr>
        <w:tc>
          <w:tcPr>
            <w:tcW w:w="90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Report on Form 8-K filed August 26, 2013)</w:t>
            </w:r>
          </w:p>
        </w:tc>
      </w:tr>
      <w:tr>
        <w:trPr>
          <w:trHeight w:val="318"/>
        </w:trPr>
        <w:tc>
          <w:tcPr>
            <w:tcW w:w="900" w:type="dxa"/>
            <w:vAlign w:val="bottom"/>
          </w:tcPr>
          <w:p>
            <w:pPr>
              <w:ind w:left="100"/>
              <w:spacing w:after="0"/>
              <w:rPr>
                <w:sz w:val="20"/>
                <w:szCs w:val="20"/>
                <w:color w:val="auto"/>
              </w:rPr>
            </w:pPr>
            <w:r>
              <w:rPr>
                <w:rFonts w:ascii="Arial" w:cs="Arial" w:eastAsia="Arial" w:hAnsi="Arial"/>
                <w:sz w:val="18"/>
                <w:szCs w:val="18"/>
                <w:color w:val="auto"/>
              </w:rPr>
              <w:t>31.1</w:t>
            </w:r>
          </w:p>
        </w:tc>
        <w:tc>
          <w:tcPr>
            <w:tcW w:w="10520" w:type="dxa"/>
            <w:vAlign w:val="bottom"/>
          </w:tcPr>
          <w:p>
            <w:pPr>
              <w:ind w:left="140"/>
              <w:spacing w:after="0"/>
              <w:rPr>
                <w:sz w:val="20"/>
                <w:szCs w:val="20"/>
                <w:color w:val="auto"/>
              </w:rPr>
            </w:pPr>
            <w:r>
              <w:rPr>
                <w:rFonts w:ascii="Arial" w:cs="Arial" w:eastAsia="Arial" w:hAnsi="Arial"/>
                <w:sz w:val="18"/>
                <w:szCs w:val="18"/>
                <w:color w:val="auto"/>
              </w:rPr>
              <w:t>Certification of Chief Executive Officer pursuant to Rule 13a-14(a)/15d-14(a) as adopted pursuant to</w:t>
            </w:r>
          </w:p>
        </w:tc>
      </w:tr>
      <w:tr>
        <w:trPr>
          <w:trHeight w:val="222"/>
        </w:trPr>
        <w:tc>
          <w:tcPr>
            <w:tcW w:w="90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00" w:type="dxa"/>
            <w:vAlign w:val="bottom"/>
          </w:tcPr>
          <w:p>
            <w:pPr>
              <w:ind w:left="100"/>
              <w:spacing w:after="0"/>
              <w:rPr>
                <w:sz w:val="20"/>
                <w:szCs w:val="20"/>
                <w:color w:val="auto"/>
              </w:rPr>
            </w:pPr>
            <w:r>
              <w:rPr>
                <w:rFonts w:ascii="Arial" w:cs="Arial" w:eastAsia="Arial" w:hAnsi="Arial"/>
                <w:sz w:val="18"/>
                <w:szCs w:val="18"/>
                <w:color w:val="auto"/>
              </w:rPr>
              <w:t>31.2</w:t>
            </w:r>
          </w:p>
        </w:tc>
        <w:tc>
          <w:tcPr>
            <w:tcW w:w="10520" w:type="dxa"/>
            <w:vAlign w:val="bottom"/>
          </w:tcPr>
          <w:p>
            <w:pPr>
              <w:ind w:left="140"/>
              <w:spacing w:after="0"/>
              <w:rPr>
                <w:sz w:val="20"/>
                <w:szCs w:val="20"/>
                <w:color w:val="auto"/>
              </w:rPr>
            </w:pPr>
            <w:r>
              <w:rPr>
                <w:rFonts w:ascii="Arial" w:cs="Arial" w:eastAsia="Arial" w:hAnsi="Arial"/>
                <w:sz w:val="18"/>
                <w:szCs w:val="18"/>
                <w:color w:val="auto"/>
              </w:rPr>
              <w:t>Certification of Chief Financial Officer pursuant to Rule 13a-14(a)/15d-14(a) as adopted pursuant to</w:t>
            </w:r>
          </w:p>
        </w:tc>
      </w:tr>
      <w:tr>
        <w:trPr>
          <w:trHeight w:val="222"/>
        </w:trPr>
        <w:tc>
          <w:tcPr>
            <w:tcW w:w="90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 (filed herewith)</w:t>
            </w:r>
          </w:p>
        </w:tc>
      </w:tr>
      <w:tr>
        <w:trPr>
          <w:trHeight w:val="331"/>
        </w:trPr>
        <w:tc>
          <w:tcPr>
            <w:tcW w:w="900" w:type="dxa"/>
            <w:vAlign w:val="bottom"/>
          </w:tcPr>
          <w:p>
            <w:pPr>
              <w:ind w:left="100"/>
              <w:spacing w:after="0"/>
              <w:rPr>
                <w:sz w:val="20"/>
                <w:szCs w:val="20"/>
                <w:color w:val="auto"/>
              </w:rPr>
            </w:pPr>
            <w:r>
              <w:rPr>
                <w:rFonts w:ascii="Arial" w:cs="Arial" w:eastAsia="Arial" w:hAnsi="Arial"/>
                <w:sz w:val="18"/>
                <w:szCs w:val="18"/>
                <w:color w:val="auto"/>
              </w:rPr>
              <w:t>32.1</w:t>
            </w:r>
          </w:p>
        </w:tc>
        <w:tc>
          <w:tcPr>
            <w:tcW w:w="10520" w:type="dxa"/>
            <w:vAlign w:val="bottom"/>
          </w:tcPr>
          <w:p>
            <w:pPr>
              <w:ind w:left="140"/>
              <w:spacing w:after="0"/>
              <w:rPr>
                <w:sz w:val="20"/>
                <w:szCs w:val="20"/>
                <w:color w:val="auto"/>
              </w:rPr>
            </w:pPr>
            <w:r>
              <w:rPr>
                <w:rFonts w:ascii="Arial" w:cs="Arial" w:eastAsia="Arial" w:hAnsi="Arial"/>
                <w:sz w:val="18"/>
                <w:szCs w:val="18"/>
                <w:color w:val="auto"/>
                <w:w w:val="89"/>
              </w:rPr>
              <w:t>Certification of Periodic Report by Chief Executive Officer and Chief Financial Officer pursuant to 18 U.S.C. Section 1350, as adopted pursuant to</w:t>
            </w:r>
          </w:p>
        </w:tc>
      </w:tr>
      <w:tr>
        <w:trPr>
          <w:trHeight w:val="222"/>
        </w:trPr>
        <w:tc>
          <w:tcPr>
            <w:tcW w:w="900" w:type="dxa"/>
            <w:vAlign w:val="bottom"/>
          </w:tcPr>
          <w:p>
            <w:pPr>
              <w:spacing w:after="0"/>
              <w:rPr>
                <w:sz w:val="19"/>
                <w:szCs w:val="19"/>
                <w:color w:val="auto"/>
              </w:rPr>
            </w:pPr>
          </w:p>
        </w:tc>
        <w:tc>
          <w:tcPr>
            <w:tcW w:w="10520" w:type="dxa"/>
            <w:vAlign w:val="bottom"/>
          </w:tcPr>
          <w:p>
            <w:pPr>
              <w:ind w:left="140"/>
              <w:spacing w:after="0"/>
              <w:rPr>
                <w:sz w:val="20"/>
                <w:szCs w:val="20"/>
                <w:color w:val="auto"/>
              </w:rPr>
            </w:pPr>
            <w:r>
              <w:rPr>
                <w:rFonts w:ascii="Arial" w:cs="Arial" w:eastAsia="Arial" w:hAnsi="Arial"/>
                <w:sz w:val="18"/>
                <w:szCs w:val="18"/>
                <w:color w:val="auto"/>
              </w:rPr>
              <w:t>Section 906 of the Sarbanes-Oxley Act of 2002 (filed herewith)</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105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 w:lineRule="exact"/>
        <w:rPr>
          <w:sz w:val="20"/>
          <w:szCs w:val="20"/>
          <w:color w:val="auto"/>
        </w:rPr>
      </w:pPr>
    </w:p>
    <w:p>
      <w:pPr>
        <w:ind w:left="220" w:right="80" w:hanging="212"/>
        <w:spacing w:after="0" w:line="255"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40" w:type="dxa"/>
            <w:vAlign w:val="bottom"/>
          </w:tcPr>
          <w:p>
            <w:pPr>
              <w:spacing w:after="0"/>
              <w:rPr>
                <w:sz w:val="20"/>
                <w:szCs w:val="20"/>
                <w:color w:val="auto"/>
              </w:rPr>
            </w:pPr>
            <w:r>
              <w:rPr>
                <w:rFonts w:ascii="Arial" w:cs="Arial" w:eastAsia="Arial" w:hAnsi="Arial"/>
                <w:sz w:val="18"/>
                <w:szCs w:val="18"/>
                <w:color w:val="auto"/>
              </w:rPr>
              <w:t>Date: October 29, 2013</w:t>
            </w:r>
          </w:p>
        </w:tc>
        <w:tc>
          <w:tcPr>
            <w:tcW w:w="7780" w:type="dxa"/>
            <w:vAlign w:val="bottom"/>
            <w:gridSpan w:val="2"/>
          </w:tcPr>
          <w:p>
            <w:pPr>
              <w:ind w:left="2180"/>
              <w:spacing w:after="0"/>
              <w:rPr>
                <w:sz w:val="20"/>
                <w:szCs w:val="20"/>
                <w:color w:val="auto"/>
              </w:rPr>
            </w:pPr>
            <w:r>
              <w:rPr>
                <w:rFonts w:ascii="Arial" w:cs="Arial" w:eastAsia="Arial" w:hAnsi="Arial"/>
                <w:sz w:val="18"/>
                <w:szCs w:val="18"/>
                <w:b w:val="1"/>
                <w:bCs w:val="1"/>
                <w:color w:val="auto"/>
              </w:rPr>
              <w:t>ALLISON TRANSMISSION HOLDINGS, INC.</w:t>
            </w:r>
          </w:p>
        </w:tc>
      </w:tr>
      <w:tr>
        <w:trPr>
          <w:trHeight w:val="434"/>
        </w:trPr>
        <w:tc>
          <w:tcPr>
            <w:tcW w:w="3640" w:type="dxa"/>
            <w:vAlign w:val="bottom"/>
          </w:tcPr>
          <w:p>
            <w:pPr>
              <w:spacing w:after="0"/>
              <w:rPr>
                <w:sz w:val="24"/>
                <w:szCs w:val="24"/>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E. Dewey</w:t>
            </w:r>
          </w:p>
        </w:tc>
      </w:tr>
      <w:tr>
        <w:trPr>
          <w:trHeight w:val="215"/>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Lawrence E. Dewey</w:t>
            </w:r>
          </w:p>
        </w:tc>
      </w:tr>
      <w:tr>
        <w:trPr>
          <w:trHeight w:val="222"/>
        </w:trPr>
        <w:tc>
          <w:tcPr>
            <w:tcW w:w="3640" w:type="dxa"/>
            <w:vAlign w:val="bottom"/>
          </w:tcPr>
          <w:p>
            <w:pPr>
              <w:spacing w:after="0"/>
              <w:rPr>
                <w:sz w:val="19"/>
                <w:szCs w:val="19"/>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434"/>
        </w:trPr>
        <w:tc>
          <w:tcPr>
            <w:tcW w:w="3640" w:type="dxa"/>
            <w:vAlign w:val="bottom"/>
          </w:tcPr>
          <w:p>
            <w:pPr>
              <w:spacing w:after="0"/>
              <w:rPr>
                <w:sz w:val="20"/>
                <w:szCs w:val="20"/>
                <w:color w:val="auto"/>
              </w:rPr>
            </w:pPr>
            <w:r>
              <w:rPr>
                <w:rFonts w:ascii="Arial" w:cs="Arial" w:eastAsia="Arial" w:hAnsi="Arial"/>
                <w:sz w:val="18"/>
                <w:szCs w:val="18"/>
                <w:color w:val="auto"/>
              </w:rPr>
              <w:t>Date: October 29, 2013</w:t>
            </w:r>
          </w:p>
        </w:tc>
        <w:tc>
          <w:tcPr>
            <w:tcW w:w="2760" w:type="dxa"/>
            <w:vAlign w:val="bottom"/>
          </w:tcPr>
          <w:p>
            <w:pPr>
              <w:ind w:left="21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S. Graziosi</w:t>
            </w:r>
          </w:p>
        </w:tc>
      </w:tr>
      <w:tr>
        <w:trPr>
          <w:trHeight w:val="215"/>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David S. Graziosi</w:t>
            </w:r>
          </w:p>
        </w:tc>
      </w:tr>
      <w:tr>
        <w:trPr>
          <w:trHeight w:val="216"/>
        </w:trPr>
        <w:tc>
          <w:tcPr>
            <w:tcW w:w="3640" w:type="dxa"/>
            <w:vAlign w:val="bottom"/>
          </w:tcPr>
          <w:p>
            <w:pPr>
              <w:spacing w:after="0"/>
              <w:rPr>
                <w:sz w:val="18"/>
                <w:szCs w:val="18"/>
                <w:color w:val="auto"/>
              </w:rPr>
            </w:pPr>
          </w:p>
        </w:tc>
        <w:tc>
          <w:tcPr>
            <w:tcW w:w="2760" w:type="dxa"/>
            <w:vAlign w:val="bottom"/>
          </w:tcPr>
          <w:p>
            <w:pPr>
              <w:ind w:left="21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Executive Vice President, Chief</w:t>
            </w:r>
          </w:p>
        </w:tc>
      </w:tr>
      <w:tr>
        <w:trPr>
          <w:trHeight w:val="216"/>
        </w:trPr>
        <w:tc>
          <w:tcPr>
            <w:tcW w:w="36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Financial Officer and Treasurer</w:t>
            </w:r>
          </w:p>
        </w:tc>
      </w:tr>
      <w:tr>
        <w:trPr>
          <w:trHeight w:val="222"/>
        </w:trPr>
        <w:tc>
          <w:tcPr>
            <w:tcW w:w="364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640" w:type="dxa"/>
            <w:vAlign w:val="bottom"/>
          </w:tcPr>
          <w:p>
            <w:pPr>
              <w:spacing w:after="0"/>
              <w:rPr>
                <w:sz w:val="24"/>
                <w:szCs w:val="24"/>
                <w:color w:val="auto"/>
              </w:rPr>
            </w:pPr>
          </w:p>
        </w:tc>
        <w:tc>
          <w:tcPr>
            <w:tcW w:w="2760" w:type="dxa"/>
            <w:vAlign w:val="bottom"/>
          </w:tcPr>
          <w:p>
            <w:pPr>
              <w:ind w:left="1980"/>
              <w:spacing w:after="0"/>
              <w:rPr>
                <w:sz w:val="20"/>
                <w:szCs w:val="20"/>
                <w:color w:val="auto"/>
              </w:rPr>
            </w:pPr>
            <w:r>
              <w:rPr>
                <w:rFonts w:ascii="Arial" w:cs="Arial" w:eastAsia="Arial" w:hAnsi="Arial"/>
                <w:sz w:val="18"/>
                <w:szCs w:val="18"/>
                <w:color w:val="auto"/>
              </w:rPr>
              <w:t>40</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u w:val="single" w:color="auto"/>
          <w:color w:val="auto"/>
        </w:rPr>
        <w:t>Exhibit 10.29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EQUITY INCENTIVE AWARD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NOTICE</w:t>
      </w:r>
    </w:p>
    <w:p>
      <w:pPr>
        <w:spacing w:after="0" w:line="177"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Allison Transmission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2011 Equity Incentive Award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an option to purchase the number of shares of Common Stock (“</w:t>
      </w:r>
      <w:r>
        <w:rPr>
          <w:rFonts w:ascii="Arial" w:cs="Arial" w:eastAsia="Arial" w:hAnsi="Arial"/>
          <w:sz w:val="16"/>
          <w:szCs w:val="16"/>
          <w:u w:val="single" w:color="auto"/>
          <w:color w:val="auto"/>
        </w:rPr>
        <w:t>Stock</w:t>
      </w:r>
      <w:r>
        <w:rPr>
          <w:rFonts w:ascii="Arial" w:cs="Arial" w:eastAsia="Arial" w:hAnsi="Arial"/>
          <w:sz w:val="16"/>
          <w:szCs w:val="16"/>
          <w:color w:val="auto"/>
        </w:rPr>
        <w:t>”) set forth below (the “</w:t>
      </w:r>
      <w:r>
        <w:rPr>
          <w:rFonts w:ascii="Arial" w:cs="Arial" w:eastAsia="Arial" w:hAnsi="Arial"/>
          <w:sz w:val="16"/>
          <w:szCs w:val="16"/>
          <w:u w:val="single" w:color="auto"/>
          <w:color w:val="auto"/>
        </w:rPr>
        <w:t>Option</w:t>
      </w:r>
      <w:r>
        <w:rPr>
          <w:rFonts w:ascii="Arial" w:cs="Arial" w:eastAsia="Arial" w:hAnsi="Arial"/>
          <w:sz w:val="16"/>
          <w:szCs w:val="16"/>
          <w:color w:val="auto"/>
        </w:rPr>
        <w:t>”). The Option is subject to the terms and conditions set forth in this Stock Option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the Stock Option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which are incorporated herein by reference. Unless otherwise defined herein, the terms defined in the Plan shall have the same defined meanings in the Grant Notice and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ectPr>
          <w:pgSz w:w="11900" w:h="16838" w:orient="portrait"/>
          <w:cols w:equalWidth="0" w:num="1">
            <w:col w:w="11420"/>
          </w:cols>
          <w:pgMar w:left="240" w:top="125"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 Price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sectPr>
          <w:pgSz w:w="11900" w:h="16838" w:orient="portrait"/>
          <w:cols w:equalWidth="0" w:num="2">
            <w:col w:w="1900" w:space="6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Total Exercise Price: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t>
      </w:r>
    </w:p>
    <w:p>
      <w:pPr>
        <w:spacing w:after="0" w:line="157"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ind w:right="740"/>
        <w:spacing w:after="0" w:line="262" w:lineRule="auto"/>
        <w:rPr>
          <w:sz w:val="20"/>
          <w:szCs w:val="20"/>
          <w:color w:val="auto"/>
        </w:rPr>
      </w:pPr>
      <w:r>
        <w:rPr>
          <w:rFonts w:ascii="Arial" w:cs="Arial" w:eastAsia="Arial" w:hAnsi="Arial"/>
          <w:sz w:val="18"/>
          <w:szCs w:val="18"/>
          <w:b w:val="1"/>
          <w:bCs w:val="1"/>
          <w:color w:val="auto"/>
        </w:rPr>
        <w:t>Total Number of Shares Subject to the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shares</w:t>
      </w:r>
    </w:p>
    <w:p>
      <w:pPr>
        <w:spacing w:after="0" w:line="157" w:lineRule="exact"/>
        <w:rPr>
          <w:sz w:val="20"/>
          <w:szCs w:val="20"/>
          <w:color w:val="auto"/>
        </w:rPr>
      </w:pPr>
    </w:p>
    <w:p>
      <w:pPr>
        <w:sectPr>
          <w:pgSz w:w="11900" w:h="16838" w:orient="portrait"/>
          <w:cols w:equalWidth="0" w:num="2">
            <w:col w:w="2320" w:space="720"/>
            <w:col w:w="838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Expiration Date:</w:t>
      </w:r>
    </w:p>
    <w:p>
      <w:pPr>
        <w:sectPr>
          <w:pgSz w:w="11900" w:h="16838" w:orient="portrait"/>
          <w:cols w:equalWidth="0" w:num="1">
            <w:col w:w="11420"/>
          </w:cols>
          <w:pgMar w:left="240" w:top="125" w:right="239" w:bottom="1440" w:gutter="0" w:footer="0" w:header="0"/>
          <w:type w:val="continuous"/>
        </w:sectPr>
      </w:pP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[To be specified in individual agreements]</w:t>
      </w:r>
    </w:p>
    <w:p>
      <w:pPr>
        <w:spacing w:after="0" w:line="134"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Non-Qualified Stock Option</w:t>
      </w:r>
    </w:p>
    <w:p>
      <w:pPr>
        <w:spacing w:after="0" w:line="194" w:lineRule="exact"/>
        <w:rPr>
          <w:sz w:val="20"/>
          <w:szCs w:val="20"/>
          <w:color w:val="auto"/>
        </w:rPr>
      </w:pPr>
    </w:p>
    <w:p>
      <w:pPr>
        <w:sectPr>
          <w:pgSz w:w="11900" w:h="16838" w:orient="portrait"/>
          <w:cols w:equalWidth="0" w:num="2">
            <w:col w:w="1800" w:space="720"/>
            <w:col w:w="8900"/>
          </w:cols>
          <w:pgMar w:left="240" w:top="125" w:right="239" w:bottom="1440" w:gutter="0" w:footer="0" w:header="0"/>
          <w:type w:val="continuous"/>
        </w:sectPr>
      </w:pPr>
    </w:p>
    <w:p>
      <w:pPr>
        <w:ind w:right="40" w:firstLine="456"/>
        <w:spacing w:after="0" w:line="298" w:lineRule="auto"/>
        <w:rPr>
          <w:sz w:val="20"/>
          <w:szCs w:val="20"/>
          <w:color w:val="auto"/>
        </w:rPr>
      </w:pPr>
      <w:r>
        <w:rPr>
          <w:rFonts w:ascii="Arial" w:cs="Arial" w:eastAsia="Arial" w:hAnsi="Arial"/>
          <w:sz w:val="16"/>
          <w:szCs w:val="16"/>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ALLISON TRANSMISSION HOLDINGS, INC.</w:t>
            </w:r>
          </w:p>
        </w:tc>
        <w:tc>
          <w:tcPr>
            <w:tcW w:w="5580" w:type="dxa"/>
            <w:vAlign w:val="bottom"/>
            <w:gridSpan w:val="2"/>
          </w:tcPr>
          <w:p>
            <w:pPr>
              <w:ind w:left="120"/>
              <w:spacing w:after="0"/>
              <w:rPr>
                <w:sz w:val="20"/>
                <w:szCs w:val="20"/>
                <w:color w:val="auto"/>
              </w:rPr>
            </w:pPr>
            <w:r>
              <w:rPr>
                <w:rFonts w:ascii="Arial" w:cs="Arial" w:eastAsia="Arial" w:hAnsi="Arial"/>
                <w:sz w:val="18"/>
                <w:szCs w:val="18"/>
                <w:b w:val="1"/>
                <w:bCs w:val="1"/>
                <w:color w:val="auto"/>
              </w:rPr>
              <w:t>PARTICIPANT</w:t>
            </w:r>
          </w:p>
        </w:tc>
      </w:tr>
      <w:tr>
        <w:trPr>
          <w:trHeight w:val="434"/>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4"/>
                <w:szCs w:val="24"/>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4"/>
                <w:szCs w:val="24"/>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4680" w:type="dxa"/>
            <w:vAlign w:val="bottom"/>
            <w:tcBorders>
              <w:bottom w:val="single" w:sz="8" w:color="auto"/>
            </w:tcBorders>
          </w:tcPr>
          <w:p>
            <w:pPr>
              <w:spacing w:after="0"/>
              <w:rPr>
                <w:sz w:val="19"/>
                <w:szCs w:val="19"/>
                <w:color w:val="auto"/>
              </w:rPr>
            </w:pPr>
          </w:p>
        </w:tc>
        <w:tc>
          <w:tcPr>
            <w:tcW w:w="1240" w:type="dxa"/>
            <w:vAlign w:val="bottom"/>
          </w:tcPr>
          <w:p>
            <w:pPr>
              <w:ind w:left="120"/>
              <w:spacing w:after="0"/>
              <w:rPr>
                <w:sz w:val="20"/>
                <w:szCs w:val="20"/>
                <w:color w:val="auto"/>
              </w:rPr>
            </w:pPr>
            <w:r>
              <w:rPr>
                <w:rFonts w:ascii="Arial" w:cs="Arial" w:eastAsia="Arial" w:hAnsi="Arial"/>
                <w:sz w:val="18"/>
                <w:szCs w:val="18"/>
                <w:color w:val="auto"/>
              </w:rPr>
              <w:t>Print Name:</w:t>
            </w:r>
          </w:p>
        </w:tc>
        <w:tc>
          <w:tcPr>
            <w:tcW w:w="4340" w:type="dxa"/>
            <w:vAlign w:val="bottom"/>
            <w:tcBorders>
              <w:bottom w:val="single" w:sz="8" w:color="auto"/>
            </w:tcBorders>
          </w:tcPr>
          <w:p>
            <w:pPr>
              <w:spacing w:after="0"/>
              <w:rPr>
                <w:sz w:val="19"/>
                <w:szCs w:val="19"/>
                <w:color w:val="auto"/>
              </w:rPr>
            </w:pPr>
          </w:p>
        </w:tc>
      </w:tr>
      <w:tr>
        <w:trPr>
          <w:trHeight w:val="221"/>
        </w:trPr>
        <w:tc>
          <w:tcPr>
            <w:tcW w:w="5840" w:type="dxa"/>
            <w:vAlign w:val="bottom"/>
            <w:gridSpan w:val="2"/>
          </w:tcPr>
          <w:p>
            <w:pPr>
              <w:spacing w:after="0"/>
              <w:rPr>
                <w:sz w:val="20"/>
                <w:szCs w:val="20"/>
                <w:color w:val="auto"/>
              </w:rPr>
            </w:pPr>
            <w:r>
              <w:rPr>
                <w:rFonts w:ascii="Arial" w:cs="Arial" w:eastAsia="Arial" w:hAnsi="Arial"/>
                <w:sz w:val="18"/>
                <w:szCs w:val="18"/>
                <w:color w:val="auto"/>
              </w:rPr>
              <w:t>Title:</w:t>
            </w:r>
          </w:p>
        </w:tc>
        <w:tc>
          <w:tcPr>
            <w:tcW w:w="1240" w:type="dxa"/>
            <w:vAlign w:val="bottom"/>
          </w:tcPr>
          <w:p>
            <w:pPr>
              <w:spacing w:after="0"/>
              <w:rPr>
                <w:sz w:val="19"/>
                <w:szCs w:val="19"/>
                <w:color w:val="auto"/>
              </w:rPr>
            </w:pPr>
          </w:p>
        </w:tc>
        <w:tc>
          <w:tcPr>
            <w:tcW w:w="4340" w:type="dxa"/>
            <w:vAlign w:val="bottom"/>
          </w:tcPr>
          <w:p>
            <w:pPr>
              <w:spacing w:after="0"/>
              <w:rPr>
                <w:sz w:val="19"/>
                <w:szCs w:val="19"/>
                <w:color w:val="auto"/>
              </w:rPr>
            </w:pPr>
          </w:p>
        </w:tc>
      </w:tr>
      <w:tr>
        <w:trPr>
          <w:trHeight w:val="225"/>
        </w:trPr>
        <w:tc>
          <w:tcPr>
            <w:tcW w:w="1160" w:type="dxa"/>
            <w:vAlign w:val="bottom"/>
          </w:tcPr>
          <w:p>
            <w:pPr>
              <w:spacing w:after="0"/>
              <w:rPr>
                <w:sz w:val="19"/>
                <w:szCs w:val="19"/>
                <w:color w:val="auto"/>
              </w:rPr>
            </w:pPr>
          </w:p>
        </w:tc>
        <w:tc>
          <w:tcPr>
            <w:tcW w:w="4680" w:type="dxa"/>
            <w:vAlign w:val="bottom"/>
            <w:tcBorders>
              <w:top w:val="single" w:sz="8" w:color="auto"/>
            </w:tcBorders>
          </w:tcPr>
          <w:p>
            <w:pPr>
              <w:spacing w:after="0"/>
              <w:rPr>
                <w:sz w:val="19"/>
                <w:szCs w:val="19"/>
                <w:color w:val="auto"/>
              </w:rPr>
            </w:pPr>
          </w:p>
        </w:tc>
        <w:tc>
          <w:tcPr>
            <w:tcW w:w="5580" w:type="dxa"/>
            <w:vAlign w:val="bottom"/>
            <w:gridSpan w:val="2"/>
          </w:tcPr>
          <w:p>
            <w:pPr>
              <w:ind w:left="120"/>
              <w:spacing w:after="0"/>
              <w:rPr>
                <w:sz w:val="20"/>
                <w:szCs w:val="20"/>
                <w:color w:val="auto"/>
              </w:rPr>
            </w:pPr>
            <w:r>
              <w:rPr>
                <w:rFonts w:ascii="Arial" w:cs="Arial" w:eastAsia="Arial" w:hAnsi="Arial"/>
                <w:sz w:val="18"/>
                <w:szCs w:val="18"/>
                <w:color w:val="auto"/>
              </w:rPr>
              <w:t>Address:</w:t>
            </w:r>
          </w:p>
        </w:tc>
      </w:tr>
      <w:tr>
        <w:trPr>
          <w:trHeight w:val="223"/>
        </w:trPr>
        <w:tc>
          <w:tcPr>
            <w:tcW w:w="116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340" w:type="dxa"/>
            <w:vAlign w:val="bottom"/>
            <w:tcBorders>
              <w:top w:val="single" w:sz="8" w:color="auto"/>
              <w:bottom w:val="single" w:sz="8" w:color="auto"/>
            </w:tcBorders>
          </w:tcPr>
          <w:p>
            <w:pPr>
              <w:spacing w:after="0"/>
              <w:rPr>
                <w:sz w:val="19"/>
                <w:szCs w:val="19"/>
                <w:color w:val="auto"/>
              </w:rPr>
            </w:pPr>
          </w:p>
        </w:tc>
      </w:tr>
    </w:tbl>
    <w:p>
      <w:pPr>
        <w:sectPr>
          <w:pgSz w:w="11900" w:h="16838" w:orient="portrait"/>
          <w:cols w:equalWidth="0" w:num="1">
            <w:col w:w="11420"/>
          </w:cols>
          <w:pgMar w:left="240" w:top="125" w:right="239" w:bottom="1440" w:gutter="0" w:footer="0" w:header="0"/>
          <w:type w:val="continuous"/>
        </w:sectPr>
      </w:pPr>
    </w:p>
    <w:bookmarkStart w:id="41" w:name="page42"/>
    <w:bookmarkEnd w:id="4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STOCK OPTION GRANT NOTICE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an Option under the Plan to purchase the number of shares of Stock set forth in the Grant Notice.</w:t>
      </w: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ARTICLE 1.</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set forth in this Agreement and the Plan, which is incorporated herein by reference. In the event of any inconsistency between the Plan and this Agreement, the terms of the Plan shall control.</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OPTION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 of Option</w:t>
      </w:r>
      <w:r>
        <w:rPr>
          <w:rFonts w:ascii="Arial" w:cs="Arial" w:eastAsia="Arial" w:hAnsi="Arial"/>
          <w:sz w:val="16"/>
          <w:szCs w:val="16"/>
          <w:color w:val="auto"/>
        </w:rPr>
        <w:t>. 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Option to purchase any part or all of an aggregate of the number of shares of Stock set forth in the Grant Notice, upon the terms and conditions set forth in the Grant Notice, the Plan and this Agreement, subject to adjustments as provided in Section 12.2 of the Plan.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of the shares of Stock subject to the Option (the “</w:t>
      </w:r>
      <w:r>
        <w:rPr>
          <w:rFonts w:ascii="Arial" w:cs="Arial" w:eastAsia="Arial" w:hAnsi="Arial"/>
          <w:sz w:val="16"/>
          <w:szCs w:val="16"/>
          <w:u w:val="single" w:color="auto"/>
          <w:color w:val="auto"/>
        </w:rPr>
        <w:t>Exercise Price</w:t>
      </w:r>
      <w:r>
        <w:rPr>
          <w:rFonts w:ascii="Arial" w:cs="Arial" w:eastAsia="Arial" w:hAnsi="Arial"/>
          <w:sz w:val="16"/>
          <w:szCs w:val="16"/>
          <w:color w:val="auto"/>
        </w:rPr>
        <w:t>”) shall be as set forth in the Grant Notice.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Consideration to the Company</w:t>
      </w:r>
      <w:r>
        <w:rPr>
          <w:rFonts w:ascii="Arial" w:cs="Arial" w:eastAsia="Arial" w:hAnsi="Arial"/>
          <w:sz w:val="16"/>
          <w:szCs w:val="16"/>
          <w:color w:val="auto"/>
        </w:rPr>
        <w:t>. In consideration of the grant of the Option by the Company, Participant agrees to render faithful and efficient services to the Company or any Subsidiary. Nothing in the Plan, the Grant Notice or this Agreement shall confer upon Participant any right to continue in the employ or service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PERIOD OF EXERCISABILITY</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90" w:lineRule="exact"/>
        <w:rPr>
          <w:sz w:val="20"/>
          <w:szCs w:val="20"/>
          <w:color w:val="auto"/>
        </w:rPr>
      </w:pPr>
    </w:p>
    <w:p>
      <w:pPr>
        <w:ind w:left="460" w:right="360" w:firstLine="443"/>
        <w:spacing w:after="0" w:line="268" w:lineRule="auto"/>
        <w:tabs>
          <w:tab w:leader="none" w:pos="1137"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Subject to Sections 3.2, 3.3, 5.9 and 5.14 hereof, the Option shall become vested and exercisable in such amounts and at such times as are set forth in the Grant Notice.</w:t>
      </w:r>
    </w:p>
    <w:p>
      <w:pPr>
        <w:spacing w:after="0" w:line="50" w:lineRule="exact"/>
        <w:rPr>
          <w:rFonts w:ascii="Arial" w:cs="Arial" w:eastAsia="Arial" w:hAnsi="Arial"/>
          <w:sz w:val="18"/>
          <w:szCs w:val="18"/>
          <w:color w:val="auto"/>
        </w:rPr>
      </w:pPr>
    </w:p>
    <w:p>
      <w:pPr>
        <w:ind w:left="460" w:right="80" w:firstLine="443"/>
        <w:spacing w:after="0" w:line="259" w:lineRule="auto"/>
        <w:tabs>
          <w:tab w:leader="none" w:pos="114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portion of the Option which has not become vested and exercisable at the date of Participant’s Termination of Service shall thereafter become vested and exercisable, except as may be otherwise provided by the Administrator or as set forth in a written agreement between the Company and Participant.</w:t>
      </w:r>
    </w:p>
    <w:p>
      <w:pPr>
        <w:spacing w:after="0" w:line="5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ectPr>
          <w:pgSz w:w="11900" w:h="16838" w:orient="portrait"/>
          <w:cols w:equalWidth="0" w:num="1">
            <w:col w:w="11420"/>
          </w:cols>
          <w:pgMar w:left="240" w:top="274"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3.3 </w:t>
      </w:r>
      <w:r>
        <w:rPr>
          <w:rFonts w:ascii="Arial" w:cs="Arial" w:eastAsia="Arial" w:hAnsi="Arial"/>
          <w:sz w:val="18"/>
          <w:szCs w:val="18"/>
          <w:u w:val="single" w:color="auto"/>
          <w:color w:val="auto"/>
        </w:rPr>
        <w:t>Expiration of Option</w:t>
      </w:r>
      <w:r>
        <w:rPr>
          <w:rFonts w:ascii="Arial" w:cs="Arial" w:eastAsia="Arial" w:hAnsi="Arial"/>
          <w:sz w:val="18"/>
          <w:szCs w:val="18"/>
          <w:color w:val="auto"/>
        </w:rPr>
        <w:t>. The Option may not be exercised to any extent by anyone after the first to occur of the following events:</w:t>
      </w:r>
    </w:p>
    <w:p>
      <w:pPr>
        <w:spacing w:after="0" w:line="90" w:lineRule="exact"/>
        <w:rPr>
          <w:sz w:val="20"/>
          <w:szCs w:val="20"/>
          <w:color w:val="auto"/>
        </w:rPr>
      </w:pPr>
    </w:p>
    <w:p>
      <w:pPr>
        <w:ind w:left="1140" w:hanging="237"/>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expiration date set forth in the Grant Notice;</w:t>
      </w:r>
    </w:p>
    <w:p>
      <w:pPr>
        <w:spacing w:after="0" w:line="90" w:lineRule="exact"/>
        <w:rPr>
          <w:rFonts w:ascii="Arial" w:cs="Arial" w:eastAsia="Arial" w:hAnsi="Arial"/>
          <w:sz w:val="18"/>
          <w:szCs w:val="18"/>
          <w:color w:val="auto"/>
        </w:rPr>
      </w:pPr>
    </w:p>
    <w:p>
      <w:pPr>
        <w:ind w:left="460" w:right="280" w:firstLine="443"/>
        <w:spacing w:after="0" w:line="332"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Except as the Administrator may otherwise approve, in the event of Participant’s Termination of Service other than for Cause or by reason of Participant’s death, disability or Retirement (as defined below), the expiration of three (3) months from the date of Participant’s Termination of Service;</w:t>
      </w:r>
    </w:p>
    <w:p>
      <w:pPr>
        <w:spacing w:after="0" w:line="4" w:lineRule="exact"/>
        <w:rPr>
          <w:rFonts w:ascii="Arial" w:cs="Arial" w:eastAsia="Arial" w:hAnsi="Arial"/>
          <w:sz w:val="16"/>
          <w:szCs w:val="16"/>
          <w:color w:val="auto"/>
        </w:rPr>
      </w:pPr>
    </w:p>
    <w:p>
      <w:pPr>
        <w:ind w:left="460" w:firstLine="443"/>
        <w:spacing w:after="0" w:line="268" w:lineRule="auto"/>
        <w:tabs>
          <w:tab w:leader="none" w:pos="1137"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the expiration of one (1) year from the date of Participant’s Termination of Service by reason of Participant’s death or disability;</w:t>
      </w:r>
    </w:p>
    <w:p>
      <w:pPr>
        <w:spacing w:after="0" w:line="50" w:lineRule="exact"/>
        <w:rPr>
          <w:rFonts w:ascii="Arial" w:cs="Arial" w:eastAsia="Arial" w:hAnsi="Arial"/>
          <w:sz w:val="18"/>
          <w:szCs w:val="18"/>
          <w:color w:val="auto"/>
        </w:rPr>
      </w:pPr>
    </w:p>
    <w:p>
      <w:pPr>
        <w:ind w:left="460" w:right="40" w:firstLine="443"/>
        <w:spacing w:after="0" w:line="298" w:lineRule="auto"/>
        <w:tabs>
          <w:tab w:leader="none" w:pos="1147"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Except as the Administrator may otherwise approve, (i) if the Participant retires from his position at the Company after attaining age 65, the expiration of thirty-six (36) months following the Participant’s retirement, or (ii) if the Participant retires from his position at the Company before attaining age 65 and the Participant has ninety (90) or more points (calculated as a combination of age and years of service with the Company), the expiration of twenty-four (24) months from the date of the Participant’s retirement (together, </w:t>
      </w:r>
      <w:r>
        <w:rPr>
          <w:rFonts w:ascii="Arial" w:cs="Arial" w:eastAsia="Arial" w:hAnsi="Arial"/>
          <w:sz w:val="16"/>
          <w:szCs w:val="16"/>
          <w:u w:val="single" w:color="auto"/>
          <w:color w:val="auto"/>
        </w:rPr>
        <w:t>“Retirement</w:t>
      </w:r>
      <w:r>
        <w:rPr>
          <w:rFonts w:ascii="Arial" w:cs="Arial" w:eastAsia="Arial" w:hAnsi="Arial"/>
          <w:sz w:val="16"/>
          <w:szCs w:val="16"/>
          <w:color w:val="auto"/>
        </w:rPr>
        <w:t>”); or</w:t>
      </w:r>
    </w:p>
    <w:p>
      <w:pPr>
        <w:spacing w:after="0" w:line="31" w:lineRule="exact"/>
        <w:rPr>
          <w:rFonts w:ascii="Arial" w:cs="Arial" w:eastAsia="Arial" w:hAnsi="Arial"/>
          <w:sz w:val="16"/>
          <w:szCs w:val="16"/>
          <w:color w:val="auto"/>
        </w:rPr>
      </w:pPr>
    </w:p>
    <w:p>
      <w:pPr>
        <w:ind w:left="1140" w:hanging="237"/>
        <w:spacing w:after="0"/>
        <w:tabs>
          <w:tab w:leader="none" w:pos="11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the Administrator may otherwise approve, upon Participant’s Termination of Service for Cause.</w:t>
      </w:r>
    </w:p>
    <w:p>
      <w:pPr>
        <w:spacing w:after="0" w:line="171"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As used in this Agreement, “</w:t>
      </w:r>
      <w:r>
        <w:rPr>
          <w:rFonts w:ascii="Arial" w:cs="Arial" w:eastAsia="Arial" w:hAnsi="Arial"/>
          <w:sz w:val="16"/>
          <w:szCs w:val="16"/>
          <w:u w:val="single" w:color="auto"/>
          <w:color w:val="auto"/>
        </w:rPr>
        <w:t>Cause</w:t>
      </w:r>
      <w:r>
        <w:rPr>
          <w:rFonts w:ascii="Arial" w:cs="Arial" w:eastAsia="Arial" w:hAnsi="Arial"/>
          <w:sz w:val="16"/>
          <w:szCs w:val="16"/>
          <w:color w:val="auto"/>
        </w:rPr>
        <w:t xml:space="preserve">” shall mean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w:t>
      </w:r>
      <w:r>
        <w:rPr>
          <w:rFonts w:ascii="Arial" w:cs="Arial" w:eastAsia="Arial" w:hAnsi="Arial"/>
          <w:sz w:val="16"/>
          <w:szCs w:val="16"/>
          <w:i w:val="1"/>
          <w:iCs w:val="1"/>
          <w:color w:val="auto"/>
        </w:rPr>
        <w:t>nolo contendere</w:t>
      </w:r>
      <w:r>
        <w:rPr>
          <w:rFonts w:ascii="Arial" w:cs="Arial" w:eastAsia="Arial" w:hAnsi="Arial"/>
          <w:sz w:val="16"/>
          <w:szCs w:val="16"/>
          <w:color w:val="auto"/>
        </w:rPr>
        <w:t>,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w:t>
      </w:r>
    </w:p>
    <w:p>
      <w:pPr>
        <w:spacing w:after="0" w:line="2" w:lineRule="exact"/>
        <w:rPr>
          <w:sz w:val="20"/>
          <w:szCs w:val="20"/>
          <w:color w:val="auto"/>
        </w:rPr>
      </w:pPr>
    </w:p>
    <w:p>
      <w:pPr>
        <w:ind w:right="60" w:firstLine="8"/>
        <w:spacing w:after="0" w:line="255" w:lineRule="auto"/>
        <w:tabs>
          <w:tab w:leader="none" w:pos="239"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Participant’s commission of an act of fraud, embezzlement, misappropriation, misconduct, or breach of fiduciary duty against the Company of any of its Subsidiaries. Notwithstanding the foregoing, if Participant is a party to a written employment or consulting agreement with the Company (or its Subsidiary), then “</w:t>
      </w:r>
      <w:r>
        <w:rPr>
          <w:rFonts w:ascii="Arial" w:cs="Arial" w:eastAsia="Arial" w:hAnsi="Arial"/>
          <w:sz w:val="18"/>
          <w:szCs w:val="18"/>
          <w:u w:val="single" w:color="auto"/>
          <w:color w:val="auto"/>
        </w:rPr>
        <w:t>Cause</w:t>
      </w:r>
      <w:r>
        <w:rPr>
          <w:rFonts w:ascii="Arial" w:cs="Arial" w:eastAsia="Arial" w:hAnsi="Arial"/>
          <w:sz w:val="18"/>
          <w:szCs w:val="18"/>
          <w:color w:val="auto"/>
        </w:rPr>
        <w:t>” shall be as such term is defined in the applicable written employment or consulting agreement.</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90" w:lineRule="exact"/>
        <w:rPr>
          <w:sz w:val="20"/>
          <w:szCs w:val="20"/>
          <w:color w:val="auto"/>
        </w:rPr>
      </w:pPr>
    </w:p>
    <w:p>
      <w:pPr>
        <w:ind w:left="460" w:firstLine="443"/>
        <w:spacing w:after="0" w:line="256" w:lineRule="auto"/>
        <w:tabs>
          <w:tab w:leader="none" w:pos="1137"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62" w:lineRule="exact"/>
        <w:rPr>
          <w:rFonts w:ascii="Arial" w:cs="Arial" w:eastAsia="Arial" w:hAnsi="Arial"/>
          <w:sz w:val="18"/>
          <w:szCs w:val="18"/>
          <w:color w:val="auto"/>
        </w:rPr>
      </w:pPr>
    </w:p>
    <w:p>
      <w:pPr>
        <w:ind w:left="1560" w:hanging="219"/>
        <w:spacing w:after="0"/>
        <w:tabs>
          <w:tab w:leader="none" w:pos="156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90" w:lineRule="exact"/>
        <w:rPr>
          <w:rFonts w:ascii="Arial" w:cs="Arial" w:eastAsia="Arial" w:hAnsi="Arial"/>
          <w:sz w:val="18"/>
          <w:szCs w:val="18"/>
          <w:color w:val="auto"/>
        </w:rPr>
      </w:pPr>
    </w:p>
    <w:p>
      <w:pPr>
        <w:ind w:left="920" w:right="240" w:firstLine="421"/>
        <w:spacing w:after="0" w:line="298" w:lineRule="auto"/>
        <w:tabs>
          <w:tab w:leader="none" w:pos="1647" w:val="left"/>
        </w:tabs>
        <w:numPr>
          <w:ilvl w:val="1"/>
          <w:numId w:val="9"/>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exercise of the Option, with the consent of the Administrator, by requesting that the Company withhold a net number of shares of Stock issuable upon the exercise of the Option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31" w:lineRule="exact"/>
        <w:rPr>
          <w:rFonts w:ascii="Arial" w:cs="Arial" w:eastAsia="Arial" w:hAnsi="Arial"/>
          <w:sz w:val="16"/>
          <w:szCs w:val="16"/>
          <w:color w:val="auto"/>
        </w:rPr>
      </w:pPr>
    </w:p>
    <w:p>
      <w:pPr>
        <w:ind w:left="920" w:right="260" w:firstLine="421"/>
        <w:spacing w:after="0" w:line="256" w:lineRule="auto"/>
        <w:tabs>
          <w:tab w:leader="none" w:pos="1637"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exercise of the Option, with the consent of the Administrator, by tendering to the Company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ectPr>
          <w:pgSz w:w="11900" w:h="16838" w:orient="portrait"/>
          <w:cols w:equalWidth="0" w:num="1">
            <w:col w:w="11400"/>
          </w:cols>
          <w:pgMar w:left="240" w:top="280" w:right="259" w:bottom="1440" w:gutter="0" w:footer="0" w:header="0"/>
        </w:sectPr>
      </w:pPr>
    </w:p>
    <w:bookmarkStart w:id="43" w:name="page44"/>
    <w:bookmarkEnd w:id="43"/>
    <w:p>
      <w:pPr>
        <w:ind w:left="920" w:firstLine="421"/>
        <w:spacing w:after="0" w:line="254" w:lineRule="auto"/>
        <w:tabs>
          <w:tab w:leader="none" w:pos="1588" w:val="left"/>
        </w:tabs>
        <w:numPr>
          <w:ilvl w:val="1"/>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with respect to any withholding taxes arising in connection with the exercise of the Option, 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63" w:lineRule="exact"/>
        <w:rPr>
          <w:rFonts w:ascii="Arial" w:cs="Arial" w:eastAsia="Arial" w:hAnsi="Arial"/>
          <w:sz w:val="18"/>
          <w:szCs w:val="18"/>
          <w:color w:val="auto"/>
        </w:rPr>
      </w:pPr>
    </w:p>
    <w:p>
      <w:pPr>
        <w:ind w:left="1640" w:hanging="299"/>
        <w:spacing w:after="0"/>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90" w:lineRule="exact"/>
        <w:rPr>
          <w:rFonts w:ascii="Arial" w:cs="Arial" w:eastAsia="Arial" w:hAnsi="Arial"/>
          <w:sz w:val="18"/>
          <w:szCs w:val="18"/>
          <w:color w:val="auto"/>
        </w:rPr>
      </w:pPr>
    </w:p>
    <w:p>
      <w:pPr>
        <w:ind w:left="460" w:firstLine="443"/>
        <w:spacing w:after="0" w:line="290" w:lineRule="auto"/>
        <w:tabs>
          <w:tab w:leader="none" w:pos="1147"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Option, in the event Participant fails to provide timely payment of all sums required pursuant to Section 3.4(a), the Company shall have the right and option, but not the obligation, to treat such failure as an election by Participant to satisfy all or any portion of Participant’s required payment obligation pursuant to Section 3.4(a)(ii) or Section 3.4(a)(iii) above, or any combination of the foregoing as the Company may determine to be appropriate. The Company shall not be obligated to deliver any certificate representing shares of Stock issuable with respect to the exercise of the Option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exercise of the Option or any other taxable event related to the Option.</w:t>
      </w:r>
    </w:p>
    <w:p>
      <w:pPr>
        <w:spacing w:after="0" w:line="37" w:lineRule="exact"/>
        <w:rPr>
          <w:rFonts w:ascii="Arial" w:cs="Arial" w:eastAsia="Arial" w:hAnsi="Arial"/>
          <w:sz w:val="16"/>
          <w:szCs w:val="16"/>
          <w:color w:val="auto"/>
        </w:rPr>
      </w:pPr>
    </w:p>
    <w:p>
      <w:pPr>
        <w:ind w:left="460" w:right="80" w:firstLine="443"/>
        <w:spacing w:after="0" w:line="290" w:lineRule="auto"/>
        <w:tabs>
          <w:tab w:leader="none" w:pos="113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event any tax withholding obligation arising in connection with the Option will be satisfied under Section 3.4(a)(iii) above, then the Company may elect to instruct any brokerage firm determined acceptable to the Company for such purpose to sell on Participant’s behalf a whole number of shares from those shares of Stock that are issuable upon exercise of the Option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3.4(c), including the transactions described in the previous sentence, as applicable. The Company may refuse to issue any shares of Stock to Participant until the foregoing tax withholding obligations are satisfied.</w:t>
      </w:r>
    </w:p>
    <w:p>
      <w:pPr>
        <w:spacing w:after="0" w:line="37" w:lineRule="exact"/>
        <w:rPr>
          <w:rFonts w:ascii="Arial" w:cs="Arial" w:eastAsia="Arial" w:hAnsi="Arial"/>
          <w:sz w:val="16"/>
          <w:szCs w:val="16"/>
          <w:color w:val="auto"/>
        </w:rPr>
      </w:pPr>
    </w:p>
    <w:p>
      <w:pPr>
        <w:ind w:left="460" w:right="80" w:firstLine="443"/>
        <w:spacing w:after="0" w:line="255" w:lineRule="auto"/>
        <w:tabs>
          <w:tab w:leader="none" w:pos="11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Option, regardless of any action the Company or any Subsidiary takes with respect to any tax withholding obligations that arise in connection with the Option. Neither the Company nor any Subsidiary makes any representation or undertaking regarding the treatment of any tax withholding in connection with the awarding, vesting or exercise of the Option or the subsequent sale of Stock. The Company and the Subsidiaries do not commit and are under no obligation to structure the Option to reduce or eliminate Participant’s tax liability.</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4.</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EXERCISE OF OPTION</w:t>
      </w:r>
    </w:p>
    <w:p>
      <w:pPr>
        <w:spacing w:after="0" w:line="1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Person Eligible to Exercise</w:t>
      </w:r>
      <w:r>
        <w:rPr>
          <w:rFonts w:ascii="Arial" w:cs="Arial" w:eastAsia="Arial" w:hAnsi="Arial"/>
          <w:sz w:val="18"/>
          <w:szCs w:val="18"/>
          <w:color w:val="auto"/>
        </w:rPr>
        <w:t>. During the lifetime of Participant, only Participant may exercise the Option or any portion thereof. After the death of Participant, any exercisable portion of the Option may, prior to the time when the Option becomes unexercisable under Section 3.3 hereof, be exercised by Participant’s personal representative or by any person empowered to do so under the deceased Participant’s will or under the then applicable laws of descent and distribution.</w:t>
      </w:r>
    </w:p>
    <w:p>
      <w:pPr>
        <w:spacing w:after="0" w:line="62"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Partial Exercise</w:t>
      </w:r>
      <w:r>
        <w:rPr>
          <w:rFonts w:ascii="Arial" w:cs="Arial" w:eastAsia="Arial" w:hAnsi="Arial"/>
          <w:sz w:val="16"/>
          <w:szCs w:val="16"/>
          <w:color w:val="auto"/>
        </w:rPr>
        <w:t>. Subject to Section 5.2, any exercisable portion of the Option or the entire Option, if then wholly exercisable, may be exercised in whole or in part at any time prior to the time when the Option or portion thereof becomes unexercisable under Section 3.3 hereof.</w:t>
      </w:r>
    </w:p>
    <w:p>
      <w:pPr>
        <w:spacing w:after="0" w:line="4"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Manner of Exercise</w:t>
      </w:r>
      <w:r>
        <w:rPr>
          <w:rFonts w:ascii="Arial" w:cs="Arial" w:eastAsia="Arial" w:hAnsi="Arial"/>
          <w:sz w:val="16"/>
          <w:szCs w:val="16"/>
          <w:color w:val="auto"/>
        </w:rPr>
        <w:t>. Subject to Section 5.7 of the Plan, the Option, or any exercisable portion thereof, may be exercised solely by delivery to the Secretary of the Company (or any third party administrator or other person or entity designated by the Company), during regular business hours, of all of the following prior to the time when the Option or such portion thereof becomes unexercisable under Section 3.3 hereof:</w:t>
      </w:r>
    </w:p>
    <w:p>
      <w:pPr>
        <w:spacing w:after="0" w:line="26" w:lineRule="exact"/>
        <w:rPr>
          <w:sz w:val="20"/>
          <w:szCs w:val="20"/>
          <w:color w:val="auto"/>
        </w:rPr>
      </w:pPr>
    </w:p>
    <w:p>
      <w:pPr>
        <w:ind w:left="460" w:firstLine="443"/>
        <w:spacing w:after="0" w:line="268" w:lineRule="auto"/>
        <w:tabs>
          <w:tab w:leader="none" w:pos="1137"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exercise notice in a form specified by the Administrator, stating that the Option or portion thereof is thereby exercised, such notice complying with all applicable rules established by the Administrator;</w:t>
      </w:r>
    </w:p>
    <w:p>
      <w:pPr>
        <w:sectPr>
          <w:pgSz w:w="11900" w:h="16838" w:orient="portrait"/>
          <w:cols w:equalWidth="0" w:num="1">
            <w:col w:w="11360"/>
          </w:cols>
          <w:pgMar w:left="240" w:top="280" w:right="299" w:bottom="1440" w:gutter="0" w:footer="0" w:header="0"/>
        </w:sectPr>
      </w:pPr>
    </w:p>
    <w:bookmarkStart w:id="44" w:name="page45"/>
    <w:bookmarkEnd w:id="44"/>
    <w:p>
      <w:pPr>
        <w:ind w:left="460" w:right="60" w:firstLine="443"/>
        <w:spacing w:after="0" w:line="268" w:lineRule="auto"/>
        <w:tabs>
          <w:tab w:leader="none" w:pos="1147"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receipt by the Company of full payment for the shares of Stock with respect to which the Option or portion thereof is exercised, in such form of consideration permitted under Section 4.4 hereof that is acceptable to the Administrator;</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payment of any applicable withholding tax in accordance with Section 3.4;</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other written representations or documents as may be required in the Administrator’s sole discretion to effect compliance with Applicable</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Law; and</w:t>
      </w:r>
    </w:p>
    <w:p>
      <w:pPr>
        <w:spacing w:after="0" w:line="83" w:lineRule="exact"/>
        <w:rPr>
          <w:rFonts w:ascii="Arial" w:cs="Arial" w:eastAsia="Arial" w:hAnsi="Arial"/>
          <w:sz w:val="16"/>
          <w:szCs w:val="16"/>
          <w:color w:val="auto"/>
        </w:rPr>
      </w:pPr>
    </w:p>
    <w:p>
      <w:pPr>
        <w:ind w:left="460" w:right="540" w:firstLine="443"/>
        <w:spacing w:after="0" w:line="268" w:lineRule="auto"/>
        <w:tabs>
          <w:tab w:leader="none" w:pos="11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4.1 hereof by any person or persons other than Participant, appropriate proof of the right of such person or persons to exercise the Option.</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Notwithstanding any of the foregoing, the Administrator shall have the right to specify all conditions of the manner of exercise, which conditions may vary by country and which may be subject to change from time to time.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exercise price shall be by any of the following, or a combination thereof, at the election of Participant:</w:t>
      </w:r>
    </w:p>
    <w:p>
      <w:pPr>
        <w:spacing w:after="0" w:line="113" w:lineRule="exact"/>
        <w:rPr>
          <w:sz w:val="20"/>
          <w:szCs w:val="20"/>
          <w:color w:val="auto"/>
        </w:rPr>
      </w:pPr>
    </w:p>
    <w:p>
      <w:pPr>
        <w:ind w:left="1140" w:hanging="237"/>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90" w:lineRule="exact"/>
        <w:rPr>
          <w:rFonts w:ascii="Arial" w:cs="Arial" w:eastAsia="Arial" w:hAnsi="Arial"/>
          <w:sz w:val="18"/>
          <w:szCs w:val="18"/>
          <w:color w:val="auto"/>
        </w:rPr>
      </w:pPr>
    </w:p>
    <w:p>
      <w:pPr>
        <w:ind w:left="460" w:right="60" w:firstLine="443"/>
        <w:spacing w:after="0" w:line="306" w:lineRule="auto"/>
        <w:tabs>
          <w:tab w:leader="none" w:pos="11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Unless otherwise determined by the Administrator, surrender of shares of Stock (including, without limitation, shares of Stock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w:t>
      </w:r>
    </w:p>
    <w:p>
      <w:pPr>
        <w:spacing w:after="0" w:line="25" w:lineRule="exact"/>
        <w:rPr>
          <w:rFonts w:ascii="Arial" w:cs="Arial" w:eastAsia="Arial" w:hAnsi="Arial"/>
          <w:sz w:val="16"/>
          <w:szCs w:val="16"/>
          <w:color w:val="auto"/>
        </w:rPr>
      </w:pPr>
    </w:p>
    <w:p>
      <w:pPr>
        <w:ind w:left="460" w:firstLine="443"/>
        <w:spacing w:after="0" w:line="256" w:lineRule="auto"/>
        <w:tabs>
          <w:tab w:leader="none" w:pos="1137"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Through the delivery of a notice that Participant has placed a market sell order with a broker acceptable to the Company with respect to shares of Stock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at such time as may be required by the Administrator, but in any event not later than the settlement of such sale;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other form of legal consideration acceptable to the Administrator.</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Conditions to Issuance of Stock</w:t>
      </w:r>
      <w:r>
        <w:rPr>
          <w:rFonts w:ascii="Arial" w:cs="Arial" w:eastAsia="Arial" w:hAnsi="Arial"/>
          <w:sz w:val="16"/>
          <w:szCs w:val="16"/>
          <w:color w:val="auto"/>
        </w:rPr>
        <w:t>. The Company shall not be required to issue or deliver any shares of Stock purchased upon the exercise of the Option or portion thereof prior to fulfillment of all of the following conditions: (A) the admission of such shares of Stock to listing on all stock exchanges on which such Stock is then listed, (B) the completion of any registration or other qualification of such shares of Stock under any state or federal law or under rulings or regulations of the Securities and Exchange Commission or other governmental regulatory body, which the Administrator shall, in its absolute discretion, deem necessary or advisable, (C) the obtaining of any approval or other clearance from any state or federal governmental agency which the Administrator shall, in its absolute discretion, determine to be necessary or advisable, (D) the receipt by the Company of full payment for such shares of Stock, which may be in one or more of the forms of consideration permitted under Section 4.4 hereof, and (E) the receipt of full payment of any applicable withholding tax in accordance with Section 3.4 by the Company or its Subsidiary with respect to which the applicable withholding obligation arises.</w:t>
      </w:r>
    </w:p>
    <w:p>
      <w:pPr>
        <w:spacing w:after="0" w:line="3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Rights as Stockholder</w:t>
      </w:r>
      <w:r>
        <w:rPr>
          <w:rFonts w:ascii="Arial" w:cs="Arial" w:eastAsia="Arial" w:hAnsi="Arial"/>
          <w:sz w:val="16"/>
          <w:szCs w:val="16"/>
          <w:color w:val="auto"/>
        </w:rPr>
        <w:t>. Neither Participant nor any person claiming under or through Participant will have any of the rights or privileges of a stockholder of the Company in respect of any shares of Stock purchasable upon the exercise of any part of the Option unless and until certificates representing such shares of Stock (which may be in book-entry form) will have been issued and recorded on the records of the Company or its transfer agents or registrars and delivered to Participant (including through electronic delivery to a brokerage account). No adjustment will be made for a dividend or other right for which the record date is prior to the date of such issuance, recordation and delivery, except as provided in Section 12.2 of the Plan. Except as otherwise provided herein, after such issuance, recordation and delivery, Participant will have all the rights of a stockholder of the Company with respect to such shares of Stock, including, without limitation, the right to receipt of dividends and distributions on such shares.</w:t>
      </w:r>
    </w:p>
    <w:p>
      <w:pPr>
        <w:sectPr>
          <w:pgSz w:w="11900" w:h="16838" w:orient="portrait"/>
          <w:cols w:equalWidth="0" w:num="1">
            <w:col w:w="11420"/>
          </w:cols>
          <w:pgMar w:left="240" w:top="280"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Whole Shares</w:t>
      </w:r>
      <w:r>
        <w:rPr>
          <w:rFonts w:ascii="Arial" w:cs="Arial" w:eastAsia="Arial" w:hAnsi="Arial"/>
          <w:sz w:val="18"/>
          <w:szCs w:val="18"/>
          <w:color w:val="auto"/>
        </w:rPr>
        <w:t>. The Option may only be exercised for whole shares of Stock.</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Option Not Transferable</w:t>
      </w:r>
      <w:r>
        <w:rPr>
          <w:rFonts w:ascii="Arial" w:cs="Arial" w:eastAsia="Arial" w:hAnsi="Arial"/>
          <w:sz w:val="18"/>
          <w:szCs w:val="18"/>
          <w:color w:val="auto"/>
        </w:rPr>
        <w:t>. Subject to Section 4.1 hereof, the Option may not be sold, pledged, assigned or transferred in any manner other than by will or the laws of descent and distribution, unless and until the shares of Stock underlying the Option have been issued, and all restrictions applicable to such shares of Stock have lapsed. Neither the Option nor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6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 xml:space="preserve">5.4 </w:t>
      </w:r>
      <w:r>
        <w:rPr>
          <w:rFonts w:ascii="Arial" w:cs="Arial" w:eastAsia="Arial" w:hAnsi="Arial"/>
          <w:sz w:val="15"/>
          <w:szCs w:val="15"/>
          <w:u w:val="single" w:color="auto"/>
          <w:color w:val="auto"/>
        </w:rPr>
        <w:t>Adjustments</w:t>
      </w:r>
      <w:r>
        <w:rPr>
          <w:rFonts w:ascii="Arial" w:cs="Arial" w:eastAsia="Arial" w:hAnsi="Arial"/>
          <w:sz w:val="15"/>
          <w:szCs w:val="15"/>
          <w:color w:val="auto"/>
        </w:rPr>
        <w:t>. The Administrator may accelerate the vesting of all or a portion of the Option in such circumstances as it, in its sole discretion, may determine. In addition, upon the occurrence of certain events relating to the Stock contemplated by Section 12.2 of the Plan (including, without limitation, an extraordinary cash dividend on such Stock), the Administrator shall make such adjustments as the Administrator deems appropriate in the number of shares of Stock subject to the Option, the exercise price of the Option and the kind of securities that may be issued upon exercise of the Option. Participant acknowledges that the Option is subject to adjustment, modification and termination in certain events as provided in this Agreement and Section 12.2 of the Plan.</w:t>
      </w:r>
    </w:p>
    <w:p>
      <w:pPr>
        <w:spacing w:after="0" w:line="1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5.5, either party may hereafter designate a different address for notices to be given to that party. Any notice which is required to be given to Participant shall, if Participant is then deceased, be given to the person entitled to exercise the Option pursuant to Section 4.1 hereof by written notice under this Section 5.5.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Option is granted and may be exercised, only in such a manner as to conform to Applicable Law. To the extent permitted by Applicable Law, the Plan and this Agreement shall be deemed amended to the extent necessary to conform to Applicable Law.</w:t>
      </w:r>
    </w:p>
    <w:p>
      <w:pPr>
        <w:spacing w:after="0" w:line="35"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Participant.</w:t>
      </w:r>
    </w:p>
    <w:p>
      <w:pPr>
        <w:sectPr>
          <w:pgSz w:w="11900" w:h="16838" w:orient="portrait"/>
          <w:cols w:equalWidth="0" w:num="1">
            <w:col w:w="11420"/>
          </w:cols>
          <w:pgMar w:left="240" w:top="274" w:right="239" w:bottom="1440" w:gutter="0" w:footer="0" w:header="0"/>
        </w:sectPr>
      </w:pPr>
    </w:p>
    <w:bookmarkStart w:id="46" w:name="page47"/>
    <w:bookmarkEnd w:id="46"/>
    <w:p>
      <w:pPr>
        <w:ind w:right="6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5.10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set forth in Section 5.3 and the Plan, this Agreement shall be binding upon and inure to the benefit of the heirs, legatees, legal representatives, successors and assigns of the parties hereto.</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5.11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Section 16 of the Exchange Act, the Plan, the Option, the Grant Notice and this Agreement shall be subject to any additional limitations set forth in any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exemptive rule under Section 16 of the Exchange Act (including any amendment to Rule 16b-3 of the Exchange Act) that are requirements for the application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exemptive rule. To the extent permitted by Applicable Law, this Agreement shall be deemed amended to the extent necessary to conform to such applicable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exemptive rule.</w:t>
      </w:r>
    </w:p>
    <w:p>
      <w:pPr>
        <w:spacing w:after="0" w:line="8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u w:val="single" w:color="auto"/>
          <w:color w:val="auto"/>
        </w:rPr>
        <w:t>Section 409A</w:t>
      </w:r>
      <w:r>
        <w:rPr>
          <w:rFonts w:ascii="Arial" w:cs="Arial" w:eastAsia="Arial" w:hAnsi="Arial"/>
          <w:sz w:val="16"/>
          <w:szCs w:val="16"/>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u w:val="single" w:color="auto"/>
          <w:color w:val="auto"/>
        </w:rPr>
        <w:t>Section 409A</w:t>
      </w:r>
      <w:r>
        <w:rPr>
          <w:rFonts w:ascii="Arial" w:cs="Arial" w:eastAsia="Arial" w:hAnsi="Arial"/>
          <w:sz w:val="16"/>
          <w:szCs w:val="16"/>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3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5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Option, and rights no greater than the right to receive the Stock as a general unsecured creditor with respect to options, as and when exercised pursuant to the terms hereof.</w:t>
      </w:r>
    </w:p>
    <w:p>
      <w:pPr>
        <w:spacing w:after="0" w:line="35"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5.17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51"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5.18 </w:t>
      </w:r>
      <w:r>
        <w:rPr>
          <w:rFonts w:ascii="Arial" w:cs="Arial" w:eastAsia="Arial" w:hAnsi="Arial"/>
          <w:sz w:val="15"/>
          <w:szCs w:val="15"/>
          <w:u w:val="single" w:color="auto"/>
          <w:color w:val="auto"/>
        </w:rPr>
        <w:t>Broker-Assisted Sales</w:t>
      </w:r>
      <w:r>
        <w:rPr>
          <w:rFonts w:ascii="Arial" w:cs="Arial" w:eastAsia="Arial" w:hAnsi="Arial"/>
          <w:sz w:val="15"/>
          <w:szCs w:val="15"/>
          <w:color w:val="auto"/>
        </w:rPr>
        <w:t>. In the event of any broker-assisted sale of shares of Stock in connection with the payment of withholding taxes as provided in Section 3.4(a)(v) or Section 3.4(c) or the payment of the exercise price as provided in Section 4.4(c): (A) any shares of Stock to be sold through a broker-assisted sale will be sold on the day the tax withholding obligation or exercise of the Option, as applicable, occurs or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w:t>
      </w:r>
    </w:p>
    <w:p>
      <w:pPr>
        <w:sectPr>
          <w:pgSz w:w="11900" w:h="16838" w:orient="portrait"/>
          <w:cols w:equalWidth="0" w:num="1">
            <w:col w:w="11420"/>
          </w:cols>
          <w:pgMar w:left="240" w:top="280" w:right="23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expenses relating to any such sale; (D) to the extent the proceeds of such sale exceed the applicable tax withholding obligation or exercise price,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or exercise price; and (F) in the event the proceeds of such sale are insufficient to satisfy the applicable tax withholding obligation, Participant agrees to pay immediately upon demand to the Company or its Subsidiary with respect to which the withholding obligation arises, an amount sufficient to satisfy any remaining portion of the Company’s or the applicable Subsidiary’s withholding obligation.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240"/>
          </w:cols>
          <w:pgMar w:left="240" w:top="280" w:right="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10.30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INCENTIVE AWARD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GRANT NOTICE</w:t>
      </w:r>
    </w:p>
    <w:p>
      <w:pPr>
        <w:spacing w:after="0" w:line="1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Allison Transmission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pursuant to its 2011 Equity Incentive Award Plan, as amended from time to time (the “</w:t>
      </w:r>
      <w:r>
        <w:rPr>
          <w:rFonts w:ascii="Arial" w:cs="Arial" w:eastAsia="Arial" w:hAnsi="Arial"/>
          <w:sz w:val="16"/>
          <w:szCs w:val="16"/>
          <w:u w:val="single" w:color="auto"/>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u w:val="single" w:color="auto"/>
          <w:color w:val="auto"/>
        </w:rPr>
        <w:t>Participant</w:t>
      </w:r>
      <w:r>
        <w:rPr>
          <w:rFonts w:ascii="Arial" w:cs="Arial" w:eastAsia="Arial" w:hAnsi="Arial"/>
          <w:sz w:val="16"/>
          <w:szCs w:val="16"/>
          <w:color w:val="auto"/>
        </w:rPr>
        <w:t>”) the number of Restricted Stock Units (the “</w:t>
      </w:r>
      <w:r>
        <w:rPr>
          <w:rFonts w:ascii="Arial" w:cs="Arial" w:eastAsia="Arial" w:hAnsi="Arial"/>
          <w:sz w:val="16"/>
          <w:szCs w:val="16"/>
          <w:u w:val="single" w:color="auto"/>
          <w:color w:val="auto"/>
        </w:rPr>
        <w:t>RSUs</w:t>
      </w:r>
      <w:r>
        <w:rPr>
          <w:rFonts w:ascii="Arial" w:cs="Arial" w:eastAsia="Arial" w:hAnsi="Arial"/>
          <w:sz w:val="16"/>
          <w:szCs w:val="16"/>
          <w:color w:val="auto"/>
        </w:rPr>
        <w:t>”) set forth below. The RSUs are subject to the terms and conditions set forth in this Restricted Stock Unit Grant Notice (the “</w:t>
      </w:r>
      <w:r>
        <w:rPr>
          <w:rFonts w:ascii="Arial" w:cs="Arial" w:eastAsia="Arial" w:hAnsi="Arial"/>
          <w:sz w:val="16"/>
          <w:szCs w:val="16"/>
          <w:u w:val="single" w:color="auto"/>
          <w:color w:val="auto"/>
        </w:rPr>
        <w:t>Grant Notice</w:t>
      </w:r>
      <w:r>
        <w:rPr>
          <w:rFonts w:ascii="Arial" w:cs="Arial" w:eastAsia="Arial" w:hAnsi="Arial"/>
          <w:sz w:val="16"/>
          <w:szCs w:val="16"/>
          <w:color w:val="auto"/>
        </w:rPr>
        <w:t xml:space="preserve">”) and the Restricted Stock Unit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Agreement</w:t>
      </w:r>
      <w:r>
        <w:rPr>
          <w:rFonts w:ascii="Arial" w:cs="Arial" w:eastAsia="Arial" w:hAnsi="Arial"/>
          <w:sz w:val="16"/>
          <w:szCs w:val="16"/>
          <w:color w:val="auto"/>
        </w:rPr>
        <w:t>”) and the Plan, which are incorporated herein by reference. Unless otherwise defined herein, the terms defined in the Plan shall have the same defined meanings in the Grant Notice and the Agreement.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RSUs:</w:t>
      </w:r>
    </w:p>
    <w:p>
      <w:pPr>
        <w:sectPr>
          <w:pgSz w:w="11900" w:h="16838" w:orient="portrait"/>
          <w:cols w:equalWidth="0" w:num="1">
            <w:col w:w="11420"/>
          </w:cols>
          <w:pgMar w:left="240" w:top="125"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Type of Shares Issuable: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 Allison Transmission Holdings, Inc.</w:t>
      </w:r>
    </w:p>
    <w:p>
      <w:pPr>
        <w:spacing w:after="0" w:line="134" w:lineRule="exact"/>
        <w:rPr>
          <w:sz w:val="20"/>
          <w:szCs w:val="20"/>
          <w:color w:val="auto"/>
        </w:rPr>
      </w:pPr>
    </w:p>
    <w:p>
      <w:pPr>
        <w:sectPr>
          <w:pgSz w:w="11900" w:h="16838" w:orient="portrait"/>
          <w:cols w:equalWidth="0" w:num="2">
            <w:col w:w="2020" w:space="720"/>
            <w:col w:w="8680"/>
          </w:cols>
          <w:pgMar w:left="240" w:top="125" w:right="2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ind w:right="40"/>
        <w:spacing w:after="0" w:line="259" w:lineRule="auto"/>
        <w:rPr>
          <w:sz w:val="20"/>
          <w:szCs w:val="20"/>
          <w:color w:val="auto"/>
        </w:rPr>
      </w:pPr>
      <w:r>
        <w:rPr>
          <w:rFonts w:ascii="Arial" w:cs="Arial" w:eastAsia="Arial" w:hAnsi="Arial"/>
          <w:sz w:val="18"/>
          <w:szCs w:val="18"/>
          <w:color w:val="auto"/>
        </w:rPr>
        <w:t>The RSUs will vest on the first to occur of (A) date of the Company’s next regular annual shareholders meeting in the year following the year of grant, (B) the date of the Non-Employee Director’s Separation from Service, or (C) the date of a Change in Control, in each case as follows:</w:t>
      </w:r>
    </w:p>
    <w:p>
      <w:pPr>
        <w:spacing w:after="0" w:line="59" w:lineRule="exact"/>
        <w:rPr>
          <w:sz w:val="20"/>
          <w:szCs w:val="20"/>
          <w:color w:val="auto"/>
        </w:rPr>
      </w:pPr>
    </w:p>
    <w:p>
      <w:pPr>
        <w:sectPr>
          <w:pgSz w:w="11900" w:h="16838" w:orient="portrait"/>
          <w:cols w:equalWidth="0" w:num="2">
            <w:col w:w="2020" w:space="720"/>
            <w:col w:w="8680"/>
          </w:cols>
          <w:pgMar w:left="240" w:top="125" w:right="239" w:bottom="1440" w:gutter="0" w:footer="0" w:header="0"/>
          <w:type w:val="continuous"/>
        </w:sectPr>
      </w:pPr>
    </w:p>
    <w:p>
      <w:pPr>
        <w:ind w:left="3180" w:right="20"/>
        <w:spacing w:after="0" w:line="288" w:lineRule="auto"/>
        <w:rPr>
          <w:sz w:val="20"/>
          <w:szCs w:val="20"/>
          <w:color w:val="auto"/>
        </w:rPr>
      </w:pPr>
      <w:r>
        <w:rPr>
          <w:rFonts w:ascii="Arial" w:cs="Arial" w:eastAsia="Arial" w:hAnsi="Arial"/>
          <w:sz w:val="16"/>
          <w:szCs w:val="16"/>
          <w:color w:val="auto"/>
        </w:rPr>
        <w:t>the number of Restricted Stock Units that vest is equal to the number of Restricted Stock Units granted multiplied by the fraction of Board meetings the Non-Employee Director attended in the applicable year, where the numerator is the number of meetings attended and the denominator is the number of meetings held, provided that (x) if vesting occurs as a result of a Change in Control or the Non-Employee Director’s Separation from Service due to death or Disability, 100% of the Restricted Stock Units shall vest and (y) if vesting occurs as a result of a Separation from Service other than due to death or Disability, the number of Restricted Stock Units that vest shall be determined by the Company in good faith based on the number of meetings held and attended by the Non-Employee Director prior to such Separation from Service and the number of remaining meetings expected to be held during the applicable year.</w:t>
      </w:r>
    </w:p>
    <w:p>
      <w:pPr>
        <w:spacing w:after="0" w:line="3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Any Restricted Stock Units that do not vest shall be immediately forfeited as of the applicable vesting date.</w:t>
      </w:r>
    </w:p>
    <w:p>
      <w:pPr>
        <w:sectPr>
          <w:pgSz w:w="11900" w:h="16838" w:orient="portrait"/>
          <w:cols w:equalWidth="0" w:num="1">
            <w:col w:w="11420"/>
          </w:cols>
          <w:pgMar w:left="240" w:top="125" w:right="239" w:bottom="1440" w:gutter="0" w:footer="0" w:header="0"/>
          <w:type w:val="continuous"/>
        </w:sectPr>
      </w:pPr>
    </w:p>
    <w:p>
      <w:pPr>
        <w:spacing w:after="0" w:line="1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ectPr>
          <w:pgSz w:w="11900" w:h="16838" w:orient="portrait"/>
          <w:cols w:equalWidth="0" w:num="1">
            <w:col w:w="11420"/>
          </w:cols>
          <w:pgMar w:left="240" w:top="125" w:right="239" w:bottom="1440" w:gutter="0" w:footer="0" w:header="0"/>
          <w:type w:val="continuous"/>
        </w:sectPr>
      </w:pPr>
    </w:p>
    <w:bookmarkStart w:id="49" w:name="page50"/>
    <w:bookmarkEnd w:id="49"/>
    <w:tbl>
      <w:tblPr>
        <w:tblLayout w:type="fixed"/>
        <w:tblInd w:w="0" w:type="dxa"/>
        <w:tblCellMar>
          <w:top w:w="0" w:type="dxa"/>
          <w:left w:w="0" w:type="dxa"/>
          <w:bottom w:w="0" w:type="dxa"/>
          <w:right w:w="0" w:type="dxa"/>
        </w:tblCellMar>
      </w:tblPr>
      <w:tr>
        <w:trPr>
          <w:trHeight w:val="228"/>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ALLISON TRANSMISSION HOLDINGS, INC.</w:t>
            </w:r>
          </w:p>
        </w:tc>
        <w:tc>
          <w:tcPr>
            <w:tcW w:w="6140" w:type="dxa"/>
            <w:vAlign w:val="bottom"/>
            <w:gridSpan w:val="2"/>
          </w:tcPr>
          <w:p>
            <w:pPr>
              <w:ind w:left="102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Borders>
              <w:bottom w:val="single" w:sz="8" w:color="auto"/>
            </w:tcBorders>
          </w:tcPr>
          <w:p>
            <w:pPr>
              <w:spacing w:after="0"/>
              <w:rPr>
                <w:sz w:val="24"/>
                <w:szCs w:val="24"/>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20"/>
                <w:szCs w:val="20"/>
                <w:color w:val="auto"/>
              </w:rPr>
            </w:pPr>
            <w:r>
              <w:rPr>
                <w:rFonts w:ascii="Arial" w:cs="Arial" w:eastAsia="Arial" w:hAnsi="Arial"/>
                <w:sz w:val="18"/>
                <w:szCs w:val="18"/>
                <w:color w:val="auto"/>
              </w:rPr>
              <w:t>Print Name:</w:t>
            </w:r>
          </w:p>
        </w:tc>
        <w:tc>
          <w:tcPr>
            <w:tcW w:w="4120" w:type="dxa"/>
            <w:vAlign w:val="bottom"/>
            <w:tcBorders>
              <w:bottom w:val="single" w:sz="8" w:color="auto"/>
            </w:tcBorders>
          </w:tcPr>
          <w:p>
            <w:pPr>
              <w:spacing w:after="0"/>
              <w:rPr>
                <w:sz w:val="19"/>
                <w:szCs w:val="19"/>
                <w:color w:val="auto"/>
              </w:rPr>
            </w:pPr>
          </w:p>
        </w:tc>
        <w:tc>
          <w:tcPr>
            <w:tcW w:w="2160" w:type="dxa"/>
            <w:vAlign w:val="bottom"/>
          </w:tcPr>
          <w:p>
            <w:pPr>
              <w:ind w:left="1020"/>
              <w:spacing w:after="0"/>
              <w:rPr>
                <w:sz w:val="20"/>
                <w:szCs w:val="20"/>
                <w:color w:val="auto"/>
              </w:rPr>
            </w:pPr>
            <w:r>
              <w:rPr>
                <w:rFonts w:ascii="Arial" w:cs="Arial" w:eastAsia="Arial" w:hAnsi="Arial"/>
                <w:sz w:val="18"/>
                <w:szCs w:val="18"/>
                <w:color w:val="auto"/>
              </w:rPr>
              <w:t>Print Name:</w:t>
            </w:r>
          </w:p>
        </w:tc>
        <w:tc>
          <w:tcPr>
            <w:tcW w:w="3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Title:</w:t>
            </w:r>
          </w:p>
        </w:tc>
        <w:tc>
          <w:tcPr>
            <w:tcW w:w="216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Borders>
              <w:top w:val="single" w:sz="8" w:color="auto"/>
            </w:tcBorders>
          </w:tcPr>
          <w:p>
            <w:pPr>
              <w:spacing w:after="0"/>
              <w:rPr>
                <w:sz w:val="19"/>
                <w:szCs w:val="19"/>
                <w:color w:val="auto"/>
              </w:rPr>
            </w:pPr>
          </w:p>
        </w:tc>
        <w:tc>
          <w:tcPr>
            <w:tcW w:w="6140" w:type="dxa"/>
            <w:vAlign w:val="bottom"/>
            <w:gridSpan w:val="2"/>
          </w:tcPr>
          <w:p>
            <w:pPr>
              <w:ind w:left="10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25"/>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2160" w:type="dxa"/>
            <w:vAlign w:val="bottom"/>
            <w:vMerge w:val="restart"/>
          </w:tcPr>
          <w:p>
            <w:pPr>
              <w:ind w:left="400"/>
              <w:spacing w:after="0"/>
              <w:rPr>
                <w:sz w:val="20"/>
                <w:szCs w:val="20"/>
                <w:color w:val="auto"/>
              </w:rPr>
            </w:pPr>
            <w:r>
              <w:rPr>
                <w:rFonts w:ascii="Arial" w:cs="Arial" w:eastAsia="Arial" w:hAnsi="Arial"/>
                <w:sz w:val="18"/>
                <w:szCs w:val="18"/>
                <w:color w:val="auto"/>
              </w:rPr>
              <w:t>2</w:t>
            </w:r>
          </w:p>
        </w:tc>
        <w:tc>
          <w:tcPr>
            <w:tcW w:w="39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0" w:name="page51"/>
    <w:bookmarkEnd w:id="5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RESTRICTED STOCK UNIT GRANT NOTICE</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STOCK UNIT AGREEMENT</w:t>
      </w:r>
    </w:p>
    <w:p>
      <w:pPr>
        <w:spacing w:after="0" w:line="1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Pursuant to the Grant Notice to which this Agreement is attached, the Company has granted to Participant the number of RSUs set forth in the Grant Notice.</w:t>
      </w:r>
    </w:p>
    <w:p>
      <w:pPr>
        <w:spacing w:after="0" w:line="28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and the shares of Common Stock (“</w:t>
      </w:r>
      <w:r>
        <w:rPr>
          <w:rFonts w:ascii="Arial" w:cs="Arial" w:eastAsia="Arial" w:hAnsi="Arial"/>
          <w:sz w:val="18"/>
          <w:szCs w:val="18"/>
          <w:u w:val="single" w:color="auto"/>
          <w:color w:val="auto"/>
        </w:rPr>
        <w:t>Stock</w:t>
      </w:r>
      <w:r>
        <w:rPr>
          <w:rFonts w:ascii="Arial" w:cs="Arial" w:eastAsia="Arial" w:hAnsi="Arial"/>
          <w:sz w:val="18"/>
          <w:szCs w:val="18"/>
          <w:color w:val="auto"/>
        </w:rPr>
        <w:t>”) issued to Participant hereunder (“</w:t>
      </w:r>
      <w:r>
        <w:rPr>
          <w:rFonts w:ascii="Arial" w:cs="Arial" w:eastAsia="Arial" w:hAnsi="Arial"/>
          <w:sz w:val="18"/>
          <w:szCs w:val="18"/>
          <w:u w:val="single" w:color="auto"/>
          <w:color w:val="auto"/>
        </w:rPr>
        <w:t>Shares</w:t>
      </w:r>
      <w:r>
        <w:rPr>
          <w:rFonts w:ascii="Arial" w:cs="Arial" w:eastAsia="Arial" w:hAnsi="Arial"/>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296"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ARTICLE II.</w:t>
      </w:r>
    </w:p>
    <w:p>
      <w:pPr>
        <w:spacing w:after="0" w:line="17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AWARD OF RESTRICTED STOCK UNITS AND DIVIDEND EQUIVALENTS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RSUs and Dividend Equivalents</w:t>
      </w:r>
      <w:r>
        <w:rPr>
          <w:rFonts w:ascii="Arial" w:cs="Arial" w:eastAsia="Arial" w:hAnsi="Arial"/>
          <w:sz w:val="18"/>
          <w:szCs w:val="18"/>
          <w:color w:val="auto"/>
        </w:rPr>
        <w:t>.</w:t>
      </w:r>
    </w:p>
    <w:p>
      <w:pPr>
        <w:spacing w:after="0" w:line="90" w:lineRule="exact"/>
        <w:rPr>
          <w:sz w:val="20"/>
          <w:szCs w:val="20"/>
          <w:color w:val="auto"/>
        </w:rPr>
      </w:pPr>
    </w:p>
    <w:p>
      <w:pPr>
        <w:ind w:firstLine="921"/>
        <w:spacing w:after="0" w:line="290" w:lineRule="auto"/>
        <w:tabs>
          <w:tab w:leader="none" w:pos="11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number of RSUs set forth in the Grant Notice, upon the terms and conditions set forth in the Grant Notice, the Plan and this Agreement, subject to adjustments as provided in Section 12.2 of the Plan. Each RSU represents the right to receive one Share or, at the option of the Company, an amount of cash as set forth in Section 2.3(b), in either case, at the times and subject to the conditions set forth herein. However, unless and until the RSUs have vested, Participant will have no right to the payment of any Shares subject thereto. Prior to the actual delivery of any Shares, the RSUs will represent an unsecured obligation of the Company, payable only from the general assets of the Company.</w:t>
      </w:r>
    </w:p>
    <w:p>
      <w:pPr>
        <w:spacing w:after="0" w:line="37" w:lineRule="exact"/>
        <w:rPr>
          <w:rFonts w:ascii="Arial" w:cs="Arial" w:eastAsia="Arial" w:hAnsi="Arial"/>
          <w:sz w:val="16"/>
          <w:szCs w:val="16"/>
          <w:color w:val="auto"/>
        </w:rPr>
      </w:pPr>
    </w:p>
    <w:p>
      <w:pPr>
        <w:ind w:right="60" w:firstLine="921"/>
        <w:spacing w:after="0" w:line="290" w:lineRule="auto"/>
        <w:tabs>
          <w:tab w:leader="none" w:pos="1162"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Company hereby grants to Participant an Award of Dividend Equivalents with respect to each RSU granted pursuant to the Grant Notice for all ordinary cash dividends which are paid to all or substantially all holders of the outstanding shares of Stock between the Grant Date and the date when the applicable RSU is distributed or paid to Participant or is forfeited or expires. The Dividend Equivalents for each RSU shall be equal to the amount of cash which is paid as a dividend on one share of Stock. All such Dividend Equivalents shall be credited to Participant and be deemed to be reinvested in additional RSUs as of the date of payment of any such dividend based on the Fair Market Value of a share of Stock on such date. Each additional RSU which results from such deemed reinvestment of Dividend Equivalents granted hereunder shall be subject to the same vesting, distribution or payment, adjustment and other provisions which apply to the underlying RSU to which such additional RSU relates.</w:t>
      </w:r>
    </w:p>
    <w:p>
      <w:pPr>
        <w:sectPr>
          <w:pgSz w:w="11900" w:h="16838" w:orient="portrait"/>
          <w:cols w:equalWidth="0" w:num="1">
            <w:col w:w="11380"/>
          </w:cols>
          <w:pgMar w:left="240" w:top="274" w:right="279" w:bottom="1440" w:gutter="0" w:footer="0" w:header="0"/>
        </w:sectPr>
      </w:pPr>
    </w:p>
    <w:bookmarkStart w:id="51" w:name="page52"/>
    <w:bookmarkEnd w:id="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Vesting of RSUs and Dividend Equivalents</w:t>
      </w:r>
      <w:r>
        <w:rPr>
          <w:rFonts w:ascii="Arial" w:cs="Arial" w:eastAsia="Arial" w:hAnsi="Arial"/>
          <w:sz w:val="18"/>
          <w:szCs w:val="18"/>
          <w:color w:val="auto"/>
        </w:rPr>
        <w:t>.</w:t>
      </w:r>
    </w:p>
    <w:p>
      <w:pPr>
        <w:spacing w:after="0" w:line="90" w:lineRule="exact"/>
        <w:rPr>
          <w:sz w:val="20"/>
          <w:szCs w:val="20"/>
          <w:color w:val="auto"/>
        </w:rPr>
      </w:pPr>
    </w:p>
    <w:p>
      <w:pPr>
        <w:ind w:right="80" w:firstLine="921"/>
        <w:spacing w:after="0" w:line="256" w:lineRule="auto"/>
        <w:tabs>
          <w:tab w:leader="none" w:pos="1152"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Subject to Participant’s continued employment with or service to the Company or a Subsidiary on each applicable vesting date and subject to the terms of this Agreement, the RSUs shall vest in such amounts and at such times as are set forth in the Grant Notice. Each additional RSU which results from deemed reinvestments of Dividend Equivalents pursuant to Section 2.1(b) hereof shall vest whenever the underlying RSU to which such additional RSU relates vests.</w:t>
      </w:r>
    </w:p>
    <w:p>
      <w:pPr>
        <w:spacing w:after="0" w:line="62" w:lineRule="exact"/>
        <w:rPr>
          <w:rFonts w:ascii="Arial" w:cs="Arial" w:eastAsia="Arial" w:hAnsi="Arial"/>
          <w:sz w:val="18"/>
          <w:szCs w:val="18"/>
          <w:color w:val="auto"/>
        </w:rPr>
      </w:pPr>
    </w:p>
    <w:p>
      <w:pPr>
        <w:ind w:right="40" w:firstLine="921"/>
        <w:spacing w:after="0" w:line="256" w:lineRule="auto"/>
        <w:tabs>
          <w:tab w:leader="none" w:pos="116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the event Participant incurs a Termination of Service, except as may be otherwise provided by the Administrator or as set forth in a written agreement between Participant and the Company, Participant shall immediately forfeit any and all RSUs and Dividend Equivalents granted under this Agreement which have not vested or do not vest on or prior to the date on which such Termination of Service occurs, and Participant’s rights in any such RSUs and Dividend Equivalents which are not so vested shall lapse and expire.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Distribution or Payment of RSUs</w:t>
      </w:r>
      <w:r>
        <w:rPr>
          <w:rFonts w:ascii="Arial" w:cs="Arial" w:eastAsia="Arial" w:hAnsi="Arial"/>
          <w:sz w:val="18"/>
          <w:szCs w:val="18"/>
          <w:color w:val="auto"/>
        </w:rPr>
        <w:t>.</w:t>
      </w:r>
    </w:p>
    <w:p>
      <w:pPr>
        <w:spacing w:after="0" w:line="90" w:lineRule="exact"/>
        <w:rPr>
          <w:sz w:val="20"/>
          <w:szCs w:val="20"/>
          <w:color w:val="auto"/>
        </w:rPr>
      </w:pPr>
    </w:p>
    <w:p>
      <w:pPr>
        <w:ind w:right="120" w:firstLine="921"/>
        <w:spacing w:after="0" w:line="268" w:lineRule="auto"/>
        <w:tabs>
          <w:tab w:leader="none" w:pos="11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Participant’s RSUs shall be distributed in Shares (either in book-entry form or otherwise) or, at the option of the Company, paid in an amount of cash as set forth in Section 2.3(b), in either case, as follows:</w:t>
      </w:r>
    </w:p>
    <w:p>
      <w:pPr>
        <w:spacing w:after="0" w:line="50" w:lineRule="exact"/>
        <w:rPr>
          <w:rFonts w:ascii="Arial" w:cs="Arial" w:eastAsia="Arial" w:hAnsi="Arial"/>
          <w:sz w:val="18"/>
          <w:szCs w:val="18"/>
          <w:color w:val="auto"/>
        </w:rPr>
      </w:pPr>
    </w:p>
    <w:p>
      <w:pPr>
        <w:ind w:right="100" w:firstLine="1492"/>
        <w:spacing w:after="0" w:line="306" w:lineRule="auto"/>
        <w:tabs>
          <w:tab w:leader="none" w:pos="1693" w:val="left"/>
        </w:tabs>
        <w:numPr>
          <w:ilvl w:val="1"/>
          <w:numId w:val="17"/>
        </w:numPr>
        <w:rPr>
          <w:rFonts w:ascii="Arial" w:cs="Arial" w:eastAsia="Arial" w:hAnsi="Arial"/>
          <w:sz w:val="16"/>
          <w:szCs w:val="16"/>
          <w:color w:val="auto"/>
        </w:rPr>
      </w:pPr>
      <w:r>
        <w:rPr>
          <w:rFonts w:ascii="Arial" w:cs="Arial" w:eastAsia="Arial" w:hAnsi="Arial"/>
          <w:sz w:val="16"/>
          <w:szCs w:val="16"/>
          <w:color w:val="auto"/>
        </w:rPr>
        <w:t>Subject to subsection (ii) below, Participant’s RSUs shall be distributed or paid in the calendar year following the calendar year in which the Grant Date occurs (the “</w:t>
      </w:r>
      <w:r>
        <w:rPr>
          <w:rFonts w:ascii="Arial" w:cs="Arial" w:eastAsia="Arial" w:hAnsi="Arial"/>
          <w:sz w:val="16"/>
          <w:szCs w:val="16"/>
          <w:u w:val="single" w:color="auto"/>
          <w:color w:val="auto"/>
        </w:rPr>
        <w:t>Payment Year</w:t>
      </w:r>
      <w:r>
        <w:rPr>
          <w:rFonts w:ascii="Arial" w:cs="Arial" w:eastAsia="Arial" w:hAnsi="Arial"/>
          <w:sz w:val="16"/>
          <w:szCs w:val="16"/>
          <w:color w:val="auto"/>
        </w:rPr>
        <w:t>”). More specifically, the RSUs shall be distributed or paid within 30 days after the date of the Company’s regular annual shareholders meeting occurring in the Payment Year and in all events prior to December 31 of the Payment Year.</w:t>
      </w:r>
    </w:p>
    <w:p>
      <w:pPr>
        <w:spacing w:after="0" w:line="25" w:lineRule="exact"/>
        <w:rPr>
          <w:rFonts w:ascii="Arial" w:cs="Arial" w:eastAsia="Arial" w:hAnsi="Arial"/>
          <w:sz w:val="16"/>
          <w:szCs w:val="16"/>
          <w:color w:val="auto"/>
        </w:rPr>
      </w:pPr>
    </w:p>
    <w:p>
      <w:pPr>
        <w:ind w:firstLine="1492"/>
        <w:spacing w:after="0" w:line="259" w:lineRule="auto"/>
        <w:tabs>
          <w:tab w:leader="none" w:pos="1742" w:val="left"/>
        </w:tabs>
        <w:numPr>
          <w:ilvl w:val="1"/>
          <w:numId w:val="17"/>
        </w:numPr>
        <w:rPr>
          <w:rFonts w:ascii="Arial" w:cs="Arial" w:eastAsia="Arial" w:hAnsi="Arial"/>
          <w:sz w:val="18"/>
          <w:szCs w:val="18"/>
          <w:color w:val="auto"/>
        </w:rPr>
      </w:pPr>
      <w:r>
        <w:rPr>
          <w:rFonts w:ascii="Arial" w:cs="Arial" w:eastAsia="Arial" w:hAnsi="Arial"/>
          <w:sz w:val="18"/>
          <w:szCs w:val="18"/>
          <w:color w:val="auto"/>
        </w:rPr>
        <w:t>If a Change in Control or the Participant’s Separation from Service occurs prior to the date the RSUs would be distributed or paid pursuant to subsection (i) above, the RSUs shall be distributed or paid as soon as practicable and in all events within 30 days after the first to occur of a Change in Control or the Participant’s Separation from Service.</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purposes of this Agreement, (i) “</w:t>
      </w:r>
      <w:r>
        <w:rPr>
          <w:rFonts w:ascii="Arial" w:cs="Arial" w:eastAsia="Arial" w:hAnsi="Arial"/>
          <w:sz w:val="18"/>
          <w:szCs w:val="18"/>
          <w:u w:val="single" w:color="auto"/>
          <w:color w:val="auto"/>
        </w:rPr>
        <w:t>Grant Date</w:t>
      </w:r>
      <w:r>
        <w:rPr>
          <w:rFonts w:ascii="Arial" w:cs="Arial" w:eastAsia="Arial" w:hAnsi="Arial"/>
          <w:sz w:val="18"/>
          <w:szCs w:val="18"/>
          <w:color w:val="auto"/>
        </w:rPr>
        <w:t>” shall be the date identified in the Grant Notice above and (ii) the terms “</w:t>
      </w:r>
      <w:r>
        <w:rPr>
          <w:rFonts w:ascii="Arial" w:cs="Arial" w:eastAsia="Arial" w:hAnsi="Arial"/>
          <w:sz w:val="18"/>
          <w:szCs w:val="18"/>
          <w:u w:val="single" w:color="auto"/>
          <w:color w:val="auto"/>
        </w:rPr>
        <w:t>Change in Control</w:t>
      </w:r>
      <w:r>
        <w:rPr>
          <w:rFonts w:ascii="Arial" w:cs="Arial" w:eastAsia="Arial" w:hAnsi="Arial"/>
          <w:sz w:val="18"/>
          <w:szCs w:val="18"/>
          <w:color w:val="auto"/>
        </w:rPr>
        <w:t>” and “</w:t>
      </w:r>
      <w:r>
        <w:rPr>
          <w:rFonts w:ascii="Arial" w:cs="Arial" w:eastAsia="Arial" w:hAnsi="Arial"/>
          <w:sz w:val="18"/>
          <w:szCs w:val="18"/>
          <w:u w:val="single" w:color="auto"/>
          <w:color w:val="auto"/>
        </w:rPr>
        <w:t>Separation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from Service</w:t>
      </w:r>
      <w:r>
        <w:rPr>
          <w:rFonts w:ascii="Arial" w:cs="Arial" w:eastAsia="Arial" w:hAnsi="Arial"/>
          <w:sz w:val="18"/>
          <w:szCs w:val="18"/>
          <w:color w:val="auto"/>
        </w:rPr>
        <w:t>” shall have meanings assigned to them in the Company’s Director Deferred Compensation Plan.</w:t>
      </w:r>
    </w:p>
    <w:p>
      <w:pPr>
        <w:spacing w:after="0" w:line="51" w:lineRule="exact"/>
        <w:rPr>
          <w:sz w:val="20"/>
          <w:szCs w:val="20"/>
          <w:color w:val="auto"/>
        </w:rPr>
      </w:pPr>
    </w:p>
    <w:p>
      <w:pPr>
        <w:ind w:right="100" w:firstLine="921"/>
        <w:spacing w:after="0" w:line="298" w:lineRule="auto"/>
        <w:tabs>
          <w:tab w:leader="none" w:pos="1162"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event that the Company elects to make payment of Participant’s RSUs in cash, the amount of cash payable with respect to each RSU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31" w:lineRule="exact"/>
        <w:rPr>
          <w:rFonts w:ascii="Arial" w:cs="Arial" w:eastAsia="Arial" w:hAnsi="Arial"/>
          <w:sz w:val="16"/>
          <w:szCs w:val="16"/>
          <w:color w:val="auto"/>
        </w:rPr>
      </w:pPr>
    </w:p>
    <w:p>
      <w:pPr>
        <w:ind w:right="360" w:firstLine="921"/>
        <w:spacing w:after="0" w:line="259" w:lineRule="auto"/>
        <w:tabs>
          <w:tab w:leader="none" w:pos="115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foregoing provisions of this Section 2.3 shall be subject to any valid deferral election made in accordance with the terms of the Allison Transmission Holdings, Inc. Non-Employee Director Compensation Policy and/or the Allison Transmission Holdings, Inc. Non-Employee Director Deferred Compensation Plan or any successor plans and/or policies.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80" w:right="259" w:bottom="1440" w:gutter="0" w:footer="0" w:header="0"/>
        </w:sectPr>
      </w:pPr>
    </w:p>
    <w:bookmarkStart w:id="52" w:name="page53"/>
    <w:bookmarkEnd w:id="52"/>
    <w:p>
      <w:pPr>
        <w:ind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2.4 </w:t>
      </w:r>
      <w:r>
        <w:rPr>
          <w:rFonts w:ascii="Arial" w:cs="Arial" w:eastAsia="Arial" w:hAnsi="Arial"/>
          <w:sz w:val="18"/>
          <w:szCs w:val="18"/>
          <w:u w:val="single" w:color="auto"/>
          <w:color w:val="auto"/>
        </w:rPr>
        <w:t>Conditions to Issuance of Certificates</w:t>
      </w:r>
      <w:r>
        <w:rPr>
          <w:rFonts w:ascii="Arial" w:cs="Arial" w:eastAsia="Arial" w:hAnsi="Arial"/>
          <w:sz w:val="18"/>
          <w:szCs w:val="18"/>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 (B) 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 (C) the obtaining of any approval or other clearance from any state or federal governmental agency that the Administrator shall, in its absolute discretion, determine to be necessary or advisable.</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90" w:lineRule="exact"/>
        <w:rPr>
          <w:sz w:val="20"/>
          <w:szCs w:val="20"/>
          <w:color w:val="auto"/>
        </w:rPr>
      </w:pPr>
    </w:p>
    <w:p>
      <w:pPr>
        <w:ind w:right="160" w:firstLine="921"/>
        <w:spacing w:after="0" w:line="256" w:lineRule="auto"/>
        <w:tabs>
          <w:tab w:leader="none" w:pos="11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62" w:lineRule="exact"/>
        <w:rPr>
          <w:rFonts w:ascii="Arial" w:cs="Arial" w:eastAsia="Arial" w:hAnsi="Arial"/>
          <w:sz w:val="18"/>
          <w:szCs w:val="18"/>
          <w:color w:val="auto"/>
        </w:rPr>
      </w:pPr>
    </w:p>
    <w:p>
      <w:pPr>
        <w:ind w:left="1700" w:hanging="208"/>
        <w:spacing w:after="0"/>
        <w:tabs>
          <w:tab w:leader="none" w:pos="1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90" w:lineRule="exact"/>
        <w:rPr>
          <w:rFonts w:ascii="Arial" w:cs="Arial" w:eastAsia="Arial" w:hAnsi="Arial"/>
          <w:sz w:val="18"/>
          <w:szCs w:val="18"/>
          <w:color w:val="auto"/>
        </w:rPr>
      </w:pPr>
    </w:p>
    <w:p>
      <w:pPr>
        <w:ind w:left="1760" w:hanging="268"/>
        <w:spacing w:after="0"/>
        <w:tabs>
          <w:tab w:leader="none" w:pos="17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90" w:lineRule="exact"/>
        <w:rPr>
          <w:rFonts w:ascii="Arial" w:cs="Arial" w:eastAsia="Arial" w:hAnsi="Arial"/>
          <w:sz w:val="18"/>
          <w:szCs w:val="18"/>
          <w:color w:val="auto"/>
        </w:rPr>
      </w:pPr>
    </w:p>
    <w:p>
      <w:pPr>
        <w:jc w:val="both"/>
        <w:ind w:right="120" w:firstLine="1492"/>
        <w:spacing w:after="0" w:line="298" w:lineRule="auto"/>
        <w:tabs>
          <w:tab w:leader="none" w:pos="17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with respect to any withholding taxes arising in connection with the distribution of the RSUs, with the consent of the Administrator, by requesting that the Company and its Subsidiaries withhold a net number of vested shares of Stock otherwise issuable pursuant to the RSUs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31" w:lineRule="exact"/>
        <w:rPr>
          <w:rFonts w:ascii="Arial" w:cs="Arial" w:eastAsia="Arial" w:hAnsi="Arial"/>
          <w:sz w:val="16"/>
          <w:szCs w:val="16"/>
          <w:color w:val="auto"/>
        </w:rPr>
      </w:pPr>
    </w:p>
    <w:p>
      <w:pPr>
        <w:ind w:right="120" w:firstLine="1492"/>
        <w:spacing w:after="0" w:line="256" w:lineRule="auto"/>
        <w:tabs>
          <w:tab w:leader="none" w:pos="1781"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distribution of the RSUs, with the consent of the Administrator, by tendering to the Company vested shares of Stock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62" w:lineRule="exact"/>
        <w:rPr>
          <w:rFonts w:ascii="Arial" w:cs="Arial" w:eastAsia="Arial" w:hAnsi="Arial"/>
          <w:sz w:val="18"/>
          <w:szCs w:val="18"/>
          <w:color w:val="auto"/>
        </w:rPr>
      </w:pPr>
    </w:p>
    <w:p>
      <w:pPr>
        <w:ind w:right="100" w:firstLine="1492"/>
        <w:spacing w:after="0" w:line="294" w:lineRule="auto"/>
        <w:tabs>
          <w:tab w:leader="none" w:pos="1732"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with respect to any withholding taxes arising in connection with the distribution of the RSUs, through the delivery of a notice that Participant has placed a market sell order with a broker acceptable to the Company with respect to shares of Stock then issuable to Participant pursuant to the RSUs,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34" w:lineRule="exact"/>
        <w:rPr>
          <w:rFonts w:ascii="Arial" w:cs="Arial" w:eastAsia="Arial" w:hAnsi="Arial"/>
          <w:sz w:val="16"/>
          <w:szCs w:val="16"/>
          <w:color w:val="auto"/>
        </w:rPr>
      </w:pPr>
    </w:p>
    <w:p>
      <w:pPr>
        <w:ind w:left="1780" w:hanging="288"/>
        <w:spacing w:after="0"/>
        <w:tabs>
          <w:tab w:leader="none" w:pos="17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90" w:lineRule="exact"/>
        <w:rPr>
          <w:rFonts w:ascii="Arial" w:cs="Arial" w:eastAsia="Arial" w:hAnsi="Arial"/>
          <w:sz w:val="18"/>
          <w:szCs w:val="18"/>
          <w:color w:val="auto"/>
        </w:rPr>
      </w:pPr>
    </w:p>
    <w:p>
      <w:pPr>
        <w:ind w:firstLine="921"/>
        <w:spacing w:after="0" w:line="259" w:lineRule="auto"/>
        <w:tabs>
          <w:tab w:leader="none" w:pos="1162"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RSUs,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80" w:right="259" w:bottom="1440" w:gutter="0" w:footer="0" w:header="0"/>
        </w:sectPr>
      </w:pPr>
    </w:p>
    <w:bookmarkStart w:id="53" w:name="page54"/>
    <w:bookmarkEnd w:id="53"/>
    <w:p>
      <w:pPr>
        <w:ind w:right="12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2.5(a)(ii) or Section 2.5(a)(iii) above, or any combination of the foregoing as the Company may determine to be appropriate. The Company shall not be obligated to deliver any certificate representing shares of Stock issuable with respect to the RSUs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RSUs or any other taxable event related to the RSUs.</w:t>
      </w:r>
    </w:p>
    <w:p>
      <w:pPr>
        <w:spacing w:after="0" w:line="32" w:lineRule="exact"/>
        <w:rPr>
          <w:sz w:val="20"/>
          <w:szCs w:val="20"/>
          <w:color w:val="auto"/>
        </w:rPr>
      </w:pPr>
    </w:p>
    <w:p>
      <w:pPr>
        <w:ind w:firstLine="921"/>
        <w:spacing w:after="0" w:line="289" w:lineRule="auto"/>
        <w:tabs>
          <w:tab w:leader="none" w:pos="11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In the event any tax withholding obligation arising in connection with the RSUs will be satisfied under Section 2.5(a)(iii), then the Company may elect to instruct any brokerage firm determined acceptable to the Company for such purpose to sell on Participant’s behalf a whole number of shares from those shares of Stock then issuable to Participant pursuant to the RSUs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of Stock in settlement of the RSUs to Participant until the foregoing tax withholding obligations are satisfied,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payment shall be delayed under this Section 2.5(c) if such delay will result in a violation of Section 409A of the Code.</w:t>
      </w:r>
    </w:p>
    <w:p>
      <w:pPr>
        <w:spacing w:after="0" w:line="37" w:lineRule="exact"/>
        <w:rPr>
          <w:rFonts w:ascii="Arial" w:cs="Arial" w:eastAsia="Arial" w:hAnsi="Arial"/>
          <w:sz w:val="16"/>
          <w:szCs w:val="16"/>
          <w:color w:val="auto"/>
        </w:rPr>
      </w:pPr>
    </w:p>
    <w:p>
      <w:pPr>
        <w:ind w:right="80" w:firstLine="921"/>
        <w:spacing w:after="0" w:line="255" w:lineRule="auto"/>
        <w:tabs>
          <w:tab w:leader="none" w:pos="1162"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RSUs, regardless of any action the Company or any Subsidiary takes with respect to any tax withholding obligations that arise in connection with the RSUs. Neither the Company nor any Subsidiary makes any representation or undertaking regarding the treatment of any tax withholding in connection with the awarding, vesting or payment of the RSUs or the subsequent sale of Shares. The Company and the Subsidiaries do not commit and are under no obligation to structure the RSUs to reduce or eliminate Participant’s tax liability.</w:t>
      </w:r>
    </w:p>
    <w:p>
      <w:pPr>
        <w:spacing w:after="0" w:line="143"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 xml:space="preserve">2.6 </w:t>
      </w:r>
      <w:r>
        <w:rPr>
          <w:rFonts w:ascii="Arial" w:cs="Arial" w:eastAsia="Arial" w:hAnsi="Arial"/>
          <w:sz w:val="15"/>
          <w:szCs w:val="15"/>
          <w:u w:val="single" w:color="auto"/>
          <w:color w:val="auto"/>
        </w:rPr>
        <w:t>Rights as Stockholder</w:t>
      </w:r>
      <w:r>
        <w:rPr>
          <w:rFonts w:ascii="Arial" w:cs="Arial" w:eastAsia="Arial" w:hAnsi="Arial"/>
          <w:sz w:val="15"/>
          <w:szCs w:val="15"/>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Administration</w:t>
      </w:r>
      <w:r>
        <w:rPr>
          <w:rFonts w:ascii="Arial" w:cs="Arial" w:eastAsia="Arial" w:hAnsi="Arial"/>
          <w:sz w:val="16"/>
          <w:szCs w:val="16"/>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54" w:name="page55"/>
    <w:bookmarkEnd w:id="54"/>
    <w:p>
      <w:pPr>
        <w:ind w:right="20"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3.2 </w:t>
      </w:r>
      <w:r>
        <w:rPr>
          <w:rFonts w:ascii="Arial" w:cs="Arial" w:eastAsia="Arial" w:hAnsi="Arial"/>
          <w:sz w:val="16"/>
          <w:szCs w:val="16"/>
          <w:u w:val="single" w:color="auto"/>
          <w:color w:val="auto"/>
        </w:rPr>
        <w:t>RSUs Not Transferable</w:t>
      </w:r>
      <w:r>
        <w:rPr>
          <w:rFonts w:ascii="Arial" w:cs="Arial" w:eastAsia="Arial" w:hAnsi="Arial"/>
          <w:sz w:val="16"/>
          <w:szCs w:val="16"/>
          <w:color w:val="auto"/>
        </w:rPr>
        <w:t>. The RSUs may not be sold, pledged, assigned or transferred in any manner other than by will or the laws of descent and distribution, unless and until the Shares underlying the RSUs have been issued, and all restrictions applicable to such Shares have lapsed. No RSUs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2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The Administrator may accelerate the vesting of all or a portion of the RSUs in such circumstances as it, in its sole discretion, may determine. Participant acknowledges that the RSUs and the Shares subject to the RSUs are subject to adjustment, modification and termination in certain events as provided in this Agreement and Section 12.2 of the Plan.</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Applicable Law.</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Participant.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280" w:right="239" w:bottom="1440" w:gutter="0" w:footer="0" w:header="0"/>
        </w:sectPr>
      </w:pPr>
    </w:p>
    <w:bookmarkStart w:id="55" w:name="page56"/>
    <w:bookmarkEnd w:id="55"/>
    <w:p>
      <w:pPr>
        <w:ind w:right="12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3.10 </w:t>
      </w:r>
      <w:r>
        <w:rPr>
          <w:rFonts w:ascii="Arial" w:cs="Arial" w:eastAsia="Arial" w:hAnsi="Arial"/>
          <w:sz w:val="16"/>
          <w:szCs w:val="16"/>
          <w:u w:val="single" w:color="auto"/>
          <w:color w:val="auto"/>
        </w:rPr>
        <w:t>Limitations Applicable to Section 16 Persons</w:t>
      </w:r>
      <w:r>
        <w:rPr>
          <w:rFonts w:ascii="Arial" w:cs="Arial" w:eastAsia="Arial" w:hAnsi="Arial"/>
          <w:sz w:val="16"/>
          <w:szCs w:val="16"/>
          <w:color w:val="auto"/>
        </w:rPr>
        <w:t>. Notwithstanding any other provision of the Plan or this Agreement, if Participant is subject to Section 16 of the Exchange Act, the Plan, the RSUs (including RSUs which result from the deemed reinvestment of Dividend Equivalents),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13"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 xml:space="preserve">3.12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8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 xml:space="preserve">3.13 </w:t>
      </w:r>
      <w:r>
        <w:rPr>
          <w:rFonts w:ascii="Arial" w:cs="Arial" w:eastAsia="Arial" w:hAnsi="Arial"/>
          <w:sz w:val="16"/>
          <w:szCs w:val="16"/>
          <w:u w:val="single" w:color="auto"/>
          <w:color w:val="auto"/>
        </w:rPr>
        <w:t>Section 409A</w:t>
      </w:r>
      <w:r>
        <w:rPr>
          <w:rFonts w:ascii="Arial" w:cs="Arial" w:eastAsia="Arial" w:hAnsi="Arial"/>
          <w:sz w:val="16"/>
          <w:szCs w:val="16"/>
          <w:color w:val="auto"/>
        </w:rPr>
        <w:t>. The intent of the parties is that the payments and benefits under this Agreement comply with or be exempt from Section 409A of the Internal Revenue Code of 1986, as amended, and the regulations and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accordingly, to the maximum extent permitted, this Agreement shall be interpreted to be in compliance therewith. If at any time the Administrator determines that this Award (or any portion thereof) may result in adverse tax consequences as a result of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w:t>
      </w:r>
    </w:p>
    <w:p>
      <w:pPr>
        <w:ind w:right="60"/>
        <w:spacing w:after="0" w:line="290" w:lineRule="auto"/>
        <w:rPr>
          <w:sz w:val="20"/>
          <w:szCs w:val="20"/>
          <w:color w:val="auto"/>
        </w:rPr>
      </w:pPr>
      <w:r>
        <w:rPr>
          <w:rFonts w:ascii="Arial" w:cs="Arial" w:eastAsia="Arial" w:hAnsi="Arial"/>
          <w:sz w:val="16"/>
          <w:szCs w:val="16"/>
          <w:color w:val="auto"/>
        </w:rPr>
        <w:t>Section 409A. Notwithstanding anything in this Agreement to the contrary, if the Participant is deemed by the Company at the time of Participant’s Separation from Service to be a “specified employee” for purposes of Section 409A, to the extent delayed payment or distribution of the RSUs is required in order to avoid a prohibited distribution under Section 409A, such payment or distribution shall not be made prior to the earlier of (a) the expiration of the six-month period measured from the date of Participant’s Separation from Service or (b) the date of Participant’s death. Notwithstanding any provisions of this Agreement or the Plan to the contrary, the time of distribution of the RSUs under this Agreement may not be changed except as may be permitted by the Administrator in accordance with Section 409A of the Code and the applicable Treasury Regulations promulgated thereunder.</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Limitation on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RSUs and Dividend Equivalents.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280" w:right="239" w:bottom="1440" w:gutter="0" w:footer="0" w:header="0"/>
        </w:sectPr>
      </w:pPr>
    </w:p>
    <w:bookmarkStart w:id="56" w:name="page57"/>
    <w:bookmarkEnd w:id="56"/>
    <w:p>
      <w:pPr>
        <w:ind w:right="3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of Stock in connection with the payment of withholding taxes as provided in Section 2.5(a)(iii) or Section 2.5(a)(v):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23" w:lineRule="exact"/>
        <w:rPr>
          <w:sz w:val="20"/>
          <w:szCs w:val="20"/>
          <w:color w:val="auto"/>
        </w:rPr>
      </w:pPr>
    </w:p>
    <w:p>
      <w:pPr>
        <w:ind w:left="5040"/>
        <w:spacing w:after="0"/>
        <w:tabs>
          <w:tab w:leader="none" w:pos="562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20"/>
          </w:cols>
          <w:pgMar w:left="240" w:top="2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u w:val="single" w:color="auto"/>
          <w:color w:val="auto"/>
        </w:rPr>
        <w:t>Exhibit 10.31</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ALLISON TRANSMISSION HOLDINGS, INC.</w:t>
      </w:r>
    </w:p>
    <w:p>
      <w:pPr>
        <w:spacing w:after="0" w:line="17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Amended and Restated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65" w:lineRule="exact"/>
        <w:rPr>
          <w:sz w:val="20"/>
          <w:szCs w:val="20"/>
          <w:color w:val="auto"/>
        </w:rPr>
      </w:pPr>
    </w:p>
    <w:p>
      <w:pPr>
        <w:ind w:right="60" w:firstLine="464"/>
        <w:spacing w:after="0" w:line="283" w:lineRule="auto"/>
        <w:tabs>
          <w:tab w:leader="none" w:pos="63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This Amended and Restated Non-Employee Director Compensation Policy (the “</w:t>
      </w:r>
      <w:r>
        <w:rPr>
          <w:rFonts w:ascii="Arial" w:cs="Arial" w:eastAsia="Arial" w:hAnsi="Arial"/>
          <w:sz w:val="16"/>
          <w:szCs w:val="16"/>
          <w:u w:val="single" w:color="auto"/>
          <w:color w:val="auto"/>
        </w:rPr>
        <w:t>Policy</w:t>
      </w:r>
      <w:r>
        <w:rPr>
          <w:rFonts w:ascii="Arial" w:cs="Arial" w:eastAsia="Arial" w:hAnsi="Arial"/>
          <w:sz w:val="16"/>
          <w:szCs w:val="16"/>
          <w:color w:val="auto"/>
        </w:rPr>
        <w:t>”) as set forth herein, amends and restates that certain Non-Employee Director Compensation Policy, previously adopted by the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of Allison Transmission Holdings, Inc. (the “</w:t>
      </w:r>
      <w:r>
        <w:rPr>
          <w:rFonts w:ascii="Arial" w:cs="Arial" w:eastAsia="Arial" w:hAnsi="Arial"/>
          <w:sz w:val="16"/>
          <w:szCs w:val="16"/>
          <w:u w:val="single" w:color="auto"/>
          <w:color w:val="auto"/>
        </w:rPr>
        <w:t>Company</w:t>
      </w:r>
      <w:r>
        <w:rPr>
          <w:rFonts w:ascii="Arial" w:cs="Arial" w:eastAsia="Arial" w:hAnsi="Arial"/>
          <w:sz w:val="16"/>
          <w:szCs w:val="16"/>
          <w:color w:val="auto"/>
        </w:rPr>
        <w:t>”). Capitalized but undefined terms used herein shall have the meanings provided for in the Allison Transmission Holdings, Inc. 2011 Equity Incentive Award Plan (the “</w:t>
      </w:r>
      <w:r>
        <w:rPr>
          <w:rFonts w:ascii="Arial" w:cs="Arial" w:eastAsia="Arial" w:hAnsi="Arial"/>
          <w:sz w:val="16"/>
          <w:szCs w:val="16"/>
          <w:u w:val="single" w:color="auto"/>
          <w:color w:val="auto"/>
        </w:rPr>
        <w:t>Plan</w:t>
      </w:r>
      <w:r>
        <w:rPr>
          <w:rFonts w:ascii="Arial" w:cs="Arial" w:eastAsia="Arial" w:hAnsi="Arial"/>
          <w:sz w:val="16"/>
          <w:szCs w:val="16"/>
          <w:color w:val="auto"/>
        </w:rPr>
        <w:t>”). Notwithstanding any provision of this Policy to the contrary, other than Thomas Rabaut (beginning as of the date of the Company’s</w:t>
      </w:r>
    </w:p>
    <w:p>
      <w:pPr>
        <w:spacing w:after="0" w:line="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2014 annual shareholders meeting), no member of the Board who is a representative of TC Group, L.L.C. or Onex Corporation (as determined by the Board) shall be eligible to receive any compensation hereunder unless or until otherwise determined by the Board.</w:t>
      </w:r>
    </w:p>
    <w:p>
      <w:pPr>
        <w:spacing w:after="0" w:line="137" w:lineRule="exact"/>
        <w:rPr>
          <w:rFonts w:ascii="Arial" w:cs="Arial" w:eastAsia="Arial" w:hAnsi="Arial"/>
          <w:sz w:val="16"/>
          <w:szCs w:val="16"/>
          <w:color w:val="auto"/>
        </w:rPr>
      </w:pPr>
    </w:p>
    <w:p>
      <w:pPr>
        <w:ind w:right="280" w:firstLine="464"/>
        <w:spacing w:after="0" w:line="268"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Annual Retainer and Other Fees</w:t>
      </w:r>
      <w:r>
        <w:rPr>
          <w:rFonts w:ascii="Arial" w:cs="Arial" w:eastAsia="Arial" w:hAnsi="Arial"/>
          <w:sz w:val="18"/>
          <w:szCs w:val="18"/>
          <w:color w:val="auto"/>
        </w:rPr>
        <w:t>. Each member of the Board who is not or has not been employed by the Company or one of its subsidiaries (a “</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shall be entitled to an annual retainer and other fee(s) as follows:</w:t>
      </w:r>
    </w:p>
    <w:p>
      <w:pPr>
        <w:spacing w:after="0" w:line="50" w:lineRule="exact"/>
        <w:rPr>
          <w:rFonts w:ascii="Arial" w:cs="Arial" w:eastAsia="Arial" w:hAnsi="Arial"/>
          <w:sz w:val="18"/>
          <w:szCs w:val="18"/>
          <w:color w:val="auto"/>
        </w:rPr>
      </w:pPr>
    </w:p>
    <w:p>
      <w:pPr>
        <w:ind w:right="240" w:firstLine="921"/>
        <w:spacing w:after="0" w:line="294" w:lineRule="auto"/>
        <w:tabs>
          <w:tab w:leader="none" w:pos="1123"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annual retainer fee for service on the Board shall be $95,000 (such amount, the “</w:t>
      </w:r>
      <w:r>
        <w:rPr>
          <w:rFonts w:ascii="Arial" w:cs="Arial" w:eastAsia="Arial" w:hAnsi="Arial"/>
          <w:sz w:val="16"/>
          <w:szCs w:val="16"/>
          <w:u w:val="single" w:color="auto"/>
          <w:color w:val="auto"/>
        </w:rPr>
        <w:t>Annual Retainer</w:t>
      </w:r>
      <w:r>
        <w:rPr>
          <w:rFonts w:ascii="Arial" w:cs="Arial" w:eastAsia="Arial" w:hAnsi="Arial"/>
          <w:sz w:val="16"/>
          <w:szCs w:val="16"/>
          <w:color w:val="auto"/>
        </w:rPr>
        <w:t xml:space="preserve">”), with $75,000 of the Annual Retainer payable at the Non-Employee Director’s election </w:t>
      </w:r>
      <w:r>
        <w:rPr>
          <w:rFonts w:ascii="Arial" w:cs="Arial" w:eastAsia="Arial" w:hAnsi="Arial"/>
          <w:sz w:val="16"/>
          <w:szCs w:val="16"/>
          <w:i w:val="1"/>
          <w:iCs w:val="1"/>
          <w:color w:val="auto"/>
        </w:rPr>
        <w:t>either</w:t>
      </w:r>
      <w:r>
        <w:rPr>
          <w:rFonts w:ascii="Arial" w:cs="Arial" w:eastAsia="Arial" w:hAnsi="Arial"/>
          <w:sz w:val="16"/>
          <w:szCs w:val="16"/>
          <w:color w:val="auto"/>
        </w:rPr>
        <w:t xml:space="preserve"> 100% in fully vested Common Stock granted under the Plan (valued based on the Fair Market Value of the Common Stock on the date of grant), </w:t>
      </w:r>
      <w:r>
        <w:rPr>
          <w:rFonts w:ascii="Arial" w:cs="Arial" w:eastAsia="Arial" w:hAnsi="Arial"/>
          <w:sz w:val="16"/>
          <w:szCs w:val="16"/>
          <w:i w:val="1"/>
          <w:iCs w:val="1"/>
          <w:color w:val="auto"/>
        </w:rPr>
        <w:t>or</w:t>
      </w:r>
      <w:r>
        <w:rPr>
          <w:rFonts w:ascii="Arial" w:cs="Arial" w:eastAsia="Arial" w:hAnsi="Arial"/>
          <w:sz w:val="16"/>
          <w:szCs w:val="16"/>
          <w:color w:val="auto"/>
        </w:rPr>
        <w:t xml:space="preserve"> 50% in fully vested Common Stock granted under the Plan and 50% in cash (if no election is made, the Annual Retainer will be paid 50% in Common Stock and 50% in cash), and with $20,000 of the Annual Retainer payable 100% in fully vested Common Stock granted under the Plan (valued based on the Fair Market Value of the Common Stock on the date of grant);</w:t>
      </w:r>
    </w:p>
    <w:p>
      <w:pPr>
        <w:spacing w:after="0" w:line="34" w:lineRule="exact"/>
        <w:rPr>
          <w:rFonts w:ascii="Arial" w:cs="Arial" w:eastAsia="Arial" w:hAnsi="Arial"/>
          <w:sz w:val="16"/>
          <w:szCs w:val="16"/>
          <w:color w:val="auto"/>
        </w:rPr>
      </w:pPr>
    </w:p>
    <w:p>
      <w:pPr>
        <w:ind w:left="1180" w:hanging="259"/>
        <w:spacing w:after="0"/>
        <w:tabs>
          <w:tab w:leader="none" w:pos="11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annual retainer fee for service as Chair of the Audit Committee shall be an additional $10,000, payable in cash (the “</w:t>
      </w:r>
      <w:r>
        <w:rPr>
          <w:rFonts w:ascii="Arial" w:cs="Arial" w:eastAsia="Arial" w:hAnsi="Arial"/>
          <w:sz w:val="16"/>
          <w:szCs w:val="16"/>
          <w:u w:val="single" w:color="auto"/>
          <w:color w:val="auto"/>
        </w:rPr>
        <w:t>Audit Committee Fee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83" w:lineRule="exact"/>
        <w:rPr>
          <w:rFonts w:ascii="Arial" w:cs="Arial" w:eastAsia="Arial" w:hAnsi="Arial"/>
          <w:sz w:val="16"/>
          <w:szCs w:val="16"/>
          <w:color w:val="auto"/>
        </w:rPr>
      </w:pPr>
    </w:p>
    <w:p>
      <w:pPr>
        <w:ind w:right="340" w:firstLine="921"/>
        <w:spacing w:after="0" w:line="268" w:lineRule="auto"/>
        <w:tabs>
          <w:tab w:leader="none" w:pos="12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annual retainer fee for service as an Outside Director on the Government Security Committee shall be an additional $10,000, payable in cash (the “</w:t>
      </w:r>
      <w:r>
        <w:rPr>
          <w:rFonts w:ascii="Arial" w:cs="Arial" w:eastAsia="Arial" w:hAnsi="Arial"/>
          <w:sz w:val="18"/>
          <w:szCs w:val="18"/>
          <w:u w:val="single" w:color="auto"/>
          <w:color w:val="auto"/>
        </w:rPr>
        <w:t>Government Security Committee Fee</w:t>
      </w:r>
      <w:r>
        <w:rPr>
          <w:rFonts w:ascii="Arial" w:cs="Arial" w:eastAsia="Arial" w:hAnsi="Arial"/>
          <w:sz w:val="18"/>
          <w:szCs w:val="18"/>
          <w:color w:val="auto"/>
        </w:rPr>
        <w:t>” and together with the Audit Committee Fee, the “</w:t>
      </w:r>
      <w:r>
        <w:rPr>
          <w:rFonts w:ascii="Arial" w:cs="Arial" w:eastAsia="Arial" w:hAnsi="Arial"/>
          <w:sz w:val="18"/>
          <w:szCs w:val="18"/>
          <w:u w:val="single" w:color="auto"/>
          <w:color w:val="auto"/>
        </w:rPr>
        <w:t>Other Fees</w:t>
      </w:r>
      <w:r>
        <w:rPr>
          <w:rFonts w:ascii="Arial" w:cs="Arial" w:eastAsia="Arial" w:hAnsi="Arial"/>
          <w:sz w:val="18"/>
          <w:szCs w:val="18"/>
          <w:color w:val="auto"/>
        </w:rPr>
        <w:t>”).</w:t>
      </w:r>
    </w:p>
    <w:p>
      <w:pPr>
        <w:spacing w:after="0" w:line="131" w:lineRule="exact"/>
        <w:rPr>
          <w:rFonts w:ascii="Arial" w:cs="Arial" w:eastAsia="Arial" w:hAnsi="Arial"/>
          <w:sz w:val="18"/>
          <w:szCs w:val="18"/>
          <w:color w:val="auto"/>
        </w:rPr>
      </w:pPr>
    </w:p>
    <w:p>
      <w:pPr>
        <w:ind w:right="180" w:firstLine="464"/>
        <w:spacing w:after="0" w:line="255"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Timing of Payment of Annual Retainer</w:t>
      </w:r>
      <w:r>
        <w:rPr>
          <w:rFonts w:ascii="Arial" w:cs="Arial" w:eastAsia="Arial" w:hAnsi="Arial"/>
          <w:sz w:val="18"/>
          <w:szCs w:val="18"/>
          <w:color w:val="auto"/>
        </w:rPr>
        <w:t>. The Annual Retainer and Other Fees payable hereunder are intended to cover service from one regular annual shareholders meeting to the next and, unless a deferral election is made as provided below, shall be paid annually in advance on the next business day following the date of the Company’s annual shareholders meeting, beginning with the annual shareholders meeting for fiscal year 2013, without any requirement of additional Board action in connection therewith. The Annual Retainer and Other Fees shall be subject to the Non-Employee Director’s continued service on the Board on each applicable payment date.</w:t>
      </w:r>
    </w:p>
    <w:p>
      <w:pPr>
        <w:sectPr>
          <w:pgSz w:w="11900" w:h="16838" w:orient="portrait"/>
          <w:cols w:equalWidth="0" w:num="1">
            <w:col w:w="11420"/>
          </w:cols>
          <w:pgMar w:left="240" w:top="125" w:right="239" w:bottom="1440" w:gutter="0" w:footer="0" w:header="0"/>
        </w:sectPr>
      </w:pPr>
    </w:p>
    <w:bookmarkStart w:id="58" w:name="page59"/>
    <w:bookmarkEnd w:id="58"/>
    <w:p>
      <w:pPr>
        <w:ind w:left="-464" w:firstLine="464"/>
        <w:spacing w:after="0" w:line="291" w:lineRule="auto"/>
        <w:tabs>
          <w:tab w:leader="none" w:pos="16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Fees</w:t>
      </w:r>
      <w:r>
        <w:rPr>
          <w:rFonts w:ascii="Arial" w:cs="Arial" w:eastAsia="Arial" w:hAnsi="Arial"/>
          <w:sz w:val="16"/>
          <w:szCs w:val="16"/>
          <w:color w:val="auto"/>
        </w:rPr>
        <w:t>. Each Non-Employee Director shall be entitled to annual meeting fees with the amount determined based on the number of Board meetings the Non-Employee Director attends during the applicable year, up to a maximum of $75,000 a year (such amount, the “</w:t>
      </w:r>
      <w:r>
        <w:rPr>
          <w:rFonts w:ascii="Arial" w:cs="Arial" w:eastAsia="Arial" w:hAnsi="Arial"/>
          <w:sz w:val="16"/>
          <w:szCs w:val="16"/>
          <w:u w:val="single" w:color="auto"/>
          <w:color w:val="auto"/>
        </w:rPr>
        <w:t>Meeting Fees</w:t>
      </w:r>
      <w:r>
        <w:rPr>
          <w:rFonts w:ascii="Arial" w:cs="Arial" w:eastAsia="Arial" w:hAnsi="Arial"/>
          <w:sz w:val="16"/>
          <w:szCs w:val="16"/>
          <w:color w:val="auto"/>
        </w:rPr>
        <w:t xml:space="preserve">”). Meeting Fees are payable at the Non-Employee Director’s election </w:t>
      </w:r>
      <w:r>
        <w:rPr>
          <w:rFonts w:ascii="Arial" w:cs="Arial" w:eastAsia="Arial" w:hAnsi="Arial"/>
          <w:sz w:val="16"/>
          <w:szCs w:val="16"/>
          <w:i w:val="1"/>
          <w:iCs w:val="1"/>
          <w:color w:val="auto"/>
        </w:rPr>
        <w:t>either</w:t>
      </w:r>
      <w:r>
        <w:rPr>
          <w:rFonts w:ascii="Arial" w:cs="Arial" w:eastAsia="Arial" w:hAnsi="Arial"/>
          <w:sz w:val="16"/>
          <w:szCs w:val="16"/>
          <w:color w:val="auto"/>
        </w:rPr>
        <w:t xml:space="preserve"> 100% in Restricted Stock Units granted under the Plan (with the number of shares subject to the Restricted Stock Units based on the Fair Market Value of Common Stock on the date of grant), </w:t>
      </w:r>
      <w:r>
        <w:rPr>
          <w:rFonts w:ascii="Arial" w:cs="Arial" w:eastAsia="Arial" w:hAnsi="Arial"/>
          <w:sz w:val="16"/>
          <w:szCs w:val="16"/>
          <w:i w:val="1"/>
          <w:iCs w:val="1"/>
          <w:color w:val="auto"/>
        </w:rPr>
        <w:t>or</w:t>
      </w:r>
      <w:r>
        <w:rPr>
          <w:rFonts w:ascii="Arial" w:cs="Arial" w:eastAsia="Arial" w:hAnsi="Arial"/>
          <w:sz w:val="16"/>
          <w:szCs w:val="16"/>
          <w:color w:val="auto"/>
        </w:rPr>
        <w:t xml:space="preserve"> 50% in Restricted Stock Units granted under the Plan and 50% in cash. Such election must be made no later than December 31 of the year prior to the year of the applicable shareholders meeting when such Restricted Stock Units would be granted or such cash paid. If no such election is made, the Meeting Fees will be paid 50% in Restricted Stock Units and 50% in cash.</w:t>
      </w:r>
    </w:p>
    <w:p>
      <w:pPr>
        <w:spacing w:after="0" w:line="120" w:lineRule="exact"/>
        <w:rPr>
          <w:rFonts w:ascii="Arial" w:cs="Arial" w:eastAsia="Arial" w:hAnsi="Arial"/>
          <w:sz w:val="16"/>
          <w:szCs w:val="16"/>
          <w:color w:val="auto"/>
        </w:rPr>
      </w:pPr>
    </w:p>
    <w:p>
      <w:pPr>
        <w:ind w:left="176" w:hanging="176"/>
        <w:spacing w:after="0"/>
        <w:tabs>
          <w:tab w:leader="none" w:pos="176"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Timing of Payment of Meeting Fees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4" w:right="20" w:firstLine="921"/>
        <w:spacing w:after="0" w:line="286" w:lineRule="auto"/>
        <w:tabs>
          <w:tab w:leader="none" w:pos="658" w:val="left"/>
        </w:tabs>
        <w:numPr>
          <w:ilvl w:val="1"/>
          <w:numId w:val="22"/>
        </w:numPr>
        <w:rPr>
          <w:rFonts w:ascii="Arial" w:cs="Arial" w:eastAsia="Arial" w:hAnsi="Arial"/>
          <w:sz w:val="16"/>
          <w:szCs w:val="16"/>
          <w:color w:val="auto"/>
        </w:rPr>
      </w:pPr>
      <w:r>
        <w:rPr>
          <w:rFonts w:ascii="Arial" w:cs="Arial" w:eastAsia="Arial" w:hAnsi="Arial"/>
          <w:sz w:val="16"/>
          <w:szCs w:val="16"/>
          <w:color w:val="auto"/>
        </w:rPr>
        <w:t>Restricted Stock Units are granted as of the next business day after the date of the Company’s annual shareholders meeting, without any requirement of additional Board action in connection therewith, and will vest on the first to occur of (A) date of the Company’s next regular annual shareholders meeting in the year following the year of grant (the “</w:t>
      </w:r>
      <w:r>
        <w:rPr>
          <w:rFonts w:ascii="Arial" w:cs="Arial" w:eastAsia="Arial" w:hAnsi="Arial"/>
          <w:sz w:val="16"/>
          <w:szCs w:val="16"/>
          <w:u w:val="single" w:color="auto"/>
          <w:color w:val="auto"/>
        </w:rPr>
        <w:t>Vesting Date</w:t>
      </w:r>
      <w:r>
        <w:rPr>
          <w:rFonts w:ascii="Arial" w:cs="Arial" w:eastAsia="Arial" w:hAnsi="Arial"/>
          <w:sz w:val="16"/>
          <w:szCs w:val="16"/>
          <w:color w:val="auto"/>
        </w:rPr>
        <w:t>”), (B) the date of the Non-Employee Director’s Separation from Service, or (C) the date of a Change in Control, in each case as follows: the number of Restricted Stock Units that vest is equal to the number of Restricted Stock Units granted multiplied by the fraction of Board meetings the Non-Employee Director attended in the applicable year, where the numerator is the number of meetings attended and the denominator is the number of meetings held, provided that (x) if vesting occurs as a result of a Change in Control or the Non-Employee Director’s Separation from Service due to death or Disability, 100% of the Restricted Stock Units shall vest and (y) if vesting occurs as a result of a Separation from Service other than due to death or Disability, the number of Restricted Stock Units that vest shall be determined by the Company in good faith based on the number of meetings held and attended by the Non-Employee Director prior to such Separation from Service and the number of remaining meetings expected to be held during the applicable year. Any Restricted Stock Units that do not vest shall be immediately forfeited as of the applicable vesting date. The Restricted Stock Units shall be granted pursuant and subject to the terms set forth in a written agreement in a form to be approved by the Board and duly executed by an executive officer of the Company. Unless a deferral election is made as provided below, the Restricted Stock Units will be distributed in actual shares of Common Stock, or, at the Company’s election, cash, in either case promptly (within 30 days) upon vesting.</w:t>
      </w:r>
    </w:p>
    <w:p>
      <w:pPr>
        <w:spacing w:after="0" w:line="39" w:lineRule="exact"/>
        <w:rPr>
          <w:rFonts w:ascii="Arial" w:cs="Arial" w:eastAsia="Arial" w:hAnsi="Arial"/>
          <w:sz w:val="16"/>
          <w:szCs w:val="16"/>
          <w:color w:val="auto"/>
        </w:rPr>
      </w:pPr>
    </w:p>
    <w:p>
      <w:pPr>
        <w:ind w:left="-464" w:right="160" w:firstLine="921"/>
        <w:spacing w:after="0" w:line="259" w:lineRule="auto"/>
        <w:tabs>
          <w:tab w:leader="none" w:pos="707"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cash paid in connection with the Meeting Fees will be paid in a single lump sum on the next business day after the date of the Company’s annual shareholders meeting. However, if the Non-Employee Director fails to attend one or more Board meetings during the applicable year, a pro-rated portion of the Meeting Fees may be subject to clawback or recoupment, as determined by the Board.</w:t>
      </w:r>
    </w:p>
    <w:p>
      <w:pPr>
        <w:spacing w:after="0" w:line="140" w:lineRule="exact"/>
        <w:rPr>
          <w:rFonts w:ascii="Arial" w:cs="Arial" w:eastAsia="Arial" w:hAnsi="Arial"/>
          <w:sz w:val="18"/>
          <w:szCs w:val="18"/>
          <w:color w:val="auto"/>
        </w:rPr>
      </w:pPr>
    </w:p>
    <w:p>
      <w:pPr>
        <w:ind w:left="-464" w:right="240" w:firstLine="464"/>
        <w:spacing w:after="0" w:line="306" w:lineRule="auto"/>
        <w:tabs>
          <w:tab w:leader="none" w:pos="168"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Deferral Elections</w:t>
      </w:r>
      <w:r>
        <w:rPr>
          <w:rFonts w:ascii="Arial" w:cs="Arial" w:eastAsia="Arial" w:hAnsi="Arial"/>
          <w:sz w:val="16"/>
          <w:szCs w:val="16"/>
          <w:color w:val="auto"/>
        </w:rPr>
        <w:t>. A Non-Employee Director may elect to receive deferred stock units (“</w:t>
      </w:r>
      <w:r>
        <w:rPr>
          <w:rFonts w:ascii="Arial" w:cs="Arial" w:eastAsia="Arial" w:hAnsi="Arial"/>
          <w:sz w:val="16"/>
          <w:szCs w:val="16"/>
          <w:u w:val="single" w:color="auto"/>
          <w:color w:val="auto"/>
        </w:rPr>
        <w:t>Deferred Stock</w:t>
      </w:r>
      <w:r>
        <w:rPr>
          <w:rFonts w:ascii="Arial" w:cs="Arial" w:eastAsia="Arial" w:hAnsi="Arial"/>
          <w:sz w:val="16"/>
          <w:szCs w:val="16"/>
          <w:color w:val="auto"/>
        </w:rPr>
        <w:t>”) in lieu of (i) some or all of the fully vested stock awards constituting his or her Annual Retainer, (ii) all of the cash constituting his or her Other Fees and (iii) some or all of the Restricted Stock Units constituting his or her Meeting Fees. Any such Deferred Stock that relates to a Non-Employee Director’s Meeting Fees shall be subject to the same vesting</w:t>
      </w:r>
    </w:p>
    <w:p>
      <w:pPr>
        <w:sectPr>
          <w:pgSz w:w="11900" w:h="16838" w:orient="portrait"/>
          <w:cols w:equalWidth="0" w:num="1">
            <w:col w:w="10956"/>
          </w:cols>
          <w:pgMar w:left="704" w:top="280" w:right="239" w:bottom="1440" w:gutter="0" w:footer="0" w:header="0"/>
        </w:sectPr>
      </w:pPr>
    </w:p>
    <w:bookmarkStart w:id="59" w:name="page60"/>
    <w:bookmarkEnd w:id="59"/>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as described in Section 5(i) above and will be immediately forfeited on the applicable Vesting Date to the extent the Deferred Stock does not vest in accordance with such provisions. If the Non-Employee Director elects to receive Deferred Stock, the units will be credited to a bookkeeping account under the Company’s Non-Employee Director Deferred Compensation Plan, where each unit will be equivalent in value to one share of Common Stock, and the units will be distributed in actual shares of Common Stock, or at the Company’s election, cash, at the earlier of the Non-Employee Director’s Separation from Service on the Board or a Change in Control, as described more fully in and in each case subject to the terms and conditions of the Company’s Non-Employee Director Deferred Compensation Plan (the “</w:t>
      </w:r>
      <w:r>
        <w:rPr>
          <w:rFonts w:ascii="Arial" w:cs="Arial" w:eastAsia="Arial" w:hAnsi="Arial"/>
          <w:sz w:val="16"/>
          <w:szCs w:val="16"/>
          <w:u w:val="single" w:color="auto"/>
          <w:color w:val="auto"/>
        </w:rPr>
        <w:t>Director Deferred Compensation Plan</w:t>
      </w:r>
      <w:r>
        <w:rPr>
          <w:rFonts w:ascii="Arial" w:cs="Arial" w:eastAsia="Arial" w:hAnsi="Arial"/>
          <w:sz w:val="16"/>
          <w:szCs w:val="16"/>
          <w:color w:val="auto"/>
        </w:rPr>
        <w:t>”). All deferral elections must be made in accordance with and are subject to the terms and conditions of the Director Deferred Compensation Plan. As used in this paragraph and in paragraph 5(i), the terms “</w:t>
      </w:r>
      <w:r>
        <w:rPr>
          <w:rFonts w:ascii="Arial" w:cs="Arial" w:eastAsia="Arial" w:hAnsi="Arial"/>
          <w:sz w:val="16"/>
          <w:szCs w:val="16"/>
          <w:u w:val="single" w:color="auto"/>
          <w:color w:val="auto"/>
        </w:rPr>
        <w:t>Separation from Service</w:t>
      </w:r>
      <w:r>
        <w:rPr>
          <w:rFonts w:ascii="Arial" w:cs="Arial" w:eastAsia="Arial" w:hAnsi="Arial"/>
          <w:sz w:val="16"/>
          <w:szCs w:val="16"/>
          <w:color w:val="auto"/>
        </w:rPr>
        <w:t>” and “</w:t>
      </w:r>
      <w:r>
        <w:rPr>
          <w:rFonts w:ascii="Arial" w:cs="Arial" w:eastAsia="Arial" w:hAnsi="Arial"/>
          <w:sz w:val="16"/>
          <w:szCs w:val="16"/>
          <w:u w:val="single" w:color="auto"/>
          <w:color w:val="auto"/>
        </w:rPr>
        <w:t>Change in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w:t>
      </w:r>
      <w:r>
        <w:rPr>
          <w:rFonts w:ascii="Arial" w:cs="Arial" w:eastAsia="Arial" w:hAnsi="Arial"/>
          <w:sz w:val="16"/>
          <w:szCs w:val="16"/>
          <w:color w:val="auto"/>
        </w:rPr>
        <w:t>” shall have meanings assigned to them in the Director Deferred Compensation Plan.</w:t>
      </w:r>
    </w:p>
    <w:p>
      <w:pPr>
        <w:spacing w:after="0" w:line="118" w:lineRule="exact"/>
        <w:rPr>
          <w:sz w:val="20"/>
          <w:szCs w:val="20"/>
          <w:color w:val="auto"/>
        </w:rPr>
      </w:pPr>
    </w:p>
    <w:p>
      <w:pPr>
        <w:ind w:right="20" w:firstLine="464"/>
        <w:spacing w:after="0" w:line="294" w:lineRule="auto"/>
        <w:tabs>
          <w:tab w:leader="none" w:pos="632"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Directors Commencing Service After the Annual Shareholders Meeting</w:t>
      </w:r>
      <w:r>
        <w:rPr>
          <w:rFonts w:ascii="Arial" w:cs="Arial" w:eastAsia="Arial" w:hAnsi="Arial"/>
          <w:sz w:val="16"/>
          <w:szCs w:val="16"/>
          <w:color w:val="auto"/>
        </w:rPr>
        <w:t>. If a Non-Employee Director commences service on the Board after the date of the Company’s regular annual shareholders meeting, on the date of such Non-Employee’s commencement of service on the Board the Non-Employee Director will receive a pro-rated portion the Annual Retainer and Other Fees, as applicable, and the Meeting Fees (based on the numbers of whole months elapsed since the most recent regular annual shareholders meeting), provided, however, that the Meeting Fees for the Non-Employee Director’s first partial year of service shall be paid 100% in cash, unless otherwise determined by the Board and subject to the final sentence of Section 5(ii) above.</w:t>
      </w:r>
    </w:p>
    <w:p>
      <w:pPr>
        <w:spacing w:after="0" w:line="115" w:lineRule="exact"/>
        <w:rPr>
          <w:rFonts w:ascii="Arial" w:cs="Arial" w:eastAsia="Arial" w:hAnsi="Arial"/>
          <w:sz w:val="16"/>
          <w:szCs w:val="16"/>
          <w:color w:val="auto"/>
        </w:rPr>
      </w:pPr>
    </w:p>
    <w:p>
      <w:pPr>
        <w:ind w:right="240" w:firstLine="464"/>
        <w:spacing w:after="0" w:line="268"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Effect of Other Plan Provisions</w:t>
      </w:r>
      <w:r>
        <w:rPr>
          <w:rFonts w:ascii="Arial" w:cs="Arial" w:eastAsia="Arial" w:hAnsi="Arial"/>
          <w:sz w:val="18"/>
          <w:szCs w:val="18"/>
          <w:color w:val="auto"/>
        </w:rPr>
        <w:t>. All of the provisions of the Plan shall apply to the Awards granted automatically pursuant to this Policy, except to the extent such provisions are inconsistent with this Policy.</w:t>
      </w:r>
    </w:p>
    <w:p>
      <w:pPr>
        <w:spacing w:after="0" w:line="131" w:lineRule="exact"/>
        <w:rPr>
          <w:rFonts w:ascii="Arial" w:cs="Arial" w:eastAsia="Arial" w:hAnsi="Arial"/>
          <w:sz w:val="18"/>
          <w:szCs w:val="18"/>
          <w:color w:val="auto"/>
        </w:rPr>
      </w:pPr>
    </w:p>
    <w:p>
      <w:pPr>
        <w:jc w:val="both"/>
        <w:ind w:firstLine="464"/>
        <w:spacing w:after="0" w:line="259"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Policy Subject to Amendment, Modification and Termination</w:t>
      </w:r>
      <w:r>
        <w:rPr>
          <w:rFonts w:ascii="Arial" w:cs="Arial" w:eastAsia="Arial" w:hAnsi="Arial"/>
          <w:sz w:val="18"/>
          <w:szCs w:val="18"/>
          <w:color w:val="auto"/>
        </w:rPr>
        <w:t>. This Policy may be amended, modified or terminated by the Board in the future at its sole discretion. Without limiting the generality of the foregoing, the Board hereby expressly reserves the authority to terminate this Policy during any year up and until the election of directors at a given annual meeting of stockholders.</w:t>
      </w:r>
    </w:p>
    <w:p>
      <w:pPr>
        <w:spacing w:after="0" w:line="140" w:lineRule="exact"/>
        <w:rPr>
          <w:rFonts w:ascii="Arial" w:cs="Arial" w:eastAsia="Arial" w:hAnsi="Arial"/>
          <w:sz w:val="18"/>
          <w:szCs w:val="18"/>
          <w:color w:val="auto"/>
        </w:rPr>
      </w:pPr>
    </w:p>
    <w:p>
      <w:pPr>
        <w:ind w:left="5060"/>
        <w:spacing w:after="0"/>
        <w:rPr>
          <w:rFonts w:ascii="Arial" w:cs="Arial" w:eastAsia="Arial" w:hAnsi="Arial"/>
          <w:sz w:val="18"/>
          <w:szCs w:val="18"/>
          <w:color w:val="auto"/>
        </w:rPr>
      </w:pPr>
      <w:r>
        <w:rPr>
          <w:rFonts w:ascii="Arial" w:cs="Arial" w:eastAsia="Arial" w:hAnsi="Arial"/>
          <w:sz w:val="18"/>
          <w:szCs w:val="18"/>
          <w:color w:val="auto"/>
        </w:rPr>
        <w:t>*   *   *   *   *</w:t>
      </w:r>
    </w:p>
    <w:p>
      <w:pPr>
        <w:sectPr>
          <w:pgSz w:w="11900" w:h="16838" w:orient="portrait"/>
          <w:cols w:equalWidth="0" w:num="1">
            <w:col w:w="11400"/>
          </w:cols>
          <w:pgMar w:left="240" w:top="280" w:right="25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90"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8987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President and Chief Executive Officer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71" w:lineRule="exact"/>
        <w:rPr>
          <w:sz w:val="20"/>
          <w:szCs w:val="20"/>
          <w:color w:val="auto"/>
        </w:rPr>
      </w:pPr>
    </w:p>
    <w:p>
      <w:pPr>
        <w:jc w:val="center"/>
        <w:ind w:left="260" w:right="2420"/>
        <w:spacing w:after="0" w:line="262"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9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0"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320738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2073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Chief Financial Officer and Treasurer</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September 30, 2013 as filed with the Securities and Exchange Commission on the date hereof (the “Report”), we, Lawrence E. Dewey, Chairman, President and Chief Executive Officer of the Company, and David S. Graziosi, Executive Vice President, Chief Financial Officer and Treasurer of the Company, certify, pursuant to 18 U.S.C. § 1350 as adopted pursuant to § 906 of the Sarbanes-Oxley Act of 2002, that:</w:t>
      </w:r>
    </w:p>
    <w:p>
      <w:pPr>
        <w:spacing w:after="0" w:line="6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29,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Letter"/>
      <w:start w:val="1"/>
    </w:lvl>
  </w:abstractNum>
  <w:abstractNum w:abstractNumId="3">
    <w:nsid w:val="1BEFD79F"/>
    <w:multiLevelType w:val="hybridMultilevel"/>
    <w:lvl w:ilvl="0">
      <w:lvlJc w:val="left"/>
      <w:lvlText w:val="(%1)"/>
      <w:numFmt w:val="lowerLetter"/>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5"/>
    </w:lvl>
  </w:abstractNum>
  <w:abstractNum w:abstractNumId="8">
    <w:nsid w:val="519B500D"/>
    <w:multiLevelType w:val="hybridMultilevel"/>
    <w:lvl w:ilvl="0">
      <w:lvlJc w:val="left"/>
      <w:lvlText w:val="(%1)"/>
      <w:numFmt w:val="lowerLetter"/>
      <w:start w:val="1"/>
    </w:lvl>
    <w:lvl w:ilvl="1">
      <w:lvlJc w:val="left"/>
      <w:lvlText w:val="(%2)"/>
      <w:numFmt w:val="lowerRoman"/>
      <w:start w:val="1"/>
    </w:lvl>
  </w:abstractNum>
  <w:abstractNum w:abstractNumId="9">
    <w:nsid w:val="431BD7B7"/>
    <w:multiLevelType w:val="hybridMultilevel"/>
    <w:lvl w:ilvl="0">
      <w:lvlJc w:val="left"/>
      <w:lvlText w:val="%1"/>
      <w:numFmt w:val="lowerLetter"/>
      <w:start w:val="1"/>
    </w:lvl>
    <w:lvl w:ilvl="1">
      <w:lvlJc w:val="left"/>
      <w:lvlText w:val="(%2)"/>
      <w:numFmt w:val="lowerRoman"/>
      <w:start w:val="5"/>
    </w:lvl>
  </w:abstractNum>
  <w:abstractNum w:abstractNumId="10">
    <w:nsid w:val="3F2DBA31"/>
    <w:multiLevelType w:val="hybridMultilevel"/>
    <w:lvl w:ilvl="0">
      <w:lvlJc w:val="left"/>
      <w:lvlText w:val="(%1)"/>
      <w:numFmt w:val="lowerLetter"/>
      <w:start w:val="2"/>
    </w:lvl>
    <w:lvl w:ilvl="1">
      <w:lvlJc w:val="left"/>
      <w:lvlText w:val="%2"/>
      <w:numFmt w:val="lowerRoman"/>
      <w:start w:val="1"/>
    </w:lvl>
  </w:abstractNum>
  <w:abstractNum w:abstractNumId="11">
    <w:nsid w:val="7C83E458"/>
    <w:multiLevelType w:val="hybridMultilevel"/>
    <w:lvl w:ilvl="0">
      <w:lvlJc w:val="left"/>
      <w:lvlText w:val="(%1)"/>
      <w:numFmt w:val="lowerLetter"/>
      <w:start w:val="1"/>
    </w:lvl>
  </w:abstractNum>
  <w:abstractNum w:abstractNumId="12">
    <w:nsid w:val="257130A3"/>
    <w:multiLevelType w:val="hybridMultilevel"/>
    <w:lvl w:ilvl="0">
      <w:lvlJc w:val="left"/>
      <w:lvlText w:val="(%1)"/>
      <w:numFmt w:val="lowerLetter"/>
      <w:start w:val="2"/>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1"/>
    </w:lvl>
    <w:lvl w:ilvl="1">
      <w:lvlJc w:val="left"/>
      <w:lvlText w:val="(%2)"/>
      <w:numFmt w:val="lowerRoman"/>
      <w:start w:val="1"/>
    </w:lvl>
  </w:abstractNum>
  <w:abstractNum w:abstractNumId="17">
    <w:nsid w:val="721DA317"/>
    <w:multiLevelType w:val="hybridMultilevel"/>
    <w:lvl w:ilvl="0">
      <w:lvlJc w:val="left"/>
      <w:lvlText w:val="(%1)"/>
      <w:numFmt w:val="lowerLetter"/>
      <w:start w:val="2"/>
    </w:lvl>
  </w:abstractNum>
  <w:abstractNum w:abstractNumId="18">
    <w:nsid w:val="2443A858"/>
    <w:multiLevelType w:val="hybridMultilevel"/>
    <w:lvl w:ilvl="0">
      <w:lvlJc w:val="left"/>
      <w:lvlText w:val="(%1)"/>
      <w:numFmt w:val="lowerLetter"/>
      <w:start w:val="1"/>
    </w:lvl>
    <w:lvl w:ilvl="1">
      <w:lvlJc w:val="left"/>
      <w:lvlText w:val="(%2)"/>
      <w:numFmt w:val="lowerRoman"/>
      <w:start w:val="1"/>
    </w:lvl>
  </w:abstractNum>
  <w:abstractNum w:abstractNumId="19">
    <w:nsid w:val="2D1D5AE9"/>
    <w:multiLevelType w:val="hybridMultilevel"/>
    <w:lvl w:ilvl="0">
      <w:lvlJc w:val="left"/>
      <w:lvlText w:val="(%1)"/>
      <w:numFmt w:val="lowerLetter"/>
      <w:start w:val="3"/>
    </w:lvl>
  </w:abstractNum>
  <w:abstractNum w:abstractNumId="20">
    <w:nsid w:val="6763845E"/>
    <w:multiLevelType w:val="hybridMultilevel"/>
    <w:lvl w:ilvl="0">
      <w:lvlJc w:val="left"/>
      <w:lvlText w:val="%1."/>
      <w:numFmt w:val="decimal"/>
      <w:start w:val="1"/>
    </w:lvl>
    <w:lvl w:ilvl="1">
      <w:lvlJc w:val="left"/>
      <w:lvlText w:val="(%2)"/>
      <w:numFmt w:val="lowerRoman"/>
      <w:start w:val="1"/>
    </w:lvl>
  </w:abstractNum>
  <w:abstractNum w:abstractNumId="21">
    <w:nsid w:val="75A2A8D4"/>
    <w:multiLevelType w:val="hybridMultilevel"/>
    <w:lvl w:ilvl="0">
      <w:lvlJc w:val="left"/>
      <w:lvlText w:val="%1."/>
      <w:numFmt w:val="decimal"/>
      <w:start w:val="4"/>
    </w:lvl>
    <w:lvl w:ilvl="1">
      <w:lvlJc w:val="left"/>
      <w:lvlText w:val="(%2)"/>
      <w:numFmt w:val="lowerRoman"/>
      <w:start w:val="1"/>
    </w:lvl>
  </w:abstractNum>
  <w:abstractNum w:abstractNumId="22">
    <w:nsid w:val="8EDBDAB"/>
    <w:multiLevelType w:val="hybridMultilevel"/>
    <w:lvl w:ilvl="0">
      <w:lvlJc w:val="left"/>
      <w:lvlText w:val="%1."/>
      <w:numFmt w:val="decimal"/>
      <w:start w:val="7"/>
    </w:lvl>
    <w:lvl w:ilvl="1">
      <w:lvlJc w:val="left"/>
      <w:lvlText w:val="*"/>
      <w:numFmt w:val="bullet"/>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2019-12-07T17:08:46Z</dcterms:created>
  <dcterms:modified xsi:type="dcterms:W3CDTF">2019-12-07T17:08:46Z</dcterms:modified>
</cp:coreProperties>
</file>